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0451-2019-Q-2021</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重庆乐乐环保科技有限公司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13"/>
        <w:rPr>
          <w:sz w:val="28"/>
          <w:szCs w:val="28"/>
        </w:rPr>
      </w:pPr>
    </w:p>
    <w:p>
      <w:pPr>
        <w:pStyle w:val="13"/>
        <w:rPr>
          <w:sz w:val="28"/>
          <w:szCs w:val="28"/>
        </w:rPr>
      </w:pPr>
    </w:p>
    <w:p>
      <w:pPr>
        <w:pStyle w:val="13"/>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重庆乐乐环保科技有限公司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重庆市大渡口区杨渡路513号3-2</w:t>
            </w:r>
            <w:bookmarkEnd w:id="6"/>
          </w:p>
        </w:tc>
        <w:tc>
          <w:tcPr>
            <w:tcW w:w="1242" w:type="dxa"/>
            <w:vMerge w:val="restart"/>
            <w:vAlign w:val="center"/>
          </w:tcPr>
          <w:p>
            <w:r>
              <w:rPr>
                <w:rFonts w:hint="eastAsia"/>
              </w:rPr>
              <w:t>邮编</w:t>
            </w:r>
          </w:p>
        </w:tc>
        <w:tc>
          <w:tcPr>
            <w:tcW w:w="1771" w:type="dxa"/>
          </w:tcPr>
          <w:p>
            <w:bookmarkStart w:id="7" w:name="注册邮编"/>
            <w: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重庆市大渡口区杨渡路513号3-2</w:t>
            </w:r>
            <w:bookmarkEnd w:id="8"/>
          </w:p>
        </w:tc>
        <w:tc>
          <w:tcPr>
            <w:tcW w:w="1242" w:type="dxa"/>
            <w:vMerge w:val="continue"/>
            <w:vAlign w:val="center"/>
          </w:tcPr>
          <w:p/>
        </w:tc>
        <w:tc>
          <w:tcPr>
            <w:tcW w:w="1771" w:type="dxa"/>
          </w:tcPr>
          <w:p>
            <w:bookmarkStart w:id="9" w:name="办公邮编"/>
            <w: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刘敏</w:t>
            </w:r>
            <w:bookmarkEnd w:id="10"/>
          </w:p>
        </w:tc>
        <w:tc>
          <w:tcPr>
            <w:tcW w:w="1313" w:type="dxa"/>
            <w:vAlign w:val="center"/>
          </w:tcPr>
          <w:p>
            <w:r>
              <w:rPr>
                <w:rFonts w:hint="eastAsia"/>
              </w:rPr>
              <w:t>电话.</w:t>
            </w:r>
          </w:p>
        </w:tc>
        <w:tc>
          <w:tcPr>
            <w:tcW w:w="2180" w:type="dxa"/>
            <w:vAlign w:val="center"/>
          </w:tcPr>
          <w:p>
            <w:bookmarkStart w:id="11" w:name="联系人电话"/>
            <w:r>
              <w:t>13368128461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谢勇</w:t>
            </w:r>
            <w:bookmarkEnd w:id="13"/>
          </w:p>
        </w:tc>
        <w:tc>
          <w:tcPr>
            <w:tcW w:w="1313" w:type="dxa"/>
            <w:vAlign w:val="center"/>
          </w:tcPr>
          <w:p>
            <w:r>
              <w:rPr>
                <w:rFonts w:hint="eastAsia"/>
              </w:rPr>
              <w:t>管理者代表</w:t>
            </w:r>
          </w:p>
        </w:tc>
        <w:tc>
          <w:tcPr>
            <w:tcW w:w="2180" w:type="dxa"/>
          </w:tcPr>
          <w:p>
            <w:bookmarkStart w:id="14" w:name="管理者代表"/>
            <w:r>
              <w:t>邓久俊</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ascii="宋体" w:hAnsi="宋体" w:eastAsia="宋体" w:cs="宋体"/>
                <w:highlight w:val="none"/>
              </w:rPr>
              <w:t>■</w:t>
            </w:r>
            <w:r>
              <w:rPr>
                <w:rFonts w:hint="eastAsia"/>
                <w:highlight w:val="none"/>
              </w:rPr>
              <w:t>单班□双班□三班□其他</w:t>
            </w:r>
          </w:p>
          <w:p>
            <w:pPr>
              <w:rPr>
                <w:highlight w:val="none"/>
              </w:rPr>
            </w:pPr>
            <w:r>
              <w:rPr>
                <w:rFonts w:hint="eastAsia"/>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rFonts w:hint="eastAsia"/>
              </w:rPr>
            </w:pPr>
            <w:r>
              <w:rPr>
                <w:rFonts w:hint="eastAsia"/>
              </w:rPr>
              <w:t>生产/服务提供流程简图</w:t>
            </w:r>
          </w:p>
          <w:p>
            <w:pPr>
              <w:rPr>
                <w:rFonts w:hint="eastAsia"/>
              </w:rPr>
            </w:pPr>
          </w:p>
          <w:p>
            <w:pPr>
              <w:rPr>
                <w:rFonts w:hint="eastAsia"/>
              </w:rPr>
            </w:pPr>
          </w:p>
        </w:tc>
        <w:tc>
          <w:tcPr>
            <w:tcW w:w="8058" w:type="dxa"/>
            <w:gridSpan w:val="5"/>
            <w:shd w:val="clear" w:color="auto" w:fill="auto"/>
          </w:tcPr>
          <w:p>
            <w:pPr>
              <w:rPr>
                <w:rFonts w:hint="eastAsia"/>
                <w:lang w:eastAsia="zh-CN"/>
              </w:rPr>
            </w:pPr>
            <w:r>
              <w:rPr>
                <w:rFonts w:hint="eastAsia"/>
              </w:rPr>
              <w:t>服务流程</w:t>
            </w:r>
            <w:r>
              <w:rPr>
                <w:rFonts w:hint="eastAsia"/>
                <w:lang w:eastAsia="zh-CN"/>
              </w:rPr>
              <w:t>：</w:t>
            </w:r>
          </w:p>
          <w:p>
            <w:pPr>
              <w:rPr>
                <w:rFonts w:hint="eastAsia"/>
              </w:rPr>
            </w:pPr>
            <w:r>
              <w:rPr>
                <w:rFonts w:hint="eastAsia"/>
                <w:lang w:val="en-US" w:eastAsia="zh-CN"/>
              </w:rPr>
              <w:t>合同或协议签订—垃圾分类智能回收设备的铺设--向居民宣传推广使用如何垃圾分类—居民分类投放垃圾—清运--垃圾分类复核分拣</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2021年11月01日 上午至2021年11月01日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ascii="宋体" w:hAnsi="宋体" w:eastAsia="宋体" w:cs="宋体"/>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eastAsia="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Q：许可范围内的生活垃圾分类收集</w:t>
            </w:r>
          </w:p>
          <w:p>
            <w:r>
              <w:t>E：许可范围内的生活垃圾分类收集及其所涉及的相关环境管理活动</w:t>
            </w:r>
          </w:p>
          <w:p>
            <w:r>
              <w:t>O：许可范围内的生活垃圾分类收集及其所涉及的相关职业健康安全管理活动。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Q：39.02.01</w:t>
            </w:r>
          </w:p>
          <w:p>
            <w:r>
              <w:t>E：39.02.01</w:t>
            </w:r>
          </w:p>
          <w:p>
            <w:r>
              <w:t>O：39.02.01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highlight w:val="none"/>
              </w:rPr>
            </w:pPr>
            <w:r>
              <w:rPr>
                <w:rFonts w:hint="eastAsia"/>
                <w:highlight w:val="none"/>
              </w:rPr>
              <w:t>不适用ISO9001的条款</w:t>
            </w:r>
          </w:p>
        </w:tc>
        <w:tc>
          <w:tcPr>
            <w:tcW w:w="7831" w:type="dxa"/>
            <w:gridSpan w:val="3"/>
          </w:tcPr>
          <w:p>
            <w:pPr>
              <w:rPr>
                <w:rFonts w:hint="default" w:eastAsia="宋体"/>
                <w:highlight w:val="none"/>
                <w:lang w:val="en-US" w:eastAsia="zh-CN"/>
              </w:rPr>
            </w:pPr>
            <w:r>
              <w:rPr>
                <w:rFonts w:hint="eastAsia"/>
                <w:highlight w:val="none"/>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highlight w:val="none"/>
              </w:rPr>
            </w:pPr>
            <w:r>
              <w:rPr>
                <w:rFonts w:hint="eastAsia"/>
                <w:highlight w:val="none"/>
              </w:rPr>
              <w:t>体系文件实施时间</w:t>
            </w:r>
          </w:p>
        </w:tc>
        <w:tc>
          <w:tcPr>
            <w:tcW w:w="2733" w:type="dxa"/>
          </w:tcPr>
          <w:p>
            <w:pPr>
              <w:rPr>
                <w:highlight w:val="none"/>
              </w:rPr>
            </w:pPr>
            <w:r>
              <w:rPr>
                <w:rFonts w:hint="eastAsia"/>
                <w:highlight w:val="none"/>
              </w:rPr>
              <w:t>2019.7.20</w:t>
            </w:r>
          </w:p>
        </w:tc>
        <w:tc>
          <w:tcPr>
            <w:tcW w:w="1883" w:type="dxa"/>
            <w:vAlign w:val="center"/>
          </w:tcPr>
          <w:p>
            <w:pPr>
              <w:rPr>
                <w:highlight w:val="none"/>
              </w:rPr>
            </w:pPr>
            <w:r>
              <w:rPr>
                <w:rFonts w:hint="eastAsia"/>
                <w:highlight w:val="none"/>
              </w:rPr>
              <w:t>管理体系运行已超过3个月</w:t>
            </w:r>
          </w:p>
        </w:tc>
        <w:tc>
          <w:tcPr>
            <w:tcW w:w="3215" w:type="dxa"/>
            <w:vAlign w:val="center"/>
          </w:tcPr>
          <w:p>
            <w:pPr>
              <w:rPr>
                <w:highlight w:val="none"/>
              </w:rPr>
            </w:pPr>
            <w:r>
              <w:rPr>
                <w:rFonts w:hint="eastAsia"/>
                <w:highlight w:val="none"/>
              </w:rPr>
              <w:sym w:font="Wingdings 2" w:char="0052"/>
            </w:r>
            <w:r>
              <w:rPr>
                <w:rFonts w:hint="eastAsia"/>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rPr>
                <w:highlight w:val="none"/>
              </w:rPr>
            </w:pPr>
            <w:r>
              <w:rPr>
                <w:rFonts w:hint="eastAsia"/>
                <w:highlight w:val="none"/>
              </w:rPr>
              <w:t>上次审核时间</w:t>
            </w:r>
          </w:p>
        </w:tc>
        <w:tc>
          <w:tcPr>
            <w:tcW w:w="2733" w:type="dxa"/>
            <w:vAlign w:val="center"/>
          </w:tcPr>
          <w:p>
            <w:pPr>
              <w:rPr>
                <w:rFonts w:hint="eastAsia"/>
                <w:b/>
                <w:sz w:val="20"/>
                <w:highlight w:val="none"/>
              </w:rPr>
            </w:pPr>
            <w:r>
              <w:rPr>
                <w:rFonts w:hint="eastAsia"/>
                <w:highlight w:val="none"/>
                <w:lang w:val="en-US" w:eastAsia="zh-CN"/>
              </w:rPr>
              <w:t>Q:</w:t>
            </w:r>
            <w:r>
              <w:rPr>
                <w:rFonts w:hint="eastAsia"/>
                <w:b/>
                <w:sz w:val="20"/>
                <w:highlight w:val="none"/>
              </w:rPr>
              <w:t>2020年10月19日</w:t>
            </w:r>
          </w:p>
          <w:p>
            <w:pPr>
              <w:rPr>
                <w:highlight w:val="none"/>
              </w:rPr>
            </w:pPr>
            <w:r>
              <w:rPr>
                <w:rFonts w:hint="eastAsia"/>
                <w:highlight w:val="none"/>
                <w:lang w:val="en-US" w:eastAsia="zh-CN"/>
              </w:rPr>
              <w:t>ES:</w:t>
            </w:r>
            <w:r>
              <w:rPr>
                <w:rFonts w:hint="eastAsia"/>
                <w:b/>
                <w:sz w:val="20"/>
                <w:highlight w:val="none"/>
              </w:rPr>
              <w:t>2020年12月21日</w:t>
            </w:r>
          </w:p>
        </w:tc>
        <w:tc>
          <w:tcPr>
            <w:tcW w:w="1883" w:type="dxa"/>
            <w:vAlign w:val="center"/>
          </w:tcPr>
          <w:p>
            <w:pPr>
              <w:rPr>
                <w:highlight w:val="none"/>
              </w:rPr>
            </w:pPr>
            <w:r>
              <w:rPr>
                <w:rFonts w:hint="eastAsia"/>
                <w:highlight w:val="none"/>
              </w:rPr>
              <w:t>认证证书有效期</w:t>
            </w:r>
          </w:p>
          <w:p>
            <w:pPr>
              <w:rPr>
                <w:highlight w:val="none"/>
              </w:rPr>
            </w:pPr>
            <w:r>
              <w:rPr>
                <w:rFonts w:hint="eastAsia"/>
                <w:highlight w:val="none"/>
              </w:rPr>
              <w:t>（初审除外）</w:t>
            </w:r>
          </w:p>
        </w:tc>
        <w:tc>
          <w:tcPr>
            <w:tcW w:w="3215" w:type="dxa"/>
            <w:vAlign w:val="center"/>
          </w:tcPr>
          <w:p>
            <w:pPr>
              <w:rPr>
                <w:rFonts w:hint="eastAsia"/>
                <w:b/>
                <w:sz w:val="20"/>
                <w:highlight w:val="none"/>
              </w:rPr>
            </w:pPr>
            <w:r>
              <w:rPr>
                <w:rFonts w:hint="eastAsia"/>
                <w:highlight w:val="none"/>
                <w:lang w:val="en-US" w:eastAsia="zh-CN"/>
              </w:rPr>
              <w:t>Q:</w:t>
            </w:r>
            <w:r>
              <w:rPr>
                <w:rFonts w:hint="eastAsia"/>
                <w:b/>
                <w:sz w:val="20"/>
                <w:highlight w:val="none"/>
              </w:rPr>
              <w:t>202</w:t>
            </w:r>
            <w:r>
              <w:rPr>
                <w:rFonts w:hint="eastAsia"/>
                <w:b/>
                <w:sz w:val="20"/>
                <w:highlight w:val="none"/>
                <w:lang w:val="en-US" w:eastAsia="zh-CN"/>
              </w:rPr>
              <w:t>2</w:t>
            </w:r>
            <w:r>
              <w:rPr>
                <w:rFonts w:hint="eastAsia"/>
                <w:b/>
                <w:sz w:val="20"/>
                <w:highlight w:val="none"/>
              </w:rPr>
              <w:t>年</w:t>
            </w:r>
            <w:r>
              <w:rPr>
                <w:rFonts w:hint="eastAsia"/>
                <w:b/>
                <w:sz w:val="20"/>
                <w:highlight w:val="none"/>
                <w:lang w:val="en-US" w:eastAsia="zh-CN"/>
              </w:rPr>
              <w:t>09</w:t>
            </w:r>
            <w:r>
              <w:rPr>
                <w:rFonts w:hint="eastAsia"/>
                <w:b/>
                <w:sz w:val="20"/>
                <w:highlight w:val="none"/>
              </w:rPr>
              <w:t>月</w:t>
            </w:r>
            <w:r>
              <w:rPr>
                <w:rFonts w:hint="eastAsia"/>
                <w:b/>
                <w:sz w:val="20"/>
                <w:highlight w:val="none"/>
                <w:lang w:val="en-US" w:eastAsia="zh-CN"/>
              </w:rPr>
              <w:t>28</w:t>
            </w:r>
            <w:r>
              <w:rPr>
                <w:rFonts w:hint="eastAsia"/>
                <w:b/>
                <w:sz w:val="20"/>
                <w:highlight w:val="none"/>
              </w:rPr>
              <w:t>日</w:t>
            </w:r>
          </w:p>
          <w:p>
            <w:pPr>
              <w:rPr>
                <w:highlight w:val="none"/>
              </w:rPr>
            </w:pPr>
            <w:r>
              <w:rPr>
                <w:rFonts w:hint="eastAsia"/>
                <w:highlight w:val="none"/>
                <w:lang w:val="en-US" w:eastAsia="zh-CN"/>
              </w:rPr>
              <w:t>ES:</w:t>
            </w:r>
            <w:r>
              <w:rPr>
                <w:rFonts w:hint="eastAsia"/>
                <w:b/>
                <w:sz w:val="20"/>
                <w:highlight w:val="none"/>
              </w:rPr>
              <w:t>202</w:t>
            </w:r>
            <w:r>
              <w:rPr>
                <w:rFonts w:hint="eastAsia"/>
                <w:b/>
                <w:sz w:val="20"/>
                <w:highlight w:val="none"/>
                <w:lang w:val="en-US" w:eastAsia="zh-CN"/>
              </w:rPr>
              <w:t>2</w:t>
            </w:r>
            <w:r>
              <w:rPr>
                <w:rFonts w:hint="eastAsia"/>
                <w:b/>
                <w:sz w:val="20"/>
                <w:highlight w:val="none"/>
              </w:rPr>
              <w:t>年12月2</w:t>
            </w:r>
            <w:r>
              <w:rPr>
                <w:rFonts w:hint="eastAsia"/>
                <w:b/>
                <w:sz w:val="20"/>
                <w:highlight w:val="none"/>
                <w:lang w:val="en-US" w:eastAsia="zh-CN"/>
              </w:rPr>
              <w:t>4</w:t>
            </w:r>
            <w:r>
              <w:rPr>
                <w:rFonts w:hint="eastAsia"/>
                <w:b/>
                <w:sz w:val="20"/>
                <w:highlight w:val="none"/>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823"/>
        <w:gridCol w:w="755"/>
        <w:gridCol w:w="2766"/>
        <w:gridCol w:w="96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rPr>
                <w:highlight w:val="none"/>
              </w:rPr>
            </w:pPr>
            <w:r>
              <w:rPr>
                <w:rFonts w:hint="eastAsia"/>
                <w:highlight w:val="none"/>
              </w:rPr>
              <w:t>场所编号</w:t>
            </w:r>
          </w:p>
          <w:p>
            <w:pPr>
              <w:rPr>
                <w:highlight w:val="none"/>
              </w:rPr>
            </w:pPr>
            <w:r>
              <w:rPr>
                <w:rFonts w:hint="eastAsia"/>
                <w:highlight w:val="none"/>
              </w:rPr>
              <w:t>(分证书序号）</w:t>
            </w:r>
          </w:p>
        </w:tc>
        <w:tc>
          <w:tcPr>
            <w:tcW w:w="2267" w:type="dxa"/>
            <w:shd w:val="clear" w:color="auto" w:fill="F3F3F3"/>
            <w:tcMar>
              <w:left w:w="57" w:type="dxa"/>
              <w:right w:w="57" w:type="dxa"/>
            </w:tcMar>
          </w:tcPr>
          <w:p>
            <w:pPr>
              <w:rPr>
                <w:highlight w:val="none"/>
              </w:rPr>
            </w:pPr>
            <w:r>
              <w:rPr>
                <w:rFonts w:hint="eastAsia"/>
                <w:highlight w:val="none"/>
              </w:rPr>
              <w:t>组织名称及注册场所地址</w:t>
            </w:r>
          </w:p>
        </w:tc>
        <w:tc>
          <w:tcPr>
            <w:tcW w:w="1823" w:type="dxa"/>
            <w:shd w:val="clear" w:color="auto" w:fill="F3F3F3"/>
            <w:tcMar>
              <w:left w:w="57" w:type="dxa"/>
              <w:right w:w="57" w:type="dxa"/>
            </w:tcMar>
          </w:tcPr>
          <w:p>
            <w:pPr>
              <w:rPr>
                <w:highlight w:val="none"/>
              </w:rPr>
            </w:pPr>
            <w:r>
              <w:rPr>
                <w:rFonts w:hint="eastAsia"/>
                <w:highlight w:val="none"/>
              </w:rPr>
              <w:t>经营场所的地址</w:t>
            </w:r>
          </w:p>
          <w:p>
            <w:pPr>
              <w:rPr>
                <w:highlight w:val="none"/>
              </w:rPr>
            </w:pPr>
            <w:r>
              <w:rPr>
                <w:rFonts w:hint="eastAsia"/>
                <w:highlight w:val="none"/>
              </w:rPr>
              <w:t>（多现场和临时现场）</w:t>
            </w:r>
          </w:p>
        </w:tc>
        <w:tc>
          <w:tcPr>
            <w:tcW w:w="755" w:type="dxa"/>
            <w:shd w:val="clear" w:color="auto" w:fill="F3F3F3"/>
            <w:tcMar>
              <w:left w:w="57" w:type="dxa"/>
              <w:right w:w="57" w:type="dxa"/>
            </w:tcMar>
          </w:tcPr>
          <w:p>
            <w:pPr>
              <w:rPr>
                <w:highlight w:val="none"/>
              </w:rPr>
            </w:pPr>
            <w:r>
              <w:rPr>
                <w:rFonts w:hint="eastAsia"/>
                <w:highlight w:val="none"/>
              </w:rPr>
              <w:t>员工人数</w:t>
            </w:r>
          </w:p>
        </w:tc>
        <w:tc>
          <w:tcPr>
            <w:tcW w:w="2766" w:type="dxa"/>
            <w:shd w:val="clear" w:color="auto" w:fill="F3F3F3"/>
            <w:tcMar>
              <w:left w:w="57" w:type="dxa"/>
              <w:right w:w="57" w:type="dxa"/>
            </w:tcMar>
          </w:tcPr>
          <w:p>
            <w:pPr>
              <w:rPr>
                <w:highlight w:val="none"/>
              </w:rPr>
            </w:pPr>
            <w:r>
              <w:rPr>
                <w:rFonts w:hint="eastAsia"/>
                <w:highlight w:val="none"/>
              </w:rPr>
              <w:t>审核范围（产品和过程）</w:t>
            </w:r>
          </w:p>
          <w:p>
            <w:pPr>
              <w:rPr>
                <w:highlight w:val="none"/>
              </w:rPr>
            </w:pPr>
          </w:p>
          <w:p>
            <w:pPr>
              <w:rPr>
                <w:highlight w:val="none"/>
              </w:rPr>
            </w:pPr>
          </w:p>
        </w:tc>
        <w:tc>
          <w:tcPr>
            <w:tcW w:w="966" w:type="dxa"/>
            <w:shd w:val="clear" w:color="auto" w:fill="F3F3F3"/>
            <w:tcMar>
              <w:left w:w="57" w:type="dxa"/>
              <w:right w:w="57" w:type="dxa"/>
            </w:tcMar>
          </w:tcPr>
          <w:p>
            <w:pPr>
              <w:rPr>
                <w:highlight w:val="none"/>
              </w:rPr>
            </w:pPr>
            <w:r>
              <w:rPr>
                <w:rFonts w:hint="eastAsia"/>
                <w:highlight w:val="none"/>
              </w:rPr>
              <w:t>标准</w:t>
            </w:r>
          </w:p>
        </w:tc>
        <w:tc>
          <w:tcPr>
            <w:tcW w:w="668" w:type="dxa"/>
            <w:tcBorders>
              <w:bottom w:val="single" w:color="auto" w:sz="4" w:space="0"/>
            </w:tcBorders>
            <w:shd w:val="clear" w:color="auto" w:fill="F3F3F3"/>
            <w:tcMar>
              <w:left w:w="57" w:type="dxa"/>
              <w:right w:w="57" w:type="dxa"/>
            </w:tcMar>
          </w:tcPr>
          <w:p>
            <w:pPr>
              <w:rPr>
                <w:highlight w:val="none"/>
              </w:rPr>
            </w:pPr>
            <w:r>
              <w:rPr>
                <w:rFonts w:hint="eastAsia"/>
                <w:highlight w:val="none"/>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highlight w:val="none"/>
                <w:lang w:eastAsia="ja-JP"/>
              </w:rPr>
            </w:pPr>
            <w:r>
              <w:rPr>
                <w:rFonts w:hint="eastAsia"/>
                <w:highlight w:val="none"/>
                <w:lang w:eastAsia="ja-JP"/>
              </w:rPr>
              <w:t>01</w:t>
            </w:r>
          </w:p>
        </w:tc>
        <w:tc>
          <w:tcPr>
            <w:tcW w:w="2267" w:type="dxa"/>
          </w:tcPr>
          <w:p>
            <w:pPr>
              <w:rPr>
                <w:rFonts w:hint="eastAsia" w:eastAsia="宋体"/>
                <w:highlight w:val="none"/>
                <w:lang w:val="en-US" w:eastAsia="zh-CN"/>
              </w:rPr>
            </w:pPr>
            <w:r>
              <w:rPr>
                <w:sz w:val="21"/>
                <w:szCs w:val="21"/>
                <w:highlight w:val="none"/>
              </w:rPr>
              <w:t>重庆乐乐环保科技有限公司</w:t>
            </w:r>
            <w:r>
              <w:rPr>
                <w:rFonts w:hint="eastAsia"/>
                <w:sz w:val="21"/>
                <w:szCs w:val="21"/>
                <w:highlight w:val="none"/>
                <w:lang w:val="en-US" w:eastAsia="zh-CN"/>
              </w:rPr>
              <w:t>/</w:t>
            </w:r>
            <w:r>
              <w:rPr>
                <w:rFonts w:asciiTheme="minorEastAsia" w:hAnsiTheme="minorEastAsia" w:eastAsiaTheme="minorEastAsia"/>
                <w:sz w:val="20"/>
                <w:highlight w:val="none"/>
              </w:rPr>
              <w:t>重庆市大渡口区杨渡路513号3-2</w:t>
            </w:r>
          </w:p>
        </w:tc>
        <w:tc>
          <w:tcPr>
            <w:tcW w:w="1823" w:type="dxa"/>
          </w:tcPr>
          <w:p>
            <w:pPr>
              <w:rPr>
                <w:highlight w:val="none"/>
                <w:lang w:val="de-DE" w:eastAsia="ja-JP"/>
              </w:rPr>
            </w:pPr>
            <w:r>
              <w:rPr>
                <w:rFonts w:asciiTheme="minorEastAsia" w:hAnsiTheme="minorEastAsia" w:eastAsiaTheme="minorEastAsia"/>
                <w:sz w:val="20"/>
                <w:highlight w:val="none"/>
              </w:rPr>
              <w:t>重庆市大渡口区杨渡路513号3-2</w:t>
            </w:r>
          </w:p>
        </w:tc>
        <w:tc>
          <w:tcPr>
            <w:tcW w:w="755" w:type="dxa"/>
            <w:vAlign w:val="center"/>
          </w:tcPr>
          <w:p>
            <w:pPr>
              <w:rPr>
                <w:rFonts w:hint="default" w:eastAsia="宋体"/>
                <w:highlight w:val="none"/>
                <w:lang w:val="en-US" w:eastAsia="zh-CN"/>
              </w:rPr>
            </w:pPr>
            <w:r>
              <w:rPr>
                <w:rFonts w:hint="eastAsia"/>
                <w:highlight w:val="none"/>
                <w:lang w:val="en-US" w:eastAsia="zh-CN"/>
              </w:rPr>
              <w:t>20</w:t>
            </w:r>
          </w:p>
        </w:tc>
        <w:tc>
          <w:tcPr>
            <w:tcW w:w="2766" w:type="dxa"/>
            <w:vAlign w:val="center"/>
          </w:tcPr>
          <w:p>
            <w:pPr>
              <w:rPr>
                <w:highlight w:val="none"/>
                <w:lang w:eastAsia="ja-JP"/>
              </w:rPr>
            </w:pPr>
            <w:r>
              <w:rPr>
                <w:sz w:val="20"/>
                <w:highlight w:val="none"/>
              </w:rPr>
              <w:t>许可范围内的生活垃圾分类收集</w:t>
            </w:r>
          </w:p>
        </w:tc>
        <w:tc>
          <w:tcPr>
            <w:tcW w:w="966" w:type="dxa"/>
            <w:vAlign w:val="center"/>
          </w:tcPr>
          <w:p>
            <w:pPr>
              <w:rPr>
                <w:highlight w:val="none"/>
                <w:lang w:eastAsia="ja-JP"/>
              </w:rPr>
            </w:pPr>
            <w:r>
              <w:rPr>
                <w:rFonts w:hint="eastAsia" w:ascii="宋体" w:hAnsi="宋体"/>
                <w:b/>
                <w:sz w:val="21"/>
                <w:szCs w:val="21"/>
                <w:highlight w:val="none"/>
              </w:rPr>
              <w:t xml:space="preserve">ISO 9001:2015 </w:t>
            </w:r>
          </w:p>
        </w:tc>
        <w:tc>
          <w:tcPr>
            <w:tcW w:w="668" w:type="dxa"/>
            <w:shd w:val="clear" w:color="auto" w:fill="FFFFFF"/>
          </w:tcPr>
          <w:p>
            <w:pPr>
              <w:rPr>
                <w:highlight w:val="none"/>
              </w:rPr>
            </w:pPr>
            <w:r>
              <w:rPr>
                <w:rFonts w:hint="eastAsia" w:ascii="宋体" w:hAnsi="宋体" w:eastAsia="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highlight w:val="none"/>
                <w:lang w:eastAsia="ja-JP"/>
              </w:rPr>
            </w:pPr>
            <w:r>
              <w:rPr>
                <w:rFonts w:hint="eastAsia"/>
                <w:highlight w:val="none"/>
                <w:lang w:eastAsia="ja-JP"/>
              </w:rPr>
              <w:t>02</w:t>
            </w:r>
          </w:p>
        </w:tc>
        <w:tc>
          <w:tcPr>
            <w:tcW w:w="2267" w:type="dxa"/>
            <w:vAlign w:val="top"/>
          </w:tcPr>
          <w:p>
            <w:pPr>
              <w:rPr>
                <w:rFonts w:hint="eastAsia" w:ascii="Times New Roman" w:hAnsi="Times New Roman" w:eastAsia="宋体" w:cs="Times New Roman"/>
                <w:kern w:val="2"/>
                <w:sz w:val="21"/>
                <w:szCs w:val="24"/>
                <w:highlight w:val="none"/>
                <w:lang w:val="en-US" w:eastAsia="ja-JP" w:bidi="ar-SA"/>
              </w:rPr>
            </w:pPr>
            <w:r>
              <w:rPr>
                <w:sz w:val="21"/>
                <w:szCs w:val="21"/>
                <w:highlight w:val="none"/>
              </w:rPr>
              <w:t>重庆乐乐环保科技有限公司</w:t>
            </w:r>
            <w:r>
              <w:rPr>
                <w:rFonts w:hint="eastAsia"/>
                <w:sz w:val="21"/>
                <w:szCs w:val="21"/>
                <w:highlight w:val="none"/>
                <w:lang w:val="en-US" w:eastAsia="zh-CN"/>
              </w:rPr>
              <w:t>/</w:t>
            </w:r>
            <w:r>
              <w:rPr>
                <w:rFonts w:asciiTheme="minorEastAsia" w:hAnsiTheme="minorEastAsia" w:eastAsiaTheme="minorEastAsia"/>
                <w:sz w:val="20"/>
                <w:highlight w:val="none"/>
              </w:rPr>
              <w:t>重庆市大渡口区杨渡路513号3-2</w:t>
            </w:r>
          </w:p>
        </w:tc>
        <w:tc>
          <w:tcPr>
            <w:tcW w:w="1823" w:type="dxa"/>
            <w:vAlign w:val="top"/>
          </w:tcPr>
          <w:p>
            <w:pPr>
              <w:rPr>
                <w:rFonts w:ascii="Times New Roman" w:hAnsi="Times New Roman" w:eastAsia="宋体" w:cs="Times New Roman"/>
                <w:kern w:val="2"/>
                <w:sz w:val="21"/>
                <w:szCs w:val="24"/>
                <w:highlight w:val="none"/>
                <w:lang w:val="de-DE" w:eastAsia="ja-JP" w:bidi="ar-SA"/>
              </w:rPr>
            </w:pPr>
            <w:r>
              <w:rPr>
                <w:rFonts w:asciiTheme="minorEastAsia" w:hAnsiTheme="minorEastAsia" w:eastAsiaTheme="minorEastAsia"/>
                <w:sz w:val="20"/>
                <w:highlight w:val="none"/>
              </w:rPr>
              <w:t>重庆市大渡口区杨渡路513号3-2</w:t>
            </w:r>
          </w:p>
        </w:tc>
        <w:tc>
          <w:tcPr>
            <w:tcW w:w="755" w:type="dxa"/>
            <w:vAlign w:val="center"/>
          </w:tcPr>
          <w:p>
            <w:pPr>
              <w:rPr>
                <w:rFonts w:hint="default" w:ascii="Times New Roman" w:hAnsi="Times New Roman" w:eastAsia="宋体" w:cs="Times New Roman"/>
                <w:kern w:val="2"/>
                <w:sz w:val="21"/>
                <w:szCs w:val="24"/>
                <w:highlight w:val="none"/>
                <w:lang w:val="en-US" w:eastAsia="ja-JP" w:bidi="ar-SA"/>
              </w:rPr>
            </w:pPr>
            <w:r>
              <w:rPr>
                <w:rFonts w:hint="eastAsia"/>
                <w:highlight w:val="none"/>
                <w:lang w:val="en-US" w:eastAsia="zh-CN"/>
              </w:rPr>
              <w:t>20</w:t>
            </w:r>
          </w:p>
        </w:tc>
        <w:tc>
          <w:tcPr>
            <w:tcW w:w="2766" w:type="dxa"/>
            <w:vAlign w:val="center"/>
          </w:tcPr>
          <w:p>
            <w:pPr>
              <w:rPr>
                <w:highlight w:val="none"/>
                <w:lang w:eastAsia="ja-JP"/>
              </w:rPr>
            </w:pPr>
            <w:r>
              <w:rPr>
                <w:sz w:val="20"/>
                <w:highlight w:val="none"/>
              </w:rPr>
              <w:t>许可范围内的生活垃圾分类收集及其所涉及的相关环境管理活动</w:t>
            </w:r>
          </w:p>
        </w:tc>
        <w:tc>
          <w:tcPr>
            <w:tcW w:w="966" w:type="dxa"/>
            <w:vAlign w:val="center"/>
          </w:tcPr>
          <w:p>
            <w:pPr>
              <w:rPr>
                <w:highlight w:val="none"/>
                <w:lang w:eastAsia="ja-JP"/>
              </w:rPr>
            </w:pPr>
            <w:r>
              <w:rPr>
                <w:rFonts w:hint="eastAsia" w:ascii="宋体" w:hAnsi="宋体"/>
                <w:b/>
                <w:sz w:val="21"/>
                <w:szCs w:val="21"/>
                <w:highlight w:val="none"/>
              </w:rPr>
              <w:t>ISO 14001:2015</w:t>
            </w:r>
          </w:p>
        </w:tc>
        <w:tc>
          <w:tcPr>
            <w:tcW w:w="668" w:type="dxa"/>
            <w:shd w:val="clear" w:color="auto" w:fill="FFFFFF"/>
          </w:tcPr>
          <w:p>
            <w:pPr>
              <w:rPr>
                <w:highlight w:val="none"/>
              </w:rPr>
            </w:pPr>
            <w:r>
              <w:rPr>
                <w:rFonts w:hint="eastAsia" w:ascii="宋体" w:hAnsi="宋体" w:eastAsia="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highlight w:val="none"/>
                <w:lang w:eastAsia="ja-JP"/>
              </w:rPr>
            </w:pPr>
            <w:r>
              <w:rPr>
                <w:rFonts w:hint="eastAsia"/>
                <w:highlight w:val="none"/>
                <w:lang w:eastAsia="ja-JP"/>
              </w:rPr>
              <w:t>03</w:t>
            </w:r>
          </w:p>
        </w:tc>
        <w:tc>
          <w:tcPr>
            <w:tcW w:w="2267" w:type="dxa"/>
            <w:vAlign w:val="top"/>
          </w:tcPr>
          <w:p>
            <w:pPr>
              <w:rPr>
                <w:rFonts w:hint="eastAsia" w:ascii="Times New Roman" w:hAnsi="Times New Roman" w:eastAsia="宋体" w:cs="Times New Roman"/>
                <w:kern w:val="2"/>
                <w:sz w:val="21"/>
                <w:szCs w:val="24"/>
                <w:highlight w:val="none"/>
                <w:lang w:val="en-US" w:eastAsia="ja-JP" w:bidi="ar-SA"/>
              </w:rPr>
            </w:pPr>
            <w:r>
              <w:rPr>
                <w:sz w:val="21"/>
                <w:szCs w:val="21"/>
                <w:highlight w:val="none"/>
              </w:rPr>
              <w:t>重庆乐乐环保科技有限公司</w:t>
            </w:r>
            <w:r>
              <w:rPr>
                <w:rFonts w:hint="eastAsia"/>
                <w:sz w:val="21"/>
                <w:szCs w:val="21"/>
                <w:highlight w:val="none"/>
                <w:lang w:val="en-US" w:eastAsia="zh-CN"/>
              </w:rPr>
              <w:t>/</w:t>
            </w:r>
            <w:r>
              <w:rPr>
                <w:rFonts w:asciiTheme="minorEastAsia" w:hAnsiTheme="minorEastAsia" w:eastAsiaTheme="minorEastAsia"/>
                <w:sz w:val="20"/>
                <w:highlight w:val="none"/>
              </w:rPr>
              <w:t>重庆市大渡口区杨渡路513号3-2</w:t>
            </w:r>
          </w:p>
        </w:tc>
        <w:tc>
          <w:tcPr>
            <w:tcW w:w="1823" w:type="dxa"/>
            <w:vAlign w:val="top"/>
          </w:tcPr>
          <w:p>
            <w:pPr>
              <w:rPr>
                <w:rFonts w:ascii="Times New Roman" w:hAnsi="Times New Roman" w:eastAsia="宋体" w:cs="Times New Roman"/>
                <w:kern w:val="2"/>
                <w:sz w:val="21"/>
                <w:szCs w:val="24"/>
                <w:highlight w:val="none"/>
                <w:lang w:val="de-DE" w:eastAsia="ja-JP" w:bidi="ar-SA"/>
              </w:rPr>
            </w:pPr>
            <w:r>
              <w:rPr>
                <w:rFonts w:asciiTheme="minorEastAsia" w:hAnsiTheme="minorEastAsia" w:eastAsiaTheme="minorEastAsia"/>
                <w:sz w:val="20"/>
                <w:highlight w:val="none"/>
              </w:rPr>
              <w:t>重庆市大渡口区杨渡路513号3-2</w:t>
            </w:r>
          </w:p>
        </w:tc>
        <w:tc>
          <w:tcPr>
            <w:tcW w:w="755" w:type="dxa"/>
            <w:vAlign w:val="center"/>
          </w:tcPr>
          <w:p>
            <w:pPr>
              <w:rPr>
                <w:rFonts w:hint="default" w:ascii="Times New Roman" w:hAnsi="Times New Roman" w:eastAsia="宋体" w:cs="Times New Roman"/>
                <w:kern w:val="2"/>
                <w:sz w:val="21"/>
                <w:szCs w:val="24"/>
                <w:highlight w:val="none"/>
                <w:lang w:val="en-US" w:eastAsia="ja-JP" w:bidi="ar-SA"/>
              </w:rPr>
            </w:pPr>
            <w:r>
              <w:rPr>
                <w:rFonts w:hint="eastAsia"/>
                <w:highlight w:val="none"/>
                <w:lang w:val="en-US" w:eastAsia="zh-CN"/>
              </w:rPr>
              <w:t>20</w:t>
            </w:r>
          </w:p>
        </w:tc>
        <w:tc>
          <w:tcPr>
            <w:tcW w:w="2766" w:type="dxa"/>
            <w:vAlign w:val="center"/>
          </w:tcPr>
          <w:p>
            <w:pPr>
              <w:rPr>
                <w:highlight w:val="none"/>
                <w:lang w:eastAsia="ja-JP"/>
              </w:rPr>
            </w:pPr>
            <w:r>
              <w:rPr>
                <w:sz w:val="20"/>
                <w:highlight w:val="none"/>
              </w:rPr>
              <w:t>许可范围内的生活垃圾分类收集及其所涉及的相关职业健康安全管理活动。</w:t>
            </w:r>
          </w:p>
        </w:tc>
        <w:tc>
          <w:tcPr>
            <w:tcW w:w="966" w:type="dxa"/>
            <w:vAlign w:val="center"/>
          </w:tcPr>
          <w:p>
            <w:pPr>
              <w:rPr>
                <w:highlight w:val="none"/>
                <w:lang w:eastAsia="ja-JP"/>
              </w:rPr>
            </w:pPr>
            <w:r>
              <w:rPr>
                <w:rFonts w:hint="eastAsia" w:ascii="宋体" w:hAnsi="宋体"/>
                <w:b/>
                <w:sz w:val="21"/>
                <w:szCs w:val="21"/>
                <w:highlight w:val="none"/>
              </w:rPr>
              <w:t>ISO45001：2020</w:t>
            </w:r>
          </w:p>
        </w:tc>
        <w:tc>
          <w:tcPr>
            <w:tcW w:w="668" w:type="dxa"/>
            <w:shd w:val="clear" w:color="auto" w:fill="FFFFFF"/>
          </w:tcPr>
          <w:p>
            <w:pPr>
              <w:rPr>
                <w:highlight w:val="none"/>
              </w:rPr>
            </w:pPr>
            <w:r>
              <w:rPr>
                <w:rFonts w:hint="eastAsia" w:ascii="宋体" w:hAnsi="宋体" w:eastAsia="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highlight w:val="none"/>
                <w:lang w:eastAsia="ja-JP"/>
              </w:rPr>
            </w:pPr>
            <w:r>
              <w:rPr>
                <w:rFonts w:hint="eastAsia"/>
                <w:highlight w:val="none"/>
                <w:lang w:eastAsia="ja-JP"/>
              </w:rPr>
              <w:t>04</w:t>
            </w:r>
          </w:p>
        </w:tc>
        <w:tc>
          <w:tcPr>
            <w:tcW w:w="2267" w:type="dxa"/>
            <w:vAlign w:val="center"/>
          </w:tcPr>
          <w:p>
            <w:pPr>
              <w:rPr>
                <w:highlight w:val="none"/>
                <w:lang w:eastAsia="ja-JP"/>
              </w:rPr>
            </w:pPr>
          </w:p>
        </w:tc>
        <w:tc>
          <w:tcPr>
            <w:tcW w:w="1823" w:type="dxa"/>
            <w:vAlign w:val="center"/>
          </w:tcPr>
          <w:p>
            <w:pPr>
              <w:rPr>
                <w:highlight w:val="none"/>
                <w:lang w:eastAsia="ja-JP"/>
              </w:rPr>
            </w:pPr>
          </w:p>
        </w:tc>
        <w:tc>
          <w:tcPr>
            <w:tcW w:w="755" w:type="dxa"/>
            <w:vAlign w:val="center"/>
          </w:tcPr>
          <w:p>
            <w:pPr>
              <w:rPr>
                <w:highlight w:val="none"/>
                <w:lang w:eastAsia="ja-JP"/>
              </w:rPr>
            </w:pPr>
          </w:p>
        </w:tc>
        <w:tc>
          <w:tcPr>
            <w:tcW w:w="2766" w:type="dxa"/>
            <w:vAlign w:val="center"/>
          </w:tcPr>
          <w:p>
            <w:pPr>
              <w:rPr>
                <w:highlight w:val="none"/>
                <w:lang w:eastAsia="ja-JP"/>
              </w:rPr>
            </w:pPr>
          </w:p>
        </w:tc>
        <w:tc>
          <w:tcPr>
            <w:tcW w:w="966" w:type="dxa"/>
            <w:vAlign w:val="center"/>
          </w:tcPr>
          <w:p>
            <w:pPr>
              <w:rPr>
                <w:highlight w:val="none"/>
                <w:lang w:eastAsia="ja-JP"/>
              </w:rPr>
            </w:pPr>
          </w:p>
        </w:tc>
        <w:tc>
          <w:tcPr>
            <w:tcW w:w="668" w:type="dxa"/>
            <w:shd w:val="clear" w:color="auto" w:fill="FFFFFF"/>
          </w:tcPr>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highlight w:val="none"/>
                <w:lang w:eastAsia="ja-JP"/>
              </w:rPr>
            </w:pPr>
            <w:r>
              <w:rPr>
                <w:rFonts w:hint="eastAsia"/>
                <w:highlight w:val="none"/>
                <w:lang w:eastAsia="ja-JP"/>
              </w:rPr>
              <w:t>05</w:t>
            </w:r>
          </w:p>
        </w:tc>
        <w:tc>
          <w:tcPr>
            <w:tcW w:w="2267" w:type="dxa"/>
            <w:vAlign w:val="center"/>
          </w:tcPr>
          <w:p>
            <w:pPr>
              <w:rPr>
                <w:highlight w:val="none"/>
                <w:lang w:eastAsia="ja-JP"/>
              </w:rPr>
            </w:pPr>
          </w:p>
        </w:tc>
        <w:tc>
          <w:tcPr>
            <w:tcW w:w="1823" w:type="dxa"/>
            <w:vAlign w:val="center"/>
          </w:tcPr>
          <w:p>
            <w:pPr>
              <w:rPr>
                <w:highlight w:val="none"/>
                <w:lang w:eastAsia="ja-JP"/>
              </w:rPr>
            </w:pPr>
          </w:p>
        </w:tc>
        <w:tc>
          <w:tcPr>
            <w:tcW w:w="755" w:type="dxa"/>
            <w:vAlign w:val="center"/>
          </w:tcPr>
          <w:p>
            <w:pPr>
              <w:rPr>
                <w:highlight w:val="none"/>
                <w:lang w:eastAsia="ja-JP"/>
              </w:rPr>
            </w:pPr>
          </w:p>
        </w:tc>
        <w:tc>
          <w:tcPr>
            <w:tcW w:w="2766" w:type="dxa"/>
            <w:vAlign w:val="center"/>
          </w:tcPr>
          <w:p>
            <w:pPr>
              <w:rPr>
                <w:highlight w:val="none"/>
                <w:lang w:eastAsia="ja-JP"/>
              </w:rPr>
            </w:pPr>
          </w:p>
        </w:tc>
        <w:tc>
          <w:tcPr>
            <w:tcW w:w="966" w:type="dxa"/>
            <w:vAlign w:val="center"/>
          </w:tcPr>
          <w:p>
            <w:pPr>
              <w:rPr>
                <w:highlight w:val="none"/>
                <w:lang w:eastAsia="ja-JP"/>
              </w:rPr>
            </w:pPr>
          </w:p>
        </w:tc>
        <w:tc>
          <w:tcPr>
            <w:tcW w:w="668" w:type="dxa"/>
            <w:shd w:val="clear" w:color="auto" w:fill="FFFFFF"/>
          </w:tcPr>
          <w:p>
            <w:pPr>
              <w:rPr>
                <w:highlight w:val="none"/>
              </w:rPr>
            </w:pPr>
            <w:r>
              <w:rPr>
                <w:rFonts w:hint="eastAsia"/>
                <w:highlight w:val="none"/>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3870" w:type="dxa"/>
            <w:vAlign w:val="center"/>
          </w:tcPr>
          <w:p>
            <w:r>
              <w:t>2019-N1QMS-3093566</w:t>
            </w:r>
          </w:p>
          <w:p>
            <w:r>
              <w:t>2021-N1EMS-3093566</w:t>
            </w:r>
          </w:p>
          <w:p>
            <w:r>
              <w:t>2019-N1OHSMS-2093566</w:t>
            </w:r>
          </w:p>
        </w:tc>
        <w:tc>
          <w:tcPr>
            <w:tcW w:w="2179" w:type="dxa"/>
            <w:vAlign w:val="center"/>
          </w:tcPr>
          <w:p>
            <w:r>
              <w:t>Q:39.02.01</w:t>
            </w:r>
          </w:p>
          <w:p>
            <w:r>
              <w:t>E:39.02.01</w:t>
            </w:r>
          </w:p>
          <w:p>
            <w:r>
              <w:t>O:39.02.01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2020-N1QMS-1267598</w:t>
            </w:r>
          </w:p>
          <w:p>
            <w:r>
              <w:t>2020-N1EMS-1267598</w:t>
            </w:r>
          </w:p>
          <w:p>
            <w:r>
              <w:t>2021-N1OHSMS-1267598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w:t>
      </w:r>
      <w:r>
        <w:rPr>
          <w:rFonts w:hint="eastAsia" w:ascii="宋体" w:hAnsi="宋体" w:eastAsia="宋体" w:cs="宋体"/>
        </w:rPr>
        <w:t>■</w:t>
      </w:r>
      <w:r>
        <w:rPr>
          <w:rFonts w:hint="eastAsia"/>
        </w:rPr>
        <w:t>EMS</w:t>
      </w:r>
      <w:r>
        <w:rPr>
          <w:rFonts w:hint="eastAsia" w:ascii="宋体" w:hAnsi="宋体" w:eastAsia="宋体" w:cs="宋体"/>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ascii="宋体" w:hAnsi="宋体" w:eastAsia="宋体" w:cs="宋体"/>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ascii="Times New Roman" w:hAnsi="Times New Roman" w:cs="Times New Roman"/>
                <w:color w:val="auto"/>
                <w:kern w:val="2"/>
                <w:sz w:val="21"/>
                <w:szCs w:val="22"/>
                <w:lang w:val="en-US" w:eastAsia="zh-CN" w:bidi="ar-SA"/>
              </w:rPr>
              <w:t>上次不符合为</w:t>
            </w:r>
            <w:r>
              <w:rPr>
                <w:rFonts w:hint="eastAsia" w:ascii="Times New Roman" w:hAnsi="Times New Roman" w:eastAsia="宋体" w:cs="Times New Roman"/>
                <w:color w:val="auto"/>
                <w:kern w:val="2"/>
                <w:sz w:val="21"/>
                <w:szCs w:val="22"/>
                <w:highlight w:val="none"/>
                <w:lang w:val="en-US" w:eastAsia="zh-CN" w:bidi="ar-SA"/>
              </w:rPr>
              <w:t>综合部ES9.1.1;Q9.1.2</w:t>
            </w:r>
            <w:r>
              <w:rPr>
                <w:rFonts w:hint="eastAsia" w:ascii="Times New Roman" w:hAnsi="Times New Roman" w:cs="Times New Roman"/>
                <w:color w:val="auto"/>
                <w:kern w:val="2"/>
                <w:sz w:val="21"/>
                <w:szCs w:val="22"/>
                <w:highlight w:val="none"/>
                <w:lang w:val="en-US" w:eastAsia="zh-CN" w:bidi="ar-SA"/>
              </w:rPr>
              <w:t>，经本次现场审核验证，无类似情况发生，改进有效。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rPr>
              <w:sym w:font="Wingdings 2" w:char="0052"/>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r>
              <w:rPr>
                <w:sz w:val="20"/>
              </w:rPr>
              <w:t>许可范围内的生活垃圾分类收集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r>
              <w:rPr>
                <w:sz w:val="20"/>
              </w:rPr>
              <w:t>许可范围内的生活垃圾分类收集及其所涉及的相关环境管理活动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r>
              <w:rPr>
                <w:sz w:val="20"/>
              </w:rPr>
              <w:t>许可范围内的生活垃圾分类收集及其所涉及的相关职业健康安全管理活动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在完成纠正措施后推荐保持认证注册(</w:t>
            </w:r>
            <w:r>
              <w:rPr>
                <w:rFonts w:hint="eastAsia" w:ascii="宋体" w:hAnsi="宋体" w:eastAsia="宋体" w:cs="宋体"/>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2" w:hRule="exact"/>
          <w:jc w:val="center"/>
        </w:trPr>
        <w:tc>
          <w:tcPr>
            <w:tcW w:w="1842" w:type="dxa"/>
          </w:tcPr>
          <w:p>
            <w:r>
              <w:rPr>
                <w:rFonts w:hint="eastAsia"/>
              </w:rPr>
              <w:t>审核组长签字</w:t>
            </w:r>
          </w:p>
        </w:tc>
        <w:tc>
          <w:tcPr>
            <w:tcW w:w="2764" w:type="dxa"/>
            <w:tcMar>
              <w:left w:w="113" w:type="dxa"/>
            </w:tcMar>
          </w:tcPr>
          <w:p>
            <w:pPr>
              <w:rPr>
                <w:color w:val="auto"/>
              </w:rPr>
            </w:pPr>
            <w:r>
              <w:rPr>
                <w:rFonts w:hint="eastAsia" w:ascii="宋体" w:hAnsi="宋体" w:eastAsia="宋体" w:cs="Times New Roman"/>
                <w:color w:val="auto"/>
                <w:kern w:val="2"/>
                <w:sz w:val="21"/>
                <w:szCs w:val="22"/>
                <w:lang w:val="en-US" w:eastAsia="zh-CN" w:bidi="ar-SA"/>
              </w:rPr>
              <w:drawing>
                <wp:anchor distT="0" distB="0" distL="114300" distR="114300" simplePos="0" relativeHeight="251661312" behindDoc="0" locked="0" layoutInCell="1" allowOverlap="1">
                  <wp:simplePos x="0" y="0"/>
                  <wp:positionH relativeFrom="column">
                    <wp:posOffset>476250</wp:posOffset>
                  </wp:positionH>
                  <wp:positionV relativeFrom="paragraph">
                    <wp:posOffset>19050</wp:posOffset>
                  </wp:positionV>
                  <wp:extent cx="411480" cy="381000"/>
                  <wp:effectExtent l="0" t="0" r="7620" b="0"/>
                  <wp:wrapNone/>
                  <wp:docPr id="1" name="图片 2"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45e69cce4380e02713697e955d1ffd9"/>
                          <pic:cNvPicPr>
                            <a:picLocks noChangeAspect="1"/>
                          </pic:cNvPicPr>
                        </pic:nvPicPr>
                        <pic:blipFill>
                          <a:blip r:embed="rId6"/>
                          <a:stretch>
                            <a:fillRect/>
                          </a:stretch>
                        </pic:blipFill>
                        <pic:spPr>
                          <a:xfrm>
                            <a:off x="0" y="0"/>
                            <a:ext cx="411480" cy="381000"/>
                          </a:xfrm>
                          <a:prstGeom prst="rect">
                            <a:avLst/>
                          </a:prstGeom>
                          <a:noFill/>
                          <a:ln>
                            <a:noFill/>
                          </a:ln>
                        </pic:spPr>
                      </pic:pic>
                    </a:graphicData>
                  </a:graphic>
                </wp:anchor>
              </w:drawing>
            </w:r>
          </w:p>
          <w:p>
            <w:pPr>
              <w:rPr>
                <w:color w:val="auto"/>
              </w:rPr>
            </w:pPr>
          </w:p>
        </w:tc>
        <w:tc>
          <w:tcPr>
            <w:tcW w:w="2764" w:type="dxa"/>
            <w:tcMar>
              <w:left w:w="113" w:type="dxa"/>
            </w:tcMar>
          </w:tcPr>
          <w:p>
            <w:pPr>
              <w:rPr>
                <w:color w:val="auto"/>
              </w:rPr>
            </w:pPr>
            <w:r>
              <w:rPr>
                <w:rFonts w:hint="eastAsia"/>
                <w:color w:val="auto"/>
              </w:rPr>
              <w:t>日期</w:t>
            </w:r>
          </w:p>
        </w:tc>
        <w:tc>
          <w:tcPr>
            <w:tcW w:w="2766" w:type="dxa"/>
            <w:tcMar>
              <w:left w:w="113" w:type="dxa"/>
            </w:tcMar>
            <w:vAlign w:val="center"/>
          </w:tcPr>
          <w:p>
            <w:pPr>
              <w:rPr>
                <w:rFonts w:hint="default" w:ascii="宋体" w:eastAsia="宋体"/>
                <w:b/>
                <w:color w:val="auto"/>
                <w:szCs w:val="21"/>
                <w:lang w:val="en-US" w:eastAsia="zh-CN"/>
              </w:rPr>
            </w:pPr>
            <w:r>
              <w:rPr>
                <w:rFonts w:hint="eastAsia" w:ascii="宋体"/>
                <w:b/>
                <w:color w:val="auto"/>
                <w:szCs w:val="21"/>
                <w:lang w:val="en-US" w:eastAsia="zh-CN"/>
              </w:rPr>
              <w:t>2021年11月1日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□设备能力 </w:t>
            </w:r>
            <w:r>
              <w:rPr>
                <w:rFonts w:hint="eastAsia"/>
                <w:lang w:eastAsia="zh-CN"/>
              </w:rPr>
              <w:t>■</w:t>
            </w:r>
            <w:r>
              <w:rPr>
                <w:rFonts w:hint="eastAsia"/>
              </w:rPr>
              <w:t>人员能力 □检测水平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lang w:eastAsia="zh-CN"/>
              </w:rPr>
              <w:t>□</w:t>
            </w:r>
            <w:r>
              <w:rPr>
                <w:rFonts w:hint="eastAsia"/>
              </w:rPr>
              <w:t>新产品设计开发</w:t>
            </w:r>
            <w:r>
              <w:rPr>
                <w:rFonts w:hint="eastAsia"/>
                <w:lang w:val="en-US" w:eastAsia="zh-CN"/>
              </w:rPr>
              <w:t xml:space="preserve"> </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rPr>
                <w:u w:val="single"/>
              </w:rPr>
            </w:pPr>
            <w:r>
              <w:rPr>
                <w:rFonts w:hint="eastAsia"/>
              </w:rPr>
              <w:t>最高管理者制定了文件化的管理体系方针：</w:t>
            </w:r>
            <w:r>
              <w:rPr>
                <w:rFonts w:hint="eastAsia" w:ascii="宋体" w:hAnsi="宋体" w:cs="宋体"/>
                <w:u w:val="single"/>
                <w:lang w:eastAsia="zh-CN"/>
              </w:rPr>
              <w:t>“科学领先，顾客满意，持续改进，行业领先，质量一流，服务一流。预防为主，遵规守法，确保环境安全；以人为本，持续改进，实现平安和谐”。</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91"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color w:val="000000"/>
                      <w:kern w:val="2"/>
                      <w:sz w:val="21"/>
                      <w:szCs w:val="18"/>
                      <w:highlight w:val="red"/>
                      <w:lang w:val="en-US" w:eastAsia="zh-CN" w:bidi="ar-SA"/>
                    </w:rPr>
                  </w:pPr>
                  <w:r>
                    <w:rPr>
                      <w:rFonts w:hint="eastAsia" w:ascii="宋体" w:hAnsi="宋体" w:eastAsia="宋体" w:cs="宋体"/>
                      <w:i w:val="0"/>
                      <w:iCs w:val="0"/>
                      <w:color w:val="000000"/>
                      <w:kern w:val="0"/>
                      <w:sz w:val="22"/>
                      <w:szCs w:val="22"/>
                      <w:u w:val="none"/>
                      <w:lang w:val="en-US" w:eastAsia="zh-CN" w:bidi="ar"/>
                    </w:rPr>
                    <w:t>生活垃圾分类收集执行率100%</w:t>
                  </w:r>
                </w:p>
              </w:tc>
              <w:tc>
                <w:tcPr>
                  <w:tcW w:w="3136"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color w:val="000000"/>
                      <w:kern w:val="2"/>
                      <w:sz w:val="21"/>
                      <w:szCs w:val="18"/>
                      <w:highlight w:val="red"/>
                      <w:lang w:val="en-GB" w:eastAsia="zh-CN" w:bidi="ar-SA"/>
                    </w:rPr>
                  </w:pPr>
                  <w:r>
                    <w:rPr>
                      <w:rFonts w:hint="eastAsia" w:ascii="宋体" w:hAnsi="宋体" w:eastAsia="宋体" w:cs="宋体"/>
                      <w:i w:val="0"/>
                      <w:iCs w:val="0"/>
                      <w:color w:val="000000"/>
                      <w:kern w:val="0"/>
                      <w:sz w:val="20"/>
                      <w:szCs w:val="20"/>
                      <w:u w:val="none"/>
                      <w:lang w:val="en-US" w:eastAsia="zh-CN" w:bidi="ar"/>
                    </w:rPr>
                    <w:t>生活垃圾分类收集执行次数/生活垃圾分类收集执行总次数*100%</w:t>
                  </w:r>
                </w:p>
              </w:tc>
              <w:tc>
                <w:tcPr>
                  <w:tcW w:w="1350" w:type="dxa"/>
                  <w:shd w:val="clear" w:color="auto" w:fill="auto"/>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技术部</w:t>
                  </w:r>
                </w:p>
              </w:tc>
              <w:tc>
                <w:tcPr>
                  <w:tcW w:w="1774"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color w:val="000000"/>
                      <w:kern w:val="2"/>
                      <w:sz w:val="21"/>
                      <w:szCs w:val="18"/>
                      <w:highlight w:val="red"/>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191" w:type="dxa"/>
                  <w:shd w:val="clear" w:color="auto" w:fill="auto"/>
                  <w:vAlign w:val="center"/>
                </w:tcPr>
                <w:p>
                  <w:pPr>
                    <w:keepNext w:val="0"/>
                    <w:keepLines w:val="0"/>
                    <w:widowControl/>
                    <w:suppressLineNumbers w:val="0"/>
                    <w:jc w:val="both"/>
                    <w:textAlignment w:val="center"/>
                    <w:rPr>
                      <w:rFonts w:hint="eastAsia" w:ascii="Times New Roman" w:hAnsi="Times New Roman" w:eastAsia="宋体" w:cs="Times New Roman"/>
                      <w:color w:val="000000"/>
                      <w:kern w:val="2"/>
                      <w:sz w:val="21"/>
                      <w:szCs w:val="18"/>
                      <w:highlight w:val="red"/>
                      <w:lang w:val="en-US" w:eastAsia="zh-CN" w:bidi="ar-SA"/>
                    </w:rPr>
                  </w:pPr>
                  <w:r>
                    <w:rPr>
                      <w:rFonts w:hint="eastAsia" w:ascii="宋体" w:hAnsi="宋体" w:eastAsia="宋体" w:cs="宋体"/>
                      <w:i w:val="0"/>
                      <w:iCs w:val="0"/>
                      <w:color w:val="000000"/>
                      <w:kern w:val="0"/>
                      <w:sz w:val="22"/>
                      <w:szCs w:val="22"/>
                      <w:u w:val="none"/>
                      <w:lang w:val="en-US" w:eastAsia="zh-CN" w:bidi="ar"/>
                    </w:rPr>
                    <w:t>顾客满意率≥90%</w:t>
                  </w:r>
                </w:p>
              </w:tc>
              <w:tc>
                <w:tcPr>
                  <w:tcW w:w="3136"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color w:val="000000"/>
                      <w:kern w:val="2"/>
                      <w:sz w:val="21"/>
                      <w:szCs w:val="18"/>
                      <w:highlight w:val="red"/>
                      <w:lang w:val="en-US" w:eastAsia="zh-CN" w:bidi="ar-SA"/>
                    </w:rPr>
                  </w:pPr>
                  <w:r>
                    <w:rPr>
                      <w:rStyle w:val="26"/>
                      <w:lang w:val="en-US" w:eastAsia="zh-CN" w:bidi="ar"/>
                    </w:rPr>
                    <w:t>调查和各项/调查总项目*100%</w:t>
                  </w:r>
                </w:p>
              </w:tc>
              <w:tc>
                <w:tcPr>
                  <w:tcW w:w="1350" w:type="dxa"/>
                  <w:shd w:val="clear" w:color="auto" w:fill="auto"/>
                  <w:vAlign w:val="center"/>
                </w:tcPr>
                <w:p>
                  <w:pPr>
                    <w:shd w:val="clear" w:color="auto" w:fill="C7DAF1" w:themeFill="text2" w:themeFillTint="32"/>
                    <w:rPr>
                      <w:rFonts w:hint="default" w:ascii="宋体" w:hAnsi="宋体" w:eastAsia="宋体"/>
                      <w:highlight w:val="none"/>
                      <w:lang w:val="en-US" w:eastAsia="zh-CN"/>
                    </w:rPr>
                  </w:pPr>
                  <w:r>
                    <w:rPr>
                      <w:rFonts w:hint="eastAsia"/>
                      <w:highlight w:val="none"/>
                      <w:lang w:val="en-US" w:eastAsia="zh-CN"/>
                    </w:rPr>
                    <w:t>综合部</w:t>
                  </w:r>
                </w:p>
              </w:tc>
              <w:tc>
                <w:tcPr>
                  <w:tcW w:w="1774"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color w:val="000000"/>
                      <w:kern w:val="2"/>
                      <w:sz w:val="21"/>
                      <w:szCs w:val="18"/>
                      <w:highlight w:val="red"/>
                      <w:lang w:val="en-US" w:eastAsia="zh-CN" w:bidi="ar-SA"/>
                    </w:rPr>
                  </w:pPr>
                  <w:r>
                    <w:rPr>
                      <w:rFonts w:hint="eastAsia" w:ascii="宋体" w:hAnsi="宋体" w:eastAsia="宋体" w:cs="宋体"/>
                      <w:i w:val="0"/>
                      <w:iCs w:val="0"/>
                      <w:color w:val="000000"/>
                      <w:kern w:val="0"/>
                      <w:sz w:val="20"/>
                      <w:szCs w:val="20"/>
                      <w:u w:val="none"/>
                      <w:lang w:val="en-US" w:eastAsia="zh-CN" w:bidi="ar"/>
                    </w:rPr>
                    <w:t>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color w:val="000000"/>
                      <w:kern w:val="2"/>
                      <w:sz w:val="21"/>
                      <w:szCs w:val="18"/>
                      <w:highlight w:val="red"/>
                      <w:lang w:val="en-US" w:eastAsia="zh-CN" w:bidi="ar-SA"/>
                    </w:rPr>
                  </w:pPr>
                </w:p>
              </w:tc>
              <w:tc>
                <w:tcPr>
                  <w:tcW w:w="3136"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2"/>
                      <w:sz w:val="21"/>
                      <w:szCs w:val="18"/>
                      <w:highlight w:val="red"/>
                      <w:lang w:val="en-US" w:eastAsia="zh-CN" w:bidi="ar-SA"/>
                    </w:rPr>
                  </w:pP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highlight w:val="red"/>
                      <w:lang w:val="en-US" w:eastAsia="zh-CN" w:bidi="ar-SA"/>
                    </w:rPr>
                  </w:pP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red"/>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highlight w:val="red"/>
                    </w:rPr>
                  </w:pPr>
                </w:p>
              </w:tc>
              <w:tc>
                <w:tcPr>
                  <w:tcW w:w="3136" w:type="dxa"/>
                  <w:shd w:val="clear" w:color="auto" w:fill="auto"/>
                  <w:vAlign w:val="center"/>
                </w:tcPr>
                <w:p>
                  <w:pPr>
                    <w:shd w:val="clear" w:color="auto" w:fill="C7DAF1" w:themeFill="text2" w:themeFillTint="32"/>
                    <w:rPr>
                      <w:rFonts w:ascii="宋体" w:hAnsi="宋体"/>
                      <w:highlight w:val="red"/>
                    </w:rPr>
                  </w:pPr>
                </w:p>
              </w:tc>
              <w:tc>
                <w:tcPr>
                  <w:tcW w:w="1350" w:type="dxa"/>
                  <w:shd w:val="clear" w:color="auto" w:fill="auto"/>
                  <w:vAlign w:val="center"/>
                </w:tcPr>
                <w:p>
                  <w:pPr>
                    <w:shd w:val="clear" w:color="auto" w:fill="C7DAF1" w:themeFill="text2" w:themeFillTint="32"/>
                    <w:rPr>
                      <w:rFonts w:ascii="宋体" w:hAnsi="宋体"/>
                      <w:highlight w:val="red"/>
                    </w:rPr>
                  </w:pPr>
                </w:p>
              </w:tc>
              <w:tc>
                <w:tcPr>
                  <w:tcW w:w="1774" w:type="dxa"/>
                  <w:shd w:val="clear" w:color="auto" w:fill="auto"/>
                  <w:vAlign w:val="center"/>
                </w:tcPr>
                <w:p>
                  <w:pPr>
                    <w:shd w:val="clear" w:color="auto" w:fill="C7DAF1" w:themeFill="text2" w:themeFillTint="32"/>
                    <w:jc w:val="center"/>
                    <w:rPr>
                      <w:rFonts w:ascii="宋体" w:hAnsi="宋体"/>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350平方米</w:t>
            </w:r>
            <w:r>
              <w:rPr>
                <w:rFonts w:hint="eastAsia"/>
                <w:highlight w:val="none"/>
              </w:rPr>
              <w:t>；生产车间</w:t>
            </w:r>
            <w:r>
              <w:rPr>
                <w:rFonts w:hint="eastAsia"/>
                <w:highlight w:val="none"/>
                <w:u w:val="single"/>
              </w:rPr>
              <w:t xml:space="preserve">  </w:t>
            </w:r>
            <w:r>
              <w:rPr>
                <w:rFonts w:hint="eastAsia"/>
                <w:highlight w:val="none"/>
              </w:rPr>
              <w:t>个；</w:t>
            </w:r>
            <w:r>
              <w:rPr>
                <w:rFonts w:hint="eastAsia"/>
                <w:highlight w:val="none"/>
                <w:lang w:eastAsia="zh-CN"/>
              </w:rPr>
              <w:t>库房：</w:t>
            </w:r>
            <w:r>
              <w:rPr>
                <w:rFonts w:hint="eastAsia"/>
                <w:highlight w:val="none"/>
                <w:u w:val="single"/>
                <w:lang w:eastAsia="zh-CN"/>
              </w:rPr>
              <w:t>400平方米</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C7DAF1" w:themeFill="text2" w:themeFillTint="32"/>
              <w:rPr>
                <w:rFonts w:hint="eastAsia" w:ascii="宋体" w:hAnsi="宋体" w:eastAsia="宋体" w:cs="宋体"/>
                <w:kern w:val="0"/>
                <w:sz w:val="21"/>
                <w:szCs w:val="21"/>
                <w:highlight w:val="none"/>
                <w:lang w:eastAsia="zh-CN"/>
              </w:rPr>
            </w:pPr>
            <w:r>
              <w:rPr>
                <w:rFonts w:hint="eastAsia"/>
                <w:highlight w:val="none"/>
              </w:rPr>
              <w:t>主要生产设备有：</w:t>
            </w:r>
            <w:r>
              <w:rPr>
                <w:rFonts w:hint="eastAsia" w:ascii="宋体" w:hAnsi="宋体" w:cs="宋体"/>
                <w:kern w:val="0"/>
                <w:sz w:val="21"/>
                <w:szCs w:val="21"/>
                <w:highlight w:val="none"/>
                <w:u w:val="single"/>
                <w:lang w:eastAsia="zh-CN"/>
              </w:rPr>
              <w:t>办公设备、智能垃圾收集分类箱、电子秤、推车、垃圾运输车辆等。</w:t>
            </w:r>
          </w:p>
          <w:p>
            <w:pPr>
              <w:shd w:val="clear" w:color="auto" w:fill="C7DAF1" w:themeFill="text2" w:themeFillTint="32"/>
              <w:rPr>
                <w:highlight w:val="none"/>
              </w:rPr>
            </w:pPr>
            <w:r>
              <w:rPr>
                <w:rFonts w:hint="eastAsia"/>
                <w:highlight w:val="none"/>
              </w:rPr>
              <w:t>特种设备：</w:t>
            </w:r>
            <w:r>
              <w:rPr>
                <w:rFonts w:hint="eastAsia" w:ascii="Wingdings" w:hAnsi="Wingdings"/>
                <w:highlight w:val="none"/>
                <w:lang w:eastAsia="zh-CN"/>
              </w:rPr>
              <w:t>□</w:t>
            </w:r>
            <w:r>
              <w:rPr>
                <w:rFonts w:hint="eastAsia"/>
                <w:highlight w:val="none"/>
              </w:rPr>
              <w:t xml:space="preserve">叉车 </w:t>
            </w:r>
            <w:r>
              <w:rPr>
                <w:rFonts w:hint="eastAsia" w:ascii="Wingdings" w:hAnsi="Wingdings"/>
                <w:highlight w:val="none"/>
                <w:lang w:eastAsia="zh-CN"/>
              </w:rPr>
              <w:t>□</w:t>
            </w:r>
            <w:r>
              <w:rPr>
                <w:rFonts w:hint="eastAsia"/>
                <w:highlight w:val="none"/>
              </w:rPr>
              <w:t xml:space="preserve">行车 </w:t>
            </w:r>
            <w:r>
              <w:rPr>
                <w:rFonts w:hint="eastAsia" w:ascii="Wingdings" w:hAnsi="Wingdings"/>
                <w:highlight w:val="none"/>
                <w:lang w:eastAsia="zh-CN"/>
              </w:rPr>
              <w:t>□</w:t>
            </w:r>
            <w:r>
              <w:rPr>
                <w:rFonts w:hint="eastAsia"/>
                <w:highlight w:val="none"/>
              </w:rPr>
              <w:t xml:space="preserve">锅炉 </w:t>
            </w:r>
            <w:r>
              <w:rPr>
                <w:rFonts w:hint="eastAsia" w:ascii="Wingdings" w:hAnsi="Wingdings"/>
                <w:highlight w:val="none"/>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压力管道  </w:t>
            </w:r>
            <w:r>
              <w:rPr>
                <w:rFonts w:hint="eastAsia" w:ascii="Wingdings" w:hAnsi="Wingdings"/>
                <w:highlight w:val="none"/>
                <w:lang w:eastAsia="zh-CN"/>
              </w:rPr>
              <w:t>■</w:t>
            </w:r>
            <w:r>
              <w:rPr>
                <w:rFonts w:hint="eastAsia"/>
                <w:highlight w:val="none"/>
              </w:rPr>
              <w:t xml:space="preserve">不适用  </w:t>
            </w:r>
          </w:p>
          <w:p>
            <w:pPr>
              <w:shd w:val="clear" w:color="auto" w:fill="C7DAF1" w:themeFill="text2" w:themeFillTint="32"/>
              <w:rPr>
                <w:highlight w:val="none"/>
                <w:u w:val="single"/>
              </w:rPr>
            </w:pPr>
            <w:r>
              <w:rPr>
                <w:rFonts w:hint="eastAsia"/>
                <w:highlight w:val="none"/>
              </w:rPr>
              <w:t>特种设备管理：</w:t>
            </w:r>
            <w:r>
              <w:rPr>
                <w:rFonts w:hint="eastAsia" w:ascii="Wingdings" w:hAnsi="Wingdings"/>
                <w:highlight w:val="none"/>
                <w:lang w:eastAsia="zh-CN"/>
              </w:rPr>
              <w:t>□</w:t>
            </w:r>
            <w:r>
              <w:rPr>
                <w:rFonts w:hint="eastAsia"/>
                <w:highlight w:val="none"/>
              </w:rPr>
              <w:t xml:space="preserve">进行了定期检验  </w:t>
            </w:r>
            <w:r>
              <w:rPr>
                <w:rFonts w:hint="eastAsia" w:ascii="Wingdings" w:hAnsi="Wingdings"/>
                <w:highlight w:val="none"/>
                <w:lang w:eastAsia="zh-CN"/>
              </w:rPr>
              <w:t>□</w:t>
            </w:r>
            <w:r>
              <w:rPr>
                <w:rFonts w:hint="eastAsia"/>
                <w:highlight w:val="none"/>
              </w:rPr>
              <w:t xml:space="preserve">未进行定期检验的有： </w:t>
            </w:r>
            <w:r>
              <w:rPr>
                <w:rFonts w:hint="eastAsia"/>
                <w:highlight w:val="none"/>
                <w:u w:val="single"/>
              </w:rPr>
              <w:t xml:space="preserve">            </w:t>
            </w:r>
          </w:p>
          <w:p>
            <w:pPr>
              <w:shd w:val="clear" w:color="auto" w:fill="C7DAF1" w:themeFill="text2"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基础设施可基本满足质量管理体系运行，但是还有不足需要补充：</w:t>
            </w:r>
            <w:r>
              <w:rPr>
                <w:rFonts w:hint="eastAsia"/>
                <w:highlight w:val="none"/>
                <w:u w:val="single"/>
              </w:rPr>
              <w:t xml:space="preserve">           </w:t>
            </w:r>
          </w:p>
          <w:p>
            <w:pPr>
              <w:shd w:val="clear" w:color="auto" w:fill="C7DAF1" w:themeFill="text2" w:themeFillTint="32"/>
              <w:rPr>
                <w:highlight w:val="none"/>
                <w:u w:val="single"/>
              </w:rPr>
            </w:pPr>
            <w:r>
              <w:rPr>
                <w:rFonts w:hint="eastAsia"/>
                <w:highlight w:val="none"/>
              </w:rPr>
              <w:t>□组织</w:t>
            </w:r>
            <w:r>
              <w:rPr>
                <w:highlight w:val="none"/>
              </w:rPr>
              <w:t>现有</w:t>
            </w:r>
            <w:r>
              <w:rPr>
                <w:rFonts w:hint="eastAsia"/>
                <w:highlight w:val="none"/>
              </w:rPr>
              <w:t>基础设施完全不能满足质量管理体系运行，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宋体" w:hAnsi="宋体" w:eastAsia="宋体" w:cs="宋体"/>
                <w:lang w:eastAsia="zh-CN"/>
              </w:rPr>
              <w:t>■</w:t>
            </w:r>
            <w:r>
              <w:rPr>
                <w:rFonts w:hint="eastAsia"/>
              </w:rPr>
              <w:t xml:space="preserve">计量器具   </w:t>
            </w:r>
            <w:r>
              <w:rPr>
                <w:rFonts w:hint="eastAsia" w:ascii="Wingdings" w:hAnsi="Wingdings"/>
                <w:lang w:eastAsia="zh-CN"/>
              </w:rPr>
              <w:t>□</w:t>
            </w:r>
            <w:r>
              <w:rPr>
                <w:rFonts w:hint="eastAsia"/>
              </w:rPr>
              <w:t xml:space="preserve">服务流程检查表  </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宋体" w:hAnsi="宋体" w:eastAsia="宋体" w:cs="宋体"/>
                <w:lang w:eastAsia="zh-CN"/>
              </w:rPr>
              <w:t>■</w:t>
            </w:r>
            <w:r>
              <w:rPr>
                <w:rFonts w:hint="eastAsia"/>
              </w:rPr>
              <w:t xml:space="preserve">外校 </w:t>
            </w:r>
          </w:p>
          <w:p>
            <w:pPr>
              <w:shd w:val="clear" w:color="auto" w:fill="C7DAF1" w:themeFill="text2" w:themeFillTint="32"/>
              <w:rPr>
                <w:rFonts w:hint="default"/>
                <w:highlight w:val="none"/>
                <w:u w:val="single"/>
                <w:lang w:val="en-US"/>
              </w:rPr>
            </w:pPr>
            <w:r>
              <w:rPr>
                <w:rFonts w:hint="eastAsia"/>
              </w:rPr>
              <w:t>国家强检的计量器具有：</w:t>
            </w:r>
            <w:r>
              <w:rPr>
                <w:rFonts w:hint="eastAsia" w:ascii="宋体"/>
                <w:color w:val="000000"/>
                <w:sz w:val="21"/>
                <w:szCs w:val="21"/>
                <w:highlight w:val="none"/>
                <w:u w:val="single"/>
                <w:lang w:val="en-US" w:eastAsia="zh-CN"/>
              </w:rPr>
              <w:t xml:space="preserve">   电子称       </w:t>
            </w:r>
          </w:p>
          <w:p>
            <w:pPr>
              <w:shd w:val="clear" w:color="auto" w:fill="C7DAF1" w:themeFill="text2" w:themeFillTint="32"/>
              <w:rPr>
                <w:u w:val="single"/>
              </w:rPr>
            </w:pPr>
            <w:r>
              <w:rPr>
                <w:rFonts w:hint="eastAsia"/>
                <w:highlight w:val="none"/>
              </w:rPr>
              <w:t>计量器具管理：</w:t>
            </w:r>
            <w:r>
              <w:rPr>
                <w:rFonts w:hint="eastAsia" w:ascii="宋体" w:hAnsi="宋体" w:eastAsia="宋体" w:cs="宋体"/>
                <w:lang w:eastAsia="zh-CN"/>
              </w:rPr>
              <w:t>■</w:t>
            </w:r>
            <w:r>
              <w:rPr>
                <w:rFonts w:hint="eastAsia"/>
                <w:highlight w:val="none"/>
              </w:rPr>
              <w:t xml:space="preserve">进行了定期校准/检定  </w:t>
            </w:r>
            <w:r>
              <w:rPr>
                <w:rFonts w:hint="eastAsia" w:ascii="Wingdings" w:hAnsi="Wingdings"/>
                <w:highlight w:val="none"/>
                <w:lang w:eastAsia="zh-CN"/>
              </w:rPr>
              <w:t>□</w:t>
            </w:r>
            <w:r>
              <w:rPr>
                <w:rFonts w:hint="eastAsia"/>
                <w:highlight w:val="none"/>
              </w:rPr>
              <w:t>未进行定期校准/检定的有：</w:t>
            </w:r>
            <w:r>
              <w:rPr>
                <w:rFonts w:hint="eastAsia"/>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lang w:eastAsia="zh-CN"/>
              </w:rPr>
              <w:t>■</w:t>
            </w:r>
            <w:r>
              <w:rPr>
                <w:rFonts w:hint="eastAsia"/>
              </w:rPr>
              <w:t xml:space="preserve">管理软件 </w:t>
            </w:r>
            <w:r>
              <w:rPr>
                <w:rFonts w:hint="eastAsia"/>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lang w:eastAsia="zh-CN"/>
              </w:rPr>
              <w:t>□</w:t>
            </w:r>
            <w:r>
              <w:rPr>
                <w:rFonts w:hint="eastAsia"/>
              </w:rPr>
              <w:t xml:space="preserve">企业标准 </w:t>
            </w:r>
            <w:r>
              <w:rPr>
                <w:rFonts w:hint="eastAsia"/>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rPr>
            </w:pPr>
            <w:r>
              <w:rPr>
                <w:rFonts w:hint="eastAsia"/>
              </w:rPr>
              <w:t>审核期间内设计和开发新产品/项目名称：</w:t>
            </w:r>
            <w:r>
              <w:rPr>
                <w:rFonts w:hint="eastAsia"/>
                <w:u w:val="single"/>
                <w:lang w:val="en-US" w:eastAsia="zh-CN"/>
              </w:rPr>
              <w:t xml:space="preserve">     </w:t>
            </w:r>
            <w:r>
              <w:rPr>
                <w:rFonts w:hint="eastAsia"/>
                <w:u w:val="single"/>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4"/>
              <w:gridCol w:w="230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r>
                    <w:rPr>
                      <w:rFonts w:hint="eastAsia"/>
                    </w:rPr>
                    <w:t>产品/服务名称</w:t>
                  </w:r>
                </w:p>
              </w:tc>
              <w:tc>
                <w:tcPr>
                  <w:tcW w:w="2303"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rPr>
                      <w:rFonts w:hint="eastAsia" w:eastAsia="宋体"/>
                      <w:lang w:eastAsia="zh-CN"/>
                    </w:rPr>
                  </w:pPr>
                  <w:r>
                    <w:rPr>
                      <w:rFonts w:hint="eastAsia"/>
                      <w:sz w:val="20"/>
                      <w:lang w:eastAsia="zh-CN"/>
                    </w:rPr>
                    <w:t>许可范围内的生活垃圾分类收集(阀门、钢管、管件)的销售</w:t>
                  </w:r>
                </w:p>
              </w:tc>
              <w:tc>
                <w:tcPr>
                  <w:tcW w:w="2303" w:type="dxa"/>
                </w:tcPr>
                <w:p>
                  <w:pPr>
                    <w:shd w:val="clear" w:color="auto" w:fill="C7DAF1" w:themeFill="text2" w:themeFillTint="32"/>
                    <w:jc w:val="left"/>
                    <w:rPr>
                      <w:rFonts w:hint="default" w:eastAsia="宋体"/>
                      <w:lang w:val="en-US" w:eastAsia="zh-CN"/>
                    </w:rPr>
                  </w:pPr>
                  <w:r>
                    <w:rPr>
                      <w:rFonts w:hint="eastAsia" w:ascii="宋体" w:hAnsi="宋体"/>
                      <w:color w:val="auto"/>
                      <w:sz w:val="21"/>
                      <w:szCs w:val="21"/>
                      <w:lang w:eastAsia="zh-CN"/>
                    </w:rPr>
                    <w:t>分类收集</w:t>
                  </w:r>
                  <w:r>
                    <w:rPr>
                      <w:rFonts w:hint="eastAsia" w:ascii="宋体" w:hAnsi="宋体"/>
                      <w:color w:val="auto"/>
                      <w:sz w:val="21"/>
                      <w:szCs w:val="21"/>
                    </w:rPr>
                    <w:t>过程</w:t>
                  </w:r>
                </w:p>
              </w:tc>
              <w:tc>
                <w:tcPr>
                  <w:tcW w:w="3265" w:type="dxa"/>
                </w:tcPr>
                <w:p>
                  <w:pPr>
                    <w:shd w:val="clear" w:color="auto" w:fill="C7DAF1" w:themeFill="text2" w:themeFillTint="32"/>
                    <w:jc w:val="left"/>
                    <w:rPr>
                      <w:rFonts w:hint="eastAsia" w:eastAsiaTheme="minorEastAsia"/>
                      <w:lang w:val="en-US" w:eastAsia="zh-CN"/>
                    </w:rPr>
                  </w:pPr>
                  <w:r>
                    <w:rPr>
                      <w:rFonts w:hint="eastAsia" w:eastAsia="宋体"/>
                      <w:color w:val="auto"/>
                      <w:sz w:val="21"/>
                      <w:szCs w:val="21"/>
                    </w:rPr>
                    <w:t>服务质量、及时性、投诉处理满意度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p>
              </w:tc>
              <w:tc>
                <w:tcPr>
                  <w:tcW w:w="2303" w:type="dxa"/>
                </w:tcPr>
                <w:p>
                  <w:pPr>
                    <w:shd w:val="clear" w:color="auto" w:fill="C7DAF1" w:themeFill="text2" w:themeFillTint="32"/>
                    <w:jc w:val="left"/>
                    <w:rPr>
                      <w:rFonts w:hint="default" w:eastAsia="宋体"/>
                      <w:lang w:val="en-US" w:eastAsia="zh-CN"/>
                    </w:rPr>
                  </w:pPr>
                </w:p>
              </w:tc>
              <w:tc>
                <w:tcPr>
                  <w:tcW w:w="3265" w:type="dxa"/>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p>
              </w:tc>
              <w:tc>
                <w:tcPr>
                  <w:tcW w:w="2303"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无</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 xml:space="preserve">进行了有效的确认  </w:t>
            </w:r>
            <w:r>
              <w:rPr>
                <w:rFonts w:hint="eastAsia" w:ascii="Wingdings" w:hAnsi="Wingdings"/>
                <w:lang w:eastAsia="zh-CN"/>
              </w:rPr>
              <w:t>□</w:t>
            </w:r>
            <w:r>
              <w:rPr>
                <w:rFonts w:hint="eastAsia"/>
              </w:rPr>
              <w:t>存在不足，说明</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宋体" w:hAnsi="宋体" w:eastAsia="宋体" w:cs="宋体"/>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eastAsia" w:eastAsia="宋体"/>
                <w:lang w:val="en-US" w:eastAsia="zh-CN"/>
              </w:rPr>
            </w:pPr>
            <w:r>
              <w:rPr>
                <w:rFonts w:hint="eastAsia"/>
              </w:rPr>
              <w:t>已发生的更改包括：</w:t>
            </w:r>
            <w:r>
              <w:rPr>
                <w:rFonts w:hint="eastAsia"/>
                <w:lang w:val="en-US" w:eastAsia="zh-CN"/>
              </w:rPr>
              <w:t>无</w:t>
            </w:r>
          </w:p>
          <w:p>
            <w:pPr>
              <w:shd w:val="clear" w:color="auto" w:fill="C7DAF1" w:themeFill="text2" w:themeFillTint="32"/>
            </w:pP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03"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w:t>
            </w:r>
            <w:r>
              <w:rPr>
                <w:rFonts w:hint="eastAsia"/>
                <w:highlight w:val="none"/>
                <w:u w:val="single"/>
              </w:rPr>
              <w:t xml:space="preserve"> </w:t>
            </w:r>
            <w:r>
              <w:rPr>
                <w:rFonts w:hint="eastAsia"/>
                <w:highlight w:val="none"/>
                <w:u w:val="single"/>
                <w:lang w:val="en-US" w:eastAsia="zh-CN"/>
              </w:rPr>
              <w:t>2021年10月10日</w:t>
            </w:r>
            <w:r>
              <w:rPr>
                <w:rFonts w:hint="eastAsia"/>
                <w:highlight w:val="none"/>
              </w:rPr>
              <w:t xml:space="preserve">实施了质量管理体系内部审核，对质量管理体系的符合性和有效性进行了审核。内审发现的 </w:t>
            </w:r>
            <w:r>
              <w:rPr>
                <w:rFonts w:hint="eastAsia"/>
                <w:highlight w:val="none"/>
                <w:u w:val="single"/>
                <w:lang w:val="en-US" w:eastAsia="zh-CN"/>
              </w:rPr>
              <w:t>1</w:t>
            </w:r>
            <w:r>
              <w:rPr>
                <w:rFonts w:hint="eastAsia"/>
                <w:highlight w:val="none"/>
                <w:u w:val="single"/>
              </w:rPr>
              <w:t xml:space="preserve"> </w:t>
            </w:r>
            <w:r>
              <w:rPr>
                <w:rFonts w:hint="eastAsia"/>
                <w:highlight w:val="none"/>
                <w:lang w:val="en-US" w:eastAsia="zh-CN"/>
              </w:rPr>
              <w:t>项</w:t>
            </w:r>
            <w:r>
              <w:rPr>
                <w:rFonts w:hint="eastAsia"/>
                <w:highlight w:val="none"/>
              </w:rPr>
              <w:t>不符合在本次审核前已完成整改。在公司内完成的这些审核是可信的。</w:t>
            </w:r>
          </w:p>
          <w:p>
            <w:pPr>
              <w:shd w:val="clear" w:color="auto" w:fill="C7DAF1" w:themeFill="text2" w:themeFillTint="32"/>
              <w:rPr>
                <w:highlight w:val="none"/>
              </w:rPr>
            </w:pPr>
          </w:p>
          <w:p>
            <w:pPr>
              <w:shd w:val="clear" w:color="auto" w:fill="C7DAF1" w:themeFill="text2" w:themeFillTint="32"/>
              <w:rPr>
                <w:highlight w:val="none"/>
              </w:rPr>
            </w:pPr>
            <w:r>
              <w:rPr>
                <w:rFonts w:hint="eastAsia"/>
                <w:highlight w:val="none"/>
              </w:rPr>
              <w:t>若是组织多场所/临时场所：（按照组织的实际情况选择）</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内审贯穿了多场所/临时现场，内审的验证结论是正面的。管理者代表相应的职权覆盖了所有的场所。）</w:t>
            </w:r>
          </w:p>
          <w:p>
            <w:pPr>
              <w:shd w:val="clear" w:color="auto" w:fill="C7DAF1" w:themeFill="text2" w:themeFillTint="32"/>
              <w:rPr>
                <w:highlight w:val="none"/>
              </w:rPr>
            </w:pPr>
          </w:p>
          <w:p>
            <w:pPr>
              <w:shd w:val="clear" w:color="auto" w:fill="C7DAF1" w:themeFill="text2" w:themeFillTint="32"/>
              <w:rPr>
                <w:highlight w:val="none"/>
              </w:rPr>
            </w:pPr>
            <w:r>
              <w:rPr>
                <w:rFonts w:hint="eastAsia"/>
                <w:highlight w:val="none"/>
              </w:rPr>
              <w:t>若是多班次操作：（按照组织的实际情况选择）</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对所有班次的现场操作已审核。</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cs="Times New Roman"/>
                <w:color w:val="000000"/>
                <w:szCs w:val="18"/>
                <w:u w:val="single"/>
                <w:lang w:eastAsia="zh-CN"/>
              </w:rPr>
              <w:t>2021年10月20日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3</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ascii="Wingdings" w:hAnsi="Wingdings"/>
                <w:lang w:eastAsia="zh-CN"/>
              </w:rPr>
              <w:t>□</w:t>
            </w:r>
            <w:r>
              <w:rPr>
                <w:rFonts w:hint="eastAsia"/>
              </w:rPr>
              <w:t xml:space="preserve">生产 </w:t>
            </w:r>
            <w:r>
              <w:rPr>
                <w:rFonts w:hint="eastAsia" w:ascii="Wingdings" w:hAnsi="Wingdings"/>
                <w:lang w:eastAsia="zh-CN"/>
              </w:rPr>
              <w:t>□</w:t>
            </w:r>
            <w:r>
              <w:rPr>
                <w:rFonts w:hint="eastAsia"/>
              </w:rPr>
              <w:t xml:space="preserve">检验 □仓库管理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□消防检测 </w:t>
            </w:r>
            <w:r>
              <w:rPr>
                <w:rFonts w:hint="eastAsia" w:ascii="Wingdings" w:hAnsi="Wingdings"/>
                <w:lang w:eastAsia="zh-CN"/>
              </w:rPr>
              <w:t>□</w:t>
            </w:r>
            <w:r>
              <w:rPr>
                <w:rFonts w:hint="eastAsia"/>
              </w:rPr>
              <w:t>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both"/>
              <w:rPr>
                <w:u w:val="single"/>
              </w:rPr>
            </w:pPr>
            <w:r>
              <w:rPr>
                <w:rFonts w:hint="eastAsia"/>
              </w:rPr>
              <w:t>最高管理者制定了文件化的管理体系方针：</w:t>
            </w:r>
            <w:r>
              <w:rPr>
                <w:rFonts w:hint="eastAsia" w:ascii="宋体" w:hAnsi="宋体" w:cs="宋体"/>
                <w:u w:val="single"/>
                <w:lang w:eastAsia="zh-CN"/>
              </w:rPr>
              <w:t>“科学领先，顾客满意，持续改进，行业领先，质量一流，服务一流。预防为主，遵规守法，确保环境安全；以人为本，持续改进，实现平安和谐”。</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潜在</w:t>
                  </w:r>
                  <w:r>
                    <w:rPr>
                      <w:rFonts w:hint="eastAsia" w:asciiTheme="minorEastAsia" w:hAnsiTheme="minorEastAsia" w:eastAsiaTheme="minorEastAsia"/>
                      <w:b w:val="0"/>
                      <w:bCs w:val="0"/>
                      <w:sz w:val="21"/>
                      <w:szCs w:val="21"/>
                      <w:highlight w:val="none"/>
                    </w:rPr>
                    <w:t>火灾</w:t>
                  </w:r>
                </w:p>
              </w:tc>
              <w:tc>
                <w:tcPr>
                  <w:tcW w:w="3965"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固废排放</w:t>
                  </w:r>
                </w:p>
              </w:tc>
              <w:tc>
                <w:tcPr>
                  <w:tcW w:w="3965"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□粉尘排放  </w:t>
            </w:r>
            <w:r>
              <w:rPr>
                <w:rFonts w:hint="eastAsia"/>
                <w:lang w:eastAsia="zh-CN"/>
              </w:rPr>
              <w:t>□</w:t>
            </w:r>
            <w:r>
              <w:rPr>
                <w:rFonts w:hint="eastAsia"/>
              </w:rPr>
              <w:t xml:space="preserve">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w:t>
            </w:r>
            <w:r>
              <w:rPr>
                <w:rFonts w:hint="eastAsia"/>
                <w:lang w:eastAsia="zh-CN"/>
              </w:rPr>
              <w:t>□</w:t>
            </w:r>
            <w:r>
              <w:rPr>
                <w:rFonts w:hint="eastAsia"/>
              </w:rPr>
              <w:t xml:space="preserve">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固体分类收集,集中处理100%</w:t>
                  </w:r>
                </w:p>
              </w:tc>
              <w:tc>
                <w:tcPr>
                  <w:tcW w:w="3136" w:type="dxa"/>
                  <w:shd w:val="clear" w:color="auto" w:fill="auto"/>
                  <w:vAlign w:val="center"/>
                </w:tcPr>
                <w:p>
                  <w:pPr>
                    <w:shd w:val="clear" w:color="auto" w:fill="EBF1DE" w:themeFill="accent3" w:themeFillTint="32"/>
                    <w:rPr>
                      <w:highlight w:val="none"/>
                      <w:lang w:val="en-GB"/>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综合部</w:t>
                  </w: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r>
                    <w:rPr>
                      <w:rFonts w:hint="eastAsia" w:ascii="宋体" w:hAnsi="宋体"/>
                      <w:highlight w:val="none"/>
                      <w:lang w:val="en-US" w:eastAsia="zh-CN"/>
                    </w:rPr>
                    <w:t>合规处理率100%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火灾事故为零</w:t>
                  </w:r>
                </w:p>
              </w:tc>
              <w:tc>
                <w:tcPr>
                  <w:tcW w:w="3136"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highlight w:val="none"/>
                      <w:lang w:val="en-US" w:eastAsia="zh-CN" w:bidi="ar-SA"/>
                    </w:rPr>
                  </w:pPr>
                  <w:r>
                    <w:rPr>
                      <w:rFonts w:hint="eastAsia" w:ascii="宋体" w:hAnsi="宋体"/>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highlight w:val="yellow"/>
                      <w:lang w:val="en-US" w:eastAsia="zh-CN"/>
                    </w:rPr>
                  </w:pPr>
                </w:p>
              </w:tc>
              <w:tc>
                <w:tcPr>
                  <w:tcW w:w="3136" w:type="dxa"/>
                  <w:shd w:val="clear" w:color="auto" w:fill="auto"/>
                  <w:vAlign w:val="center"/>
                </w:tcPr>
                <w:p>
                  <w:pPr>
                    <w:shd w:val="clear" w:color="auto" w:fill="EBF1DE" w:themeFill="accent3" w:themeFillTint="32"/>
                    <w:rPr>
                      <w:rFonts w:ascii="宋体" w:hAnsi="宋体"/>
                      <w:highlight w:val="none"/>
                    </w:rPr>
                  </w:pPr>
                </w:p>
              </w:tc>
              <w:tc>
                <w:tcPr>
                  <w:tcW w:w="1350"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组织现有人力资源的能力可满足环境管理体系运行；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□组织现有人力资源的能力可基本环境环境管理体系运行，但是还有不足需要补充：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rPr>
              <w:t>组织应确定、提供并维护所需的基础设施情况：</w:t>
            </w:r>
          </w:p>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rPr>
              <w:t xml:space="preserve">建筑面积 </w:t>
            </w:r>
            <w:r>
              <w:rPr>
                <w:rFonts w:hint="eastAsia" w:cs="Times New Roman"/>
                <w:highlight w:val="none"/>
                <w:lang w:val="en-US" w:eastAsia="zh-CN"/>
              </w:rPr>
              <w:t>350</w:t>
            </w:r>
            <w:r>
              <w:rPr>
                <w:rFonts w:hint="eastAsia" w:ascii="Times New Roman" w:hAnsi="Times New Roman" w:eastAsia="宋体" w:cs="Times New Roman"/>
                <w:highlight w:val="none"/>
                <w:lang w:val="en-US" w:eastAsia="zh-CN"/>
              </w:rPr>
              <w:t>平方米</w:t>
            </w:r>
            <w:r>
              <w:rPr>
                <w:rFonts w:hint="eastAsia" w:ascii="Times New Roman" w:hAnsi="Times New Roman" w:eastAsia="宋体" w:cs="Times New Roman"/>
                <w:highlight w:val="none"/>
              </w:rPr>
              <w:t>；生产车间</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个；</w:t>
            </w:r>
            <w:r>
              <w:rPr>
                <w:rFonts w:hint="eastAsia" w:cs="Times New Roman"/>
                <w:highlight w:val="none"/>
                <w:lang w:eastAsia="zh-CN"/>
              </w:rPr>
              <w:t>库房：400平方米</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个；实验室</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个；</w:t>
            </w:r>
          </w:p>
          <w:p>
            <w:pPr>
              <w:shd w:val="clear" w:color="auto" w:fill="EBF1DE" w:themeFill="accent3" w:themeFillTint="32"/>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主要生产设备有：</w:t>
            </w:r>
            <w:r>
              <w:rPr>
                <w:rFonts w:hint="eastAsia" w:cs="Times New Roman"/>
                <w:highlight w:val="none"/>
                <w:lang w:eastAsia="zh-CN"/>
              </w:rPr>
              <w:t>办公设备、智能垃圾收集分类箱、电子秤、推车、垃圾运输车辆等</w:t>
            </w:r>
            <w:r>
              <w:rPr>
                <w:rFonts w:hint="eastAsia" w:ascii="Times New Roman" w:hAnsi="Times New Roman" w:eastAsia="宋体" w:cs="Times New Roman"/>
                <w:highlight w:val="none"/>
                <w:lang w:eastAsia="zh-CN"/>
              </w:rPr>
              <w:t>。</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特种设备：</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叉车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行车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电梯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压力容器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压力管道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不适用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辅助场所：</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高压配电室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低压配电室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空压站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锅炉房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食堂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危废库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建筑施工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污水处理站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组织现有基础设施可满足环境管理体系运行；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□组织现有基础设施可基本满足环境管理体系运行，但是还有不足需要补充：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lang w:val="en-US" w:eastAsia="zh-CN"/>
              </w:rPr>
              <w:t xml:space="preserve">      </w:t>
            </w:r>
            <w:r>
              <w:rPr>
                <w:rFonts w:hint="eastAsia"/>
                <w:u w:val="single"/>
                <w:lang w:eastAsia="zh-CN"/>
              </w:rPr>
              <w:t>（</w:t>
            </w:r>
            <w:r>
              <w:rPr>
                <w:rFonts w:hint="eastAsia"/>
                <w:u w:val="single"/>
              </w:rPr>
              <w:t>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325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pPr>
                  <w:r>
                    <w:rPr>
                      <w:rFonts w:hint="eastAsia"/>
                    </w:rPr>
                    <w:t>重要环境因素</w:t>
                  </w:r>
                </w:p>
              </w:tc>
              <w:tc>
                <w:tcPr>
                  <w:tcW w:w="3258"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固体分类收集,集中处理100%</w:t>
                  </w:r>
                </w:p>
              </w:tc>
              <w:tc>
                <w:tcPr>
                  <w:tcW w:w="3258" w:type="dxa"/>
                </w:tcPr>
                <w:p>
                  <w:pPr>
                    <w:shd w:val="clear" w:color="auto" w:fill="EBF1DE" w:themeFill="accent3" w:themeFillTint="32"/>
                    <w:jc w:val="left"/>
                    <w:rPr>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32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火灾事故为零</w:t>
                  </w:r>
                </w:p>
              </w:tc>
              <w:tc>
                <w:tcPr>
                  <w:tcW w:w="3258" w:type="dxa"/>
                </w:tcPr>
                <w:p>
                  <w:pPr>
                    <w:shd w:val="clear" w:color="auto" w:fill="EBF1DE" w:themeFill="accent3" w:themeFillTint="32"/>
                    <w:jc w:val="left"/>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3265" w:type="dxa"/>
                </w:tcPr>
                <w:p>
                  <w:pPr>
                    <w:shd w:val="clear" w:color="auto" w:fill="EBF1DE" w:themeFill="accent3" w:themeFillTint="32"/>
                    <w:jc w:val="left"/>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pPr>
                  <w:r>
                    <w:rPr>
                      <w:rFonts w:hint="eastAsia"/>
                    </w:rPr>
                    <w:t>其他</w:t>
                  </w:r>
                </w:p>
              </w:tc>
              <w:tc>
                <w:tcPr>
                  <w:tcW w:w="3258"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r>
              <w:rPr>
                <w:rFonts w:hint="eastAsia"/>
                <w:lang w:eastAsia="zh-CN"/>
              </w:rPr>
              <w:t>：</w:t>
            </w:r>
            <w:r>
              <w:rPr>
                <w:rFonts w:hint="eastAsia"/>
                <w:lang w:val="en-US" w:eastAsia="zh-CN"/>
              </w:rPr>
              <w:t>售后服务</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val="en-US" w:eastAsia="zh-CN"/>
              </w:rPr>
            </w:pPr>
            <w:r>
              <w:rPr>
                <w:rFonts w:hint="eastAsia" w:eastAsia="宋体"/>
              </w:rPr>
              <w:t>已发生的更改包括：</w:t>
            </w:r>
            <w:r>
              <w:rPr>
                <w:rFonts w:hint="eastAsia" w:eastAsia="宋体"/>
                <w:lang w:val="en-US" w:eastAsia="zh-CN"/>
              </w:rPr>
              <w:t>无</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ascii="Wingdings" w:hAnsi="Wingdings"/>
                <w:lang w:eastAsia="zh-CN"/>
              </w:rPr>
              <w:t>□</w:t>
            </w:r>
            <w:r>
              <w:rPr>
                <w:rFonts w:hint="eastAsia" w:eastAsia="宋体"/>
              </w:rPr>
              <w:t xml:space="preserve">图纸 </w:t>
            </w:r>
            <w:r>
              <w:rPr>
                <w:rFonts w:hint="eastAsia" w:ascii="Wingdings" w:hAnsi="Wingdings"/>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组织识别了环</w:t>
            </w:r>
            <w:r>
              <w:rPr>
                <w:rFonts w:hint="eastAsia"/>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highlight w:val="none"/>
              </w:rPr>
            </w:pPr>
            <w:r>
              <w:rPr>
                <w:rFonts w:hint="eastAsia"/>
                <w:highlight w:val="none"/>
              </w:rPr>
              <w:t>制订的应急预案包括：</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 xml:space="preserve">火灾控制 </w:t>
            </w:r>
            <w:r>
              <w:rPr>
                <w:rFonts w:hint="eastAsia" w:ascii="Wingdings" w:hAnsi="Wingdings"/>
                <w:highlight w:val="none"/>
                <w:lang w:eastAsia="zh-CN"/>
              </w:rPr>
              <w:t>□</w:t>
            </w:r>
            <w:r>
              <w:rPr>
                <w:rFonts w:hint="eastAsia"/>
                <w:highlight w:val="none"/>
              </w:rPr>
              <w:t xml:space="preserve">危化品泄露 </w:t>
            </w:r>
            <w:r>
              <w:rPr>
                <w:rFonts w:hint="eastAsia" w:ascii="Wingdings" w:hAnsi="Wingdings"/>
                <w:highlight w:val="none"/>
                <w:lang w:eastAsia="zh-CN"/>
              </w:rPr>
              <w:t>□</w:t>
            </w:r>
            <w:r>
              <w:rPr>
                <w:rFonts w:hint="eastAsia"/>
                <w:highlight w:val="none"/>
              </w:rPr>
              <w:t xml:space="preserve">锅炉爆炸 </w:t>
            </w:r>
            <w:r>
              <w:rPr>
                <w:rFonts w:hint="eastAsia" w:ascii="Wingdings" w:hAnsi="Wingdings"/>
                <w:highlight w:val="none"/>
                <w:lang w:eastAsia="zh-CN"/>
              </w:rPr>
              <w:t>□</w:t>
            </w:r>
            <w:r>
              <w:rPr>
                <w:rFonts w:hint="eastAsia"/>
                <w:highlight w:val="none"/>
              </w:rPr>
              <w:t xml:space="preserve">环保设备故障 </w:t>
            </w:r>
            <w:r>
              <w:rPr>
                <w:rFonts w:hint="eastAsia" w:ascii="Wingdings" w:hAnsi="Wingdings"/>
                <w:highlight w:val="none"/>
                <w:lang w:eastAsia="zh-CN"/>
              </w:rPr>
              <w:t>□</w:t>
            </w:r>
            <w:r>
              <w:rPr>
                <w:rFonts w:hint="eastAsia"/>
                <w:highlight w:val="none"/>
              </w:rPr>
              <w:t xml:space="preserve">停水停电 </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rPr>
              <w:t>审核周期内发生过紧急情况：</w:t>
            </w:r>
            <w:r>
              <w:rPr>
                <w:rFonts w:hint="eastAsia" w:eastAsia="宋体"/>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 xml:space="preserve"> </w:t>
            </w:r>
          </w:p>
          <w:p>
            <w:pPr>
              <w:shd w:val="clear" w:color="auto" w:fill="EBF1DE" w:themeFill="accent3" w:themeFillTint="32"/>
            </w:pPr>
            <w:r>
              <w:rPr>
                <w:rFonts w:hint="eastAsia"/>
                <w:highlight w:val="none"/>
              </w:rPr>
              <w:t>于</w:t>
            </w:r>
            <w:r>
              <w:rPr>
                <w:rFonts w:hint="eastAsia"/>
                <w:highlight w:val="none"/>
                <w:u w:val="single"/>
                <w:lang w:eastAsia="zh-CN"/>
              </w:rPr>
              <w:t>2021年9月18日</w:t>
            </w:r>
            <w:r>
              <w:rPr>
                <w:rFonts w:hint="eastAsia"/>
                <w:highlight w:val="none"/>
              </w:rPr>
              <w:t>进行了</w:t>
            </w:r>
            <w:r>
              <w:rPr>
                <w:rFonts w:hint="eastAsia"/>
                <w:highlight w:val="none"/>
                <w:u w:val="single"/>
              </w:rPr>
              <w:t>火灾消</w:t>
            </w:r>
            <w:r>
              <w:rPr>
                <w:rFonts w:hint="eastAsia" w:ascii="宋体" w:hAnsi="宋体" w:cs="宋体"/>
                <w:szCs w:val="21"/>
                <w:highlight w:val="none"/>
                <w:u w:val="single"/>
              </w:rPr>
              <w:t>防</w:t>
            </w:r>
            <w:r>
              <w:rPr>
                <w:rFonts w:hint="eastAsia"/>
                <w:highlight w:val="none"/>
                <w:u w:val="single"/>
              </w:rPr>
              <w:t>的演练</w:t>
            </w:r>
            <w:r>
              <w:rPr>
                <w:rFonts w:hint="eastAsia"/>
                <w:highlight w:val="none"/>
              </w:rPr>
              <w:t>；并总结了</w:t>
            </w:r>
            <w:r>
              <w:rPr>
                <w:rFonts w:hint="eastAsia"/>
              </w:rPr>
              <w:t xml:space="preserve">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rPr>
                <w:highlight w:val="none"/>
              </w:rPr>
            </w:pPr>
            <w:r>
              <w:rPr>
                <w:rFonts w:hint="eastAsia"/>
              </w:rPr>
              <w:t>组织已分析和评价</w:t>
            </w:r>
            <w:r>
              <w:rPr>
                <w:rFonts w:hint="eastAsia"/>
                <w:highlight w:val="none"/>
              </w:rPr>
              <w:t>通过监视和测量获得的适当的数据和信息。</w:t>
            </w:r>
          </w:p>
          <w:p>
            <w:pPr>
              <w:shd w:val="clear" w:color="auto" w:fill="EBF1DE" w:themeFill="accent3" w:themeFillTint="32"/>
              <w:rPr>
                <w:highlight w:val="none"/>
              </w:rPr>
            </w:pPr>
            <w:r>
              <w:rPr>
                <w:rFonts w:hint="eastAsia"/>
                <w:highlight w:val="none"/>
              </w:rPr>
              <w:t>组织已建立、实施并保持评价其合规义务履行情况所需的过程。</w:t>
            </w:r>
          </w:p>
          <w:p>
            <w:pPr>
              <w:shd w:val="clear" w:color="auto" w:fill="EBF1DE" w:themeFill="accent3" w:themeFillTint="32"/>
              <w:rPr>
                <w:rFonts w:hint="eastAsia"/>
                <w:highlight w:val="none"/>
              </w:rPr>
            </w:pPr>
            <w:r>
              <w:rPr>
                <w:rFonts w:hint="eastAsia"/>
                <w:highlight w:val="none"/>
              </w:rPr>
              <w:t>实施合规性评价的时间：</w:t>
            </w:r>
          </w:p>
          <w:p>
            <w:pPr>
              <w:shd w:val="clear" w:color="auto" w:fill="EBF1DE" w:themeFill="accent3" w:themeFillTint="32"/>
              <w:rPr>
                <w:rFonts w:hint="eastAsia" w:eastAsia="宋体"/>
                <w:highlight w:val="none"/>
                <w:lang w:eastAsia="zh-CN"/>
              </w:rPr>
            </w:pPr>
            <w:r>
              <w:rPr>
                <w:rFonts w:hint="eastAsia"/>
                <w:highlight w:val="none"/>
                <w:lang w:eastAsia="zh-CN"/>
              </w:rPr>
              <w:t>■</w:t>
            </w:r>
            <w:r>
              <w:rPr>
                <w:rFonts w:hint="eastAsia"/>
                <w:highlight w:val="none"/>
              </w:rPr>
              <w:t>定期（每年） ：</w:t>
            </w:r>
            <w:r>
              <w:rPr>
                <w:rFonts w:hint="eastAsia"/>
                <w:highlight w:val="none"/>
                <w:u w:val="single"/>
                <w:lang w:eastAsia="zh-CN"/>
              </w:rPr>
              <w:t>2021.10.20</w:t>
            </w:r>
          </w:p>
          <w:p>
            <w:pPr>
              <w:shd w:val="clear" w:color="auto" w:fill="EBF1DE" w:themeFill="accent3" w:themeFillTint="32"/>
            </w:pPr>
            <w:r>
              <w:rPr>
                <w:rFonts w:hint="eastAsia" w:ascii="Wingdings" w:hAnsi="Wingdings"/>
                <w:highlight w:val="none"/>
                <w:lang w:eastAsia="zh-CN"/>
              </w:rPr>
              <w:t>□</w:t>
            </w:r>
            <w:r>
              <w:rPr>
                <w:rFonts w:hint="eastAsia"/>
                <w:highlight w:val="none"/>
              </w:rPr>
              <w:t>特殊情况（法规变化）：</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highlight w:val="none"/>
                <w:u w:val="single"/>
                <w:lang w:val="en-US" w:eastAsia="zh-CN"/>
              </w:rPr>
              <w:t>2021年10月10日</w:t>
            </w:r>
            <w:r>
              <w:rPr>
                <w:rFonts w:hint="eastAsia"/>
              </w:rPr>
              <w:t>实施了环境管理体系内部审核，对环境管理体系的符合性和有效性进行了审核。内审</w:t>
            </w:r>
            <w:r>
              <w:rPr>
                <w:rFonts w:hint="eastAsia"/>
                <w:highlight w:val="none"/>
                <w:lang w:val="en-US" w:eastAsia="zh-CN"/>
              </w:rPr>
              <w:t xml:space="preserve">发现的 </w:t>
            </w:r>
            <w:r>
              <w:rPr>
                <w:rFonts w:hint="eastAsia"/>
                <w:highlight w:val="none"/>
                <w:u w:val="single"/>
                <w:lang w:val="en-US" w:eastAsia="zh-CN"/>
              </w:rPr>
              <w:t xml:space="preserve">1 </w:t>
            </w:r>
            <w:r>
              <w:rPr>
                <w:rFonts w:hint="eastAsia"/>
                <w:highlight w:val="none"/>
                <w:lang w:val="en-US" w:eastAsia="zh-CN"/>
              </w:rPr>
              <w:t>项不符合</w:t>
            </w:r>
            <w:r>
              <w:rPr>
                <w:rFonts w:hint="eastAsia"/>
                <w:highlight w:val="none"/>
              </w:rPr>
              <w:t>在</w:t>
            </w:r>
            <w:r>
              <w:rPr>
                <w:rFonts w:hint="eastAsia"/>
              </w:rPr>
              <w:t>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Wingdings" w:hAnsi="Wingdings" w:eastAsia="宋体"/>
                <w:lang w:eastAsia="zh-CN"/>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cs="Times New Roman"/>
                <w:color w:val="000000"/>
                <w:szCs w:val="18"/>
                <w:u w:val="single"/>
                <w:lang w:eastAsia="zh-CN"/>
              </w:rPr>
              <w:t>2021年10月20日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eastAsia="宋体"/>
                <w:lang w:eastAsia="zh-CN"/>
              </w:rPr>
              <w:t>■</w:t>
            </w:r>
            <w:r>
              <w:rPr>
                <w:rFonts w:hint="eastAsia" w:eastAsia="宋体"/>
              </w:rPr>
              <w:t xml:space="preserve">不合格产品/服务 </w:t>
            </w:r>
            <w:r>
              <w:rPr>
                <w:rFonts w:hint="eastAsia" w:eastAsia="宋体"/>
                <w:lang w:eastAsia="zh-CN"/>
              </w:rPr>
              <w:t>□</w:t>
            </w:r>
            <w:r>
              <w:rPr>
                <w:rFonts w:hint="eastAsia" w:eastAsia="宋体"/>
              </w:rPr>
              <w:t xml:space="preserve">自我验证的结果  </w:t>
            </w:r>
            <w:r>
              <w:rPr>
                <w:rFonts w:hint="eastAsia" w:eastAsia="宋体"/>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w:t>
            </w:r>
            <w:r>
              <w:rPr>
                <w:rFonts w:hint="eastAsia" w:eastAsia="宋体"/>
                <w:lang w:eastAsia="zh-CN"/>
              </w:rPr>
              <w:t>□</w:t>
            </w:r>
            <w:r>
              <w:rPr>
                <w:rFonts w:hint="eastAsia" w:eastAsia="宋体"/>
              </w:rPr>
              <w:t xml:space="preserve">外审不符合项  </w:t>
            </w:r>
            <w:r>
              <w:rPr>
                <w:rFonts w:hint="eastAsia" w:eastAsia="宋体"/>
                <w:lang w:eastAsia="zh-CN"/>
              </w:rPr>
              <w:t>■</w:t>
            </w:r>
            <w:r>
              <w:rPr>
                <w:rFonts w:hint="eastAsia" w:eastAsia="宋体"/>
              </w:rPr>
              <w:t xml:space="preserve">管理评审   </w:t>
            </w:r>
            <w:r>
              <w:rPr>
                <w:rFonts w:hint="eastAsia" w:ascii="宋体" w:hAnsi="宋体" w:eastAsia="宋体" w:cs="宋体"/>
                <w:lang w:eastAsia="zh-CN"/>
              </w:rPr>
              <w:t>■</w:t>
            </w:r>
            <w:r>
              <w:rPr>
                <w:rFonts w:hint="eastAsia" w:eastAsia="宋体"/>
              </w:rPr>
              <w:t xml:space="preserve">目标统计分析结果   </w:t>
            </w:r>
            <w:r>
              <w:rPr>
                <w:rFonts w:hint="eastAsia" w:eastAsia="宋体"/>
                <w:lang w:eastAsia="zh-CN"/>
              </w:rPr>
              <w:t>□</w:t>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spacing w:val="-2"/>
                <w:sz w:val="20"/>
              </w:rPr>
              <w:t>OHSMS</w:t>
            </w:r>
            <w:r>
              <w:rPr>
                <w:rFonts w:hint="eastAsia"/>
              </w:rPr>
              <w:t xml:space="preserve">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u w:val="single"/>
              </w:rPr>
            </w:pPr>
            <w:r>
              <w:rPr>
                <w:rFonts w:hint="eastAsia"/>
              </w:rPr>
              <w:t>最高管理者制定了文件化的职业健康安全管理体系方针：</w:t>
            </w:r>
            <w:r>
              <w:rPr>
                <w:rFonts w:hint="eastAsia" w:ascii="宋体" w:hAnsi="宋体" w:cs="宋体"/>
                <w:u w:val="single"/>
                <w:lang w:eastAsia="zh-CN"/>
              </w:rPr>
              <w:t>“科学领先，顾客满意，持续改进，行业领先，质量一流，服务一流。预防为主，遵规守法，确保环境安全；以人为本，持续改进，实现平安和谐”</w:t>
            </w:r>
            <w:r>
              <w:rPr>
                <w:rFonts w:hint="eastAsia" w:ascii="Times New Roman" w:hAnsi="Times New Roman" w:eastAsia="宋体" w:cs="Times New Roman"/>
                <w:color w:val="000000"/>
                <w:szCs w:val="18"/>
                <w:u w:val="single"/>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综合部</w:t>
            </w:r>
          </w:p>
          <w:p>
            <w:pPr>
              <w:rPr>
                <w:rFonts w:hint="default"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刘敏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hint="eastAsia" w:cs="Times New Roman" w:asciiTheme="minorEastAsia" w:hAnsiTheme="minorEastAsia" w:eastAsiaTheme="minorEastAsia"/>
                      <w:b w:val="0"/>
                      <w:bCs w:val="0"/>
                      <w:sz w:val="21"/>
                      <w:szCs w:val="21"/>
                      <w:highlight w:val="none"/>
                      <w:lang w:val="en-US" w:eastAsia="zh-CN"/>
                    </w:rPr>
                  </w:pPr>
                  <w:r>
                    <w:rPr>
                      <w:rFonts w:hint="eastAsia" w:cs="Times New Roman" w:asciiTheme="minorEastAsia" w:hAnsiTheme="minorEastAsia" w:eastAsiaTheme="minorEastAsia"/>
                      <w:b w:val="0"/>
                      <w:bCs w:val="0"/>
                      <w:sz w:val="21"/>
                      <w:szCs w:val="21"/>
                      <w:highlight w:val="none"/>
                      <w:lang w:val="en-US" w:eastAsia="zh-CN"/>
                    </w:rPr>
                    <w:t>潜在火灾发生率为0</w:t>
                  </w:r>
                </w:p>
              </w:tc>
              <w:tc>
                <w:tcPr>
                  <w:tcW w:w="3965"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hint="default" w:cs="Times New Roman" w:asciiTheme="minorEastAsia" w:hAnsiTheme="minorEastAsia" w:eastAsiaTheme="minorEastAsia"/>
                      <w:b w:val="0"/>
                      <w:bCs w:val="0"/>
                      <w:sz w:val="21"/>
                      <w:szCs w:val="21"/>
                      <w:highlight w:val="none"/>
                      <w:lang w:val="en-US" w:eastAsia="zh-CN"/>
                    </w:rPr>
                  </w:pPr>
                  <w:r>
                    <w:rPr>
                      <w:rFonts w:hint="eastAsia" w:cs="Times New Roman" w:asciiTheme="minorEastAsia" w:hAnsiTheme="minorEastAsia" w:eastAsiaTheme="minorEastAsia"/>
                      <w:b w:val="0"/>
                      <w:bCs w:val="0"/>
                      <w:sz w:val="21"/>
                      <w:szCs w:val="21"/>
                      <w:highlight w:val="none"/>
                    </w:rPr>
                    <w:t>意外伤害为0</w:t>
                  </w:r>
                </w:p>
              </w:tc>
              <w:tc>
                <w:tcPr>
                  <w:tcW w:w="3965"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pPr>
              <w:rPr>
                <w:highlight w:val="none"/>
              </w:rPr>
            </w:pPr>
            <w:r>
              <w:rPr>
                <w:rFonts w:hint="eastAsia"/>
              </w:rPr>
              <w:t>制订了文件化的评价</w:t>
            </w:r>
            <w:r>
              <w:rPr>
                <w:rFonts w:hint="eastAsia"/>
                <w:highlight w:val="none"/>
              </w:rPr>
              <w:t>危险源和风险的准则，不可接受的危险源已识别，且对它们的重要性和对职业健康安全的影响被定期评审和更新。</w:t>
            </w:r>
          </w:p>
          <w:p>
            <w:pPr>
              <w:rPr>
                <w:highlight w:val="none"/>
              </w:rPr>
            </w:pPr>
            <w:r>
              <w:rPr>
                <w:rFonts w:hint="eastAsia"/>
                <w:highlight w:val="none"/>
              </w:rPr>
              <w:t>不可接受危险源包括(必要时，按每个场所来描述):（不必全选）</w:t>
            </w:r>
          </w:p>
          <w:p>
            <w:pPr>
              <w:spacing w:before="40" w:after="40"/>
              <w:rPr>
                <w:rFonts w:hint="default" w:eastAsia="宋体"/>
                <w:highlight w:val="cyan"/>
                <w:lang w:val="en-US" w:eastAsia="zh-CN"/>
              </w:rPr>
            </w:pPr>
            <w:r>
              <w:rPr>
                <w:rFonts w:hint="eastAsia"/>
                <w:highlight w:val="none"/>
                <w:lang w:eastAsia="zh-CN"/>
              </w:rPr>
              <w:t>□</w:t>
            </w:r>
            <w:r>
              <w:rPr>
                <w:rFonts w:hint="eastAsia"/>
                <w:highlight w:val="none"/>
              </w:rPr>
              <w:t xml:space="preserve">机械伤害  </w:t>
            </w:r>
            <w:r>
              <w:rPr>
                <w:rFonts w:hint="eastAsia"/>
                <w:highlight w:val="none"/>
                <w:lang w:eastAsia="zh-CN"/>
              </w:rPr>
              <w:t>□</w:t>
            </w:r>
            <w:r>
              <w:rPr>
                <w:rFonts w:hint="eastAsia"/>
                <w:highlight w:val="none"/>
              </w:rPr>
              <w:t xml:space="preserve">触电 □化学伤害  □噪声 □粉尘  □危险作业 </w:t>
            </w:r>
            <w:r>
              <w:rPr>
                <w:rFonts w:hint="eastAsia"/>
                <w:highlight w:val="none"/>
                <w:lang w:eastAsia="zh-CN"/>
              </w:rPr>
              <w:t>□</w:t>
            </w:r>
            <w:r>
              <w:rPr>
                <w:rFonts w:hint="eastAsia"/>
                <w:highlight w:val="none"/>
              </w:rPr>
              <w:t xml:space="preserve">高低温  □危化品泄露 □压力容器爆炸  </w:t>
            </w:r>
            <w:r>
              <w:rPr>
                <w:rFonts w:hint="eastAsia"/>
                <w:highlight w:val="none"/>
                <w:lang w:eastAsia="zh-CN"/>
              </w:rPr>
              <w:t>■</w:t>
            </w:r>
            <w:r>
              <w:rPr>
                <w:rFonts w:hint="eastAsia"/>
                <w:highlight w:val="none"/>
              </w:rPr>
              <w:t xml:space="preserve">火灾  </w:t>
            </w:r>
            <w:r>
              <w:rPr>
                <w:rFonts w:hint="eastAsia"/>
                <w:highlight w:val="none"/>
                <w:lang w:eastAsia="zh-CN"/>
              </w:rPr>
              <w:t>■</w:t>
            </w:r>
            <w:r>
              <w:rPr>
                <w:rFonts w:hint="eastAsia"/>
                <w:highlight w:val="none"/>
              </w:rPr>
              <w:t>其他</w:t>
            </w:r>
            <w:r>
              <w:rPr>
                <w:rFonts w:hint="eastAsia"/>
                <w:highlight w:val="none"/>
                <w:lang w:eastAsia="zh-CN"/>
              </w:rPr>
              <w:t>：</w:t>
            </w:r>
            <w:r>
              <w:rPr>
                <w:rFonts w:hint="eastAsia" w:ascii="宋体" w:hAnsi="宋体" w:cs="宋体"/>
                <w:szCs w:val="21"/>
                <w:highlight w:val="none"/>
                <w:lang w:eastAsia="zh-CN"/>
              </w:rPr>
              <w:t>交通事故、</w:t>
            </w:r>
            <w:r>
              <w:rPr>
                <w:rFonts w:hint="eastAsia" w:ascii="宋体" w:hAnsi="宋体" w:cs="宋体"/>
                <w:szCs w:val="21"/>
                <w:highlight w:val="none"/>
                <w:lang w:val="en-US" w:eastAsia="zh-CN"/>
              </w:rPr>
              <w:t>中暑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pPr>
              <w:rPr>
                <w:rFonts w:hint="default" w:eastAsia="宋体"/>
                <w:lang w:val="en-US" w:eastAsia="zh-CN"/>
              </w:rPr>
            </w:pPr>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漏电保护  □穿戴劳保用品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color w:val="000000"/>
                      <w:kern w:val="2"/>
                      <w:sz w:val="21"/>
                      <w:szCs w:val="18"/>
                      <w:highlight w:val="red"/>
                      <w:lang w:val="en-US" w:eastAsia="zh-CN" w:bidi="ar-SA"/>
                    </w:rPr>
                  </w:pPr>
                  <w:r>
                    <w:rPr>
                      <w:rFonts w:hint="eastAsia" w:ascii="宋体" w:hAnsi="宋体" w:cs="宋体"/>
                      <w:i w:val="0"/>
                      <w:iCs w:val="0"/>
                      <w:color w:val="000000"/>
                      <w:kern w:val="0"/>
                      <w:sz w:val="22"/>
                      <w:szCs w:val="22"/>
                      <w:u w:val="none"/>
                      <w:lang w:val="en-US" w:eastAsia="zh-CN" w:bidi="ar"/>
                    </w:rPr>
                    <w:t>潜在火灾发生率为0</w:t>
                  </w:r>
                </w:p>
              </w:tc>
              <w:tc>
                <w:tcPr>
                  <w:tcW w:w="3136" w:type="dxa"/>
                  <w:shd w:val="clear" w:color="auto" w:fill="auto"/>
                  <w:vAlign w:val="center"/>
                </w:tcPr>
                <w:p>
                  <w:pPr>
                    <w:rPr>
                      <w:color w:val="auto"/>
                      <w:highlight w:val="none"/>
                      <w:lang w:val="en-GB"/>
                    </w:rPr>
                  </w:pPr>
                  <w:r>
                    <w:rPr>
                      <w:rFonts w:hint="eastAsia" w:asciiTheme="minorEastAsia" w:hAnsiTheme="minorEastAsia" w:eastAsiaTheme="minorEastAsia"/>
                      <w:b w:val="0"/>
                      <w:bCs w:val="0"/>
                      <w:color w:val="auto"/>
                      <w:sz w:val="21"/>
                      <w:szCs w:val="21"/>
                      <w:highlight w:val="none"/>
                      <w:lang w:val="en-US" w:eastAsia="zh-CN"/>
                    </w:rPr>
                    <w:t>通过</w:t>
                  </w:r>
                  <w:r>
                    <w:rPr>
                      <w:rFonts w:hint="eastAsia" w:asciiTheme="minorEastAsia" w:hAnsiTheme="minorEastAsia" w:eastAsiaTheme="minorEastAsia"/>
                      <w:b w:val="0"/>
                      <w:bCs w:val="0"/>
                      <w:color w:val="auto"/>
                      <w:sz w:val="21"/>
                      <w:szCs w:val="21"/>
                      <w:highlight w:val="none"/>
                    </w:rPr>
                    <w:t>管理方案和预案措施</w:t>
                  </w:r>
                  <w:r>
                    <w:rPr>
                      <w:rFonts w:hint="eastAsia" w:asciiTheme="minorEastAsia" w:hAnsiTheme="minorEastAsia" w:eastAsiaTheme="minorEastAsia"/>
                      <w:b w:val="0"/>
                      <w:bCs w:val="0"/>
                      <w:color w:val="auto"/>
                      <w:sz w:val="21"/>
                      <w:szCs w:val="21"/>
                      <w:highlight w:val="none"/>
                      <w:lang w:eastAsia="zh-CN"/>
                    </w:rPr>
                    <w:t>、</w:t>
                  </w:r>
                  <w:r>
                    <w:rPr>
                      <w:rFonts w:hint="eastAsia" w:asciiTheme="minorEastAsia" w:hAnsiTheme="minorEastAsia" w:eastAsiaTheme="minorEastAsia"/>
                      <w:b w:val="0"/>
                      <w:bCs w:val="0"/>
                      <w:color w:val="auto"/>
                      <w:sz w:val="21"/>
                      <w:szCs w:val="21"/>
                      <w:highlight w:val="none"/>
                      <w:lang w:val="en-US" w:eastAsia="zh-CN"/>
                    </w:rPr>
                    <w:t>应急演练进行</w:t>
                  </w:r>
                  <w:r>
                    <w:rPr>
                      <w:rFonts w:hint="eastAsia" w:asciiTheme="minorEastAsia" w:hAnsiTheme="minorEastAsia" w:eastAsiaTheme="minorEastAsia"/>
                      <w:b w:val="0"/>
                      <w:bCs w:val="0"/>
                      <w:color w:val="auto"/>
                      <w:sz w:val="21"/>
                      <w:szCs w:val="21"/>
                      <w:highlight w:val="none"/>
                    </w:rPr>
                    <w:t>管理</w:t>
                  </w:r>
                </w:p>
              </w:tc>
              <w:tc>
                <w:tcPr>
                  <w:tcW w:w="1350" w:type="dxa"/>
                  <w:shd w:val="clear" w:color="auto" w:fill="auto"/>
                  <w:vAlign w:val="center"/>
                </w:tcPr>
                <w:p>
                  <w:pPr>
                    <w:rPr>
                      <w:rFonts w:hint="default" w:eastAsia="宋体"/>
                      <w:color w:val="auto"/>
                      <w:highlight w:val="none"/>
                      <w:lang w:val="en-US" w:eastAsia="zh-CN"/>
                    </w:rPr>
                  </w:pPr>
                  <w:r>
                    <w:rPr>
                      <w:rFonts w:hint="eastAsia"/>
                      <w:color w:val="auto"/>
                      <w:highlight w:val="none"/>
                      <w:lang w:val="en-US" w:eastAsia="zh-CN"/>
                    </w:rPr>
                    <w:t>综合部</w:t>
                  </w:r>
                </w:p>
              </w:tc>
              <w:tc>
                <w:tcPr>
                  <w:tcW w:w="1774" w:type="dxa"/>
                  <w:shd w:val="clear" w:color="auto" w:fill="auto"/>
                  <w:vAlign w:val="center"/>
                </w:tcPr>
                <w:p>
                  <w:pPr>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color w:val="000000"/>
                      <w:kern w:val="2"/>
                      <w:sz w:val="21"/>
                      <w:szCs w:val="18"/>
                      <w:highlight w:val="red"/>
                      <w:lang w:val="en-US" w:eastAsia="zh-CN" w:bidi="ar-SA"/>
                    </w:rPr>
                  </w:pPr>
                  <w:r>
                    <w:rPr>
                      <w:rFonts w:hint="eastAsia" w:cs="Times New Roman" w:asciiTheme="minorEastAsia" w:hAnsiTheme="minorEastAsia" w:eastAsiaTheme="minorEastAsia"/>
                      <w:b w:val="0"/>
                      <w:bCs w:val="0"/>
                      <w:color w:val="auto"/>
                      <w:sz w:val="21"/>
                      <w:szCs w:val="21"/>
                      <w:highlight w:val="none"/>
                    </w:rPr>
                    <w:t>意外伤害为0</w:t>
                  </w:r>
                </w:p>
              </w:tc>
              <w:tc>
                <w:tcPr>
                  <w:tcW w:w="3136" w:type="dxa"/>
                  <w:shd w:val="clear" w:color="auto" w:fill="auto"/>
                  <w:vAlign w:val="center"/>
                </w:tcPr>
                <w:p>
                  <w:pPr>
                    <w:rPr>
                      <w:rFonts w:ascii="宋体" w:hAnsi="宋体"/>
                      <w:color w:val="auto"/>
                      <w:highlight w:val="none"/>
                    </w:rPr>
                  </w:pPr>
                  <w:r>
                    <w:rPr>
                      <w:rFonts w:hint="eastAsia" w:asciiTheme="minorEastAsia" w:hAnsiTheme="minorEastAsia" w:eastAsiaTheme="minorEastAsia"/>
                      <w:b w:val="0"/>
                      <w:bCs w:val="0"/>
                      <w:color w:val="auto"/>
                      <w:sz w:val="21"/>
                      <w:szCs w:val="21"/>
                      <w:highlight w:val="none"/>
                      <w:lang w:val="en-US" w:eastAsia="zh-CN"/>
                    </w:rPr>
                    <w:t>通过</w:t>
                  </w:r>
                  <w:r>
                    <w:rPr>
                      <w:rFonts w:hint="eastAsia" w:asciiTheme="minorEastAsia" w:hAnsiTheme="minorEastAsia" w:eastAsiaTheme="minorEastAsia"/>
                      <w:b w:val="0"/>
                      <w:bCs w:val="0"/>
                      <w:color w:val="auto"/>
                      <w:sz w:val="21"/>
                      <w:szCs w:val="21"/>
                      <w:highlight w:val="none"/>
                    </w:rPr>
                    <w:t>管理方案和预案措施</w:t>
                  </w:r>
                  <w:r>
                    <w:rPr>
                      <w:rFonts w:hint="eastAsia" w:asciiTheme="minorEastAsia" w:hAnsiTheme="minorEastAsia" w:eastAsiaTheme="minorEastAsia"/>
                      <w:b w:val="0"/>
                      <w:bCs w:val="0"/>
                      <w:color w:val="auto"/>
                      <w:sz w:val="21"/>
                      <w:szCs w:val="21"/>
                      <w:highlight w:val="none"/>
                      <w:lang w:val="en-US" w:eastAsia="zh-CN"/>
                    </w:rPr>
                    <w:t>进行</w:t>
                  </w:r>
                  <w:r>
                    <w:rPr>
                      <w:rFonts w:hint="eastAsia" w:asciiTheme="minorEastAsia" w:hAnsiTheme="minorEastAsia" w:eastAsiaTheme="minorEastAsia"/>
                      <w:b w:val="0"/>
                      <w:bCs w:val="0"/>
                      <w:color w:val="auto"/>
                      <w:sz w:val="21"/>
                      <w:szCs w:val="21"/>
                      <w:highlight w:val="none"/>
                    </w:rPr>
                    <w:t>管理</w:t>
                  </w:r>
                </w:p>
              </w:tc>
              <w:tc>
                <w:tcPr>
                  <w:tcW w:w="1350" w:type="dxa"/>
                  <w:shd w:val="clear" w:color="auto" w:fill="auto"/>
                  <w:vAlign w:val="center"/>
                </w:tcPr>
                <w:p>
                  <w:pPr>
                    <w:rPr>
                      <w:rFonts w:hint="default" w:ascii="宋体" w:hAnsi="宋体" w:eastAsia="宋体"/>
                      <w:color w:val="auto"/>
                      <w:highlight w:val="none"/>
                      <w:lang w:val="en-US" w:eastAsia="zh-CN"/>
                    </w:rPr>
                  </w:pPr>
                  <w:r>
                    <w:rPr>
                      <w:rFonts w:hint="eastAsia" w:ascii="宋体" w:hAnsi="宋体"/>
                      <w:color w:val="auto"/>
                      <w:highlight w:val="none"/>
                      <w:lang w:val="en-US" w:eastAsia="zh-CN"/>
                    </w:rPr>
                    <w:t>综合部</w:t>
                  </w:r>
                </w:p>
              </w:tc>
              <w:tc>
                <w:tcPr>
                  <w:tcW w:w="1774" w:type="dxa"/>
                  <w:shd w:val="clear" w:color="auto" w:fill="auto"/>
                  <w:vAlign w:val="center"/>
                </w:tcPr>
                <w:p>
                  <w:pPr>
                    <w:jc w:val="center"/>
                    <w:rPr>
                      <w:rFonts w:hint="default" w:ascii="宋体" w:hAnsi="宋体"/>
                      <w:color w:val="auto"/>
                      <w:highlight w:val="none"/>
                      <w:lang w:val="en-US"/>
                    </w:rPr>
                  </w:pPr>
                  <w:r>
                    <w:rPr>
                      <w:rFonts w:hint="eastAsia" w:ascii="宋体" w:hAnsi="宋体"/>
                      <w:color w:val="auto"/>
                      <w:highlight w:val="none"/>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hint="default" w:ascii="宋体" w:hAnsi="宋体" w:eastAsia="宋体"/>
                      <w:lang w:val="en-US" w:eastAsia="zh-CN"/>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组织应确定、提供并维护所需的基础设施情况：</w:t>
            </w:r>
          </w:p>
          <w:p>
            <w:pPr>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主要生产设备有：</w:t>
            </w:r>
            <w:r>
              <w:rPr>
                <w:rFonts w:hint="eastAsia" w:cs="Times New Roman"/>
                <w:highlight w:val="none"/>
                <w:u w:val="single"/>
                <w:lang w:eastAsia="zh-CN"/>
              </w:rPr>
              <w:t>办公设备、智能垃圾收集分类箱、电子秤、推车、垃圾运输车辆等</w:t>
            </w:r>
            <w:r>
              <w:rPr>
                <w:rFonts w:hint="eastAsia" w:ascii="Times New Roman" w:hAnsi="Times New Roman" w:eastAsia="宋体" w:cs="Times New Roman"/>
                <w:highlight w:val="none"/>
                <w:lang w:eastAsia="zh-CN"/>
              </w:rPr>
              <w:t>。</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主要安全装置有：</w:t>
            </w:r>
          </w:p>
          <w:p>
            <w:pPr>
              <w:rPr>
                <w:highlight w:val="none"/>
              </w:rPr>
            </w:pPr>
            <w:r>
              <w:rPr>
                <w:rFonts w:hint="eastAsia" w:ascii="Wingdings" w:hAnsi="Wingdings"/>
                <w:highlight w:val="none"/>
                <w:lang w:eastAsia="zh-CN"/>
              </w:rPr>
              <w:t>□</w:t>
            </w:r>
            <w:r>
              <w:rPr>
                <w:rFonts w:hint="eastAsia"/>
                <w:highlight w:val="none"/>
              </w:rPr>
              <w:t xml:space="preserve">急停按钮 </w:t>
            </w:r>
            <w:r>
              <w:rPr>
                <w:rFonts w:hint="eastAsia" w:ascii="Wingdings" w:hAnsi="Wingdings"/>
                <w:highlight w:val="none"/>
                <w:lang w:eastAsia="zh-CN"/>
              </w:rPr>
              <w:t>□</w:t>
            </w:r>
            <w:r>
              <w:rPr>
                <w:rFonts w:hint="eastAsia"/>
                <w:highlight w:val="none"/>
              </w:rPr>
              <w:t xml:space="preserve">光栅 </w:t>
            </w:r>
            <w:r>
              <w:rPr>
                <w:rFonts w:hint="eastAsia" w:ascii="Wingdings" w:hAnsi="Wingdings"/>
                <w:highlight w:val="none"/>
                <w:lang w:eastAsia="zh-CN"/>
              </w:rPr>
              <w:t>□</w:t>
            </w:r>
            <w:r>
              <w:rPr>
                <w:rFonts w:hint="eastAsia"/>
                <w:highlight w:val="none"/>
              </w:rPr>
              <w:t xml:space="preserve">联锁装置  </w:t>
            </w:r>
            <w:r>
              <w:rPr>
                <w:rFonts w:hint="eastAsia" w:ascii="Wingdings" w:hAnsi="Wingdings"/>
                <w:highlight w:val="none"/>
                <w:lang w:eastAsia="zh-CN"/>
              </w:rPr>
              <w:t>□</w:t>
            </w:r>
            <w:r>
              <w:rPr>
                <w:rFonts w:hint="eastAsia"/>
                <w:highlight w:val="none"/>
              </w:rPr>
              <w:t xml:space="preserve">漏电开关 </w:t>
            </w:r>
            <w:r>
              <w:rPr>
                <w:rFonts w:hint="eastAsia" w:ascii="Wingdings" w:hAnsi="Wingdings"/>
                <w:highlight w:val="none"/>
                <w:lang w:eastAsia="zh-CN"/>
              </w:rPr>
              <w:t>□</w:t>
            </w:r>
            <w:r>
              <w:rPr>
                <w:rFonts w:hint="eastAsia"/>
                <w:highlight w:val="none"/>
              </w:rPr>
              <w:t xml:space="preserve">报警系统  </w:t>
            </w:r>
            <w:r>
              <w:rPr>
                <w:rFonts w:hint="eastAsia" w:ascii="Wingdings" w:hAnsi="Wingdings"/>
                <w:highlight w:val="none"/>
                <w:lang w:eastAsia="zh-CN"/>
              </w:rPr>
              <w:t>□</w:t>
            </w:r>
            <w:r>
              <w:rPr>
                <w:rFonts w:hint="eastAsia"/>
                <w:highlight w:val="none"/>
              </w:rPr>
              <w:t xml:space="preserve">消防系统  </w:t>
            </w:r>
            <w:r>
              <w:rPr>
                <w:rFonts w:hint="eastAsia" w:ascii="Wingdings" w:hAnsi="Wingdings"/>
                <w:highlight w:val="none"/>
                <w:lang w:eastAsia="zh-CN"/>
              </w:rPr>
              <w:t>□</w:t>
            </w:r>
            <w:r>
              <w:rPr>
                <w:rFonts w:hint="eastAsia"/>
                <w:highlight w:val="none"/>
              </w:rPr>
              <w:t xml:space="preserve">不适用 </w:t>
            </w:r>
          </w:p>
          <w:p>
            <w:pPr>
              <w:rPr>
                <w:highlight w:val="none"/>
                <w:u w:val="single"/>
              </w:rPr>
            </w:pPr>
          </w:p>
          <w:p>
            <w:pPr>
              <w:rPr>
                <w:highlight w:val="none"/>
              </w:rPr>
            </w:pPr>
            <w:r>
              <w:rPr>
                <w:rFonts w:hint="eastAsia"/>
                <w:highlight w:val="none"/>
              </w:rPr>
              <w:t>特种设备：</w:t>
            </w:r>
            <w:r>
              <w:rPr>
                <w:rFonts w:hint="eastAsia" w:ascii="Wingdings" w:hAnsi="Wingdings"/>
                <w:highlight w:val="none"/>
                <w:lang w:eastAsia="zh-CN"/>
              </w:rPr>
              <w:t>□</w:t>
            </w:r>
            <w:r>
              <w:rPr>
                <w:rFonts w:hint="eastAsia"/>
                <w:highlight w:val="none"/>
              </w:rPr>
              <w:t xml:space="preserve">叉车 </w:t>
            </w:r>
            <w:r>
              <w:rPr>
                <w:rFonts w:hint="eastAsia" w:ascii="Wingdings" w:hAnsi="Wingdings"/>
                <w:highlight w:val="none"/>
                <w:lang w:eastAsia="zh-CN"/>
              </w:rPr>
              <w:t>□</w:t>
            </w:r>
            <w:r>
              <w:rPr>
                <w:rFonts w:hint="eastAsia"/>
                <w:highlight w:val="none"/>
              </w:rPr>
              <w:t xml:space="preserve">行车 </w:t>
            </w:r>
            <w:r>
              <w:rPr>
                <w:rFonts w:hint="eastAsia" w:ascii="Wingdings" w:hAnsi="Wingdings"/>
                <w:highlight w:val="none"/>
                <w:lang w:eastAsia="zh-CN"/>
              </w:rPr>
              <w:t>□</w:t>
            </w:r>
            <w:r>
              <w:rPr>
                <w:rFonts w:hint="eastAsia"/>
                <w:highlight w:val="none"/>
              </w:rPr>
              <w:t xml:space="preserve">锅炉 </w:t>
            </w:r>
            <w:r>
              <w:rPr>
                <w:rFonts w:hint="eastAsia" w:ascii="Wingdings" w:hAnsi="Wingdings"/>
                <w:highlight w:val="none"/>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压力管道  </w:t>
            </w:r>
            <w:r>
              <w:rPr>
                <w:rFonts w:hint="eastAsia" w:ascii="Wingdings" w:hAnsi="Wingdings"/>
                <w:highlight w:val="none"/>
                <w:lang w:eastAsia="zh-CN"/>
              </w:rPr>
              <w:t>□</w:t>
            </w:r>
            <w:r>
              <w:rPr>
                <w:rFonts w:hint="eastAsia"/>
                <w:highlight w:val="none"/>
              </w:rPr>
              <w:t xml:space="preserve">不适用 </w:t>
            </w:r>
          </w:p>
          <w:p>
            <w:pPr>
              <w:rPr>
                <w:highlight w:val="none"/>
              </w:rPr>
            </w:pPr>
            <w:r>
              <w:rPr>
                <w:rFonts w:hint="eastAsia"/>
                <w:highlight w:val="none"/>
              </w:rPr>
              <w:t>辅助场所：</w:t>
            </w:r>
            <w:r>
              <w:rPr>
                <w:rFonts w:hint="eastAsia" w:ascii="Wingdings" w:hAnsi="Wingdings"/>
                <w:highlight w:val="none"/>
                <w:lang w:eastAsia="zh-CN"/>
              </w:rPr>
              <w:t>□</w:t>
            </w:r>
            <w:r>
              <w:rPr>
                <w:rFonts w:hint="eastAsia"/>
                <w:highlight w:val="none"/>
              </w:rPr>
              <w:t xml:space="preserve">高压配电室 </w:t>
            </w:r>
            <w:r>
              <w:rPr>
                <w:rFonts w:hint="eastAsia" w:ascii="Wingdings" w:hAnsi="Wingdings"/>
                <w:highlight w:val="none"/>
                <w:lang w:eastAsia="zh-CN"/>
              </w:rPr>
              <w:t>□</w:t>
            </w:r>
            <w:r>
              <w:rPr>
                <w:rFonts w:hint="eastAsia"/>
                <w:highlight w:val="none"/>
              </w:rPr>
              <w:t xml:space="preserve">低压配电室 </w:t>
            </w:r>
            <w:r>
              <w:rPr>
                <w:rFonts w:hint="eastAsia" w:ascii="Wingdings" w:hAnsi="Wingdings"/>
                <w:highlight w:val="none"/>
                <w:lang w:eastAsia="zh-CN"/>
              </w:rPr>
              <w:t>□</w:t>
            </w:r>
            <w:r>
              <w:rPr>
                <w:rFonts w:hint="eastAsia"/>
                <w:highlight w:val="none"/>
              </w:rPr>
              <w:t xml:space="preserve">空压站 </w:t>
            </w:r>
            <w:r>
              <w:rPr>
                <w:rFonts w:hint="eastAsia" w:ascii="Wingdings" w:hAnsi="Wingdings"/>
                <w:highlight w:val="none"/>
                <w:lang w:eastAsia="zh-CN"/>
              </w:rPr>
              <w:t>□</w:t>
            </w:r>
            <w:r>
              <w:rPr>
                <w:rFonts w:hint="eastAsia"/>
                <w:highlight w:val="none"/>
              </w:rPr>
              <w:t xml:space="preserve">锅炉房 </w:t>
            </w:r>
            <w:r>
              <w:rPr>
                <w:rFonts w:hint="eastAsia" w:ascii="Wingdings" w:hAnsi="Wingdings"/>
                <w:highlight w:val="none"/>
                <w:lang w:eastAsia="zh-CN"/>
              </w:rPr>
              <w:t>□</w:t>
            </w:r>
            <w:r>
              <w:rPr>
                <w:rFonts w:hint="eastAsia"/>
                <w:highlight w:val="none"/>
              </w:rPr>
              <w:t xml:space="preserve">食堂  </w:t>
            </w:r>
            <w:r>
              <w:rPr>
                <w:rFonts w:hint="eastAsia" w:ascii="Wingdings" w:hAnsi="Wingdings"/>
                <w:highlight w:val="none"/>
                <w:lang w:eastAsia="zh-CN"/>
              </w:rPr>
              <w:t>□</w:t>
            </w:r>
            <w:r>
              <w:rPr>
                <w:rFonts w:hint="eastAsia"/>
                <w:highlight w:val="none"/>
              </w:rPr>
              <w:t xml:space="preserve">危化品库  </w:t>
            </w:r>
          </w:p>
          <w:p>
            <w:pPr>
              <w:ind w:firstLine="1050" w:firstLineChars="500"/>
              <w:rPr>
                <w:highlight w:val="none"/>
              </w:rPr>
            </w:pPr>
            <w:r>
              <w:rPr>
                <w:rFonts w:hint="eastAsia" w:ascii="Wingdings" w:hAnsi="Wingdings"/>
                <w:highlight w:val="none"/>
                <w:lang w:eastAsia="zh-CN"/>
              </w:rPr>
              <w:t>□</w:t>
            </w:r>
            <w:r>
              <w:rPr>
                <w:rFonts w:hint="eastAsia"/>
                <w:highlight w:val="none"/>
              </w:rPr>
              <w:t xml:space="preserve">危废库  </w:t>
            </w:r>
            <w:r>
              <w:rPr>
                <w:rFonts w:hint="eastAsia" w:ascii="Wingdings" w:hAnsi="Wingdings"/>
                <w:highlight w:val="none"/>
                <w:lang w:eastAsia="zh-CN"/>
              </w:rPr>
              <w:t>□</w:t>
            </w:r>
            <w:r>
              <w:rPr>
                <w:rFonts w:hint="eastAsia"/>
                <w:highlight w:val="none"/>
              </w:rPr>
              <w:t xml:space="preserve">建筑施工 </w:t>
            </w:r>
            <w:r>
              <w:rPr>
                <w:rFonts w:hint="eastAsia" w:ascii="Wingdings" w:hAnsi="Wingdings"/>
                <w:highlight w:val="none"/>
                <w:lang w:eastAsia="zh-CN"/>
              </w:rPr>
              <w:t>□</w:t>
            </w:r>
            <w:r>
              <w:rPr>
                <w:rFonts w:hint="eastAsia"/>
                <w:highlight w:val="none"/>
              </w:rPr>
              <w:t xml:space="preserve">污水处理站  </w:t>
            </w:r>
            <w:r>
              <w:rPr>
                <w:rFonts w:hint="eastAsia" w:ascii="Wingdings" w:hAnsi="Wingdings"/>
                <w:highlight w:val="none"/>
                <w:lang w:eastAsia="zh-CN"/>
              </w:rPr>
              <w:t>□</w:t>
            </w:r>
            <w:r>
              <w:rPr>
                <w:rFonts w:hint="eastAsia"/>
                <w:highlight w:val="none"/>
              </w:rPr>
              <w:t>其他</w:t>
            </w:r>
          </w:p>
          <w:p>
            <w:pPr>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基础设施可满足职业健康安全管理体系运行；</w:t>
            </w:r>
          </w:p>
          <w:p>
            <w:pPr>
              <w:rPr>
                <w:highlight w:val="none"/>
              </w:rPr>
            </w:pPr>
            <w:r>
              <w:rPr>
                <w:rFonts w:hint="eastAsia"/>
                <w:highlight w:val="none"/>
              </w:rPr>
              <w:t>□组织</w:t>
            </w:r>
            <w:r>
              <w:rPr>
                <w:highlight w:val="none"/>
              </w:rPr>
              <w:t>现有</w:t>
            </w:r>
            <w:r>
              <w:rPr>
                <w:rFonts w:hint="eastAsia"/>
                <w:highlight w:val="none"/>
              </w:rPr>
              <w:t>基础设施可基本满足职业健康安全管理体系运行，但是还有不足需要补充：</w:t>
            </w:r>
            <w:r>
              <w:rPr>
                <w:rFonts w:hint="eastAsia"/>
                <w:highlight w:val="none"/>
                <w:u w:val="single"/>
              </w:rPr>
              <w:t xml:space="preserve">           </w:t>
            </w:r>
          </w:p>
          <w:p>
            <w:pPr>
              <w:rPr>
                <w:highlight w:val="none"/>
                <w:u w:val="single"/>
              </w:rPr>
            </w:pPr>
            <w:r>
              <w:rPr>
                <w:rFonts w:hint="eastAsia"/>
                <w:highlight w:val="none"/>
              </w:rPr>
              <w:t>□组织</w:t>
            </w:r>
            <w:r>
              <w:rPr>
                <w:highlight w:val="none"/>
              </w:rPr>
              <w:t>现有</w:t>
            </w:r>
            <w:r>
              <w:rPr>
                <w:rFonts w:hint="eastAsia"/>
                <w:highlight w:val="none"/>
              </w:rPr>
              <w:t>基础设施完全不能满足职业健康安全管理体系运行，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rPr>
            </w:pPr>
            <w:r>
              <w:rPr>
                <w:rFonts w:hint="eastAsia"/>
              </w:rPr>
              <w:t>审核期间内，设计和开发新产品/项目名称：</w:t>
            </w:r>
            <w:r>
              <w:rPr>
                <w:rFonts w:hint="eastAsia"/>
                <w:lang w:val="en-US" w:eastAsia="zh-CN"/>
              </w:rPr>
              <w:t xml:space="preserve"> </w:t>
            </w:r>
            <w:r>
              <w:rPr>
                <w:rFonts w:hint="eastAsia"/>
                <w:u w:val="single"/>
                <w:lang w:val="en-US" w:eastAsia="zh-CN"/>
              </w:rPr>
              <w:t xml:space="preserve">          </w:t>
            </w:r>
            <w:r>
              <w:rPr>
                <w:rFonts w:hint="eastAsia"/>
                <w:u w:val="single"/>
                <w:lang w:eastAsia="zh-CN"/>
              </w:rPr>
              <w:t>（</w:t>
            </w:r>
            <w:r>
              <w:rPr>
                <w:rFonts w:hint="eastAsia"/>
                <w:u w:val="single"/>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 □绝缘用具检测</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 xml:space="preserve">□除尘装置  </w:t>
                  </w:r>
                  <w:r>
                    <w:rPr>
                      <w:rFonts w:hint="eastAsia" w:ascii="Wingdings" w:hAnsi="Wingdings"/>
                      <w:lang w:eastAsia="zh-CN"/>
                    </w:rPr>
                    <w:t>□</w:t>
                  </w:r>
                  <w:r>
                    <w:rPr>
                      <w:rFonts w:hint="eastAsia"/>
                    </w:rPr>
                    <w:t>穿戴劳保用品（防尘面罩）</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92" w:type="dxa"/>
                </w:tcPr>
                <w:p>
                  <w:pPr>
                    <w:jc w:val="left"/>
                  </w:pPr>
                  <w:r>
                    <w:rPr>
                      <w:rFonts w:hint="eastAsia"/>
                    </w:rPr>
                    <w:t>高低温</w:t>
                  </w:r>
                </w:p>
              </w:tc>
              <w:tc>
                <w:tcPr>
                  <w:tcW w:w="4725" w:type="dxa"/>
                </w:tcPr>
                <w:p>
                  <w:pPr>
                    <w:jc w:val="left"/>
                    <w:rPr>
                      <w:highlight w:val="none"/>
                    </w:rPr>
                  </w:pPr>
                  <w:r>
                    <w:rPr>
                      <w:rFonts w:hint="eastAsia"/>
                      <w:highlight w:val="none"/>
                    </w:rPr>
                    <w:t xml:space="preserve">□减少作业时间  □空间隔离  </w:t>
                  </w:r>
                  <w:r>
                    <w:rPr>
                      <w:rFonts w:hint="eastAsia" w:ascii="宋体" w:hAnsi="宋体" w:eastAsia="宋体" w:cs="宋体"/>
                      <w:highlight w:val="none"/>
                    </w:rPr>
                    <w:t>■</w:t>
                  </w:r>
                  <w:r>
                    <w:rPr>
                      <w:rFonts w:hint="eastAsia"/>
                      <w:highlight w:val="none"/>
                    </w:rPr>
                    <w:t>防暑降温用品</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制定应急预案并演练</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rFonts w:hint="eastAsia" w:eastAsia="宋体"/>
                      <w:lang w:eastAsia="zh-CN"/>
                    </w:rPr>
                  </w:pPr>
                  <w:r>
                    <w:rPr>
                      <w:rFonts w:hint="eastAsia"/>
                    </w:rPr>
                    <w:t>其他</w:t>
                  </w:r>
                  <w:r>
                    <w:rPr>
                      <w:rFonts w:hint="eastAsia"/>
                      <w:lang w:eastAsia="zh-CN"/>
                    </w:rPr>
                    <w:t>：</w:t>
                  </w:r>
                  <w:r>
                    <w:rPr>
                      <w:rFonts w:hint="eastAsia"/>
                    </w:rPr>
                    <w:t>交通事故</w:t>
                  </w:r>
                </w:p>
              </w:tc>
              <w:tc>
                <w:tcPr>
                  <w:tcW w:w="4725" w:type="dxa"/>
                </w:tcPr>
                <w:p>
                  <w:pPr>
                    <w:jc w:val="left"/>
                    <w:rPr>
                      <w:rFonts w:hint="default" w:eastAsia="宋体"/>
                      <w:lang w:val="en-US" w:eastAsia="zh-CN"/>
                    </w:rPr>
                  </w:pPr>
                  <w:r>
                    <w:rPr>
                      <w:rFonts w:hint="eastAsia"/>
                      <w:lang w:val="en-US" w:eastAsia="zh-CN"/>
                    </w:rPr>
                    <w:t>制定管理方案</w:t>
                  </w:r>
                </w:p>
              </w:tc>
              <w:tc>
                <w:tcPr>
                  <w:tcW w:w="2205" w:type="dxa"/>
                </w:tcPr>
                <w:p>
                  <w:pPr>
                    <w:jc w:val="left"/>
                  </w:pPr>
                  <w:r>
                    <w:rPr>
                      <w:rFonts w:hint="eastAsia"/>
                      <w:lang w:val="en-US" w:eastAsia="zh-CN"/>
                    </w:rPr>
                    <w:t>有效</w:t>
                  </w: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ascii="Times New Roman" w:hAnsi="Times New Roman" w:eastAsia="宋体" w:cs="Times New Roman"/>
              </w:rPr>
            </w:pPr>
            <w:r>
              <w:rPr>
                <w:rFonts w:hint="eastAsia"/>
              </w:rPr>
              <w:t>安全装置检查：</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未进行定期检查的有：                 </w:t>
            </w:r>
          </w:p>
          <w:p>
            <w:pPr>
              <w:rPr>
                <w:rFonts w:hint="eastAsia" w:ascii="Times New Roman" w:hAnsi="Times New Roman" w:eastAsia="宋体" w:cs="Times New Roman"/>
              </w:rPr>
            </w:pPr>
            <w:r>
              <w:rPr>
                <w:rFonts w:hint="eastAsia" w:ascii="Times New Roman" w:hAnsi="Times New Roman" w:eastAsia="宋体" w:cs="Times New Roman"/>
              </w:rPr>
              <w:t>特种设备管理：</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进行了定期检验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未进行定期检验的有：                 </w:t>
            </w:r>
          </w:p>
          <w:p>
            <w:r>
              <w:rPr>
                <w:rFonts w:hint="eastAsia" w:ascii="Times New Roman" w:hAnsi="Times New Roman" w:eastAsia="宋体" w:cs="Times New Roman"/>
              </w:rPr>
              <w:t>特种设备检测报告</w:t>
            </w:r>
            <w:r>
              <w:rPr>
                <w:rFonts w:hint="eastAsia"/>
              </w:rPr>
              <w:t>，如：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eastAsia="宋体"/>
              </w:rPr>
              <w:t xml:space="preserve">组织对产品和服务交付后活动的要求。 </w:t>
            </w:r>
            <w:r>
              <w:rPr>
                <w:rFonts w:hint="eastAsia" w:ascii="Wingdings" w:hAnsi="Wingdings"/>
                <w:lang w:eastAsia="zh-CN"/>
              </w:rPr>
              <w:t>□</w:t>
            </w:r>
            <w:r>
              <w:rPr>
                <w:rFonts w:hint="eastAsia" w:eastAsia="宋体"/>
              </w:rPr>
              <w:t>废物回收</w:t>
            </w:r>
            <w:r>
              <w:rPr>
                <w:rFonts w:hint="eastAsia" w:eastAsia="宋体"/>
                <w:highlight w:val="none"/>
              </w:rPr>
              <w:t xml:space="preserve"> </w:t>
            </w:r>
            <w:r>
              <w:rPr>
                <w:rFonts w:hint="eastAsia" w:ascii="Wingdings" w:hAnsi="Wingdings"/>
                <w:highlight w:val="none"/>
                <w:lang w:eastAsia="zh-CN"/>
              </w:rPr>
              <w:t>□</w:t>
            </w:r>
            <w:r>
              <w:rPr>
                <w:rFonts w:hint="eastAsia" w:eastAsia="宋体"/>
                <w:highlight w:val="none"/>
              </w:rPr>
              <w:t xml:space="preserve">最终处置 </w:t>
            </w:r>
            <w:r>
              <w:rPr>
                <w:rFonts w:hint="eastAsia" w:eastAsia="宋体"/>
                <w:highlight w:val="none"/>
                <w:lang w:eastAsia="zh-CN"/>
              </w:rPr>
              <w:t>■</w:t>
            </w:r>
            <w:r>
              <w:rPr>
                <w:rFonts w:hint="eastAsia" w:eastAsia="宋体"/>
                <w:highlight w:val="none"/>
              </w:rPr>
              <w:t>其他</w:t>
            </w:r>
            <w:r>
              <w:rPr>
                <w:rFonts w:hint="eastAsia" w:eastAsia="宋体"/>
                <w:highlight w:val="none"/>
                <w:lang w:eastAsia="zh-CN"/>
              </w:rPr>
              <w:t>：</w:t>
            </w:r>
            <w:r>
              <w:rPr>
                <w:rFonts w:hint="eastAsia" w:eastAsia="宋体"/>
                <w:highlight w:val="none"/>
                <w:lang w:val="en-US" w:eastAsia="zh-CN"/>
              </w:rPr>
              <w:t>售后服务</w:t>
            </w:r>
          </w:p>
          <w:p>
            <w:r>
              <w:rPr>
                <w:rFonts w:hint="eastAsia" w:eastAsia="宋体"/>
              </w:rPr>
              <w:t>交付后活动：</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rPr>
                <w:highlight w:val="none"/>
              </w:rPr>
            </w:pPr>
            <w:r>
              <w:rPr>
                <w:rFonts w:hint="eastAsia"/>
                <w:highlight w:val="none"/>
              </w:rPr>
              <w:t>审核周期内发生过紧急情况：</w:t>
            </w:r>
            <w:r>
              <w:rPr>
                <w:rFonts w:hint="eastAsia" w:ascii="Wingdings" w:hAnsi="Wingdings"/>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rPr>
                <w:highlight w:val="none"/>
              </w:rPr>
            </w:pPr>
            <w:r>
              <w:rPr>
                <w:rFonts w:hint="eastAsia"/>
                <w:highlight w:val="none"/>
              </w:rPr>
              <w:t xml:space="preserve"> </w:t>
            </w:r>
          </w:p>
          <w:p>
            <w:pPr>
              <w:rPr>
                <w:rFonts w:hint="eastAsia" w:eastAsia="宋体"/>
              </w:rPr>
            </w:pPr>
            <w:r>
              <w:rPr>
                <w:rFonts w:hint="eastAsia" w:eastAsia="宋体"/>
                <w:highlight w:val="none"/>
              </w:rPr>
              <w:t>于</w:t>
            </w:r>
            <w:r>
              <w:rPr>
                <w:rFonts w:hint="eastAsia"/>
                <w:highlight w:val="none"/>
                <w:u w:val="single"/>
                <w:lang w:eastAsia="zh-CN"/>
              </w:rPr>
              <w:t>2021年9月18日</w:t>
            </w:r>
            <w:r>
              <w:rPr>
                <w:rFonts w:hint="eastAsia" w:eastAsia="宋体"/>
                <w:highlight w:val="none"/>
              </w:rPr>
              <w:t>进行</w:t>
            </w:r>
            <w:r>
              <w:rPr>
                <w:rFonts w:hint="eastAsia" w:eastAsia="宋体"/>
              </w:rPr>
              <w:t xml:space="preserve">了火灾消防的演练；并总结了预案的可行性和有效性。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pPr>
              <w:rPr>
                <w:rFonts w:hint="eastAsia" w:ascii="Times New Roman" w:hAnsi="Times New Roman" w:eastAsia="宋体" w:cs="Times New Roman"/>
                <w:highlight w:val="none"/>
              </w:rPr>
            </w:pPr>
            <w:r>
              <w:rPr>
                <w:rFonts w:hint="eastAsia"/>
              </w:rPr>
              <w:t>组织已建立、实</w:t>
            </w:r>
            <w:r>
              <w:rPr>
                <w:rFonts w:hint="eastAsia" w:ascii="Times New Roman" w:hAnsi="Times New Roman" w:eastAsia="宋体" w:cs="Times New Roman"/>
              </w:rPr>
              <w:t>施并保</w:t>
            </w:r>
            <w:r>
              <w:rPr>
                <w:rFonts w:hint="eastAsia" w:ascii="Times New Roman" w:hAnsi="Times New Roman" w:eastAsia="宋体" w:cs="Times New Roman"/>
                <w:highlight w:val="none"/>
              </w:rPr>
              <w:t>持评价其合规义务履行情况所需的过程。</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实施合规性评价的时间：</w:t>
            </w:r>
          </w:p>
          <w:p>
            <w:pPr>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定期（每年） ：</w:t>
            </w:r>
            <w:r>
              <w:rPr>
                <w:rFonts w:hint="eastAsia" w:ascii="宋体" w:hAnsi="宋体"/>
                <w:color w:val="auto"/>
                <w:szCs w:val="21"/>
                <w:highlight w:val="none"/>
                <w:lang w:eastAsia="zh-CN"/>
              </w:rPr>
              <w:t>2021.10.20</w:t>
            </w:r>
          </w:p>
          <w:p>
            <w:r>
              <w:rPr>
                <w:rFonts w:hint="eastAsia" w:ascii="Times New Roman" w:hAnsi="Times New Roman" w:eastAsia="宋体" w:cs="Times New Roman"/>
                <w:lang w:eastAsia="zh-CN"/>
              </w:rPr>
              <w:t>□</w:t>
            </w:r>
            <w:r>
              <w:rPr>
                <w:rFonts w:hint="eastAsia" w:ascii="Times New Roman" w:hAnsi="Times New Roman" w:eastAsia="宋体" w:cs="Times New Roman"/>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highlight w:val="none"/>
                <w:u w:val="single"/>
                <w:lang w:val="en-US" w:eastAsia="zh-CN"/>
              </w:rPr>
              <w:t>2021年10月10日</w:t>
            </w:r>
            <w:r>
              <w:rPr>
                <w:rFonts w:hint="eastAsia"/>
              </w:rPr>
              <w:t xml:space="preserve">实施了职业健康安全管理体系内部审核，对职业健康安全管理体系的符合性和有效性进行了审核。内审发现的 </w:t>
            </w:r>
            <w:r>
              <w:rPr>
                <w:rFonts w:hint="eastAsia"/>
                <w:lang w:val="en-US" w:eastAsia="zh-CN"/>
              </w:rPr>
              <w:t>1</w:t>
            </w:r>
            <w:r>
              <w:rPr>
                <w:rFonts w:hint="eastAsia"/>
              </w:rPr>
              <w:t xml:space="preserve"> 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w:t>
            </w:r>
            <w:r>
              <w:rPr>
                <w:rFonts w:hint="eastAsia"/>
                <w:highlight w:val="none"/>
              </w:rPr>
              <w:t>，在</w:t>
            </w:r>
            <w:r>
              <w:rPr>
                <w:rFonts w:hint="eastAsia" w:cs="Times New Roman"/>
                <w:color w:val="000000"/>
                <w:szCs w:val="18"/>
                <w:highlight w:val="none"/>
                <w:u w:val="single"/>
                <w:lang w:eastAsia="zh-CN"/>
              </w:rPr>
              <w:t>2021年10月20日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bookmarkStart w:id="34" w:name="_GoBack" w:colFirst="1" w:colLast="3"/>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bookmark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D9C5488"/>
    <w:rsid w:val="32120CB2"/>
    <w:rsid w:val="3AEC6D7B"/>
    <w:rsid w:val="741234EE"/>
    <w:rsid w:val="7F891E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ody Text"/>
    <w:basedOn w:val="1"/>
    <w:qFormat/>
    <w:uiPriority w:val="99"/>
    <w:pPr>
      <w:spacing w:after="120" w:afterLines="0"/>
    </w:pPr>
    <w:rPr>
      <w:kern w:val="2"/>
      <w:sz w:val="21"/>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character" w:customStyle="1" w:styleId="26">
    <w:name w:val="font11"/>
    <w:basedOn w:val="11"/>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0</TotalTime>
  <ScaleCrop>false</ScaleCrop>
  <LinksUpToDate>false</LinksUpToDate>
  <CharactersWithSpaces>21158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2021-11-01T01:52:00Z</cp:lastPrinted>
  <dcterms:modified xsi:type="dcterms:W3CDTF">2021-11-02T13:04:18Z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