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采购部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肖俊平</w:t>
            </w:r>
            <w:r>
              <w:rPr>
                <w:sz w:val="24"/>
                <w:szCs w:val="24"/>
              </w:rPr>
              <w:t xml:space="preserve">           </w:t>
            </w:r>
            <w:r>
              <w:rPr>
                <w:rFonts w:hint="eastAsia"/>
                <w:sz w:val="24"/>
                <w:szCs w:val="24"/>
              </w:rPr>
              <w:t>陪同人员：</w:t>
            </w:r>
            <w:bookmarkStart w:id="0" w:name="管理者代表"/>
            <w:r>
              <w:rPr>
                <w:rFonts w:hint="eastAsia"/>
                <w:sz w:val="24"/>
                <w:szCs w:val="24"/>
              </w:rPr>
              <w:t>温晓丽</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lang w:val="en-US" w:eastAsia="zh-CN"/>
              </w:rPr>
              <w:t>汪桂丽A、</w:t>
            </w:r>
            <w:r>
              <w:rPr>
                <w:rFonts w:hint="eastAsia"/>
                <w:sz w:val="24"/>
                <w:szCs w:val="24"/>
              </w:rPr>
              <w:t>肖新龙</w:t>
            </w:r>
            <w:r>
              <w:rPr>
                <w:rFonts w:hint="eastAsia"/>
                <w:sz w:val="24"/>
                <w:szCs w:val="24"/>
                <w:lang w:val="en-US" w:eastAsia="zh-CN"/>
              </w:rPr>
              <w:t>B</w:t>
            </w:r>
            <w:r>
              <w:rPr>
                <w:rFonts w:hint="eastAsia"/>
                <w:sz w:val="24"/>
                <w:szCs w:val="24"/>
              </w:rPr>
              <w:t>，夏爱俭</w:t>
            </w:r>
            <w:bookmarkEnd w:id="1"/>
            <w:r>
              <w:rPr>
                <w:rFonts w:hint="eastAsia"/>
                <w:sz w:val="24"/>
                <w:szCs w:val="24"/>
                <w:lang w:val="en-US" w:eastAsia="zh-CN"/>
              </w:rPr>
              <w:t>C</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审核时间：</w:t>
            </w:r>
            <w:bookmarkStart w:id="2" w:name="审核日期"/>
            <w:r>
              <w:t>2021年11月2</w:t>
            </w:r>
            <w:r>
              <w:rPr>
                <w:rFonts w:hint="eastAsia"/>
                <w:lang w:val="en-US" w:eastAsia="zh-CN"/>
              </w:rPr>
              <w:t>2</w:t>
            </w:r>
            <w:r>
              <w:t xml:space="preserve">日 </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hint="eastAsia"/>
                <w:sz w:val="24"/>
                <w:szCs w:val="24"/>
              </w:rPr>
            </w:pPr>
            <w:r>
              <w:drawing>
                <wp:inline distT="0" distB="0" distL="114300" distR="114300">
                  <wp:extent cx="4478020" cy="1319530"/>
                  <wp:effectExtent l="0" t="0" r="1778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478020" cy="1319530"/>
                          </a:xfrm>
                          <a:prstGeom prst="rect">
                            <a:avLst/>
                          </a:prstGeom>
                          <a:noFill/>
                          <a:ln>
                            <a:noFill/>
                          </a:ln>
                        </pic:spPr>
                      </pic:pic>
                    </a:graphicData>
                  </a:graphic>
                </wp:inline>
              </w:drawing>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组织的岗位、职责权限</w:t>
            </w:r>
          </w:p>
        </w:tc>
        <w:tc>
          <w:tcPr>
            <w:tcW w:w="960" w:type="dxa"/>
            <w:vAlign w:val="center"/>
          </w:tcPr>
          <w:p>
            <w:pPr>
              <w:rPr>
                <w:szCs w:val="21"/>
              </w:rPr>
            </w:pPr>
            <w:r>
              <w:rPr>
                <w:rFonts w:hint="eastAsia"/>
                <w:szCs w:val="21"/>
              </w:rPr>
              <w:t>QE</w:t>
            </w:r>
            <w:r>
              <w:rPr>
                <w:rFonts w:hint="eastAsia"/>
                <w:szCs w:val="21"/>
                <w:lang w:val="en-US" w:eastAsia="zh-CN"/>
              </w:rPr>
              <w:t>O</w:t>
            </w:r>
            <w:r>
              <w:rPr>
                <w:rFonts w:hint="eastAsia"/>
                <w:szCs w:val="21"/>
              </w:rPr>
              <w:t>5.3</w:t>
            </w:r>
          </w:p>
          <w:p>
            <w:pPr>
              <w:pStyle w:val="8"/>
              <w:rPr>
                <w:rFonts w:ascii="Times New Roman" w:hAnsi="Times New Roman" w:eastAsia="宋体" w:cs="Times New Roman"/>
                <w:bCs/>
                <w:spacing w:val="10"/>
                <w:kern w:val="2"/>
                <w:sz w:val="21"/>
                <w:lang w:val="en-US" w:eastAsia="zh-CN" w:bidi="ar-SA"/>
              </w:rPr>
            </w:pPr>
          </w:p>
        </w:tc>
        <w:tc>
          <w:tcPr>
            <w:tcW w:w="10004" w:type="dxa"/>
            <w:vAlign w:val="center"/>
          </w:tcPr>
          <w:p>
            <w:pPr>
              <w:ind w:firstLine="420" w:firstLineChars="200"/>
              <w:rPr>
                <w:rFonts w:hint="default" w:ascii="宋体" w:hAnsi="宋体" w:cs="宋体"/>
                <w:color w:val="auto"/>
                <w:sz w:val="21"/>
                <w:szCs w:val="21"/>
                <w:highlight w:val="none"/>
                <w:lang w:val="en-US" w:eastAsia="zh-CN"/>
              </w:rPr>
            </w:pPr>
            <w:r>
              <w:rPr>
                <w:rFonts w:hint="eastAsia"/>
                <w:lang w:val="en-US" w:eastAsia="zh-CN"/>
              </w:rPr>
              <w:t>与</w:t>
            </w:r>
            <w:r>
              <w:rPr>
                <w:rFonts w:hint="eastAsia"/>
              </w:rPr>
              <w:t>部门负责人</w:t>
            </w:r>
            <w:r>
              <w:rPr>
                <w:rFonts w:hint="eastAsia"/>
                <w:lang w:val="en-US" w:eastAsia="zh-CN"/>
              </w:rPr>
              <w:t>交流主要</w:t>
            </w:r>
            <w:r>
              <w:rPr>
                <w:rFonts w:hint="eastAsia"/>
                <w:bCs/>
              </w:rPr>
              <w:t>职</w:t>
            </w:r>
            <w:r>
              <w:rPr>
                <w:rFonts w:hint="eastAsia"/>
                <w:bCs/>
                <w:lang w:val="en-US" w:eastAsia="zh-CN"/>
              </w:rPr>
              <w:t>责</w:t>
            </w:r>
            <w:r>
              <w:rPr>
                <w:rFonts w:hint="eastAsia"/>
                <w:bCs/>
              </w:rPr>
              <w:t>和权限</w:t>
            </w:r>
            <w:r>
              <w:rPr>
                <w:rFonts w:hint="eastAsia"/>
                <w:bCs/>
                <w:lang w:val="en-US" w:eastAsia="zh-CN"/>
              </w:rPr>
              <w:t>为</w:t>
            </w:r>
            <w:r>
              <w:rPr>
                <w:rFonts w:hint="eastAsia" w:ascii="宋体" w:hAnsi="宋体" w:cs="宋体"/>
                <w:color w:val="auto"/>
                <w:sz w:val="21"/>
                <w:szCs w:val="21"/>
                <w:highlight w:val="none"/>
                <w:lang w:val="en-US" w:eastAsia="zh-CN"/>
              </w:rPr>
              <w:t>负责组织供方评审，选择和评价供方；负责采购过程控制，确保及时采购；负责本部门有关的风险、环境因素和危险源的危险源辨识与评价和控制管理。</w:t>
            </w:r>
          </w:p>
          <w:p>
            <w:pPr>
              <w:ind w:firstLine="630" w:firstLineChars="300"/>
              <w:rPr>
                <w:rFonts w:hint="eastAsia" w:ascii="Times New Roman" w:hAnsi="Times New Roman" w:eastAsia="宋体" w:cs="Times New Roman"/>
                <w:kern w:val="2"/>
                <w:sz w:val="21"/>
                <w:lang w:val="en-US" w:eastAsia="zh-CN" w:bidi="ar-SA"/>
              </w:rPr>
            </w:pPr>
            <w:r>
              <w:rPr>
                <w:rFonts w:hint="eastAsia"/>
              </w:rPr>
              <w:t>回答正确，</w:t>
            </w:r>
            <w:r>
              <w:rPr>
                <w:rFonts w:hint="eastAsia"/>
                <w:lang w:val="en-US" w:eastAsia="zh-CN"/>
              </w:rPr>
              <w:t>与手册一致</w:t>
            </w:r>
            <w:r>
              <w:rPr>
                <w:rFonts w:hint="eastAsia"/>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O</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kern w:val="2"/>
                <w:sz w:val="21"/>
                <w:szCs w:val="21"/>
                <w:lang w:val="en-US" w:eastAsia="zh-CN" w:bidi="ar-SA"/>
              </w:rPr>
            </w:pPr>
          </w:p>
        </w:tc>
        <w:tc>
          <w:tcPr>
            <w:tcW w:w="10004" w:type="dxa"/>
            <w:vAlign w:val="center"/>
          </w:tcPr>
          <w:p>
            <w:pPr>
              <w:spacing w:line="280" w:lineRule="exact"/>
              <w:ind w:firstLine="420" w:firstLineChars="200"/>
            </w:pPr>
            <w:r>
              <w:rPr>
                <w:rFonts w:hint="eastAsia"/>
              </w:rPr>
              <w:t>公司对管理体系所需的相关职能、层次和过程设定管理目标</w:t>
            </w:r>
            <w:r>
              <w:rPr>
                <w:rFonts w:hint="eastAsia"/>
                <w:lang w:eastAsia="zh-CN"/>
              </w:rPr>
              <w:t>，</w:t>
            </w:r>
            <w:r>
              <w:rPr>
                <w:rFonts w:hint="eastAsia"/>
              </w:rPr>
              <w:t>目标可测量，与公司管理</w:t>
            </w:r>
            <w:r>
              <w:rPr>
                <w:rFonts w:hint="eastAsia"/>
                <w:lang w:val="en-US" w:eastAsia="zh-CN"/>
              </w:rPr>
              <w:t>总目标、</w:t>
            </w:r>
            <w:r>
              <w:rPr>
                <w:rFonts w:hint="eastAsia"/>
              </w:rPr>
              <w:t>方针一致。</w:t>
            </w:r>
          </w:p>
          <w:p>
            <w:pPr>
              <w:autoSpaceDE w:val="0"/>
              <w:autoSpaceDN w:val="0"/>
              <w:adjustRightInd w:val="0"/>
              <w:ind w:firstLine="420" w:firstLineChars="200"/>
              <w:rPr>
                <w:rFonts w:hAnsi="宋体" w:cs="宋体"/>
                <w:kern w:val="0"/>
              </w:rPr>
            </w:pPr>
            <w:r>
              <w:rPr>
                <w:rFonts w:hint="eastAsia" w:hAnsi="宋体" w:cs="宋体"/>
                <w:kern w:val="0"/>
                <w:lang w:eastAsia="zh-CN"/>
              </w:rPr>
              <w:t>采购部</w:t>
            </w:r>
            <w:r>
              <w:rPr>
                <w:rFonts w:hint="eastAsia" w:hAnsi="宋体" w:cs="宋体"/>
                <w:kern w:val="0"/>
              </w:rPr>
              <w:t>的目标分解</w:t>
            </w:r>
            <w:r>
              <w:rPr>
                <w:rFonts w:hint="eastAsia" w:hAnsi="宋体" w:cs="宋体"/>
                <w:kern w:val="0"/>
                <w:lang w:val="en-US" w:eastAsia="zh-CN"/>
              </w:rPr>
              <w:t>及1-9月完成情况</w:t>
            </w:r>
            <w:r>
              <w:rPr>
                <w:rFonts w:hint="eastAsia" w:hAnsi="宋体" w:cs="宋体"/>
                <w:kern w:val="0"/>
              </w:rPr>
              <w:t>为：</w:t>
            </w:r>
          </w:p>
          <w:p>
            <w:pPr>
              <w:pStyle w:val="8"/>
              <w:ind w:left="420" w:leftChars="200" w:firstLine="0" w:firstLineChars="0"/>
            </w:pPr>
            <w:r>
              <w:drawing>
                <wp:inline distT="0" distB="0" distL="114300" distR="114300">
                  <wp:extent cx="6212840" cy="876300"/>
                  <wp:effectExtent l="0" t="0" r="1651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6212840" cy="876300"/>
                          </a:xfrm>
                          <a:prstGeom prst="rect">
                            <a:avLst/>
                          </a:prstGeom>
                          <a:noFill/>
                          <a:ln>
                            <a:noFill/>
                          </a:ln>
                        </pic:spPr>
                      </pic:pic>
                    </a:graphicData>
                  </a:graphic>
                </wp:inline>
              </w:drawing>
            </w:r>
            <w:r>
              <w:rPr>
                <w:rFonts w:hint="eastAsia"/>
              </w:rPr>
              <w:t>每年由</w:t>
            </w:r>
            <w:r>
              <w:rPr>
                <w:rFonts w:hint="eastAsia"/>
                <w:lang w:val="en-US" w:eastAsia="zh-CN"/>
              </w:rPr>
              <w:t>行政部</w:t>
            </w:r>
            <w:r>
              <w:rPr>
                <w:rFonts w:hint="eastAsia"/>
              </w:rPr>
              <w:t>按公司管理目标考核要求统计考核公司管理目标完成情况，提交管理评审会议。。</w:t>
            </w:r>
          </w:p>
          <w:p>
            <w:pPr>
              <w:ind w:firstLine="420" w:firstLineChars="200"/>
              <w:rPr>
                <w:rFonts w:hint="eastAsia"/>
                <w:szCs w:val="21"/>
                <w:lang w:val="en-US" w:eastAsia="zh-CN"/>
              </w:rPr>
            </w:pPr>
            <w:r>
              <w:rPr>
                <w:rFonts w:hint="eastAsia" w:asciiTheme="minorEastAsia" w:hAnsiTheme="minorEastAsia" w:eastAsiaTheme="minorEastAsia" w:cstheme="minorEastAsia"/>
                <w:szCs w:val="21"/>
              </w:rPr>
              <w:t>查 “</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”，公司针对重要环境因素和重大危险源</w:t>
            </w:r>
            <w:r>
              <w:rPr>
                <w:rFonts w:hint="eastAsia" w:asciiTheme="minorEastAsia" w:hAnsiTheme="minorEastAsia" w:eastAsiaTheme="minorEastAsia" w:cstheme="minorEastAsia"/>
                <w:szCs w:val="21"/>
                <w:lang w:val="en-US" w:eastAsia="zh-CN"/>
              </w:rPr>
              <w:t>火灾、固废排放</w:t>
            </w:r>
            <w:r>
              <w:rPr>
                <w:rFonts w:hint="eastAsia" w:asciiTheme="minorEastAsia" w:hAnsiTheme="minorEastAsia" w:eastAsiaTheme="minorEastAsia" w:cstheme="minorEastAsia"/>
                <w:szCs w:val="21"/>
              </w:rPr>
              <w:t>制订了相应的管理方案</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明确目标、指标、</w:t>
            </w:r>
            <w:r>
              <w:rPr>
                <w:rFonts w:hint="eastAsia"/>
                <w:szCs w:val="21"/>
              </w:rPr>
              <w:t>方法措施/技术手段</w:t>
            </w:r>
            <w:r>
              <w:rPr>
                <w:rFonts w:hint="eastAsia"/>
                <w:szCs w:val="21"/>
                <w:lang w:eastAsia="zh-CN"/>
              </w:rPr>
              <w:t>、</w:t>
            </w:r>
            <w:r>
              <w:rPr>
                <w:rFonts w:hint="eastAsia"/>
                <w:szCs w:val="21"/>
                <w:lang w:val="en-US" w:eastAsia="zh-CN"/>
              </w:rPr>
              <w:t>负责部门、完成时间、检查频次；</w:t>
            </w:r>
          </w:p>
          <w:p>
            <w:pPr>
              <w:ind w:firstLine="420" w:firstLineChars="200"/>
              <w:rPr>
                <w:rFonts w:hint="default"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lang w:val="en-US" w:eastAsia="zh-CN"/>
              </w:rPr>
              <w:t>提供</w:t>
            </w:r>
            <w:r>
              <w:rPr>
                <w:rFonts w:hint="eastAsia" w:asciiTheme="minorEastAsia" w:hAnsiTheme="minorEastAsia" w:eastAsiaTheme="minorEastAsia" w:cstheme="minorEastAsia"/>
                <w:szCs w:val="21"/>
              </w:rPr>
              <w:t>目标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指标及管理方案</w:t>
            </w:r>
            <w:r>
              <w:rPr>
                <w:rFonts w:hint="eastAsia" w:asciiTheme="minorEastAsia" w:hAnsiTheme="minorEastAsia" w:eastAsiaTheme="minorEastAsia" w:cstheme="minorEastAsia"/>
                <w:szCs w:val="21"/>
                <w:lang w:eastAsia="zh-CN"/>
              </w:rPr>
              <w:t>检查表，</w:t>
            </w:r>
            <w:r>
              <w:rPr>
                <w:rFonts w:hint="eastAsia" w:asciiTheme="minorEastAsia" w:hAnsiTheme="minorEastAsia" w:eastAsiaTheme="minorEastAsia" w:cstheme="minorEastAsia"/>
                <w:szCs w:val="21"/>
                <w:lang w:val="en-US" w:eastAsia="zh-CN"/>
              </w:rPr>
              <w:t>目标和指标达成，管理方案有效执行。</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Arial"/>
                <w:sz w:val="21"/>
                <w:szCs w:val="21"/>
              </w:rPr>
              <w:t>环境因素/危险源辨识与评价</w:t>
            </w:r>
          </w:p>
        </w:tc>
        <w:tc>
          <w:tcPr>
            <w:tcW w:w="960" w:type="dxa"/>
            <w:vAlign w:val="top"/>
          </w:tcPr>
          <w:p>
            <w:pPr>
              <w:rPr>
                <w:rFonts w:ascii="Times New Roman" w:hAnsi="Times New Roman" w:eastAsia="宋体" w:cs="Times New Roman"/>
                <w:kern w:val="2"/>
                <w:sz w:val="21"/>
                <w:lang w:val="en-US" w:eastAsia="zh-CN" w:bidi="ar-SA"/>
              </w:rPr>
            </w:pPr>
            <w:r>
              <w:rPr>
                <w:rFonts w:hint="eastAsia" w:ascii="宋体" w:cs="宋体"/>
                <w:szCs w:val="21"/>
              </w:rPr>
              <w:t>E</w:t>
            </w:r>
            <w:r>
              <w:rPr>
                <w:rFonts w:hint="eastAsia" w:ascii="宋体" w:cs="宋体"/>
                <w:szCs w:val="21"/>
                <w:lang w:val="en-US" w:eastAsia="zh-CN"/>
              </w:rPr>
              <w:t>O</w:t>
            </w:r>
            <w:r>
              <w:rPr>
                <w:rFonts w:hint="eastAsia" w:ascii="宋体" w:cs="宋体"/>
                <w:szCs w:val="21"/>
              </w:rPr>
              <w:t>6</w:t>
            </w:r>
            <w:r>
              <w:rPr>
                <w:rFonts w:ascii="宋体" w:cs="宋体"/>
                <w:szCs w:val="21"/>
              </w:rPr>
              <w:t>.1.2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执行公司</w:t>
            </w:r>
            <w:r>
              <w:rPr>
                <w:rFonts w:hint="eastAsia" w:ascii="宋体" w:hAnsi="宋体" w:eastAsia="宋体" w:cs="宋体"/>
                <w:color w:val="auto"/>
                <w:sz w:val="21"/>
                <w:szCs w:val="21"/>
                <w:lang w:eastAsia="zh-CN"/>
              </w:rPr>
              <w:t>《</w:t>
            </w:r>
            <w:r>
              <w:rPr>
                <w:rFonts w:hint="eastAsia" w:ascii="宋体" w:hAnsi="宋体" w:cs="宋体"/>
                <w:color w:val="000000"/>
                <w:sz w:val="24"/>
                <w:szCs w:val="24"/>
              </w:rPr>
              <w:t>环境安全因素的识别评价程序</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w:t>
            </w:r>
            <w:r>
              <w:rPr>
                <w:rFonts w:hint="eastAsia" w:hAnsiTheme="minorEastAsia" w:eastAsiaTheme="minorEastAsia"/>
                <w:sz w:val="24"/>
                <w:szCs w:val="24"/>
              </w:rPr>
              <w:t>环境因素识别</w:t>
            </w:r>
            <w:r>
              <w:rPr>
                <w:rFonts w:hint="eastAsia" w:hAnsiTheme="minorEastAsia" w:eastAsiaTheme="minorEastAsia"/>
                <w:sz w:val="24"/>
                <w:szCs w:val="24"/>
                <w:lang w:val="en-US" w:eastAsia="zh-CN"/>
              </w:rPr>
              <w:t>及</w:t>
            </w:r>
            <w:r>
              <w:rPr>
                <w:rFonts w:hint="eastAsia" w:hAnsiTheme="minorEastAsia" w:eastAsiaTheme="minorEastAsia"/>
                <w:sz w:val="24"/>
                <w:szCs w:val="24"/>
              </w:rPr>
              <w:t>评价表</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识别本部门</w:t>
            </w:r>
            <w:r>
              <w:rPr>
                <w:rFonts w:hint="eastAsia" w:ascii="宋体" w:hAnsi="宋体" w:cs="宋体"/>
                <w:color w:val="auto"/>
                <w:sz w:val="21"/>
                <w:szCs w:val="21"/>
                <w:lang w:val="en-US" w:eastAsia="zh-CN"/>
              </w:rPr>
              <w:t>办公、采购</w:t>
            </w:r>
            <w:r>
              <w:rPr>
                <w:rFonts w:hint="eastAsia" w:ascii="宋体" w:hAnsi="宋体" w:eastAsia="宋体" w:cs="宋体"/>
                <w:color w:val="auto"/>
                <w:sz w:val="21"/>
                <w:szCs w:val="21"/>
                <w:lang w:eastAsia="zh-CN"/>
              </w:rPr>
              <w:t>过程各区域环境因素有：</w:t>
            </w:r>
            <w:r>
              <w:rPr>
                <w:rFonts w:hint="eastAsia" w:ascii="宋体" w:hAnsi="宋体" w:eastAsia="宋体" w:cs="宋体"/>
                <w:i w:val="0"/>
                <w:color w:val="000000"/>
                <w:kern w:val="0"/>
                <w:sz w:val="21"/>
                <w:szCs w:val="21"/>
                <w:u w:val="none"/>
                <w:lang w:val="en-US" w:eastAsia="zh-CN" w:bidi="ar"/>
              </w:rPr>
              <w:t>噪声排放</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水电消耗、废弃物排放、潜在火灾等。重要环境因素识别有：火灾</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固体废弃物排放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识别人/日期：   肖俊平  2021.4.16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环境因素识别经核实基本齐全</w:t>
            </w:r>
            <w:r>
              <w:rPr>
                <w:rFonts w:hint="eastAsia" w:ascii="宋体" w:hAnsi="宋体" w:cs="宋体"/>
                <w:color w:val="auto"/>
                <w:sz w:val="21"/>
                <w:szCs w:val="21"/>
                <w:lang w:val="en-US" w:eastAsia="zh-CN"/>
              </w:rPr>
              <w:t>重要环境因素评价基本合理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w:t>
            </w:r>
            <w:r>
              <w:rPr>
                <w:rFonts w:hint="eastAsia" w:ascii="Times New Roman" w:cs="Times New Roman" w:hAnsiTheme="minorEastAsia" w:eastAsiaTheme="minorEastAsia"/>
                <w:sz w:val="24"/>
                <w:szCs w:val="24"/>
                <w:lang w:val="en-US" w:eastAsia="zh-CN"/>
              </w:rPr>
              <w:t>危险源识别、评价表</w:t>
            </w:r>
            <w:r>
              <w:rPr>
                <w:rFonts w:hint="eastAsia" w:ascii="宋体" w:hAnsi="宋体" w:eastAsia="宋体" w:cs="宋体"/>
                <w:color w:val="auto"/>
                <w:sz w:val="21"/>
                <w:szCs w:val="21"/>
                <w:lang w:eastAsia="zh-CN"/>
              </w:rPr>
              <w:t>》对活动分别</w:t>
            </w:r>
            <w:r>
              <w:rPr>
                <w:rFonts w:hint="eastAsia" w:ascii="宋体" w:hAnsi="宋体" w:cs="宋体"/>
                <w:color w:val="auto"/>
                <w:sz w:val="21"/>
                <w:szCs w:val="21"/>
                <w:lang w:eastAsia="zh-CN"/>
              </w:rPr>
              <w:t>用</w:t>
            </w:r>
            <w:r>
              <w:rPr>
                <w:rFonts w:hint="eastAsia" w:ascii="宋体" w:hAnsi="宋体" w:cs="宋体"/>
                <w:color w:val="auto"/>
                <w:sz w:val="21"/>
                <w:szCs w:val="21"/>
                <w:lang w:val="en-US" w:eastAsia="zh-CN"/>
              </w:rPr>
              <w:t>采分法</w:t>
            </w:r>
            <w:r>
              <w:rPr>
                <w:rFonts w:hint="eastAsia" w:ascii="宋体" w:hAnsi="宋体" w:eastAsia="宋体" w:cs="宋体"/>
                <w:color w:val="auto"/>
                <w:sz w:val="21"/>
                <w:szCs w:val="21"/>
                <w:lang w:eastAsia="zh-CN"/>
              </w:rPr>
              <w:t>进行</w:t>
            </w:r>
            <w:r>
              <w:rPr>
                <w:rFonts w:hint="eastAsia" w:ascii="宋体" w:hAnsi="宋体" w:cs="宋体"/>
                <w:color w:val="auto"/>
                <w:sz w:val="21"/>
                <w:szCs w:val="21"/>
                <w:lang w:eastAsia="zh-CN"/>
              </w:rPr>
              <w:t>辨识</w:t>
            </w:r>
            <w:r>
              <w:rPr>
                <w:rFonts w:hint="eastAsia" w:ascii="宋体" w:hAnsi="宋体" w:eastAsia="宋体" w:cs="宋体"/>
                <w:color w:val="auto"/>
                <w:sz w:val="21"/>
                <w:szCs w:val="21"/>
                <w:lang w:eastAsia="zh-CN"/>
              </w:rPr>
              <w:t>，从过去、现在、将来三种时态；正常、异常和紧急三种状态识别危险源。</w:t>
            </w:r>
            <w:r>
              <w:rPr>
                <w:rFonts w:hint="eastAsia" w:ascii="宋体" w:hAnsi="宋体" w:eastAsia="宋体" w:cs="宋体"/>
                <w:color w:val="auto"/>
                <w:sz w:val="21"/>
                <w:szCs w:val="21"/>
                <w:lang w:val="en-US" w:eastAsia="zh-CN"/>
              </w:rPr>
              <w:t xml:space="preserve">识别人/日期：   肖俊平  2021.4.16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lang w:eastAsia="zh-CN"/>
              </w:rPr>
              <w:t>本部门识别的各区域危险源有：</w:t>
            </w:r>
            <w:r>
              <w:rPr>
                <w:rFonts w:hint="eastAsia" w:ascii="宋体" w:hAnsi="宋体" w:eastAsia="宋体" w:cs="宋体"/>
                <w:i w:val="0"/>
                <w:color w:val="000000"/>
                <w:kern w:val="0"/>
                <w:sz w:val="21"/>
                <w:szCs w:val="21"/>
                <w:u w:val="none"/>
                <w:lang w:val="en-US" w:eastAsia="zh-CN" w:bidi="ar"/>
              </w:rPr>
              <w:t>电源线裸露</w:t>
            </w:r>
            <w:r>
              <w:rPr>
                <w:rFonts w:hint="default" w:ascii="Times New Roman" w:hAnsi="Times New Roman" w:eastAsia="宋体" w:cs="Times New Roman"/>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插座漏电</w:t>
            </w:r>
            <w:r>
              <w:rPr>
                <w:rFonts w:hint="eastAsia" w:ascii="宋体" w:hAnsi="宋体" w:eastAsia="宋体" w:cs="宋体"/>
                <w:color w:val="auto"/>
                <w:sz w:val="21"/>
                <w:szCs w:val="21"/>
                <w:lang w:eastAsia="zh-CN"/>
              </w:rPr>
              <w:t>触电、</w:t>
            </w:r>
            <w:r>
              <w:rPr>
                <w:rFonts w:hint="eastAsia" w:ascii="宋体" w:hAnsi="宋体" w:eastAsia="宋体" w:cs="宋体"/>
                <w:i w:val="0"/>
                <w:color w:val="000000"/>
                <w:kern w:val="0"/>
                <w:sz w:val="21"/>
                <w:szCs w:val="21"/>
                <w:u w:val="none"/>
                <w:lang w:val="en-US" w:eastAsia="zh-CN" w:bidi="ar"/>
              </w:rPr>
              <w:t>垃圾篓绊足</w:t>
            </w:r>
            <w:r>
              <w:rPr>
                <w:rFonts w:hint="eastAsia" w:ascii="宋体" w:hAnsi="宋体" w:eastAsia="宋体" w:cs="宋体"/>
                <w:color w:val="auto"/>
                <w:sz w:val="21"/>
                <w:szCs w:val="21"/>
                <w:lang w:eastAsia="zh-CN"/>
              </w:rPr>
              <w:t>伤害、</w:t>
            </w:r>
            <w:r>
              <w:rPr>
                <w:rFonts w:hint="eastAsia" w:ascii="宋体" w:hAnsi="宋体" w:cs="宋体"/>
                <w:color w:val="auto"/>
                <w:sz w:val="21"/>
                <w:szCs w:val="21"/>
                <w:lang w:val="en-US" w:eastAsia="zh-CN"/>
              </w:rPr>
              <w:t>电脑辐射伤害、</w:t>
            </w:r>
            <w:r>
              <w:rPr>
                <w:rFonts w:hint="eastAsia" w:ascii="宋体" w:hAnsi="宋体" w:eastAsia="宋体" w:cs="宋体"/>
                <w:color w:val="auto"/>
                <w:sz w:val="21"/>
                <w:szCs w:val="21"/>
                <w:lang w:eastAsia="zh-CN"/>
              </w:rPr>
              <w:t>火灾、</w:t>
            </w:r>
            <w:r>
              <w:rPr>
                <w:rFonts w:hint="eastAsia" w:ascii="宋体" w:hAnsi="宋体" w:cs="宋体"/>
                <w:color w:val="auto"/>
                <w:sz w:val="21"/>
                <w:szCs w:val="21"/>
                <w:lang w:eastAsia="zh-CN"/>
              </w:rPr>
              <w:t>交通事故、</w:t>
            </w:r>
            <w:r>
              <w:rPr>
                <w:rFonts w:hint="eastAsia" w:ascii="宋体" w:hAnsi="宋体" w:eastAsia="宋体" w:cs="宋体"/>
                <w:i w:val="0"/>
                <w:color w:val="000000"/>
                <w:kern w:val="0"/>
                <w:sz w:val="21"/>
                <w:szCs w:val="21"/>
                <w:u w:val="none"/>
                <w:lang w:val="en-US" w:eastAsia="zh-CN" w:bidi="ar"/>
              </w:rPr>
              <w:t>办公电气设备损坏或老化</w:t>
            </w:r>
            <w:r>
              <w:rPr>
                <w:rFonts w:hint="eastAsia" w:ascii="宋体" w:hAnsi="宋体" w:eastAsia="宋体" w:cs="宋体"/>
                <w:color w:val="auto"/>
                <w:sz w:val="21"/>
                <w:szCs w:val="21"/>
                <w:lang w:eastAsia="zh-CN"/>
              </w:rPr>
              <w:t>等。</w:t>
            </w:r>
            <w:r>
              <w:rPr>
                <w:rFonts w:hint="eastAsia" w:ascii="宋体" w:hAnsi="宋体" w:cs="宋体"/>
                <w:color w:val="auto"/>
                <w:sz w:val="21"/>
                <w:szCs w:val="21"/>
                <w:lang w:eastAsia="zh-CN"/>
              </w:rPr>
              <w:t>重大危险源</w:t>
            </w:r>
            <w:r>
              <w:rPr>
                <w:rFonts w:hint="eastAsia" w:ascii="宋体" w:hAnsi="宋体" w:cs="宋体"/>
                <w:color w:val="auto"/>
                <w:sz w:val="21"/>
                <w:szCs w:val="21"/>
                <w:lang w:val="en-US" w:eastAsia="zh-CN"/>
              </w:rPr>
              <w:t>评价</w:t>
            </w:r>
            <w:r>
              <w:rPr>
                <w:rFonts w:hint="eastAsia" w:ascii="宋体" w:hAnsi="宋体" w:eastAsia="宋体" w:cs="宋体"/>
                <w:color w:val="auto"/>
                <w:sz w:val="21"/>
                <w:szCs w:val="21"/>
                <w:lang w:eastAsia="zh-CN"/>
              </w:rPr>
              <w:t>有：火灾、</w:t>
            </w:r>
            <w:r>
              <w:rPr>
                <w:rFonts w:hint="eastAsia" w:ascii="宋体" w:hAnsi="宋体" w:cs="宋体"/>
                <w:color w:val="auto"/>
                <w:sz w:val="21"/>
                <w:szCs w:val="21"/>
                <w:lang w:val="en-US" w:eastAsia="zh-CN"/>
              </w:rPr>
              <w:t>触电</w:t>
            </w:r>
            <w:r>
              <w:rPr>
                <w:rFonts w:hint="eastAsia" w:ascii="宋体" w:hAnsi="宋体" w:eastAsia="宋体" w:cs="宋体"/>
                <w:color w:val="auto"/>
                <w:sz w:val="21"/>
                <w:szCs w:val="21"/>
                <w:lang w:eastAsia="zh-CN"/>
              </w:rPr>
              <w:t>。</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ascii="宋体" w:hAnsi="宋体" w:eastAsia="宋体" w:cs="宋体"/>
                <w:color w:val="auto"/>
                <w:sz w:val="21"/>
                <w:szCs w:val="21"/>
                <w:lang w:eastAsia="zh-CN"/>
              </w:rPr>
              <w:t>危险源识别经核实基本齐全</w:t>
            </w:r>
            <w:r>
              <w:rPr>
                <w:rFonts w:hint="eastAsia" w:ascii="宋体" w:hAnsi="宋体" w:cs="宋体"/>
                <w:color w:val="auto"/>
                <w:sz w:val="21"/>
                <w:szCs w:val="21"/>
                <w:lang w:eastAsia="zh-CN"/>
              </w:rPr>
              <w:t>，重大危险源</w:t>
            </w:r>
            <w:r>
              <w:rPr>
                <w:rFonts w:hint="eastAsia" w:ascii="宋体" w:hAnsi="宋体" w:cs="宋体"/>
                <w:color w:val="auto"/>
                <w:sz w:val="21"/>
                <w:szCs w:val="21"/>
                <w:lang w:val="en-US" w:eastAsia="zh-CN"/>
              </w:rPr>
              <w:t>评价基本合理</w:t>
            </w:r>
            <w:r>
              <w:rPr>
                <w:rFonts w:hint="eastAsia" w:ascii="宋体" w:hAnsi="宋体" w:eastAsia="宋体" w:cs="宋体"/>
                <w:color w:val="auto"/>
                <w:sz w:val="21"/>
                <w:szCs w:val="21"/>
                <w:lang w:eastAsia="zh-CN"/>
              </w:rPr>
              <w:t>。</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运行控制</w:t>
            </w:r>
          </w:p>
        </w:tc>
        <w:tc>
          <w:tcPr>
            <w:tcW w:w="960" w:type="dxa"/>
            <w:vAlign w:val="center"/>
          </w:tcPr>
          <w:p>
            <w:pPr>
              <w:rPr>
                <w:szCs w:val="21"/>
              </w:rPr>
            </w:pPr>
            <w:r>
              <w:rPr>
                <w:rFonts w:hint="eastAsia"/>
                <w:szCs w:val="21"/>
              </w:rPr>
              <w:t>E</w:t>
            </w:r>
            <w:r>
              <w:rPr>
                <w:rFonts w:hint="eastAsia"/>
                <w:szCs w:val="21"/>
                <w:lang w:val="en-US" w:eastAsia="zh-CN"/>
              </w:rPr>
              <w:t>O</w:t>
            </w:r>
            <w:r>
              <w:rPr>
                <w:rFonts w:hint="eastAsia"/>
                <w:szCs w:val="21"/>
              </w:rPr>
              <w:t>8.1</w:t>
            </w:r>
          </w:p>
          <w:p>
            <w:pPr>
              <w:rPr>
                <w:rFonts w:ascii="Times New Roman" w:hAnsi="Times New Roman" w:eastAsia="宋体" w:cs="Times New Roman"/>
                <w:kern w:val="2"/>
                <w:sz w:val="21"/>
                <w:lang w:val="en-US" w:eastAsia="zh-CN" w:bidi="ar-SA"/>
              </w:rPr>
            </w:pPr>
          </w:p>
        </w:tc>
        <w:tc>
          <w:tcPr>
            <w:tcW w:w="10004" w:type="dxa"/>
            <w:vAlign w:val="center"/>
          </w:tcPr>
          <w:p>
            <w:pPr>
              <w:ind w:firstLine="420" w:firstLineChars="200"/>
              <w:rPr>
                <w:rFonts w:hint="eastAsia" w:ascii="宋体" w:hAnsi="宋体" w:cs="宋体"/>
                <w:szCs w:val="21"/>
                <w:lang w:val="en-GB"/>
              </w:rPr>
            </w:pPr>
            <w:r>
              <w:rPr>
                <w:rFonts w:hint="eastAsia" w:ascii="宋体" w:hAnsi="宋体" w:cs="宋体"/>
                <w:szCs w:val="21"/>
                <w:lang w:val="en-GB"/>
              </w:rPr>
              <w:t>本部门执行</w:t>
            </w:r>
            <w:r>
              <w:rPr>
                <w:rFonts w:hint="eastAsia" w:ascii="宋体" w:hAnsi="宋体" w:cs="宋体"/>
                <w:szCs w:val="21"/>
                <w:lang w:val="en-GB" w:eastAsia="zh-CN"/>
              </w:rPr>
              <w:t>《</w:t>
            </w:r>
            <w:r>
              <w:rPr>
                <w:rFonts w:hint="eastAsia" w:ascii="宋体" w:hAnsi="宋体" w:cs="宋体"/>
                <w:szCs w:val="21"/>
                <w:lang w:val="en-GB"/>
              </w:rPr>
              <w:t>运行控制程序</w:t>
            </w:r>
            <w:r>
              <w:rPr>
                <w:rFonts w:hint="eastAsia" w:ascii="宋体" w:hAnsi="宋体" w:cs="宋体"/>
                <w:szCs w:val="21"/>
                <w:lang w:val="en-GB" w:eastAsia="zh-CN"/>
              </w:rPr>
              <w:t>》</w:t>
            </w:r>
            <w:r>
              <w:rPr>
                <w:rFonts w:hint="eastAsia" w:ascii="宋体" w:hAnsi="宋体" w:cs="宋体"/>
                <w:szCs w:val="21"/>
                <w:lang w:val="en-GB"/>
              </w:rPr>
              <w:t>、</w:t>
            </w:r>
            <w:r>
              <w:rPr>
                <w:rFonts w:hint="eastAsia" w:ascii="宋体" w:hAnsi="宋体" w:cs="宋体"/>
                <w:szCs w:val="21"/>
                <w:lang w:val="en-GB" w:eastAsia="zh-CN"/>
              </w:rPr>
              <w:t>《</w:t>
            </w:r>
            <w:bookmarkStart w:id="3" w:name="_GoBack"/>
            <w:bookmarkEnd w:id="3"/>
            <w:r>
              <w:rPr>
                <w:rFonts w:hint="eastAsia" w:ascii="宋体" w:hAnsi="宋体" w:cs="宋体"/>
                <w:szCs w:val="21"/>
                <w:lang w:val="en-GB"/>
              </w:rPr>
              <w:t>相关方环境安全控制程序</w:t>
            </w:r>
            <w:r>
              <w:rPr>
                <w:rFonts w:hint="eastAsia" w:ascii="宋体" w:hAnsi="宋体" w:cs="宋体"/>
                <w:szCs w:val="21"/>
                <w:lang w:val="en-GB" w:eastAsia="zh-CN"/>
              </w:rPr>
              <w:t>》</w:t>
            </w:r>
            <w:r>
              <w:rPr>
                <w:rFonts w:hint="eastAsia" w:ascii="宋体" w:hAnsi="宋体" w:cs="宋体"/>
                <w:szCs w:val="21"/>
                <w:lang w:val="en-GB"/>
              </w:rPr>
              <w:t>、</w:t>
            </w:r>
            <w:r>
              <w:rPr>
                <w:rFonts w:hint="eastAsia" w:ascii="宋体" w:hAnsi="宋体" w:cs="宋体"/>
                <w:szCs w:val="21"/>
                <w:lang w:val="en-GB" w:eastAsia="zh-CN"/>
              </w:rPr>
              <w:t>《</w:t>
            </w:r>
            <w:r>
              <w:rPr>
                <w:rFonts w:hint="eastAsia" w:ascii="宋体" w:hAnsi="宋体" w:cs="宋体"/>
                <w:szCs w:val="21"/>
                <w:lang w:val="en-GB"/>
              </w:rPr>
              <w:t>废弃物控制程序</w:t>
            </w:r>
            <w:r>
              <w:rPr>
                <w:rFonts w:hint="eastAsia" w:ascii="宋体" w:hAnsi="宋体" w:cs="宋体"/>
                <w:szCs w:val="21"/>
                <w:lang w:val="en-GB" w:eastAsia="zh-CN"/>
              </w:rPr>
              <w:t>》</w:t>
            </w:r>
            <w:r>
              <w:rPr>
                <w:rFonts w:hint="eastAsia" w:ascii="宋体" w:hAnsi="宋体" w:cs="宋体"/>
                <w:szCs w:val="21"/>
                <w:lang w:val="en-GB"/>
              </w:rPr>
              <w:t>、</w:t>
            </w:r>
            <w:r>
              <w:rPr>
                <w:rFonts w:hint="eastAsia" w:ascii="宋体" w:hAnsi="宋体" w:cs="宋体"/>
                <w:szCs w:val="21"/>
                <w:lang w:val="en-GB" w:eastAsia="zh-CN"/>
              </w:rPr>
              <w:t>《</w:t>
            </w:r>
            <w:r>
              <w:rPr>
                <w:rFonts w:hint="eastAsia" w:ascii="宋体" w:hAnsi="宋体" w:cs="宋体"/>
                <w:szCs w:val="21"/>
                <w:lang w:val="en-GB"/>
              </w:rPr>
              <w:t>消防控制程序</w:t>
            </w:r>
            <w:r>
              <w:rPr>
                <w:rFonts w:hint="eastAsia" w:ascii="宋体" w:hAnsi="宋体" w:cs="宋体"/>
                <w:szCs w:val="21"/>
                <w:lang w:val="en-GB" w:eastAsia="zh-CN"/>
              </w:rPr>
              <w:t>》</w:t>
            </w:r>
            <w:r>
              <w:rPr>
                <w:rFonts w:hint="eastAsia" w:ascii="宋体" w:hAnsi="宋体" w:cs="宋体"/>
                <w:szCs w:val="21"/>
                <w:lang w:val="en-GB"/>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hint="default" w:ascii="宋体" w:hAnsi="宋体" w:eastAsia="宋体" w:cs="宋体"/>
                <w:szCs w:val="21"/>
                <w:lang w:val="en-US" w:eastAsia="zh-CN"/>
              </w:rPr>
            </w:pPr>
            <w:r>
              <w:rPr>
                <w:rFonts w:hint="eastAsia" w:ascii="宋体" w:hAnsi="宋体" w:cs="宋体"/>
                <w:szCs w:val="21"/>
              </w:rPr>
              <w:t>办公过程使用的电器如：空调、电脑、灯具均符合安全设计要求，使用过程注意安全，预防触电，工作时间平均每天8小时；</w:t>
            </w:r>
            <w:r>
              <w:rPr>
                <w:rFonts w:hint="eastAsia" w:ascii="宋体" w:hAnsi="宋体" w:cs="宋体"/>
                <w:szCs w:val="21"/>
                <w:lang w:val="en-US" w:eastAsia="zh-CN"/>
              </w:rPr>
              <w:t>使用前检查用电设施状态，发现异常及时确保断电，由专业电工处理。</w:t>
            </w:r>
          </w:p>
          <w:p>
            <w:pPr>
              <w:ind w:firstLine="420" w:firstLineChars="200"/>
              <w:rPr>
                <w:rFonts w:hint="default" w:ascii="宋体" w:hAnsi="宋体" w:eastAsia="宋体" w:cs="宋体"/>
                <w:szCs w:val="21"/>
                <w:lang w:val="en-US" w:eastAsia="zh-CN"/>
              </w:rPr>
            </w:pPr>
            <w:r>
              <w:rPr>
                <w:rFonts w:hint="eastAsia" w:ascii="宋体" w:hAnsi="宋体" w:cs="宋体"/>
                <w:szCs w:val="21"/>
                <w:lang w:val="en-GB"/>
              </w:rPr>
              <w:t>办公用品按要求由</w:t>
            </w:r>
            <w:r>
              <w:rPr>
                <w:rFonts w:hint="eastAsia" w:ascii="宋体" w:hAnsi="宋体" w:cs="宋体"/>
                <w:szCs w:val="21"/>
              </w:rPr>
              <w:t>行政</w:t>
            </w:r>
            <w:r>
              <w:rPr>
                <w:rFonts w:hint="eastAsia" w:ascii="宋体" w:hAnsi="宋体" w:cs="宋体"/>
                <w:szCs w:val="21"/>
                <w:lang w:val="en-US" w:eastAsia="zh-CN"/>
              </w:rPr>
              <w:t>部</w:t>
            </w:r>
            <w:r>
              <w:rPr>
                <w:rFonts w:hint="eastAsia" w:ascii="宋体" w:hAnsi="宋体" w:cs="宋体"/>
                <w:szCs w:val="21"/>
                <w:lang w:val="en-GB"/>
              </w:rPr>
              <w:t>负责发放，作好记录</w:t>
            </w:r>
            <w:r>
              <w:rPr>
                <w:rFonts w:hint="eastAsia" w:ascii="宋体" w:hAnsi="宋体" w:cs="宋体"/>
                <w:szCs w:val="21"/>
                <w:lang w:val="en-GB" w:eastAsia="zh-CN"/>
              </w:rPr>
              <w:t>，</w:t>
            </w:r>
            <w:r>
              <w:rPr>
                <w:rFonts w:hint="eastAsia" w:ascii="宋体" w:hAnsi="宋体" w:cs="宋体"/>
                <w:szCs w:val="21"/>
                <w:lang w:val="en-US" w:eastAsia="zh-CN"/>
              </w:rPr>
              <w:t>以旧换新，办公废弃物按行政部分类容器分类投放，统一由行政部收集、处理</w:t>
            </w:r>
            <w:r>
              <w:rPr>
                <w:rFonts w:hint="eastAsia" w:ascii="宋体" w:hAnsi="宋体" w:cs="宋体"/>
                <w:szCs w:val="21"/>
                <w:lang w:val="en-GB"/>
              </w:rPr>
              <w:t>；</w:t>
            </w:r>
            <w:r>
              <w:rPr>
                <w:rFonts w:hint="eastAsia" w:ascii="宋体" w:hAnsi="宋体" w:cs="宋体"/>
                <w:szCs w:val="21"/>
                <w:lang w:val="en-US" w:eastAsia="zh-CN"/>
              </w:rPr>
              <w:t>节约水、电消耗，现场没有发现浪费现象。</w:t>
            </w:r>
          </w:p>
          <w:p>
            <w:pPr>
              <w:ind w:firstLine="420" w:firstLineChars="200"/>
              <w:jc w:val="left"/>
              <w:rPr>
                <w:rFonts w:hint="eastAsia"/>
                <w:szCs w:val="21"/>
                <w:lang w:val="en-GB"/>
              </w:rPr>
            </w:pPr>
            <w:r>
              <w:rPr>
                <w:rFonts w:hint="eastAsia" w:ascii="宋体" w:hAnsi="宋体" w:cs="宋体"/>
                <w:szCs w:val="21"/>
                <w:lang w:val="en-GB"/>
              </w:rPr>
              <w:t>相关方施加影响：公司识别了相关方</w:t>
            </w:r>
            <w:r>
              <w:rPr>
                <w:rFonts w:hint="eastAsia" w:ascii="宋体" w:hAnsi="宋体" w:cs="宋体"/>
                <w:szCs w:val="21"/>
                <w:lang w:val="en-US" w:eastAsia="zh-CN"/>
              </w:rPr>
              <w:t>并发放公司环保和职业健康安全要求通告</w:t>
            </w:r>
            <w:r>
              <w:rPr>
                <w:rFonts w:hint="eastAsia" w:ascii="宋体" w:hAnsi="宋体" w:cs="宋体"/>
                <w:szCs w:val="21"/>
                <w:lang w:val="en-GB"/>
              </w:rPr>
              <w:t>，并进行控制。</w:t>
            </w:r>
          </w:p>
          <w:p>
            <w:pPr>
              <w:ind w:firstLine="420" w:firstLineChars="200"/>
              <w:rPr>
                <w:rFonts w:hint="default" w:ascii="宋体" w:hAnsi="宋体" w:cs="宋体"/>
                <w:szCs w:val="21"/>
                <w:lang w:val="en-US" w:eastAsia="zh-CN"/>
              </w:rPr>
            </w:pPr>
            <w:r>
              <w:rPr>
                <w:rFonts w:hint="eastAsia" w:ascii="宋体" w:hAnsi="宋体" w:cs="宋体"/>
                <w:szCs w:val="21"/>
                <w:lang w:val="en-US" w:eastAsia="zh-CN"/>
              </w:rPr>
              <w:t>办公产生的固体废弃物分类管理，墨盒、硒鼓、电池、灯管等危险固废回收后放到行政指定存放处，由行政统一处理；一般废弃物分可回收、不可回收，分类投放，由行政统一处理。</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办公区禁烟禁火，部门人员参加公司组织消防培训，执行消防制度要求并参加应急培训及演练。</w:t>
            </w:r>
          </w:p>
          <w:p>
            <w:pPr>
              <w:pStyle w:val="8"/>
              <w:ind w:firstLine="460" w:firstLineChars="200"/>
              <w:jc w:val="left"/>
              <w:rPr>
                <w:rFonts w:hint="eastAsia" w:ascii="宋体" w:hAnsi="宋体" w:cs="宋体"/>
                <w:color w:val="auto"/>
                <w:sz w:val="21"/>
                <w:szCs w:val="21"/>
                <w:lang w:eastAsia="zh-CN"/>
              </w:rPr>
            </w:pPr>
            <w:r>
              <w:rPr>
                <w:rFonts w:hint="eastAsia"/>
                <w:szCs w:val="21"/>
              </w:rPr>
              <w:t>抽查：火灾的控制措施实施情况</w:t>
            </w:r>
            <w:r>
              <w:rPr>
                <w:rFonts w:hint="eastAsia"/>
                <w:szCs w:val="21"/>
                <w:lang w:eastAsia="zh-CN"/>
              </w:rPr>
              <w:t>。</w:t>
            </w:r>
            <w:r>
              <w:rPr>
                <w:rFonts w:hint="eastAsia" w:ascii="宋体" w:hAnsi="宋体" w:cs="宋体"/>
                <w:color w:val="auto"/>
                <w:sz w:val="21"/>
                <w:szCs w:val="21"/>
                <w:lang w:eastAsia="zh-CN"/>
              </w:rPr>
              <w:t>潜在火灾管控该部门楼道</w:t>
            </w:r>
            <w:r>
              <w:rPr>
                <w:rFonts w:hint="eastAsia" w:ascii="宋体" w:hAnsi="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个，</w:t>
            </w:r>
            <w:r>
              <w:rPr>
                <w:rFonts w:hint="eastAsia" w:ascii="宋体" w:hAnsi="宋体" w:cs="宋体"/>
                <w:color w:val="auto"/>
                <w:sz w:val="21"/>
                <w:szCs w:val="21"/>
                <w:lang w:eastAsia="zh-CN"/>
              </w:rPr>
              <w:t>抽</w:t>
            </w:r>
            <w:r>
              <w:rPr>
                <w:rFonts w:hint="eastAsia" w:ascii="宋体" w:hAnsi="宋体" w:cs="宋体"/>
                <w:color w:val="auto"/>
                <w:sz w:val="21"/>
                <w:szCs w:val="21"/>
                <w:lang w:val="en-US" w:eastAsia="zh-CN"/>
              </w:rPr>
              <w:t>查2个</w:t>
            </w:r>
            <w:r>
              <w:rPr>
                <w:rFonts w:hint="eastAsia" w:ascii="宋体" w:hAnsi="宋体" w:cs="宋体"/>
                <w:color w:val="auto"/>
                <w:sz w:val="21"/>
                <w:szCs w:val="21"/>
                <w:lang w:eastAsia="zh-CN"/>
              </w:rPr>
              <w:t>灭火器</w:t>
            </w:r>
            <w:r>
              <w:rPr>
                <w:rFonts w:hint="eastAsia" w:ascii="宋体" w:hAnsi="宋体" w:cs="宋体"/>
                <w:color w:val="auto"/>
                <w:sz w:val="21"/>
                <w:szCs w:val="21"/>
                <w:lang w:val="en-US" w:eastAsia="zh-CN"/>
              </w:rPr>
              <w:t>，完整有效</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安全防护：公司给员工发放工作服、口罩等劳保用品。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加强交通和饮食安全教育，提高安全意识，防止发生交通事故和饮食中毒。</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为员工缴纳保险。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highlight w:val="yellow"/>
                <w:lang w:val="en-US" w:eastAsia="zh-CN"/>
              </w:rPr>
            </w:pPr>
            <w:r>
              <w:rPr>
                <w:rFonts w:hint="eastAsia" w:ascii="宋体" w:hAnsi="宋体" w:cs="宋体"/>
                <w:color w:val="auto"/>
                <w:sz w:val="21"/>
                <w:szCs w:val="21"/>
                <w:lang w:val="en-US" w:eastAsia="zh-CN"/>
              </w:rPr>
              <w:t>职业健康安全采购：采购的职业健康安全物品要求必须是正规的需要时有安全认证标志和合格证等。</w:t>
            </w:r>
          </w:p>
          <w:p>
            <w:pPr>
              <w:pStyle w:val="8"/>
              <w:ind w:firstLine="460" w:firstLineChars="200"/>
              <w:rPr>
                <w:rFonts w:hint="eastAsia" w:ascii="Times New Roman" w:hAnsi="Times New Roman" w:eastAsia="宋体" w:cs="Times New Roman"/>
                <w:bCs/>
                <w:spacing w:val="10"/>
                <w:kern w:val="2"/>
                <w:sz w:val="21"/>
                <w:szCs w:val="21"/>
                <w:lang w:val="en-US" w:eastAsia="zh-CN" w:bidi="ar-SA"/>
              </w:rPr>
            </w:pPr>
            <w:r>
              <w:rPr>
                <w:rFonts w:hint="eastAsia" w:ascii="宋体" w:hAnsi="宋体" w:cs="宋体"/>
                <w:color w:val="auto"/>
                <w:sz w:val="21"/>
                <w:szCs w:val="21"/>
                <w:lang w:val="en-US" w:eastAsia="zh-CN"/>
              </w:rPr>
              <w:t>运行控制基本符合要求。</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外部提供过程、产品和服务的控制</w:t>
            </w:r>
          </w:p>
        </w:tc>
        <w:tc>
          <w:tcPr>
            <w:tcW w:w="960" w:type="dxa"/>
            <w:vAlign w:val="center"/>
          </w:tcPr>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szCs w:val="21"/>
                <w:lang w:val="en-US" w:eastAsia="zh-CN"/>
              </w:rPr>
              <w:t xml:space="preserve"> </w:t>
            </w:r>
            <w:r>
              <w:rPr>
                <w:rFonts w:asciiTheme="minorEastAsia" w:hAnsiTheme="minorEastAsia" w:eastAsiaTheme="minorEastAsia" w:cstheme="minorEastAsia"/>
                <w:szCs w:val="21"/>
              </w:rPr>
              <w:t>8.4</w:t>
            </w: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公司建立并执行《采购控制程序 》，规定了供方选择和评定的方法、职责、要求和流程，供方评估的内容可包括：</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845" w:leftChars="0" w:right="0" w:rightChars="0" w:hanging="425" w:firstLine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价格、生产能力、交货能力、产品质量、产品信誉及其环保状况；</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845" w:leftChars="0" w:right="0" w:rightChars="0" w:hanging="425" w:firstLine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产品历年来使用情况；</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845" w:leftChars="0" w:right="0" w:rightChars="0" w:hanging="425" w:firstLine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企业的管理水平、绩效、信誉等；</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845" w:leftChars="0" w:right="0" w:rightChars="0" w:hanging="425" w:firstLine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样品/产品质量情况等。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default" w:ascii="宋体" w:hAnsi="宋体" w:cs="宋体"/>
                <w:bCs/>
                <w:szCs w:val="21"/>
                <w:lang w:val="en-US" w:eastAsia="zh-CN"/>
              </w:rPr>
            </w:pPr>
            <w:r>
              <w:rPr>
                <w:rFonts w:hint="eastAsia" w:ascii="宋体" w:hAnsi="宋体" w:cs="宋体"/>
                <w:bCs/>
                <w:szCs w:val="21"/>
                <w:lang w:val="en-US" w:eastAsia="zh-CN"/>
              </w:rPr>
              <w:t>提供合格供应商名单：共计９家，明确供应商名称、供应产品类别、联系方式及导入时间。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outlineLvl w:val="9"/>
              <w:rPr>
                <w:rFonts w:hint="eastAsia" w:ascii="宋体" w:hAnsi="宋体" w:cs="宋体"/>
                <w:bCs/>
                <w:szCs w:val="21"/>
                <w:lang w:eastAsia="zh-CN"/>
              </w:rPr>
            </w:pPr>
            <w:r>
              <w:rPr>
                <w:rFonts w:hint="eastAsia" w:ascii="宋体" w:hAnsi="宋体" w:cs="宋体"/>
                <w:bCs/>
                <w:szCs w:val="21"/>
              </w:rPr>
              <w:t>抽查</w:t>
            </w:r>
            <w:r>
              <w:rPr>
                <w:rFonts w:hint="eastAsia" w:ascii="宋体" w:hAnsi="宋体" w:cs="宋体"/>
                <w:bCs/>
                <w:szCs w:val="21"/>
                <w:lang w:val="en-US" w:eastAsia="zh-CN"/>
              </w:rPr>
              <w:t>合格</w:t>
            </w:r>
            <w:r>
              <w:rPr>
                <w:rFonts w:hint="eastAsia" w:ascii="宋体" w:hAnsi="宋体" w:cs="宋体"/>
                <w:bCs/>
                <w:szCs w:val="21"/>
              </w:rPr>
              <w:t>供</w:t>
            </w:r>
            <w:r>
              <w:rPr>
                <w:rFonts w:hint="eastAsia" w:ascii="宋体" w:hAnsi="宋体" w:cs="宋体"/>
                <w:bCs/>
                <w:szCs w:val="21"/>
                <w:lang w:val="en-US" w:eastAsia="zh-CN"/>
              </w:rPr>
              <w:t>方评定记录</w:t>
            </w:r>
            <w:r>
              <w:rPr>
                <w:rFonts w:hint="eastAsia" w:ascii="宋体" w:hAnsi="宋体" w:cs="宋体"/>
                <w:bCs/>
                <w:szCs w:val="21"/>
              </w:rPr>
              <w:t>表</w:t>
            </w:r>
            <w:r>
              <w:rPr>
                <w:rFonts w:hint="eastAsia" w:ascii="宋体" w:hAnsi="宋体" w:cs="宋体"/>
                <w:bCs/>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845" w:leftChars="0" w:hanging="425" w:firstLineChars="0"/>
              <w:jc w:val="both"/>
              <w:textAlignment w:val="auto"/>
              <w:outlineLvl w:val="9"/>
              <w:rPr>
                <w:rFonts w:hint="eastAsia" w:ascii="宋体" w:hAnsi="宋体" w:cs="宋体"/>
                <w:color w:val="auto"/>
                <w:sz w:val="21"/>
                <w:szCs w:val="21"/>
                <w:lang w:val="en-US" w:eastAsia="zh-CN"/>
              </w:rPr>
            </w:pPr>
            <w:r>
              <w:rPr>
                <w:rFonts w:hint="eastAsia" w:ascii="宋体" w:hAnsi="宋体" w:cs="宋体"/>
                <w:bCs/>
                <w:szCs w:val="21"/>
                <w:lang w:val="en-US" w:eastAsia="zh-CN"/>
              </w:rPr>
              <w:t>福建汇邦包装</w:t>
            </w:r>
            <w:r>
              <w:rPr>
                <w:rFonts w:hint="eastAsia" w:ascii="宋体" w:hAnsi="宋体" w:cs="宋体"/>
                <w:bCs/>
                <w:szCs w:val="21"/>
              </w:rPr>
              <w:t>有限公司</w:t>
            </w:r>
            <w:r>
              <w:rPr>
                <w:rFonts w:hint="eastAsia" w:ascii="宋体" w:hAnsi="宋体" w:cs="宋体"/>
                <w:bCs/>
                <w:szCs w:val="21"/>
                <w:lang w:val="en-US" w:eastAsia="zh-CN"/>
              </w:rPr>
              <w:t xml:space="preserve">   </w:t>
            </w:r>
            <w:r>
              <w:rPr>
                <w:rFonts w:hint="eastAsia" w:ascii="宋体" w:hAnsi="宋体" w:cs="宋体"/>
                <w:color w:val="auto"/>
                <w:sz w:val="21"/>
                <w:szCs w:val="21"/>
                <w:lang w:eastAsia="zh-CN"/>
              </w:rPr>
              <w:t>供应产品：</w:t>
            </w:r>
            <w:r>
              <w:rPr>
                <w:rFonts w:hint="eastAsia" w:ascii="宋体" w:hAnsi="宋体" w:cs="宋体"/>
                <w:color w:val="auto"/>
                <w:sz w:val="21"/>
                <w:szCs w:val="21"/>
                <w:lang w:val="en-US" w:eastAsia="zh-CN"/>
              </w:rPr>
              <w:t>大米包装袋</w:t>
            </w:r>
            <w:r>
              <w:rPr>
                <w:rFonts w:hint="eastAsia" w:ascii="宋体" w:hAnsi="宋体" w:cs="宋体"/>
                <w:color w:val="auto"/>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845" w:leftChars="0" w:hanging="425" w:firstLineChars="0"/>
              <w:jc w:val="both"/>
              <w:textAlignment w:val="auto"/>
              <w:outlineLvl w:val="9"/>
              <w:rPr>
                <w:rFonts w:hint="default" w:ascii="宋体" w:hAnsi="宋体" w:cs="宋体"/>
                <w:bCs/>
                <w:szCs w:val="21"/>
                <w:lang w:val="en-US" w:eastAsia="zh-CN"/>
              </w:rPr>
            </w:pPr>
            <w:r>
              <w:rPr>
                <w:rFonts w:hint="eastAsia" w:ascii="宋体" w:hAnsi="宋体" w:cs="宋体"/>
                <w:bCs/>
                <w:szCs w:val="21"/>
                <w:lang w:val="en-US" w:eastAsia="zh-CN"/>
              </w:rPr>
              <w:t>中央储备粮瑞金直属库有限公司  供应产品：稻谷</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845" w:leftChars="0" w:hanging="425" w:firstLineChars="0"/>
              <w:jc w:val="both"/>
              <w:textAlignment w:val="auto"/>
              <w:outlineLvl w:val="9"/>
              <w:rPr>
                <w:rFonts w:hint="eastAsia" w:ascii="宋体" w:hAnsi="宋体" w:cs="宋体"/>
                <w:bCs/>
                <w:szCs w:val="21"/>
              </w:rPr>
            </w:pPr>
            <w:r>
              <w:rPr>
                <w:rFonts w:hint="eastAsia" w:ascii="宋体" w:hAnsi="宋体" w:cs="宋体"/>
                <w:bCs/>
                <w:szCs w:val="21"/>
                <w:lang w:val="en-US" w:eastAsia="zh-CN"/>
              </w:rPr>
              <w:t>滁州市正兴米厂  供应产品：本地产丰良大米</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0" w:leftChars="0"/>
              <w:jc w:val="both"/>
              <w:textAlignment w:val="auto"/>
              <w:outlineLvl w:val="9"/>
              <w:rPr>
                <w:rFonts w:hint="default" w:ascii="宋体" w:hAnsi="宋体" w:cs="宋体"/>
                <w:bCs/>
                <w:szCs w:val="21"/>
                <w:lang w:val="en-US"/>
              </w:rPr>
            </w:pPr>
            <w:r>
              <w:rPr>
                <w:rFonts w:hint="eastAsia" w:ascii="宋体" w:hAnsi="宋体" w:cs="宋体"/>
                <w:bCs/>
                <w:szCs w:val="21"/>
                <w:lang w:val="en-US" w:eastAsia="zh-CN"/>
              </w:rPr>
              <w:t>从质量情况、服务情况、价格情况进行评定，均合格</w:t>
            </w:r>
          </w:p>
          <w:p>
            <w:pPr>
              <w:ind w:firstLine="420" w:firstLineChars="200"/>
              <w:rPr>
                <w:rFonts w:hint="eastAsia" w:ascii="宋体" w:hAnsi="宋体" w:cs="宋体"/>
                <w:bCs/>
                <w:szCs w:val="21"/>
                <w:lang w:eastAsia="zh-CN"/>
              </w:rPr>
            </w:pPr>
            <w:r>
              <w:rPr>
                <w:rFonts w:hint="eastAsia" w:ascii="宋体" w:hAnsi="宋体" w:cs="宋体"/>
                <w:bCs/>
                <w:szCs w:val="21"/>
                <w:lang w:val="en-US" w:eastAsia="zh-CN"/>
              </w:rPr>
              <w:t>合格供应商名单、供方评定记录表批准人：温晓丽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bCs/>
                <w:szCs w:val="21"/>
                <w:lang w:val="en-US" w:eastAsia="zh-CN"/>
              </w:rPr>
            </w:pPr>
            <w:r>
              <w:rPr>
                <w:rFonts w:hint="eastAsia" w:ascii="宋体" w:hAnsi="宋体" w:cs="宋体"/>
                <w:bCs/>
                <w:szCs w:val="21"/>
                <w:lang w:val="en-US" w:eastAsia="zh-CN"/>
              </w:rPr>
              <w:t>抽查订货合同：</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bCs/>
                <w:szCs w:val="21"/>
                <w:lang w:val="en-US" w:eastAsia="zh-CN"/>
              </w:rPr>
            </w:pPr>
            <w:r>
              <w:rPr>
                <w:rFonts w:hint="eastAsia" w:ascii="宋体" w:hAnsi="宋体" w:cs="宋体"/>
                <w:bCs/>
                <w:szCs w:val="21"/>
                <w:lang w:val="en-US" w:eastAsia="zh-CN"/>
              </w:rPr>
              <w:t>福建汇邦包装</w:t>
            </w:r>
            <w:r>
              <w:rPr>
                <w:rFonts w:hint="eastAsia" w:ascii="宋体" w:hAnsi="宋体" w:cs="宋体"/>
                <w:bCs/>
                <w:szCs w:val="21"/>
              </w:rPr>
              <w:t>有限公司</w:t>
            </w:r>
            <w:r>
              <w:rPr>
                <w:rFonts w:hint="eastAsia" w:ascii="宋体" w:hAnsi="宋体" w:cs="宋体"/>
                <w:bCs/>
                <w:szCs w:val="21"/>
                <w:lang w:eastAsia="zh-CN"/>
              </w:rPr>
              <w:t>　</w:t>
            </w:r>
            <w:r>
              <w:rPr>
                <w:rFonts w:hint="eastAsia" w:ascii="宋体" w:hAnsi="宋体" w:cs="宋体"/>
                <w:bCs/>
                <w:szCs w:val="21"/>
                <w:lang w:val="en-US" w:eastAsia="zh-CN"/>
              </w:rPr>
              <w:t>包装袋  合同签订日期2021.8.16  双方盖章签字；</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宋体" w:hAnsi="宋体" w:cs="宋体"/>
                <w:bCs/>
                <w:szCs w:val="21"/>
                <w:lang w:val="en-US" w:eastAsia="zh-CN"/>
              </w:rPr>
            </w:pPr>
            <w:r>
              <w:rPr>
                <w:rFonts w:hint="eastAsia" w:ascii="宋体" w:hAnsi="宋体" w:cs="宋体"/>
                <w:bCs/>
                <w:szCs w:val="21"/>
                <w:lang w:val="en-US" w:eastAsia="zh-CN"/>
              </w:rPr>
              <w:t>中央储备粮瑞金直属库有限公司  晚籼稻谷  订立大米购销合同  双方盖章  时间2021年1月14日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20" w:leftChars="0"/>
              <w:jc w:val="both"/>
              <w:textAlignment w:val="auto"/>
              <w:outlineLvl w:val="9"/>
              <w:rPr>
                <w:rFonts w:hint="default" w:ascii="宋体" w:hAnsi="宋体" w:cs="宋体"/>
                <w:bCs/>
                <w:szCs w:val="21"/>
                <w:lang w:val="en-US"/>
              </w:rPr>
            </w:pPr>
            <w:r>
              <w:rPr>
                <w:rFonts w:hint="eastAsia" w:ascii="宋体" w:hAnsi="宋体" w:cs="宋体"/>
                <w:bCs/>
                <w:szCs w:val="21"/>
                <w:lang w:val="en-US" w:eastAsia="zh-CN"/>
              </w:rPr>
              <w:t>滁州市正兴米厂  本地产丰良大米  订立大米购销合同  双方盖章  时间2020年1月3日</w:t>
            </w:r>
          </w:p>
          <w:p>
            <w:pPr>
              <w:ind w:firstLine="420"/>
              <w:rPr>
                <w:rFonts w:hint="eastAsia"/>
                <w:lang w:val="en-US" w:eastAsia="zh-CN"/>
              </w:rPr>
            </w:pPr>
            <w:r>
              <w:rPr>
                <w:rFonts w:hint="eastAsia"/>
                <w:lang w:val="en-US" w:eastAsia="zh-CN"/>
              </w:rPr>
              <w:t>合同明确产易类型、期限、供应产品及质量要求、价格及交付、双方责任等。</w:t>
            </w:r>
          </w:p>
          <w:p>
            <w:pPr>
              <w:ind w:firstLine="420"/>
              <w:rPr>
                <w:rFonts w:hint="eastAsia"/>
                <w:lang w:eastAsia="zh-CN"/>
              </w:rPr>
            </w:pPr>
            <w:r>
              <w:rPr>
                <w:rFonts w:hint="eastAsia" w:ascii="Times New Roman" w:hAnsi="Times New Roman" w:cs="Times New Roman"/>
                <w:lang w:val="en-US" w:eastAsia="zh-CN"/>
              </w:rPr>
              <w:t>抽 有７月、９月到货稻谷采购申请单，已批准，明确数量、级别、进货时间，要求执行合同；</w:t>
            </w:r>
          </w:p>
          <w:p>
            <w:pPr>
              <w:pStyle w:val="8"/>
              <w:ind w:firstLine="460" w:firstLineChars="200"/>
              <w:rPr>
                <w:rFonts w:hint="default" w:eastAsia="宋体"/>
                <w:lang w:val="en-US" w:eastAsia="zh-CN"/>
              </w:rPr>
            </w:pPr>
            <w:r>
              <w:rPr>
                <w:rFonts w:hint="eastAsia" w:ascii="宋体" w:hAnsi="宋体" w:cs="宋体"/>
                <w:bCs/>
                <w:szCs w:val="21"/>
                <w:lang w:val="en-US" w:eastAsia="zh-CN"/>
              </w:rPr>
              <w:t>采购产品到货后立即通知质管部进行检验，并验证供方出厂报告，合格接收，不合格退货，确保外部提供产品和服务满足要求。</w:t>
            </w:r>
          </w:p>
          <w:p>
            <w:pPr>
              <w:ind w:firstLine="420" w:firstLineChars="200"/>
              <w:rPr>
                <w:rFonts w:ascii="宋体" w:hAnsi="宋体" w:eastAsia="宋体" w:cs="宋体"/>
                <w:bCs/>
                <w:kern w:val="2"/>
                <w:sz w:val="21"/>
                <w:szCs w:val="21"/>
                <w:lang w:val="en-US" w:eastAsia="zh-CN" w:bidi="ar-SA"/>
              </w:rPr>
            </w:pP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bl>
    <w:p>
      <w:pPr>
        <w:pStyle w:val="4"/>
        <w:rPr>
          <w:rFonts w:hint="eastAsia"/>
        </w:rPr>
      </w:pPr>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031FF"/>
    <w:multiLevelType w:val="singleLevel"/>
    <w:tmpl w:val="F36031FF"/>
    <w:lvl w:ilvl="0" w:tentative="0">
      <w:start w:val="1"/>
      <w:numFmt w:val="decimal"/>
      <w:lvlText w:val="%1)"/>
      <w:lvlJc w:val="left"/>
      <w:pPr>
        <w:tabs>
          <w:tab w:val="left" w:pos="420"/>
        </w:tabs>
        <w:ind w:left="845" w:hanging="425"/>
      </w:pPr>
      <w:rPr>
        <w:rFonts w:hint="default"/>
      </w:rPr>
    </w:lvl>
  </w:abstractNum>
  <w:abstractNum w:abstractNumId="1">
    <w:nsid w:val="6AF0A612"/>
    <w:multiLevelType w:val="singleLevel"/>
    <w:tmpl w:val="6AF0A612"/>
    <w:lvl w:ilvl="0" w:tentative="0">
      <w:start w:val="1"/>
      <w:numFmt w:val="decimal"/>
      <w:lvlText w:val="%1)"/>
      <w:lvlJc w:val="left"/>
      <w:pPr>
        <w:tabs>
          <w:tab w:val="left" w:pos="420"/>
        </w:tabs>
        <w:ind w:left="845" w:hanging="425"/>
      </w:pPr>
      <w:rPr>
        <w:rFonts w:hint="default"/>
      </w:rPr>
    </w:lvl>
  </w:abstractNum>
  <w:abstractNum w:abstractNumId="2">
    <w:nsid w:val="6B056C50"/>
    <w:multiLevelType w:val="multilevel"/>
    <w:tmpl w:val="6B056C50"/>
    <w:lvl w:ilvl="0" w:tentative="0">
      <w:start w:val="1"/>
      <w:numFmt w:val="decimal"/>
      <w:pStyle w:val="14"/>
      <w:lvlText w:val="%1"/>
      <w:lvlJc w:val="left"/>
      <w:pPr>
        <w:tabs>
          <w:tab w:val="left" w:pos="360"/>
        </w:tabs>
        <w:ind w:left="360" w:hanging="360"/>
      </w:pPr>
      <w:rPr>
        <w:rFonts w:hint="eastAsi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D7337"/>
    <w:rsid w:val="06FB10EA"/>
    <w:rsid w:val="072C0D45"/>
    <w:rsid w:val="082953E1"/>
    <w:rsid w:val="08C3423C"/>
    <w:rsid w:val="105C397A"/>
    <w:rsid w:val="111C54B8"/>
    <w:rsid w:val="11A21FD2"/>
    <w:rsid w:val="12A7629C"/>
    <w:rsid w:val="13E94E03"/>
    <w:rsid w:val="151E0CAF"/>
    <w:rsid w:val="172A450D"/>
    <w:rsid w:val="1E7C0C5C"/>
    <w:rsid w:val="203171E6"/>
    <w:rsid w:val="25A02DE3"/>
    <w:rsid w:val="261E3E24"/>
    <w:rsid w:val="26AE0D9C"/>
    <w:rsid w:val="27F64C67"/>
    <w:rsid w:val="2B664EF8"/>
    <w:rsid w:val="2F5127C0"/>
    <w:rsid w:val="30525509"/>
    <w:rsid w:val="32847649"/>
    <w:rsid w:val="32D62404"/>
    <w:rsid w:val="3663102A"/>
    <w:rsid w:val="38537161"/>
    <w:rsid w:val="38BE30CD"/>
    <w:rsid w:val="3951577D"/>
    <w:rsid w:val="39B10E02"/>
    <w:rsid w:val="3FEE2A60"/>
    <w:rsid w:val="3FFF6B3C"/>
    <w:rsid w:val="401D2B19"/>
    <w:rsid w:val="4046759A"/>
    <w:rsid w:val="41B8494E"/>
    <w:rsid w:val="46480662"/>
    <w:rsid w:val="474B7806"/>
    <w:rsid w:val="497D669D"/>
    <w:rsid w:val="4B207100"/>
    <w:rsid w:val="4C044B47"/>
    <w:rsid w:val="4E746021"/>
    <w:rsid w:val="50EB6F0F"/>
    <w:rsid w:val="54C87878"/>
    <w:rsid w:val="553A2B7D"/>
    <w:rsid w:val="57821C7E"/>
    <w:rsid w:val="582B159A"/>
    <w:rsid w:val="590F0B50"/>
    <w:rsid w:val="59AA22A6"/>
    <w:rsid w:val="5A804E36"/>
    <w:rsid w:val="5A90452E"/>
    <w:rsid w:val="5D8F5586"/>
    <w:rsid w:val="5EE07ED4"/>
    <w:rsid w:val="66FD31C9"/>
    <w:rsid w:val="6E1F1C60"/>
    <w:rsid w:val="6EFB1181"/>
    <w:rsid w:val="6F633DD2"/>
    <w:rsid w:val="6F996DC4"/>
    <w:rsid w:val="73C53D43"/>
    <w:rsid w:val="77977DD4"/>
    <w:rsid w:val="7BB93E9E"/>
    <w:rsid w:val="7CBD1EEC"/>
    <w:rsid w:val="7ED47189"/>
    <w:rsid w:val="7F1846DD"/>
    <w:rsid w:val="7F406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9"/>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曹安春1"/>
    <w:basedOn w:val="1"/>
    <w:qFormat/>
    <w:uiPriority w:val="0"/>
    <w:pPr>
      <w:numPr>
        <w:ilvl w:val="0"/>
        <w:numId w:val="1"/>
      </w:numPr>
      <w:spacing w:before="50" w:beforeLines="50" w:after="50" w:afterLines="50"/>
    </w:pPr>
    <w:rPr>
      <w:rFonts w:ascii="Arial" w:hAnsi="Arial" w:eastAsia="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2021-12-03T08:41:56Z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