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主要领导：肖少辉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曾伟平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de-DE"/>
              </w:rPr>
              <w:t>汪桂丽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A、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de-DE"/>
              </w:rPr>
              <w:t>肖新龙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de-DE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夏爱俭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（实习）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审核时间：202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B  EMS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 5.3组织的岗位、职责和权限、6.2环境与职业健康安全目标、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6.1.2环境因素/危险源辨识与评价、8.1运行策划和控制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  OMS：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5.3组织的岗位、职责和权限、6.2环境与职业健康安全目标、6.1.2环境因素/危险源辨识与评价、8.1运行策划和控制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EO5.3</w:t>
            </w:r>
          </w:p>
          <w:p>
            <w:pPr>
              <w:pStyle w:val="2"/>
            </w:pPr>
          </w:p>
        </w:tc>
        <w:tc>
          <w:tcPr>
            <w:tcW w:w="10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部门负责人：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肖少辉，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通过微信音频，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询问其</w:t>
            </w:r>
            <w:r>
              <w:rPr>
                <w:rFonts w:hint="eastAsia" w:ascii="宋体" w:hAnsi="宋体" w:eastAsia="宋体" w:cs="宋体"/>
                <w:szCs w:val="21"/>
              </w:rPr>
              <w:t>职责权限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a)负责根据客户要求打样、进行包装图纸的制作；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b)负责现场进行技术指导；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c)负责本部门有关的风险、环境因素和危险源的控制管理。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eastAsia="楷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在手册中得到</w:t>
            </w:r>
            <w:r>
              <w:rPr>
                <w:rFonts w:hint="eastAsia" w:ascii="宋体" w:hAnsi="宋体" w:eastAsia="宋体" w:cs="宋体"/>
                <w:szCs w:val="21"/>
              </w:rPr>
              <w:t>明确，回答基本完整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EO6.2</w:t>
            </w:r>
          </w:p>
          <w:p>
            <w:pPr>
              <w:rPr>
                <w:rFonts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4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公司环境及职业健康安全目标和指标是: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环境目标：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（1）固体废弃物100％合法处理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（2）预防火灾，火灾事故为0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职业健康安全目标：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（1）杜绝死亡事故，工伤事故每年少于0起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（2）职业病为0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部目标分解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及考核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目标                                 考核情况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1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培训及时率100%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100%</w:t>
            </w:r>
          </w:p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1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文件受控率100%                              100%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1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固体废弃物100％合法处理                     100%</w:t>
            </w:r>
          </w:p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1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预防火灾，火灾事故为0                        0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1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杜绝死亡事故，工伤事故每年少于0起            0</w:t>
            </w:r>
          </w:p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1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职业病为0                                    0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进行一次考核，目标基本实现。考核人：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温晓丽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部针对确定的重大环境因素和不可接受风险，制定环境/安全管理方案，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统一由行政部汇总后，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报管理者代表审核，总经理批准。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 “环境因素管理方案”和“不可接受风险清单”，针对重要环境因素和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不可接受风险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制订了相应的管理方案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规定了措施方法、完成时间表、责任人、资金等情况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抽查1：火灾：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方法措施/技术手段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制定相应的管理制度并严格执行，配备必要的防火设施（包括灭火器、消防栓等）并保证其完好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成立应急响应工作小组（见《应急响应</w:t>
            </w:r>
            <w:r>
              <w:rPr>
                <w:rFonts w:hint="eastAsia"/>
                <w:szCs w:val="21"/>
                <w:lang w:eastAsia="zh-CN"/>
              </w:rPr>
              <w:t>方案</w:t>
            </w:r>
            <w:r>
              <w:rPr>
                <w:rFonts w:hint="eastAsia"/>
                <w:szCs w:val="21"/>
              </w:rPr>
              <w:t>》）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淘汰过期、报废办公设备,监督物业方对公共区域灭火器等消防器材进行定期更新，公司内部自己配置灭火器；每年进行一次消防演习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完成时间：长期，检查频次：每年，费用：2000元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提供《目标指标及管理方案检查表》，于2021.4.17曾伟平完成检查。符合要求。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抽查2：</w:t>
            </w:r>
            <w:r>
              <w:rPr>
                <w:rFonts w:hint="eastAsia"/>
                <w:szCs w:val="21"/>
              </w:rPr>
              <w:t>固体废弃物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方法措施/技术手段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按可回收、不可回收、危险废弃物等固体废弃物分类专门存放，统一收集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严格执行《废弃物控制程序》及公司环境卫生管理规定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完成时间：长期，检查频次：每年，费用：2000元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提供《目标指标及管理方案检查表》，于2021.4.17曾伟平完成检查。符合要求。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以上目标已按期进行检查考核，基本符合要求。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160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环境因素/危险源识别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EO6.1.2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694" w:type="dxa"/>
            <w:vAlign w:val="center"/>
          </w:tcPr>
          <w:p>
            <w:pPr>
              <w:spacing w:line="394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</w:rPr>
              <w:t>制定了《环境安全因素的识别评价程序》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符合标准要求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>
            <w:pPr>
              <w:spacing w:line="394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</w:rPr>
              <w:t>在活动和服务中能够控制和可望施加影响的环境因素进行识别，评价出重要环境因素，并根据相关情况的变化及有关法律、法规和其他要求的变化，及时更新环境因素，实现对环境污染的预防和有效控制。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本部门的</w:t>
            </w:r>
            <w:r>
              <w:rPr>
                <w:rFonts w:hint="eastAsia" w:ascii="宋体" w:hAnsi="宋体" w:eastAsia="宋体" w:cs="宋体"/>
                <w:szCs w:val="21"/>
              </w:rPr>
              <w:t>“环境因素识别评价表”“重要环境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因素一览表</w:t>
            </w:r>
            <w:r>
              <w:rPr>
                <w:rFonts w:hint="eastAsia" w:ascii="宋体" w:hAnsi="宋体" w:eastAsia="宋体" w:cs="宋体"/>
                <w:szCs w:val="21"/>
              </w:rPr>
              <w:t>”， 评价考虑了三种时态现在、过去、将来、三种状态、异常、正常、紧急考虑了法律法规，并进行了评价，服务过程，用打分法考虑了法规符合性、发生频次、影响范围等, 通过定性判断法，共识别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出重大环境因素2项</w:t>
            </w:r>
            <w:r>
              <w:rPr>
                <w:rFonts w:hint="eastAsia" w:ascii="宋体" w:hAnsi="宋体" w:eastAsia="宋体" w:cs="宋体"/>
                <w:szCs w:val="21"/>
              </w:rPr>
              <w:t>：固废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的废弃</w:t>
            </w:r>
            <w:r>
              <w:rPr>
                <w:rFonts w:hint="eastAsia" w:ascii="宋体" w:hAnsi="宋体" w:eastAsia="宋体" w:cs="宋体"/>
                <w:szCs w:val="21"/>
              </w:rPr>
              <w:t>、火灾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的产生</w:t>
            </w:r>
            <w:r>
              <w:rPr>
                <w:rFonts w:hint="eastAsia" w:ascii="宋体" w:hAnsi="宋体" w:eastAsia="宋体" w:cs="宋体"/>
                <w:szCs w:val="21"/>
              </w:rPr>
              <w:t>，评价符合程序要求及公司的实际情况。对重要环境因素的控制措施包括制定管理制度、监督检查、应急预案、培训等。</w:t>
            </w:r>
          </w:p>
          <w:p>
            <w:pPr>
              <w:spacing w:line="394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</w:rPr>
              <w:t>在活动和服务中能够控制和可望施加影响的危险源进行辨识，评价出不可接受，并根据公司相关情况的变化及有关法律法规和其他要求的变化，及时更新危险源，实现对职业健康安全风险的预防和有效控制。</w:t>
            </w:r>
          </w:p>
          <w:p>
            <w:pPr>
              <w:bidi w:val="0"/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本部门的</w:t>
            </w:r>
            <w:r>
              <w:rPr>
                <w:rFonts w:hint="eastAsia" w:ascii="宋体" w:hAnsi="宋体" w:eastAsia="宋体" w:cs="宋体"/>
                <w:szCs w:val="21"/>
              </w:rPr>
              <w:t>：“危险源识别与风险评价表”、“不可接受风险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一览表</w:t>
            </w:r>
            <w:r>
              <w:rPr>
                <w:rFonts w:hint="eastAsia" w:ascii="宋体" w:hAnsi="宋体" w:eastAsia="宋体" w:cs="宋体"/>
                <w:szCs w:val="21"/>
              </w:rPr>
              <w:t>”， 评价考虑了将来、状态、可能导致的事件，并进行了评价，用打分法考虑了法规符合性、发生频次、影响范围等, 通过是非法，共识别出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不可接受风险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，涉及：火灾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的产生</w:t>
            </w:r>
            <w:r>
              <w:rPr>
                <w:rFonts w:hint="eastAsia" w:ascii="宋体" w:hAnsi="宋体" w:eastAsia="宋体" w:cs="宋体"/>
                <w:szCs w:val="21"/>
              </w:rPr>
              <w:t>，评价符合程序要求及公司的实际情况。对危险源的控制措施包括制定管理制度、监督检查、应急预案、培训等。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EO8.1</w:t>
            </w:r>
          </w:p>
        </w:tc>
        <w:tc>
          <w:tcPr>
            <w:tcW w:w="10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本部门应执行的运行控制文件包括：运行控制程序，废弃物管理规定、相关方管理</w:t>
            </w:r>
            <w:r>
              <w:rPr>
                <w:rFonts w:hint="eastAsia"/>
                <w:highlight w:val="none"/>
                <w:lang w:val="en-US" w:eastAsia="zh-CN"/>
              </w:rPr>
              <w:t>制度</w:t>
            </w:r>
            <w:r>
              <w:rPr>
                <w:rFonts w:hint="eastAsia"/>
                <w:highlight w:val="none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能源资源</w:t>
            </w:r>
            <w:r>
              <w:rPr>
                <w:rFonts w:hint="eastAsia"/>
                <w:highlight w:val="none"/>
              </w:rPr>
              <w:t>管理规定、</w:t>
            </w:r>
            <w:r>
              <w:rPr>
                <w:rFonts w:hint="eastAsia"/>
                <w:highlight w:val="none"/>
                <w:lang w:val="en-US" w:eastAsia="zh-CN"/>
              </w:rPr>
              <w:t>固体分类管理制度、</w:t>
            </w:r>
            <w:r>
              <w:rPr>
                <w:rFonts w:hint="eastAsia"/>
                <w:highlight w:val="none"/>
              </w:rPr>
              <w:t>消防管理制度、安全管理制度等。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查运行控制情况：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火灾：</w:t>
            </w:r>
            <w:r>
              <w:rPr>
                <w:rFonts w:hint="eastAsia"/>
                <w:highlight w:val="none"/>
                <w:lang w:val="en-US" w:eastAsia="zh-CN"/>
              </w:rPr>
              <w:t>通过微信视频查看到：</w:t>
            </w:r>
            <w:r>
              <w:rPr>
                <w:rFonts w:hint="eastAsia"/>
                <w:highlight w:val="none"/>
              </w:rPr>
              <w:t>现场配备了消防栓、灭火器，在有效压力范围内。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提供了环境安全检查记录：</w:t>
            </w:r>
            <w:r>
              <w:rPr>
                <w:rFonts w:hint="eastAsia"/>
                <w:highlight w:val="none"/>
              </w:rPr>
              <w:t>每月对消防器材进行一次全面检查--提供消防器材检查记录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触电：办公区均使用安全电器，灯具离地距离符合要求，每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highlight w:val="none"/>
              </w:rPr>
              <w:t>一次检查线路、灯具、电器等的安全性能，经常对员工进行安全用电知识宣贯，确保安全用电，无触电事故发生。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汽车尾气：使用高标号燃油降低汽车尾气有害气体的排放，定期对车辆进行检定，避免事故、尾气达标排放等。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办公过程注意节约用电，做到人走灯灭，电脑长时间不用时关机，下班前要关闭电源；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  <w:r>
              <w:rPr>
                <w:rFonts w:hint="eastAsia"/>
                <w:highlight w:val="none"/>
                <w:lang w:val="en-US" w:eastAsia="zh-CN"/>
              </w:rPr>
              <w:t>公</w:t>
            </w:r>
            <w:r>
              <w:rPr>
                <w:rFonts w:hint="eastAsia"/>
                <w:highlight w:val="none"/>
              </w:rPr>
              <w:t>过程产生的固废按</w:t>
            </w:r>
            <w:r>
              <w:rPr>
                <w:rFonts w:hint="eastAsia"/>
                <w:highlight w:val="none"/>
                <w:lang w:val="en-US" w:eastAsia="zh-CN"/>
              </w:rPr>
              <w:t>行政</w:t>
            </w:r>
            <w:r>
              <w:rPr>
                <w:rFonts w:hint="eastAsia"/>
                <w:highlight w:val="none"/>
              </w:rPr>
              <w:t>部要求放到指定地点，</w:t>
            </w:r>
            <w:r>
              <w:rPr>
                <w:rFonts w:hint="eastAsia"/>
                <w:highlight w:val="none"/>
                <w:lang w:val="en-US" w:eastAsia="zh-CN"/>
              </w:rPr>
              <w:t>不允许</w:t>
            </w:r>
            <w:r>
              <w:rPr>
                <w:rFonts w:hint="eastAsia"/>
                <w:highlight w:val="none"/>
              </w:rPr>
              <w:t>混放；办公用品按要求由</w:t>
            </w:r>
            <w:r>
              <w:rPr>
                <w:rFonts w:hint="eastAsia"/>
                <w:highlight w:val="none"/>
                <w:lang w:val="en-US" w:eastAsia="zh-CN"/>
              </w:rPr>
              <w:t>行政</w:t>
            </w:r>
            <w:r>
              <w:rPr>
                <w:rFonts w:hint="eastAsia"/>
                <w:highlight w:val="none"/>
              </w:rPr>
              <w:t xml:space="preserve">部负责发放，作好记录；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生活污水用于绿化、洒水降尘；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固废排放：生活办公垃圾按照规定</w:t>
            </w:r>
            <w:r>
              <w:rPr>
                <w:rFonts w:hint="eastAsia"/>
                <w:highlight w:val="none"/>
                <w:lang w:val="en-US" w:eastAsia="zh-CN"/>
              </w:rPr>
              <w:t>分类</w:t>
            </w:r>
            <w:r>
              <w:rPr>
                <w:rFonts w:hint="eastAsia"/>
                <w:highlight w:val="none"/>
              </w:rPr>
              <w:t>放置指定区域</w:t>
            </w:r>
            <w:r>
              <w:rPr>
                <w:rFonts w:hint="eastAsia"/>
                <w:highlight w:val="none"/>
                <w:lang w:val="en-US" w:eastAsia="zh-CN"/>
              </w:rPr>
              <w:t>和容器中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本部门环境及职业健康安全运行正常。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</w:tbl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A34"/>
    <w:rsid w:val="000237F6"/>
    <w:rsid w:val="00024C50"/>
    <w:rsid w:val="0003373A"/>
    <w:rsid w:val="00036143"/>
    <w:rsid w:val="00046917"/>
    <w:rsid w:val="00053AAE"/>
    <w:rsid w:val="00071661"/>
    <w:rsid w:val="00090528"/>
    <w:rsid w:val="000A53EB"/>
    <w:rsid w:val="000B0723"/>
    <w:rsid w:val="00181E98"/>
    <w:rsid w:val="00187822"/>
    <w:rsid w:val="00193307"/>
    <w:rsid w:val="001A2D7F"/>
    <w:rsid w:val="001E6B5E"/>
    <w:rsid w:val="001F0932"/>
    <w:rsid w:val="002003A0"/>
    <w:rsid w:val="002119A8"/>
    <w:rsid w:val="002426BC"/>
    <w:rsid w:val="002539A0"/>
    <w:rsid w:val="00283657"/>
    <w:rsid w:val="00292C83"/>
    <w:rsid w:val="002B311A"/>
    <w:rsid w:val="002E1F88"/>
    <w:rsid w:val="003022CC"/>
    <w:rsid w:val="00337922"/>
    <w:rsid w:val="00340867"/>
    <w:rsid w:val="003518B5"/>
    <w:rsid w:val="00366399"/>
    <w:rsid w:val="00375E04"/>
    <w:rsid w:val="00380837"/>
    <w:rsid w:val="00384E2C"/>
    <w:rsid w:val="003A198A"/>
    <w:rsid w:val="003B3E99"/>
    <w:rsid w:val="003D3E93"/>
    <w:rsid w:val="003F5657"/>
    <w:rsid w:val="003F740E"/>
    <w:rsid w:val="00410914"/>
    <w:rsid w:val="00411629"/>
    <w:rsid w:val="00440658"/>
    <w:rsid w:val="00464DDE"/>
    <w:rsid w:val="004674DB"/>
    <w:rsid w:val="00470352"/>
    <w:rsid w:val="00484369"/>
    <w:rsid w:val="004920B1"/>
    <w:rsid w:val="004B720C"/>
    <w:rsid w:val="004E2437"/>
    <w:rsid w:val="004E5837"/>
    <w:rsid w:val="00526127"/>
    <w:rsid w:val="00536930"/>
    <w:rsid w:val="00564E53"/>
    <w:rsid w:val="005946BA"/>
    <w:rsid w:val="005D203C"/>
    <w:rsid w:val="0060324D"/>
    <w:rsid w:val="00636B21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2BD"/>
    <w:rsid w:val="00825954"/>
    <w:rsid w:val="008433DF"/>
    <w:rsid w:val="00862507"/>
    <w:rsid w:val="008973EE"/>
    <w:rsid w:val="00961F4F"/>
    <w:rsid w:val="00971600"/>
    <w:rsid w:val="00976228"/>
    <w:rsid w:val="00983C4C"/>
    <w:rsid w:val="009973B4"/>
    <w:rsid w:val="00997D7E"/>
    <w:rsid w:val="009A17DD"/>
    <w:rsid w:val="009C28C1"/>
    <w:rsid w:val="009E5A60"/>
    <w:rsid w:val="009F0149"/>
    <w:rsid w:val="009F2225"/>
    <w:rsid w:val="009F2F86"/>
    <w:rsid w:val="009F7EED"/>
    <w:rsid w:val="00A02F21"/>
    <w:rsid w:val="00A276A6"/>
    <w:rsid w:val="00A3294E"/>
    <w:rsid w:val="00A50632"/>
    <w:rsid w:val="00A51134"/>
    <w:rsid w:val="00AF0AAB"/>
    <w:rsid w:val="00B1087D"/>
    <w:rsid w:val="00B160FB"/>
    <w:rsid w:val="00B16488"/>
    <w:rsid w:val="00B1795C"/>
    <w:rsid w:val="00B26981"/>
    <w:rsid w:val="00B32E56"/>
    <w:rsid w:val="00B475D1"/>
    <w:rsid w:val="00B50C92"/>
    <w:rsid w:val="00B6150E"/>
    <w:rsid w:val="00B66FE1"/>
    <w:rsid w:val="00B73A93"/>
    <w:rsid w:val="00B95A05"/>
    <w:rsid w:val="00BB0BC9"/>
    <w:rsid w:val="00BC6844"/>
    <w:rsid w:val="00BE29A2"/>
    <w:rsid w:val="00BF597E"/>
    <w:rsid w:val="00C25D84"/>
    <w:rsid w:val="00C5177A"/>
    <w:rsid w:val="00C51A36"/>
    <w:rsid w:val="00C55228"/>
    <w:rsid w:val="00C76E98"/>
    <w:rsid w:val="00C80696"/>
    <w:rsid w:val="00CA1D28"/>
    <w:rsid w:val="00CB1062"/>
    <w:rsid w:val="00CD0F2B"/>
    <w:rsid w:val="00CD106F"/>
    <w:rsid w:val="00CD278B"/>
    <w:rsid w:val="00CE315A"/>
    <w:rsid w:val="00CE6D06"/>
    <w:rsid w:val="00CF776D"/>
    <w:rsid w:val="00D06F59"/>
    <w:rsid w:val="00D11C38"/>
    <w:rsid w:val="00D513CF"/>
    <w:rsid w:val="00D77D72"/>
    <w:rsid w:val="00D8388C"/>
    <w:rsid w:val="00DA2A63"/>
    <w:rsid w:val="00DA57D8"/>
    <w:rsid w:val="00DB65E4"/>
    <w:rsid w:val="00DF2EA5"/>
    <w:rsid w:val="00E7307B"/>
    <w:rsid w:val="00E754A7"/>
    <w:rsid w:val="00E80AE3"/>
    <w:rsid w:val="00E80CCA"/>
    <w:rsid w:val="00E93330"/>
    <w:rsid w:val="00E954C4"/>
    <w:rsid w:val="00EB0164"/>
    <w:rsid w:val="00ED0F62"/>
    <w:rsid w:val="00F305C2"/>
    <w:rsid w:val="00F617EA"/>
    <w:rsid w:val="00F71A76"/>
    <w:rsid w:val="00F77ECA"/>
    <w:rsid w:val="00F87C00"/>
    <w:rsid w:val="00F95653"/>
    <w:rsid w:val="00FB3DD3"/>
    <w:rsid w:val="00FC02C4"/>
    <w:rsid w:val="00FD35C5"/>
    <w:rsid w:val="00FD726A"/>
    <w:rsid w:val="00FF050E"/>
    <w:rsid w:val="02B84719"/>
    <w:rsid w:val="02FA6253"/>
    <w:rsid w:val="032C3757"/>
    <w:rsid w:val="036603D4"/>
    <w:rsid w:val="04617F72"/>
    <w:rsid w:val="04C04927"/>
    <w:rsid w:val="05B11F2A"/>
    <w:rsid w:val="06400A4B"/>
    <w:rsid w:val="06E01EC3"/>
    <w:rsid w:val="09156036"/>
    <w:rsid w:val="09535250"/>
    <w:rsid w:val="09806D23"/>
    <w:rsid w:val="0B156FC6"/>
    <w:rsid w:val="0B256D46"/>
    <w:rsid w:val="0BB74A17"/>
    <w:rsid w:val="0C1821A1"/>
    <w:rsid w:val="0C5F0639"/>
    <w:rsid w:val="0C85106D"/>
    <w:rsid w:val="0D66233C"/>
    <w:rsid w:val="0D8B1FB3"/>
    <w:rsid w:val="0F6442AD"/>
    <w:rsid w:val="0F8676D2"/>
    <w:rsid w:val="0FD43808"/>
    <w:rsid w:val="0FDA7F53"/>
    <w:rsid w:val="108219C2"/>
    <w:rsid w:val="109202F8"/>
    <w:rsid w:val="10E06F0C"/>
    <w:rsid w:val="11705116"/>
    <w:rsid w:val="11C646FD"/>
    <w:rsid w:val="1372407B"/>
    <w:rsid w:val="15110FDA"/>
    <w:rsid w:val="155A19C5"/>
    <w:rsid w:val="17B20018"/>
    <w:rsid w:val="18DB38B5"/>
    <w:rsid w:val="1A120A39"/>
    <w:rsid w:val="1AD215C7"/>
    <w:rsid w:val="1B2C7B1C"/>
    <w:rsid w:val="1C2A4AFC"/>
    <w:rsid w:val="1E295883"/>
    <w:rsid w:val="1E565434"/>
    <w:rsid w:val="1E90527F"/>
    <w:rsid w:val="21747ECE"/>
    <w:rsid w:val="22017E7F"/>
    <w:rsid w:val="229A3406"/>
    <w:rsid w:val="23295CA8"/>
    <w:rsid w:val="23544896"/>
    <w:rsid w:val="235E7C88"/>
    <w:rsid w:val="246B6135"/>
    <w:rsid w:val="24BC709D"/>
    <w:rsid w:val="24FE116D"/>
    <w:rsid w:val="26E4625C"/>
    <w:rsid w:val="278158A4"/>
    <w:rsid w:val="27B53290"/>
    <w:rsid w:val="28A46FFC"/>
    <w:rsid w:val="29A06FDB"/>
    <w:rsid w:val="2A094228"/>
    <w:rsid w:val="2A134B34"/>
    <w:rsid w:val="2A712F0F"/>
    <w:rsid w:val="2B2E2752"/>
    <w:rsid w:val="2B9022F9"/>
    <w:rsid w:val="2BDA53DA"/>
    <w:rsid w:val="2BFC024F"/>
    <w:rsid w:val="2C2916B9"/>
    <w:rsid w:val="2C475FE3"/>
    <w:rsid w:val="2C8D5F0F"/>
    <w:rsid w:val="2C9B1E1D"/>
    <w:rsid w:val="2D142369"/>
    <w:rsid w:val="2F4B0E69"/>
    <w:rsid w:val="30D16CC5"/>
    <w:rsid w:val="316945CB"/>
    <w:rsid w:val="31C028B0"/>
    <w:rsid w:val="37476F8A"/>
    <w:rsid w:val="38610411"/>
    <w:rsid w:val="38AA56C2"/>
    <w:rsid w:val="38E10519"/>
    <w:rsid w:val="39827C37"/>
    <w:rsid w:val="39D90EB2"/>
    <w:rsid w:val="3B282A62"/>
    <w:rsid w:val="3C125F9B"/>
    <w:rsid w:val="3C1959EB"/>
    <w:rsid w:val="3C775D4C"/>
    <w:rsid w:val="3D2F613A"/>
    <w:rsid w:val="3E1444F6"/>
    <w:rsid w:val="3F3B2173"/>
    <w:rsid w:val="40715AC8"/>
    <w:rsid w:val="40B67F76"/>
    <w:rsid w:val="415E2F32"/>
    <w:rsid w:val="41E277AB"/>
    <w:rsid w:val="42875D4F"/>
    <w:rsid w:val="429A35A3"/>
    <w:rsid w:val="435C1130"/>
    <w:rsid w:val="442828E9"/>
    <w:rsid w:val="45FD2D9A"/>
    <w:rsid w:val="485D609C"/>
    <w:rsid w:val="495712B2"/>
    <w:rsid w:val="49BA3960"/>
    <w:rsid w:val="4A0F666A"/>
    <w:rsid w:val="4AD805C0"/>
    <w:rsid w:val="4B4B30DE"/>
    <w:rsid w:val="4BFA763C"/>
    <w:rsid w:val="4C4035AE"/>
    <w:rsid w:val="4DDC3C53"/>
    <w:rsid w:val="4F7F35B2"/>
    <w:rsid w:val="51C55131"/>
    <w:rsid w:val="52B24340"/>
    <w:rsid w:val="532E7431"/>
    <w:rsid w:val="54606FD2"/>
    <w:rsid w:val="56311B54"/>
    <w:rsid w:val="5949498B"/>
    <w:rsid w:val="59A85EFD"/>
    <w:rsid w:val="59C75664"/>
    <w:rsid w:val="5A251990"/>
    <w:rsid w:val="5CA16EC6"/>
    <w:rsid w:val="5D86343D"/>
    <w:rsid w:val="5DB12D14"/>
    <w:rsid w:val="5EA12B9A"/>
    <w:rsid w:val="5EC928D3"/>
    <w:rsid w:val="5F425B73"/>
    <w:rsid w:val="5F5C48D2"/>
    <w:rsid w:val="5F6A1134"/>
    <w:rsid w:val="5F8E191F"/>
    <w:rsid w:val="5F9641CD"/>
    <w:rsid w:val="628D2779"/>
    <w:rsid w:val="628D5F03"/>
    <w:rsid w:val="6462693D"/>
    <w:rsid w:val="64F43146"/>
    <w:rsid w:val="653B35E3"/>
    <w:rsid w:val="654A5507"/>
    <w:rsid w:val="658C10F3"/>
    <w:rsid w:val="65CA104B"/>
    <w:rsid w:val="66356363"/>
    <w:rsid w:val="66972AAF"/>
    <w:rsid w:val="677E4DCB"/>
    <w:rsid w:val="678673E4"/>
    <w:rsid w:val="68BB08C9"/>
    <w:rsid w:val="6A0A2617"/>
    <w:rsid w:val="6A4140D3"/>
    <w:rsid w:val="6A5D69B2"/>
    <w:rsid w:val="6A7021FA"/>
    <w:rsid w:val="6AFF6E7E"/>
    <w:rsid w:val="6C093A05"/>
    <w:rsid w:val="6DA65F1D"/>
    <w:rsid w:val="6E031C73"/>
    <w:rsid w:val="6E116960"/>
    <w:rsid w:val="6E6B6A6E"/>
    <w:rsid w:val="6EE8797B"/>
    <w:rsid w:val="6F327E52"/>
    <w:rsid w:val="6F4E2D2F"/>
    <w:rsid w:val="6FF46E59"/>
    <w:rsid w:val="7051627C"/>
    <w:rsid w:val="70CA3520"/>
    <w:rsid w:val="73E237A4"/>
    <w:rsid w:val="73E9008B"/>
    <w:rsid w:val="75296D4B"/>
    <w:rsid w:val="76C24502"/>
    <w:rsid w:val="772935FE"/>
    <w:rsid w:val="774A0FE0"/>
    <w:rsid w:val="77F203CA"/>
    <w:rsid w:val="7A0E74A5"/>
    <w:rsid w:val="7A42130E"/>
    <w:rsid w:val="7B53369F"/>
    <w:rsid w:val="7B760BF0"/>
    <w:rsid w:val="7B8757FC"/>
    <w:rsid w:val="7C046C2A"/>
    <w:rsid w:val="7C483276"/>
    <w:rsid w:val="7C4D08BC"/>
    <w:rsid w:val="7CAF4890"/>
    <w:rsid w:val="7DAC6B0C"/>
    <w:rsid w:val="7DAD46F3"/>
    <w:rsid w:val="7EAF6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 w:val="24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0"/>
    <w:pPr>
      <w:ind w:firstLine="420"/>
      <w:jc w:val="left"/>
    </w:pPr>
    <w:rPr>
      <w:rFonts w:eastAsia="仿宋_GB2312"/>
      <w:color w:val="000000"/>
    </w:rPr>
  </w:style>
  <w:style w:type="character" w:customStyle="1" w:styleId="13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18">
    <w:name w:val="info-content-text"/>
    <w:qFormat/>
    <w:uiPriority w:val="0"/>
  </w:style>
  <w:style w:type="character" w:customStyle="1" w:styleId="19">
    <w:name w:val="标题 1 字符"/>
    <w:basedOn w:val="12"/>
    <w:link w:val="3"/>
    <w:qFormat/>
    <w:uiPriority w:val="0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paragraph" w:styleId="2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1039</Words>
  <Characters>5926</Characters>
  <Lines>49</Lines>
  <Paragraphs>13</Paragraphs>
  <TotalTime>5</TotalTime>
  <ScaleCrop>false</ScaleCrop>
  <LinksUpToDate>false</LinksUpToDate>
  <CharactersWithSpaces>6952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2021-12-03T08:48:57Z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0320179F37324F7DBD0171FB6BA34209</vt:lpwstr>
  </property>
</Properties>
</file>