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rPr>
              <w:t>四川集栩农业有限公司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r>
              <w:rPr>
                <w:sz w:val="21"/>
                <w:szCs w:val="21"/>
              </w:rPr>
              <w:t>四川省泸州市纳溪区云溪东路二段340号5幢3号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w:t>
            </w:r>
            <w:r>
              <w:rPr>
                <w:rFonts w:hint="eastAsia"/>
                <w:sz w:val="21"/>
                <w:szCs w:val="21"/>
                <w:lang w:val="en-US" w:eastAsia="zh-CN"/>
              </w:rPr>
              <w:t>/生产地址</w:t>
            </w:r>
            <w:r>
              <w:rPr>
                <w:rFonts w:hint="eastAsia"/>
                <w:sz w:val="21"/>
                <w:szCs w:val="21"/>
              </w:rPr>
              <w:t>（同审核现场）</w:t>
            </w:r>
          </w:p>
        </w:tc>
        <w:tc>
          <w:tcPr>
            <w:tcW w:w="8530" w:type="dxa"/>
            <w:gridSpan w:val="15"/>
            <w:vAlign w:val="center"/>
          </w:tcPr>
          <w:p>
            <w:pPr>
              <w:rPr>
                <w:sz w:val="21"/>
                <w:szCs w:val="21"/>
              </w:rPr>
            </w:pPr>
            <w:r>
              <w:rPr>
                <w:rFonts w:hint="eastAsia"/>
                <w:sz w:val="21"/>
                <w:szCs w:val="21"/>
              </w:rPr>
              <w:t>四川省泸州市纳溪区云溪东路二段城市花园4号楼3号门市/四川省泸州市纳溪区龙车镇塘口村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4"/>
            <w:vAlign w:val="center"/>
          </w:tcPr>
          <w:p>
            <w:pPr>
              <w:rPr>
                <w:sz w:val="21"/>
                <w:szCs w:val="21"/>
              </w:rPr>
            </w:pPr>
            <w:bookmarkStart w:id="2" w:name="合同编号"/>
            <w:r>
              <w:rPr>
                <w:sz w:val="21"/>
                <w:szCs w:val="21"/>
              </w:rPr>
              <w:t>1112-2021-QEO</w:t>
            </w:r>
            <w:bookmarkEnd w:id="2"/>
          </w:p>
        </w:tc>
        <w:tc>
          <w:tcPr>
            <w:tcW w:w="1071" w:type="dxa"/>
            <w:gridSpan w:val="4"/>
            <w:vAlign w:val="center"/>
          </w:tcPr>
          <w:p>
            <w:pPr>
              <w:rPr>
                <w:sz w:val="21"/>
                <w:szCs w:val="21"/>
              </w:rPr>
            </w:pPr>
            <w:r>
              <w:rPr>
                <w:rFonts w:hint="eastAsia"/>
                <w:sz w:val="21"/>
                <w:szCs w:val="21"/>
              </w:rPr>
              <w:t>审核领域</w:t>
            </w:r>
          </w:p>
        </w:tc>
        <w:tc>
          <w:tcPr>
            <w:tcW w:w="3622" w:type="dxa"/>
            <w:gridSpan w:val="7"/>
            <w:vAlign w:val="center"/>
          </w:tcPr>
          <w:p>
            <w:pPr>
              <w:rPr>
                <w:spacing w:val="-2"/>
                <w:sz w:val="21"/>
                <w:szCs w:val="21"/>
              </w:rPr>
            </w:pPr>
            <w:bookmarkStart w:id="3" w:name="Q勾选"/>
            <w:r>
              <w:rPr>
                <w:rFonts w:hint="eastAsia"/>
                <w:sz w:val="21"/>
                <w:szCs w:val="21"/>
              </w:rPr>
              <w:t>■</w:t>
            </w:r>
            <w:bookmarkEnd w:id="3"/>
            <w:r>
              <w:rPr>
                <w:spacing w:val="-2"/>
                <w:sz w:val="21"/>
                <w:szCs w:val="21"/>
              </w:rPr>
              <w:t>QMS</w:t>
            </w:r>
            <w:bookmarkStart w:id="4" w:name="QJ勾选"/>
            <w:r>
              <w:rPr>
                <w:rFonts w:hint="eastAsia"/>
                <w:sz w:val="21"/>
                <w:szCs w:val="21"/>
              </w:rPr>
              <w:t>□</w:t>
            </w:r>
            <w:bookmarkEnd w:id="4"/>
            <w:r>
              <w:rPr>
                <w:rFonts w:hint="eastAsia"/>
                <w:sz w:val="21"/>
                <w:szCs w:val="21"/>
              </w:rPr>
              <w:t>5</w:t>
            </w:r>
            <w:r>
              <w:rPr>
                <w:sz w:val="21"/>
                <w:szCs w:val="21"/>
              </w:rPr>
              <w:t>0430</w:t>
            </w:r>
            <w:bookmarkStart w:id="5" w:name="E勾选"/>
            <w:r>
              <w:rPr>
                <w:rFonts w:hint="eastAsia"/>
                <w:sz w:val="21"/>
                <w:szCs w:val="21"/>
              </w:rPr>
              <w:t>■</w:t>
            </w:r>
            <w:bookmarkEnd w:id="5"/>
            <w:r>
              <w:rPr>
                <w:spacing w:val="-2"/>
                <w:sz w:val="21"/>
                <w:szCs w:val="21"/>
              </w:rPr>
              <w:t>EMS</w:t>
            </w:r>
            <w:bookmarkStart w:id="6" w:name="S勾选"/>
            <w:r>
              <w:rPr>
                <w:rFonts w:hint="eastAsia"/>
                <w:sz w:val="21"/>
                <w:szCs w:val="21"/>
              </w:rPr>
              <w:t>■</w:t>
            </w:r>
            <w:bookmarkEnd w:id="6"/>
            <w:r>
              <w:rPr>
                <w:spacing w:val="-2"/>
                <w:sz w:val="21"/>
                <w:szCs w:val="21"/>
              </w:rPr>
              <w:t xml:space="preserve">OHSMS </w:t>
            </w:r>
          </w:p>
          <w:p>
            <w:pPr>
              <w:rPr>
                <w:sz w:val="21"/>
                <w:szCs w:val="21"/>
              </w:rPr>
            </w:pPr>
            <w:bookmarkStart w:id="7" w:name="F勾选"/>
            <w:r>
              <w:rPr>
                <w:rFonts w:hint="eastAsia"/>
                <w:sz w:val="21"/>
                <w:szCs w:val="21"/>
              </w:rPr>
              <w:t>□</w:t>
            </w:r>
            <w:bookmarkEnd w:id="7"/>
            <w:r>
              <w:rPr>
                <w:rFonts w:hint="eastAsia"/>
                <w:spacing w:val="-2"/>
                <w:sz w:val="21"/>
                <w:szCs w:val="21"/>
              </w:rPr>
              <w:t>FS</w:t>
            </w:r>
            <w:r>
              <w:rPr>
                <w:spacing w:val="-2"/>
                <w:sz w:val="21"/>
                <w:szCs w:val="21"/>
              </w:rPr>
              <w:t xml:space="preserve">MS </w:t>
            </w:r>
            <w:bookmarkStart w:id="8" w:name="H勾选"/>
            <w:r>
              <w:rPr>
                <w:rFonts w:hint="eastAsia"/>
                <w:sz w:val="21"/>
                <w:szCs w:val="21"/>
              </w:rPr>
              <w:t>□</w:t>
            </w:r>
            <w:bookmarkEnd w:id="8"/>
            <w:r>
              <w:rPr>
                <w:rFonts w:hint="eastAsia"/>
                <w:spacing w:val="-2"/>
                <w:sz w:val="21"/>
                <w:szCs w:val="21"/>
              </w:rPr>
              <w:t xml:space="preserve">HACCP  </w:t>
            </w:r>
            <w:bookmarkStart w:id="9" w:name="EnMS勾选"/>
            <w:r>
              <w:rPr>
                <w:rFonts w:hint="eastAsia"/>
                <w:sz w:val="21"/>
                <w:szCs w:val="21"/>
              </w:rPr>
              <w:t>□</w:t>
            </w:r>
            <w:bookmarkEnd w:id="9"/>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4"/>
            <w:vAlign w:val="center"/>
          </w:tcPr>
          <w:p>
            <w:pPr>
              <w:rPr>
                <w:sz w:val="21"/>
                <w:szCs w:val="21"/>
              </w:rPr>
            </w:pPr>
            <w:bookmarkStart w:id="10" w:name="联系人"/>
            <w:r>
              <w:rPr>
                <w:sz w:val="21"/>
                <w:szCs w:val="21"/>
              </w:rPr>
              <w:t>邓华光</w:t>
            </w:r>
            <w:bookmarkEnd w:id="10"/>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pPr>
              <w:rPr>
                <w:sz w:val="21"/>
                <w:szCs w:val="21"/>
              </w:rPr>
            </w:pPr>
            <w:bookmarkStart w:id="11" w:name="联系人电话"/>
            <w:r>
              <w:rPr>
                <w:sz w:val="21"/>
                <w:szCs w:val="21"/>
              </w:rPr>
              <w:t>13568121188</w:t>
            </w:r>
            <w:bookmarkEnd w:id="11"/>
          </w:p>
        </w:tc>
        <w:tc>
          <w:tcPr>
            <w:tcW w:w="618" w:type="dxa"/>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bookmarkStart w:id="12" w:name="联系人邮箱"/>
            <w:r>
              <w:rPr>
                <w:sz w:val="21"/>
                <w:szCs w:val="21"/>
              </w:rPr>
              <w:t>447317909@qq.com</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rPr>
              <w:t>最高管理者或管理者代表</w:t>
            </w:r>
          </w:p>
        </w:tc>
        <w:tc>
          <w:tcPr>
            <w:tcW w:w="3837" w:type="dxa"/>
            <w:gridSpan w:val="4"/>
            <w:vAlign w:val="center"/>
          </w:tcPr>
          <w:p>
            <w:r>
              <w:rPr>
                <w:sz w:val="21"/>
                <w:szCs w:val="21"/>
              </w:rPr>
              <w:t>邓华光</w:t>
            </w:r>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bookmarkStart w:id="13" w:name="管代电话"/>
            <w:bookmarkEnd w:id="13"/>
          </w:p>
        </w:tc>
        <w:tc>
          <w:tcPr>
            <w:tcW w:w="618" w:type="dxa"/>
            <w:vMerge w:val="continue"/>
            <w:vAlign w:val="center"/>
          </w:tcPr>
          <w:p/>
        </w:tc>
        <w:tc>
          <w:tcPr>
            <w:tcW w:w="121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5"/>
            <w:vAlign w:val="center"/>
          </w:tcPr>
          <w:p>
            <w:pPr>
              <w:rPr>
                <w:rFonts w:ascii="宋体" w:hAnsi="宋体"/>
                <w:b/>
                <w:sz w:val="21"/>
                <w:szCs w:val="21"/>
              </w:rPr>
            </w:pPr>
            <w:bookmarkStart w:id="14" w:name="审核类型"/>
            <w:r>
              <w:rPr>
                <w:rFonts w:ascii="宋体" w:hAnsi="宋体"/>
                <w:b/>
                <w:sz w:val="21"/>
                <w:szCs w:val="21"/>
              </w:rPr>
              <w:t>Q:一阶段现场,E:一阶段现场,O:一阶段现场</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r>
              <w:rPr>
                <w:rFonts w:hint="eastAsia" w:ascii="宋体" w:hAnsi="宋体" w:cs="宋体"/>
                <w:color w:val="000000"/>
                <w:kern w:val="0"/>
                <w:szCs w:val="24"/>
              </w:rPr>
              <w:t>□</w:t>
            </w:r>
            <w:r>
              <w:rPr>
                <w:rFonts w:hint="eastAsia" w:ascii="宋体" w:hAnsi="宋体" w:cs="宋体"/>
                <w:color w:val="000000"/>
                <w:kern w:val="0"/>
                <w:szCs w:val="21"/>
              </w:rPr>
              <w:t>现场审核</w:t>
            </w:r>
            <w:r>
              <w:rPr>
                <w:rFonts w:hint="eastAsia" w:ascii="宋体" w:hAnsi="宋体" w:cs="宋体"/>
                <w:color w:val="000000"/>
                <w:kern w:val="0"/>
                <w:szCs w:val="24"/>
              </w:rPr>
              <w:t>□</w:t>
            </w:r>
            <w:r>
              <w:rPr>
                <w:rFonts w:hint="eastAsia" w:ascii="宋体" w:hAnsi="宋体" w:cs="宋体"/>
                <w:color w:val="000000"/>
                <w:kern w:val="0"/>
                <w:szCs w:val="21"/>
              </w:rPr>
              <w:t>远程审核</w:t>
            </w:r>
            <w:bookmarkStart w:id="15" w:name="非现场"/>
            <w:r>
              <w:rPr>
                <w:rFonts w:hint="eastAsia" w:ascii="宋体" w:hAnsi="宋体" w:cs="宋体"/>
                <w:color w:val="000000"/>
                <w:kern w:val="0"/>
                <w:szCs w:val="24"/>
              </w:rPr>
              <w:t>□非现场  ■现场</w:t>
            </w:r>
            <w:bookmarkEnd w:id="15"/>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t>□</w:t>
            </w:r>
            <w:r>
              <w:rPr>
                <w:color w:val="0000FF"/>
                <w:sz w:val="22"/>
              </w:rPr>
              <w:t>音频</w:t>
            </w:r>
            <w:r>
              <w:rPr>
                <w:rFonts w:hint="eastAsia" w:ascii="宋体" w:hAnsi="宋体" w:cs="宋体"/>
                <w:color w:val="0000FF"/>
                <w:kern w:val="0"/>
                <w:szCs w:val="24"/>
              </w:rPr>
              <w:t>□</w:t>
            </w:r>
            <w:r>
              <w:rPr>
                <w:color w:val="0000FF"/>
                <w:sz w:val="22"/>
              </w:rPr>
              <w:t>视频</w:t>
            </w:r>
            <w:r>
              <w:rPr>
                <w:rFonts w:hint="eastAsia" w:ascii="宋体" w:hAnsi="宋体" w:cs="宋体"/>
                <w:color w:val="0000FF"/>
                <w:kern w:val="0"/>
                <w:szCs w:val="24"/>
              </w:rPr>
              <w:t>□</w:t>
            </w:r>
            <w:r>
              <w:rPr>
                <w:color w:val="0000FF"/>
                <w:sz w:val="22"/>
              </w:rPr>
              <w:t>数据共享</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t>□网络□智能手机□台式电脑□笔记本电脑□录像机□照相机□可穿戴设备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审核范围</w:t>
            </w:r>
          </w:p>
        </w:tc>
        <w:tc>
          <w:tcPr>
            <w:tcW w:w="5498" w:type="dxa"/>
            <w:gridSpan w:val="10"/>
            <w:vAlign w:val="center"/>
          </w:tcPr>
          <w:p>
            <w:bookmarkStart w:id="16" w:name="审核范围"/>
            <w:r>
              <w:t>Q：资质许可范围内老鹰茶苗、普通生态林苗木、普通经济林苗木、普通城镇绿化苗木的种植及销售</w:t>
            </w:r>
          </w:p>
          <w:p>
            <w:r>
              <w:t>E：资质许可范围内老鹰茶苗、普通生态林苗木、普通经济林苗木、普通城镇绿化苗木的种植及销售所涉及场所的相关环境管理活动</w:t>
            </w:r>
          </w:p>
          <w:p>
            <w:r>
              <w:t>O：资质许可范围内老鹰茶苗、普通生态林苗木、普通经济林苗木、普通城镇绿化苗木的种植及销售所涉及场所的相关职业健康安全管理活动</w:t>
            </w:r>
            <w:bookmarkEnd w:id="16"/>
          </w:p>
        </w:tc>
        <w:tc>
          <w:tcPr>
            <w:tcW w:w="1201" w:type="dxa"/>
            <w:gridSpan w:val="2"/>
            <w:vAlign w:val="center"/>
          </w:tcPr>
          <w:p>
            <w:r>
              <w:rPr>
                <w:rFonts w:hint="eastAsia"/>
              </w:rPr>
              <w:t>项目专业代码</w:t>
            </w:r>
          </w:p>
        </w:tc>
        <w:tc>
          <w:tcPr>
            <w:tcW w:w="1831" w:type="dxa"/>
            <w:gridSpan w:val="3"/>
            <w:vAlign w:val="center"/>
          </w:tcPr>
          <w:p>
            <w:bookmarkStart w:id="17" w:name="专业代码"/>
            <w:r>
              <w:t>Q：01.03.00</w:t>
            </w:r>
          </w:p>
          <w:p>
            <w:r>
              <w:t>E：01.03.00</w:t>
            </w:r>
          </w:p>
          <w:p>
            <w:r>
              <w:t>O：01.03.00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5"/>
            <w:vAlign w:val="center"/>
          </w:tcPr>
          <w:p>
            <w:pPr>
              <w:rPr>
                <w:rFonts w:ascii="宋体" w:hAnsi="宋体"/>
                <w:b/>
                <w:sz w:val="21"/>
                <w:szCs w:val="21"/>
              </w:rPr>
            </w:pPr>
            <w:bookmarkStart w:id="18" w:name="Q勾选Add1"/>
            <w:r>
              <w:rPr>
                <w:rFonts w:hint="eastAsia" w:ascii="宋体" w:hAnsi="宋体"/>
                <w:b/>
                <w:sz w:val="21"/>
                <w:szCs w:val="21"/>
              </w:rPr>
              <w:t>■</w:t>
            </w:r>
            <w:bookmarkEnd w:id="18"/>
            <w:r>
              <w:rPr>
                <w:rFonts w:hint="eastAsia" w:ascii="宋体" w:hAnsi="宋体"/>
                <w:b/>
                <w:sz w:val="21"/>
                <w:szCs w:val="21"/>
              </w:rPr>
              <w:t xml:space="preserve">GB/T19001-2016/ISO 9001:2015  </w:t>
            </w:r>
            <w:bookmarkStart w:id="19" w:name="QJ勾选Add1"/>
            <w:r>
              <w:rPr>
                <w:rFonts w:hint="eastAsia" w:ascii="宋体" w:hAnsi="宋体"/>
                <w:b/>
                <w:sz w:val="21"/>
                <w:szCs w:val="21"/>
              </w:rPr>
              <w:t>□</w:t>
            </w:r>
            <w:bookmarkEnd w:id="19"/>
            <w:r>
              <w:rPr>
                <w:rFonts w:hint="eastAsia" w:ascii="宋体" w:hAnsi="宋体"/>
                <w:b/>
                <w:sz w:val="21"/>
                <w:szCs w:val="21"/>
              </w:rPr>
              <w:t xml:space="preserve">GB/T 50430-2017    </w:t>
            </w:r>
          </w:p>
          <w:p>
            <w:pPr>
              <w:rPr>
                <w:rFonts w:ascii="宋体" w:hAnsi="宋体"/>
                <w:b/>
                <w:sz w:val="21"/>
                <w:szCs w:val="21"/>
              </w:rPr>
            </w:pPr>
            <w:bookmarkStart w:id="20" w:name="E勾选Add1"/>
            <w:r>
              <w:rPr>
                <w:rFonts w:hint="eastAsia" w:ascii="宋体" w:hAnsi="宋体"/>
                <w:b/>
                <w:sz w:val="21"/>
                <w:szCs w:val="21"/>
              </w:rPr>
              <w:t>■</w:t>
            </w:r>
            <w:bookmarkEnd w:id="20"/>
            <w:r>
              <w:rPr>
                <w:rFonts w:hint="eastAsia" w:ascii="宋体" w:hAnsi="宋体"/>
                <w:b/>
                <w:sz w:val="21"/>
                <w:szCs w:val="21"/>
              </w:rPr>
              <w:t xml:space="preserve">GB/T24001-2016/ISO 14001:2015 </w:t>
            </w:r>
            <w:bookmarkStart w:id="21" w:name="S勾选Add1"/>
            <w:r>
              <w:rPr>
                <w:rFonts w:hint="eastAsia" w:ascii="宋体" w:hAnsi="宋体"/>
                <w:b/>
                <w:sz w:val="21"/>
                <w:szCs w:val="21"/>
              </w:rPr>
              <w:t>■</w:t>
            </w:r>
            <w:bookmarkEnd w:id="21"/>
            <w:r>
              <w:rPr>
                <w:rFonts w:hint="eastAsia" w:ascii="宋体" w:hAnsi="宋体"/>
                <w:b/>
                <w:sz w:val="21"/>
                <w:szCs w:val="21"/>
              </w:rPr>
              <w:t>GB/T 45001-2020/ISO45001：2018</w:t>
            </w:r>
          </w:p>
          <w:p>
            <w:pPr>
              <w:rPr>
                <w:rFonts w:ascii="宋体" w:hAnsi="宋体"/>
                <w:b/>
                <w:sz w:val="21"/>
                <w:szCs w:val="21"/>
              </w:rPr>
            </w:pPr>
            <w:bookmarkStart w:id="22" w:name="EnMS勾选Add1"/>
            <w:r>
              <w:rPr>
                <w:rFonts w:hint="eastAsia" w:ascii="宋体" w:hAnsi="宋体"/>
                <w:b/>
                <w:sz w:val="21"/>
                <w:szCs w:val="21"/>
              </w:rPr>
              <w:t>□</w:t>
            </w:r>
            <w:bookmarkEnd w:id="22"/>
            <w:r>
              <w:rPr>
                <w:rFonts w:hint="eastAsia" w:ascii="宋体" w:hAnsi="宋体"/>
                <w:b/>
                <w:sz w:val="21"/>
                <w:szCs w:val="21"/>
              </w:rPr>
              <w:t>GB/T 23331-2020/ISO50001：2018标准□RB/T       （行业认证标准）</w:t>
            </w:r>
          </w:p>
          <w:p>
            <w:pPr>
              <w:rPr>
                <w:rFonts w:ascii="宋体" w:hAnsi="宋体"/>
                <w:b/>
                <w:sz w:val="21"/>
                <w:szCs w:val="21"/>
              </w:rPr>
            </w:pPr>
            <w:r>
              <w:rPr>
                <w:rFonts w:hint="eastAsia" w:ascii="宋体" w:hAnsi="宋体"/>
                <w:b/>
                <w:sz w:val="21"/>
                <w:szCs w:val="21"/>
              </w:rPr>
              <w:t>FSMS：</w:t>
            </w:r>
            <w:bookmarkStart w:id="23" w:name="F勾选Add1"/>
            <w:r>
              <w:rPr>
                <w:rFonts w:hint="eastAsia" w:ascii="宋体" w:hAnsi="宋体"/>
                <w:b/>
                <w:sz w:val="21"/>
                <w:szCs w:val="21"/>
              </w:rPr>
              <w:t>□</w:t>
            </w:r>
            <w:bookmarkEnd w:id="23"/>
            <w:r>
              <w:rPr>
                <w:rFonts w:hint="eastAsia" w:ascii="宋体" w:hAnsi="宋体"/>
                <w:b/>
                <w:sz w:val="21"/>
                <w:szCs w:val="21"/>
              </w:rPr>
              <w:t xml:space="preserve">ISO22000：2018                 </w:t>
            </w:r>
          </w:p>
          <w:p>
            <w:pPr>
              <w:rPr>
                <w:rFonts w:ascii="宋体" w:hAnsi="宋体"/>
                <w:b/>
                <w:sz w:val="21"/>
                <w:szCs w:val="21"/>
              </w:rPr>
            </w:pPr>
            <w:r>
              <w:rPr>
                <w:rFonts w:hint="eastAsia" w:ascii="宋体" w:hAnsi="宋体"/>
                <w:b/>
                <w:sz w:val="21"/>
                <w:szCs w:val="21"/>
              </w:rPr>
              <w:t>HACCP：</w:t>
            </w:r>
            <w:bookmarkStart w:id="24" w:name="H勾选Add1"/>
            <w:r>
              <w:rPr>
                <w:rFonts w:hint="eastAsia" w:ascii="宋体" w:hAnsi="宋体"/>
                <w:b/>
                <w:sz w:val="21"/>
                <w:szCs w:val="21"/>
              </w:rPr>
              <w:t>□</w:t>
            </w:r>
            <w:bookmarkEnd w:id="24"/>
            <w:r>
              <w:rPr>
                <w:rFonts w:hint="eastAsia" w:ascii="宋体" w:hAnsi="宋体"/>
                <w:b/>
                <w:sz w:val="21"/>
                <w:szCs w:val="21"/>
              </w:rPr>
              <w:t xml:space="preserve"> GB/T27341-2009 □ GB 14881-2013 □《危害分析与关键控制点（HACCP体系）认证补充要求 1.0》</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适用于受审核方的法律法规及其他要求；</w:t>
            </w:r>
            <w:r>
              <w:rPr>
                <w:rFonts w:hint="eastAsia" w:ascii="宋体" w:hAnsi="宋体"/>
                <w:b/>
                <w:sz w:val="21"/>
                <w:szCs w:val="21"/>
              </w:rPr>
              <w:sym w:font="Wingdings 2" w:char="0052"/>
            </w:r>
            <w:r>
              <w:rPr>
                <w:rFonts w:hint="eastAsia" w:ascii="宋体" w:hAnsi="宋体"/>
                <w:b/>
                <w:sz w:val="21"/>
                <w:szCs w:val="21"/>
              </w:rPr>
              <w:t>认证合同</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受审核方管理体系文件 (手册版本号：</w:t>
            </w:r>
            <w:r>
              <w:rPr>
                <w:rFonts w:hint="eastAsia" w:ascii="宋体" w:hAnsi="宋体"/>
                <w:b/>
                <w:sz w:val="21"/>
                <w:szCs w:val="21"/>
                <w:lang w:val="en-US" w:eastAsia="zh-CN"/>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w:t>
            </w:r>
            <w:bookmarkStart w:id="25" w:name="审核日期"/>
            <w:r>
              <w:rPr>
                <w:rFonts w:hint="eastAsia"/>
                <w:b/>
                <w:sz w:val="21"/>
                <w:szCs w:val="21"/>
              </w:rPr>
              <w:t>2021年11月13日 上午至2021年11月14日 上午</w:t>
            </w:r>
            <w:bookmarkEnd w:id="25"/>
            <w:r>
              <w:rPr>
                <w:rFonts w:hint="eastAsia"/>
                <w:b/>
                <w:sz w:val="21"/>
                <w:szCs w:val="21"/>
              </w:rPr>
              <w:t>，共</w:t>
            </w:r>
            <w:bookmarkStart w:id="26" w:name="审核天数"/>
            <w:r>
              <w:rPr>
                <w:rFonts w:hint="eastAsia"/>
                <w:b/>
                <w:sz w:val="21"/>
                <w:szCs w:val="21"/>
              </w:rPr>
              <w:t>1.5</w:t>
            </w:r>
            <w:bookmarkEnd w:id="26"/>
            <w:r>
              <w:rPr>
                <w:rFonts w:hint="eastAsia"/>
                <w:b/>
                <w:sz w:val="21"/>
                <w:szCs w:val="21"/>
              </w:rPr>
              <w:t>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远程审核于年月日至年月日，共天。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sz w:val="21"/>
                <w:szCs w:val="21"/>
                <w:lang w:val="de-DE"/>
              </w:rPr>
              <w:sym w:font="Wingdings 2" w:char="0052"/>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567" w:type="dxa"/>
            <w:vAlign w:val="center"/>
          </w:tcPr>
          <w:p>
            <w:pPr>
              <w:jc w:val="center"/>
              <w:rPr>
                <w:sz w:val="21"/>
                <w:szCs w:val="21"/>
              </w:rPr>
            </w:pPr>
            <w:r>
              <w:rPr>
                <w:rFonts w:hint="eastAsia"/>
                <w:sz w:val="21"/>
                <w:szCs w:val="21"/>
              </w:rPr>
              <w:t>性别</w:t>
            </w:r>
          </w:p>
        </w:tc>
        <w:tc>
          <w:tcPr>
            <w:tcW w:w="2738" w:type="dxa"/>
            <w:gridSpan w:val="3"/>
            <w:vAlign w:val="center"/>
          </w:tcPr>
          <w:p>
            <w:pPr>
              <w:jc w:val="center"/>
              <w:rPr>
                <w:sz w:val="21"/>
                <w:szCs w:val="21"/>
              </w:rPr>
            </w:pPr>
            <w:r>
              <w:rPr>
                <w:rFonts w:hint="eastAsia"/>
                <w:sz w:val="18"/>
                <w:szCs w:val="18"/>
              </w:rPr>
              <w:t>注册证书号</w:t>
            </w:r>
          </w:p>
        </w:tc>
        <w:tc>
          <w:tcPr>
            <w:tcW w:w="1029" w:type="dxa"/>
            <w:gridSpan w:val="4"/>
            <w:vAlign w:val="center"/>
          </w:tcPr>
          <w:p>
            <w:pPr>
              <w:jc w:val="center"/>
              <w:rPr>
                <w:sz w:val="18"/>
                <w:szCs w:val="18"/>
              </w:rPr>
            </w:pPr>
            <w:r>
              <w:rPr>
                <w:rFonts w:hint="eastAsia"/>
                <w:sz w:val="18"/>
                <w:szCs w:val="18"/>
              </w:rPr>
              <w:t>审核方式</w:t>
            </w:r>
          </w:p>
        </w:tc>
        <w:tc>
          <w:tcPr>
            <w:tcW w:w="868" w:type="dxa"/>
            <w:gridSpan w:val="2"/>
            <w:vAlign w:val="center"/>
          </w:tcPr>
          <w:p>
            <w:pPr>
              <w:jc w:val="center"/>
              <w:rPr>
                <w:sz w:val="21"/>
                <w:szCs w:val="21"/>
              </w:rPr>
            </w:pPr>
            <w:r>
              <w:rPr>
                <w:rFonts w:hint="eastAsia"/>
                <w:sz w:val="21"/>
                <w:szCs w:val="21"/>
              </w:rPr>
              <w:t>专业代码</w:t>
            </w:r>
          </w:p>
        </w:tc>
        <w:tc>
          <w:tcPr>
            <w:tcW w:w="1393" w:type="dxa"/>
            <w:gridSpan w:val="3"/>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组长</w:t>
            </w:r>
          </w:p>
        </w:tc>
        <w:tc>
          <w:tcPr>
            <w:tcW w:w="1152" w:type="dxa"/>
            <w:gridSpan w:val="2"/>
            <w:vAlign w:val="center"/>
          </w:tcPr>
          <w:p>
            <w:pPr>
              <w:jc w:val="center"/>
              <w:rPr>
                <w:sz w:val="21"/>
                <w:szCs w:val="21"/>
              </w:rPr>
            </w:pPr>
            <w:r>
              <w:rPr>
                <w:sz w:val="21"/>
                <w:szCs w:val="21"/>
              </w:rPr>
              <w:t>余家龙</w:t>
            </w:r>
          </w:p>
        </w:tc>
        <w:tc>
          <w:tcPr>
            <w:tcW w:w="567" w:type="dxa"/>
            <w:vAlign w:val="center"/>
          </w:tcPr>
          <w:p>
            <w:pPr>
              <w:jc w:val="center"/>
              <w:rPr>
                <w:sz w:val="21"/>
                <w:szCs w:val="21"/>
              </w:rPr>
            </w:pPr>
            <w:r>
              <w:rPr>
                <w:sz w:val="21"/>
                <w:szCs w:val="21"/>
              </w:rPr>
              <w:t>男</w:t>
            </w:r>
          </w:p>
        </w:tc>
        <w:tc>
          <w:tcPr>
            <w:tcW w:w="2738" w:type="dxa"/>
            <w:gridSpan w:val="3"/>
            <w:vAlign w:val="center"/>
          </w:tcPr>
          <w:p>
            <w:pPr>
              <w:jc w:val="center"/>
              <w:rPr>
                <w:sz w:val="21"/>
                <w:szCs w:val="21"/>
              </w:rPr>
            </w:pPr>
            <w:r>
              <w:rPr>
                <w:sz w:val="21"/>
                <w:szCs w:val="21"/>
              </w:rPr>
              <w:t>2020-N1QMS-1262293</w:t>
            </w:r>
          </w:p>
          <w:p>
            <w:pPr>
              <w:jc w:val="center"/>
              <w:rPr>
                <w:sz w:val="21"/>
                <w:szCs w:val="21"/>
              </w:rPr>
            </w:pPr>
            <w:r>
              <w:rPr>
                <w:sz w:val="21"/>
                <w:szCs w:val="21"/>
              </w:rPr>
              <w:t>2020-N1EMS-1262293</w:t>
            </w:r>
          </w:p>
          <w:p>
            <w:pPr>
              <w:jc w:val="center"/>
              <w:rPr>
                <w:sz w:val="21"/>
                <w:szCs w:val="21"/>
              </w:rPr>
            </w:pPr>
            <w:r>
              <w:rPr>
                <w:sz w:val="21"/>
                <w:szCs w:val="21"/>
              </w:rPr>
              <w:t>2021-N1OHSMS-1262293</w:t>
            </w:r>
          </w:p>
        </w:tc>
        <w:tc>
          <w:tcPr>
            <w:tcW w:w="1029" w:type="dxa"/>
            <w:gridSpan w:val="4"/>
            <w:vAlign w:val="center"/>
          </w:tcPr>
          <w:p>
            <w:pPr>
              <w:jc w:val="center"/>
              <w:rPr>
                <w:sz w:val="18"/>
                <w:szCs w:val="18"/>
              </w:rPr>
            </w:pPr>
            <w:r>
              <w:rPr>
                <w:sz w:val="18"/>
                <w:szCs w:val="18"/>
              </w:rPr>
              <w:t>现场审核</w:t>
            </w:r>
          </w:p>
          <w:p>
            <w:pPr>
              <w:jc w:val="center"/>
              <w:rPr>
                <w:sz w:val="18"/>
                <w:szCs w:val="18"/>
              </w:rPr>
            </w:pPr>
          </w:p>
        </w:tc>
        <w:tc>
          <w:tcPr>
            <w:tcW w:w="868" w:type="dxa"/>
            <w:gridSpan w:val="2"/>
            <w:vAlign w:val="center"/>
          </w:tcPr>
          <w:p>
            <w:pPr>
              <w:jc w:val="center"/>
              <w:rPr>
                <w:sz w:val="21"/>
                <w:szCs w:val="21"/>
              </w:rPr>
            </w:pPr>
          </w:p>
        </w:tc>
        <w:tc>
          <w:tcPr>
            <w:tcW w:w="1393" w:type="dxa"/>
            <w:gridSpan w:val="3"/>
            <w:vAlign w:val="center"/>
          </w:tcPr>
          <w:p>
            <w:pPr>
              <w:jc w:val="center"/>
              <w:rPr>
                <w:sz w:val="21"/>
                <w:szCs w:val="21"/>
              </w:rPr>
            </w:pPr>
            <w:r>
              <w:rPr>
                <w:sz w:val="21"/>
                <w:szCs w:val="21"/>
              </w:rPr>
              <w:t>15181072354 17709081193</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组员</w:t>
            </w:r>
          </w:p>
        </w:tc>
        <w:tc>
          <w:tcPr>
            <w:tcW w:w="1152" w:type="dxa"/>
            <w:gridSpan w:val="2"/>
            <w:vAlign w:val="center"/>
          </w:tcPr>
          <w:p>
            <w:pPr>
              <w:jc w:val="center"/>
              <w:rPr>
                <w:sz w:val="21"/>
                <w:szCs w:val="21"/>
              </w:rPr>
            </w:pPr>
            <w:r>
              <w:rPr>
                <w:sz w:val="21"/>
                <w:szCs w:val="21"/>
              </w:rPr>
              <w:t>陈兴平</w:t>
            </w:r>
          </w:p>
        </w:tc>
        <w:tc>
          <w:tcPr>
            <w:tcW w:w="567" w:type="dxa"/>
            <w:vAlign w:val="center"/>
          </w:tcPr>
          <w:p>
            <w:pPr>
              <w:jc w:val="center"/>
              <w:rPr>
                <w:sz w:val="21"/>
                <w:szCs w:val="21"/>
              </w:rPr>
            </w:pPr>
            <w:r>
              <w:rPr>
                <w:sz w:val="21"/>
                <w:szCs w:val="21"/>
              </w:rPr>
              <w:t>男</w:t>
            </w:r>
          </w:p>
        </w:tc>
        <w:tc>
          <w:tcPr>
            <w:tcW w:w="2738" w:type="dxa"/>
            <w:gridSpan w:val="3"/>
            <w:vAlign w:val="center"/>
          </w:tcPr>
          <w:p>
            <w:pPr>
              <w:jc w:val="center"/>
              <w:rPr>
                <w:sz w:val="21"/>
                <w:szCs w:val="21"/>
              </w:rPr>
            </w:pPr>
            <w:r>
              <w:rPr>
                <w:sz w:val="21"/>
                <w:szCs w:val="21"/>
              </w:rPr>
              <w:t>ISC-JSZJ-409</w:t>
            </w:r>
          </w:p>
          <w:p>
            <w:pPr>
              <w:jc w:val="center"/>
              <w:rPr>
                <w:sz w:val="21"/>
                <w:szCs w:val="21"/>
              </w:rPr>
            </w:pPr>
            <w:r>
              <w:rPr>
                <w:sz w:val="21"/>
                <w:szCs w:val="21"/>
              </w:rPr>
              <w:t>ISC-JSZJ-409</w:t>
            </w:r>
          </w:p>
          <w:p>
            <w:pPr>
              <w:jc w:val="center"/>
              <w:rPr>
                <w:sz w:val="21"/>
                <w:szCs w:val="21"/>
              </w:rPr>
            </w:pPr>
            <w:r>
              <w:rPr>
                <w:sz w:val="21"/>
                <w:szCs w:val="21"/>
              </w:rPr>
              <w:t>ISC-JSZJ-409</w:t>
            </w:r>
          </w:p>
          <w:p>
            <w:pPr>
              <w:jc w:val="center"/>
              <w:rPr>
                <w:sz w:val="21"/>
                <w:szCs w:val="21"/>
              </w:rPr>
            </w:pPr>
            <w:r>
              <w:rPr>
                <w:sz w:val="21"/>
                <w:szCs w:val="21"/>
              </w:rPr>
              <w:t>四川嘉普信工程技术咨询有限公司</w:t>
            </w:r>
          </w:p>
        </w:tc>
        <w:tc>
          <w:tcPr>
            <w:tcW w:w="1029" w:type="dxa"/>
            <w:gridSpan w:val="4"/>
            <w:vAlign w:val="center"/>
          </w:tcPr>
          <w:p>
            <w:pPr>
              <w:jc w:val="center"/>
              <w:rPr>
                <w:sz w:val="18"/>
                <w:szCs w:val="18"/>
              </w:rPr>
            </w:pPr>
            <w:r>
              <w:rPr>
                <w:sz w:val="18"/>
                <w:szCs w:val="18"/>
              </w:rPr>
              <w:t>现场审核</w:t>
            </w:r>
          </w:p>
          <w:p>
            <w:pPr>
              <w:jc w:val="center"/>
              <w:rPr>
                <w:sz w:val="18"/>
                <w:szCs w:val="18"/>
              </w:rPr>
            </w:pPr>
          </w:p>
        </w:tc>
        <w:tc>
          <w:tcPr>
            <w:tcW w:w="868" w:type="dxa"/>
            <w:gridSpan w:val="2"/>
            <w:vAlign w:val="center"/>
          </w:tcPr>
          <w:p>
            <w:pPr>
              <w:jc w:val="center"/>
              <w:rPr>
                <w:sz w:val="21"/>
                <w:szCs w:val="21"/>
              </w:rPr>
            </w:pPr>
            <w:r>
              <w:rPr>
                <w:sz w:val="21"/>
                <w:szCs w:val="21"/>
              </w:rPr>
              <w:t>Q:01.03.00</w:t>
            </w:r>
          </w:p>
          <w:p>
            <w:pPr>
              <w:jc w:val="center"/>
              <w:rPr>
                <w:sz w:val="21"/>
                <w:szCs w:val="21"/>
              </w:rPr>
            </w:pPr>
            <w:r>
              <w:rPr>
                <w:sz w:val="21"/>
                <w:szCs w:val="21"/>
              </w:rPr>
              <w:t>E:01.03.00</w:t>
            </w:r>
          </w:p>
          <w:p>
            <w:pPr>
              <w:jc w:val="center"/>
              <w:rPr>
                <w:sz w:val="21"/>
                <w:szCs w:val="21"/>
              </w:rPr>
            </w:pPr>
            <w:r>
              <w:rPr>
                <w:sz w:val="21"/>
                <w:szCs w:val="21"/>
              </w:rPr>
              <w:t>O:01.03.00</w:t>
            </w:r>
          </w:p>
        </w:tc>
        <w:tc>
          <w:tcPr>
            <w:tcW w:w="1393" w:type="dxa"/>
            <w:gridSpan w:val="3"/>
            <w:vAlign w:val="center"/>
          </w:tcPr>
          <w:p>
            <w:pPr>
              <w:jc w:val="center"/>
              <w:rPr>
                <w:sz w:val="21"/>
                <w:szCs w:val="21"/>
              </w:rPr>
            </w:pPr>
            <w:r>
              <w:rPr>
                <w:sz w:val="21"/>
                <w:szCs w:val="21"/>
              </w:rPr>
              <w:t>18982754996</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18"/>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r>
              <w:rPr>
                <w:rFonts w:hint="eastAsia"/>
                <w:sz w:val="21"/>
                <w:szCs w:val="21"/>
              </w:rPr>
              <w:t>组内身份</w:t>
            </w:r>
          </w:p>
        </w:tc>
        <w:tc>
          <w:tcPr>
            <w:tcW w:w="1152" w:type="dxa"/>
            <w:gridSpan w:val="2"/>
            <w:vAlign w:val="center"/>
          </w:tcPr>
          <w:p>
            <w:r>
              <w:rPr>
                <w:rFonts w:hint="eastAsia"/>
                <w:sz w:val="21"/>
                <w:szCs w:val="21"/>
              </w:rPr>
              <w:t>姓名</w:t>
            </w:r>
          </w:p>
        </w:tc>
        <w:tc>
          <w:tcPr>
            <w:tcW w:w="567" w:type="dxa"/>
            <w:vAlign w:val="center"/>
          </w:tcPr>
          <w:p>
            <w:r>
              <w:rPr>
                <w:rFonts w:hint="eastAsia"/>
                <w:sz w:val="21"/>
                <w:szCs w:val="21"/>
              </w:rPr>
              <w:t>性别</w:t>
            </w:r>
          </w:p>
        </w:tc>
        <w:tc>
          <w:tcPr>
            <w:tcW w:w="2835" w:type="dxa"/>
            <w:gridSpan w:val="4"/>
            <w:vAlign w:val="center"/>
          </w:tcPr>
          <w:p>
            <w:r>
              <w:rPr>
                <w:rFonts w:hint="eastAsia"/>
                <w:sz w:val="21"/>
                <w:szCs w:val="21"/>
              </w:rPr>
              <w:t>现工作单位名称</w:t>
            </w:r>
          </w:p>
        </w:tc>
        <w:tc>
          <w:tcPr>
            <w:tcW w:w="932" w:type="dxa"/>
            <w:gridSpan w:val="3"/>
            <w:vAlign w:val="center"/>
          </w:tcPr>
          <w:p>
            <w:pPr>
              <w:rPr>
                <w:sz w:val="21"/>
                <w:szCs w:val="21"/>
              </w:rPr>
            </w:pPr>
            <w:r>
              <w:rPr>
                <w:rFonts w:hint="eastAsia"/>
              </w:rPr>
              <w:t>职务或职称</w:t>
            </w:r>
          </w:p>
        </w:tc>
        <w:tc>
          <w:tcPr>
            <w:tcW w:w="868" w:type="dxa"/>
            <w:gridSpan w:val="2"/>
            <w:vAlign w:val="center"/>
          </w:tcPr>
          <w:p>
            <w:r>
              <w:rPr>
                <w:rFonts w:hint="eastAsia"/>
                <w:sz w:val="21"/>
                <w:szCs w:val="21"/>
              </w:rPr>
              <w:t>专业代码</w:t>
            </w:r>
          </w:p>
        </w:tc>
        <w:tc>
          <w:tcPr>
            <w:tcW w:w="1393" w:type="dxa"/>
            <w:gridSpan w:val="3"/>
            <w:vAlign w:val="center"/>
          </w:tcPr>
          <w:p>
            <w:r>
              <w:rPr>
                <w:rFonts w:hint="eastAsia"/>
              </w:rPr>
              <w:t>组内代码</w:t>
            </w:r>
          </w:p>
        </w:tc>
        <w:tc>
          <w:tcPr>
            <w:tcW w:w="1084" w:type="dxa"/>
            <w:vAlign w:val="center"/>
          </w:tcPr>
          <w:p>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组员</w:t>
            </w:r>
          </w:p>
        </w:tc>
        <w:tc>
          <w:tcPr>
            <w:tcW w:w="1152"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陈兴平</w:t>
            </w:r>
          </w:p>
        </w:tc>
        <w:tc>
          <w:tcPr>
            <w:tcW w:w="567" w:type="dxa"/>
            <w:vAlign w:val="center"/>
          </w:tcPr>
          <w:p>
            <w:pPr>
              <w:jc w:val="center"/>
              <w:rPr>
                <w:rFonts w:ascii="Times New Roman" w:hAnsi="Times New Roman" w:eastAsia="宋体" w:cs="Times New Roman"/>
                <w:kern w:val="2"/>
                <w:sz w:val="21"/>
                <w:szCs w:val="21"/>
                <w:lang w:val="en-US" w:eastAsia="zh-CN" w:bidi="ar-SA"/>
              </w:rPr>
            </w:pPr>
            <w:r>
              <w:rPr>
                <w:sz w:val="21"/>
                <w:szCs w:val="21"/>
              </w:rPr>
              <w:t>男</w:t>
            </w:r>
          </w:p>
        </w:tc>
        <w:tc>
          <w:tcPr>
            <w:tcW w:w="2835" w:type="dxa"/>
            <w:gridSpan w:val="4"/>
            <w:vAlign w:val="center"/>
          </w:tcPr>
          <w:p>
            <w:r>
              <w:rPr>
                <w:sz w:val="21"/>
                <w:szCs w:val="21"/>
              </w:rPr>
              <w:t>四川嘉普信工程技术咨询有限公司</w:t>
            </w:r>
          </w:p>
        </w:tc>
        <w:tc>
          <w:tcPr>
            <w:tcW w:w="932" w:type="dxa"/>
            <w:gridSpan w:val="3"/>
            <w:vAlign w:val="center"/>
          </w:tcPr>
          <w:p/>
        </w:tc>
        <w:tc>
          <w:tcPr>
            <w:tcW w:w="868" w:type="dxa"/>
            <w:gridSpan w:val="2"/>
            <w:vAlign w:val="center"/>
          </w:tcPr>
          <w:p>
            <w:pPr>
              <w:jc w:val="center"/>
              <w:rPr>
                <w:sz w:val="21"/>
                <w:szCs w:val="21"/>
              </w:rPr>
            </w:pPr>
            <w:r>
              <w:rPr>
                <w:sz w:val="21"/>
                <w:szCs w:val="21"/>
              </w:rPr>
              <w:t>Q:01.03.00</w:t>
            </w:r>
          </w:p>
          <w:p>
            <w:pPr>
              <w:jc w:val="center"/>
              <w:rPr>
                <w:sz w:val="21"/>
                <w:szCs w:val="21"/>
              </w:rPr>
            </w:pPr>
            <w:r>
              <w:rPr>
                <w:sz w:val="21"/>
                <w:szCs w:val="21"/>
              </w:rPr>
              <w:t>E:01.03.00</w:t>
            </w:r>
          </w:p>
          <w:p>
            <w:pPr>
              <w:jc w:val="center"/>
              <w:rPr>
                <w:rFonts w:ascii="Times New Roman" w:hAnsi="Times New Roman" w:eastAsia="宋体" w:cs="Times New Roman"/>
                <w:kern w:val="2"/>
                <w:sz w:val="21"/>
                <w:szCs w:val="21"/>
                <w:lang w:val="en-US" w:eastAsia="zh-CN" w:bidi="ar-SA"/>
              </w:rPr>
            </w:pPr>
            <w:r>
              <w:rPr>
                <w:sz w:val="21"/>
                <w:szCs w:val="21"/>
              </w:rPr>
              <w:t>O:01.03.00</w:t>
            </w:r>
          </w:p>
        </w:tc>
        <w:tc>
          <w:tcPr>
            <w:tcW w:w="1393" w:type="dxa"/>
            <w:gridSpan w:val="3"/>
            <w:vAlign w:val="center"/>
          </w:tcPr>
          <w:p>
            <w:pPr>
              <w:jc w:val="center"/>
              <w:rPr>
                <w:sz w:val="21"/>
                <w:szCs w:val="21"/>
              </w:rPr>
            </w:pPr>
            <w:r>
              <w:rPr>
                <w:sz w:val="21"/>
                <w:szCs w:val="21"/>
              </w:rPr>
              <w:t>ISC-JSZJ-409</w:t>
            </w:r>
          </w:p>
          <w:p>
            <w:pPr>
              <w:jc w:val="center"/>
              <w:rPr>
                <w:sz w:val="21"/>
                <w:szCs w:val="21"/>
              </w:rPr>
            </w:pPr>
            <w:r>
              <w:rPr>
                <w:sz w:val="21"/>
                <w:szCs w:val="21"/>
              </w:rPr>
              <w:t>ISC-JSZJ-409</w:t>
            </w:r>
          </w:p>
          <w:p>
            <w:pPr>
              <w:jc w:val="center"/>
              <w:rPr>
                <w:sz w:val="21"/>
                <w:szCs w:val="21"/>
              </w:rPr>
            </w:pPr>
            <w:r>
              <w:rPr>
                <w:sz w:val="21"/>
                <w:szCs w:val="21"/>
              </w:rPr>
              <w:t>ISC-JSZJ-409</w:t>
            </w:r>
          </w:p>
          <w:p/>
        </w:tc>
        <w:tc>
          <w:tcPr>
            <w:tcW w:w="1084" w:type="dxa"/>
            <w:vAlign w:val="center"/>
          </w:tcPr>
          <w:p>
            <w:pPr>
              <w:jc w:val="center"/>
              <w:rPr>
                <w:rFonts w:ascii="Times New Roman" w:hAnsi="Times New Roman" w:eastAsia="宋体" w:cs="Times New Roman"/>
                <w:kern w:val="2"/>
                <w:sz w:val="21"/>
                <w:szCs w:val="21"/>
                <w:lang w:val="en-US" w:eastAsia="zh-CN" w:bidi="ar-SA"/>
              </w:rPr>
            </w:pPr>
            <w:r>
              <w:rPr>
                <w:sz w:val="21"/>
                <w:szCs w:val="21"/>
              </w:rPr>
              <w:t>18982754996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835" w:type="dxa"/>
            <w:gridSpan w:val="4"/>
            <w:vAlign w:val="center"/>
          </w:tcPr>
          <w:p/>
        </w:tc>
        <w:tc>
          <w:tcPr>
            <w:tcW w:w="932" w:type="dxa"/>
            <w:gridSpan w:val="3"/>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bookmarkStart w:id="27" w:name="总组长Add1"/>
            <w:r>
              <w:rPr>
                <w:sz w:val="21"/>
                <w:szCs w:val="21"/>
              </w:rPr>
              <w:t>余家龙</w:t>
            </w:r>
            <w:bookmarkEnd w:id="27"/>
          </w:p>
        </w:tc>
        <w:tc>
          <w:tcPr>
            <w:tcW w:w="2126"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15181072354</w:t>
            </w:r>
          </w:p>
        </w:tc>
        <w:tc>
          <w:tcPr>
            <w:tcW w:w="2126" w:type="dxa"/>
            <w:gridSpan w:val="4"/>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2021.11.12</w:t>
            </w:r>
          </w:p>
        </w:tc>
        <w:tc>
          <w:tcPr>
            <w:tcW w:w="2126" w:type="dxa"/>
            <w:gridSpan w:val="4"/>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pPr>
          </w:p>
        </w:tc>
      </w:tr>
    </w:tbl>
    <w:p>
      <w:pPr>
        <w:widowControl/>
        <w:jc w:val="left"/>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vMerge w:val="restart"/>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2021年11月13日</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8：30-9：00</w:t>
            </w:r>
          </w:p>
        </w:tc>
        <w:tc>
          <w:tcPr>
            <w:tcW w:w="6781"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Merge w:val="restart"/>
            <w:vAlign w:val="center"/>
          </w:tcPr>
          <w:p>
            <w:pPr>
              <w:snapToGrid w:val="0"/>
              <w:spacing w:line="280" w:lineRule="exact"/>
              <w:jc w:val="left"/>
              <w:rPr>
                <w:rFonts w:hint="default" w:eastAsia="宋体"/>
                <w:b/>
                <w:sz w:val="20"/>
                <w:lang w:val="en-US" w:eastAsia="zh-CN"/>
              </w:rPr>
            </w:pPr>
            <w:r>
              <w:rPr>
                <w:rFonts w:hint="eastAsia"/>
                <w:b/>
                <w:sz w:val="20"/>
                <w:lang w:val="en-US" w:eastAsia="zh-CN"/>
              </w:rPr>
              <w:t>9：00-12：00</w:t>
            </w: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8"/>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pPr>
              <w:pStyle w:val="8"/>
              <w:numPr>
                <w:ilvl w:val="0"/>
                <w:numId w:val="1"/>
              </w:numPr>
              <w:ind w:firstLineChars="0"/>
              <w:rPr>
                <w:szCs w:val="18"/>
              </w:rPr>
            </w:pPr>
            <w:r>
              <w:rPr>
                <w:rFonts w:hint="eastAsia"/>
                <w:szCs w:val="18"/>
              </w:rPr>
              <w:t>确定审核范围的合理性（</w:t>
            </w:r>
            <w:bookmarkStart w:id="28" w:name="_GoBack"/>
            <w:bookmarkEnd w:id="28"/>
            <w:r>
              <w:rPr>
                <w:rFonts w:hint="eastAsia"/>
                <w:szCs w:val="18"/>
              </w:rPr>
              <w:t>地址、产品/服务）</w:t>
            </w:r>
          </w:p>
          <w:p>
            <w:pPr>
              <w:pStyle w:val="8"/>
              <w:numPr>
                <w:ilvl w:val="0"/>
                <w:numId w:val="1"/>
              </w:numPr>
              <w:ind w:firstLineChars="0"/>
              <w:rPr>
                <w:szCs w:val="18"/>
              </w:rPr>
            </w:pPr>
            <w:r>
              <w:rPr>
                <w:rFonts w:hint="eastAsia"/>
                <w:szCs w:val="18"/>
              </w:rPr>
              <w:t>确定多现场和临时现场的地址</w:t>
            </w:r>
          </w:p>
          <w:p>
            <w:pPr>
              <w:pStyle w:val="8"/>
              <w:numPr>
                <w:ilvl w:val="0"/>
                <w:numId w:val="1"/>
              </w:numPr>
              <w:ind w:firstLineChars="0"/>
              <w:rPr>
                <w:szCs w:val="18"/>
              </w:rPr>
            </w:pPr>
            <w:r>
              <w:rPr>
                <w:rFonts w:hint="eastAsia"/>
                <w:szCs w:val="18"/>
              </w:rPr>
              <w:t>确定有效的员工人数</w:t>
            </w:r>
          </w:p>
          <w:p>
            <w:pPr>
              <w:pStyle w:val="8"/>
              <w:numPr>
                <w:ilvl w:val="0"/>
                <w:numId w:val="1"/>
              </w:numPr>
              <w:ind w:firstLineChars="0"/>
              <w:rPr>
                <w:szCs w:val="18"/>
              </w:rPr>
            </w:pPr>
            <w:r>
              <w:rPr>
                <w:rFonts w:hint="eastAsia"/>
                <w:szCs w:val="18"/>
              </w:rPr>
              <w:t>生产、服务的班次</w:t>
            </w:r>
          </w:p>
          <w:p>
            <w:pPr>
              <w:pStyle w:val="8"/>
              <w:numPr>
                <w:ilvl w:val="0"/>
                <w:numId w:val="1"/>
              </w:numPr>
              <w:ind w:firstLineChars="0"/>
              <w:rPr>
                <w:szCs w:val="18"/>
              </w:rPr>
            </w:pPr>
            <w:r>
              <w:rPr>
                <w:rFonts w:hint="eastAsia"/>
                <w:szCs w:val="18"/>
              </w:rPr>
              <w:t>体系运行时间是否满足3个月</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lang w:val="en-US" w:eastAsia="zh-CN"/>
              </w:rPr>
              <w:t>余家龙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Merge w:val="continue"/>
            <w:vAlign w:val="center"/>
          </w:tcPr>
          <w:p>
            <w:pPr>
              <w:snapToGrid w:val="0"/>
              <w:spacing w:line="280" w:lineRule="exact"/>
              <w:jc w:val="left"/>
              <w:rPr>
                <w:b/>
                <w:sz w:val="20"/>
              </w:rPr>
            </w:pPr>
          </w:p>
        </w:tc>
        <w:tc>
          <w:tcPr>
            <w:tcW w:w="6781"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lang w:val="en-US" w:eastAsia="zh-CN"/>
              </w:rPr>
              <w:t>余家龙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Merge w:val="continue"/>
            <w:vAlign w:val="center"/>
          </w:tcPr>
          <w:p>
            <w:pPr>
              <w:snapToGrid w:val="0"/>
              <w:spacing w:line="280" w:lineRule="exact"/>
              <w:jc w:val="left"/>
              <w:rPr>
                <w:b/>
                <w:sz w:val="20"/>
              </w:rPr>
            </w:pP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196" w:type="dxa"/>
            <w:tcBorders>
              <w:right w:val="single" w:color="auto" w:sz="8" w:space="0"/>
            </w:tcBorders>
            <w:vAlign w:val="center"/>
          </w:tcPr>
          <w:p>
            <w:pPr>
              <w:snapToGrid w:val="0"/>
              <w:spacing w:line="280" w:lineRule="exact"/>
              <w:jc w:val="left"/>
              <w:rPr>
                <w:b/>
                <w:sz w:val="20"/>
              </w:rPr>
            </w:pPr>
            <w:r>
              <w:rPr>
                <w:rFonts w:hint="eastAsia"/>
                <w:b/>
                <w:sz w:val="20"/>
                <w:lang w:val="en-US" w:eastAsia="zh-CN"/>
              </w:rPr>
              <w:t>余家龙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b/>
                <w:sz w:val="20"/>
              </w:rPr>
            </w:pPr>
            <w:r>
              <w:rPr>
                <w:rFonts w:hint="eastAsia"/>
                <w:b/>
                <w:sz w:val="20"/>
                <w:lang w:val="en-US" w:eastAsia="zh-CN"/>
              </w:rPr>
              <w:t>12：30-14：00（12：00-12：30午餐）</w:t>
            </w:r>
          </w:p>
        </w:tc>
        <w:tc>
          <w:tcPr>
            <w:tcW w:w="678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280" w:lineRule="exact"/>
              <w:jc w:val="left"/>
              <w:rPr>
                <w:b/>
                <w:sz w:val="20"/>
              </w:rPr>
            </w:pPr>
            <w:r>
              <w:rPr>
                <w:rFonts w:hint="eastAsia"/>
                <w:b/>
                <w:sz w:val="20"/>
                <w:lang w:val="en-US" w:eastAsia="zh-CN"/>
              </w:rPr>
              <w:t>余家龙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EAF1DD" w:themeFill="accent3" w:themeFillTint="33"/>
            <w:vAlign w:val="center"/>
          </w:tcPr>
          <w:p>
            <w:pPr>
              <w:snapToGrid w:val="0"/>
              <w:spacing w:line="280" w:lineRule="exact"/>
              <w:jc w:val="left"/>
              <w:rPr>
                <w:b/>
                <w:sz w:val="20"/>
              </w:rPr>
            </w:pPr>
          </w:p>
        </w:tc>
        <w:tc>
          <w:tcPr>
            <w:tcW w:w="1389" w:type="dxa"/>
            <w:vMerge w:val="restart"/>
            <w:shd w:val="clear" w:color="auto" w:fill="EAF1DD" w:themeFill="accent3"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14：00-17：30</w:t>
            </w:r>
          </w:p>
        </w:tc>
        <w:tc>
          <w:tcPr>
            <w:tcW w:w="6781" w:type="dxa"/>
            <w:shd w:val="clear" w:color="auto" w:fill="EAF1DD" w:themeFill="accent3" w:themeFillTint="33"/>
            <w:vAlign w:val="center"/>
          </w:tcPr>
          <w:p>
            <w:pPr>
              <w:rPr>
                <w:szCs w:val="18"/>
                <w:shd w:val="pct10" w:color="auto" w:fill="FFFFFF"/>
              </w:rPr>
            </w:pPr>
            <w:r>
              <w:rPr>
                <w:rFonts w:hint="eastAsia"/>
                <w:szCs w:val="18"/>
                <w:shd w:val="pct10" w:color="auto" w:fill="FFFFFF"/>
              </w:rPr>
              <w:t>QMS运行情况：</w:t>
            </w:r>
          </w:p>
          <w:p>
            <w:pPr>
              <w:pStyle w:val="8"/>
              <w:numPr>
                <w:ilvl w:val="0"/>
                <w:numId w:val="3"/>
              </w:numPr>
              <w:ind w:firstLineChars="0"/>
              <w:rPr>
                <w:szCs w:val="18"/>
              </w:rPr>
            </w:pPr>
            <w:r>
              <w:rPr>
                <w:rFonts w:hint="eastAsia"/>
                <w:szCs w:val="18"/>
              </w:rPr>
              <w:t>确认不适用条款及合理的理由</w:t>
            </w:r>
          </w:p>
          <w:p>
            <w:pPr>
              <w:pStyle w:val="8"/>
              <w:numPr>
                <w:ilvl w:val="0"/>
                <w:numId w:val="3"/>
              </w:numPr>
              <w:ind w:firstLineChars="0"/>
              <w:rPr>
                <w:szCs w:val="18"/>
                <w:shd w:val="pct10" w:color="auto" w:fill="FFFFFF"/>
              </w:rPr>
            </w:pPr>
            <w:r>
              <w:rPr>
                <w:rFonts w:hint="eastAsia"/>
              </w:rPr>
              <w:t>了解质量关键控制点</w:t>
            </w:r>
          </w:p>
          <w:p>
            <w:pPr>
              <w:pStyle w:val="8"/>
              <w:numPr>
                <w:ilvl w:val="0"/>
                <w:numId w:val="3"/>
              </w:numPr>
              <w:ind w:firstLineChars="0"/>
              <w:rPr>
                <w:szCs w:val="18"/>
                <w:shd w:val="pct10" w:color="auto" w:fill="FFFFFF"/>
              </w:rPr>
            </w:pPr>
            <w:r>
              <w:rPr>
                <w:rFonts w:hint="eastAsia"/>
              </w:rPr>
              <w:t>了解关键过程和需要确认的过程及控制情况；</w:t>
            </w:r>
          </w:p>
          <w:p>
            <w:pPr>
              <w:pStyle w:val="8"/>
              <w:numPr>
                <w:ilvl w:val="0"/>
                <w:numId w:val="3"/>
              </w:numPr>
              <w:ind w:firstLineChars="0"/>
            </w:pPr>
            <w:r>
              <w:rPr>
                <w:rFonts w:hint="eastAsia"/>
              </w:rPr>
              <w:t>了解产品执行的标准或技术要求；</w:t>
            </w:r>
          </w:p>
          <w:p>
            <w:pPr>
              <w:pStyle w:val="8"/>
              <w:numPr>
                <w:ilvl w:val="0"/>
                <w:numId w:val="3"/>
              </w:numPr>
              <w:ind w:firstLineChars="0"/>
            </w:pPr>
            <w:r>
              <w:rPr>
                <w:rFonts w:hint="eastAsia"/>
              </w:rPr>
              <w:t>查看型式检验的证据（报告）</w:t>
            </w:r>
          </w:p>
          <w:p>
            <w:pPr>
              <w:pStyle w:val="8"/>
              <w:numPr>
                <w:ilvl w:val="0"/>
                <w:numId w:val="3"/>
              </w:numPr>
              <w:ind w:firstLineChars="0"/>
            </w:pPr>
            <w:r>
              <w:rPr>
                <w:rFonts w:hint="eastAsia"/>
              </w:rPr>
              <w:t>了解顾客投诉处理</w:t>
            </w:r>
          </w:p>
          <w:p>
            <w:pPr>
              <w:pStyle w:val="8"/>
              <w:numPr>
                <w:ilvl w:val="0"/>
                <w:numId w:val="3"/>
              </w:numPr>
              <w:ind w:firstLineChars="0"/>
            </w:pPr>
            <w:r>
              <w:rPr>
                <w:rFonts w:hint="eastAsia"/>
              </w:rPr>
              <w:t>了解顾客满意度的情况</w:t>
            </w:r>
          </w:p>
          <w:p>
            <w:pPr>
              <w:pStyle w:val="8"/>
              <w:numPr>
                <w:ilvl w:val="0"/>
                <w:numId w:val="3"/>
              </w:numPr>
              <w:ind w:firstLineChars="0"/>
            </w:pPr>
            <w:r>
              <w:rPr>
                <w:rFonts w:hint="eastAsia"/>
              </w:rPr>
              <w:t>确定建设单位的在建项目清单（仅限建工QMS）</w:t>
            </w:r>
          </w:p>
        </w:tc>
        <w:tc>
          <w:tcPr>
            <w:tcW w:w="1196" w:type="dxa"/>
            <w:tcBorders>
              <w:right w:val="single" w:color="auto" w:sz="8" w:space="0"/>
            </w:tcBorders>
            <w:shd w:val="clear" w:color="auto" w:fill="EAF1DD" w:themeFill="accent3" w:themeFillTint="33"/>
            <w:vAlign w:val="center"/>
          </w:tcPr>
          <w:p>
            <w:pPr>
              <w:snapToGrid w:val="0"/>
              <w:spacing w:line="280" w:lineRule="exact"/>
              <w:jc w:val="left"/>
              <w:rPr>
                <w:rFonts w:hint="default"/>
                <w:b/>
                <w:sz w:val="20"/>
                <w:lang w:val="en-US"/>
              </w:rPr>
            </w:pPr>
            <w:r>
              <w:rPr>
                <w:rFonts w:hint="eastAsia"/>
                <w:b/>
                <w:sz w:val="20"/>
                <w:lang w:val="en-US" w:eastAsia="zh-CN"/>
              </w:rPr>
              <w:t>余家龙、陈兴平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shd w:val="clear" w:color="auto" w:fill="EAF1DD" w:themeFill="accent3" w:themeFillTint="33"/>
            <w:vAlign w:val="center"/>
          </w:tcPr>
          <w:p>
            <w:pPr>
              <w:snapToGrid w:val="0"/>
              <w:spacing w:line="280" w:lineRule="exact"/>
              <w:jc w:val="left"/>
              <w:rPr>
                <w:b/>
                <w:sz w:val="20"/>
              </w:rPr>
            </w:pPr>
          </w:p>
        </w:tc>
        <w:tc>
          <w:tcPr>
            <w:tcW w:w="1389" w:type="dxa"/>
            <w:vMerge w:val="continue"/>
            <w:shd w:val="clear" w:color="auto" w:fill="EAF1DD" w:themeFill="accent3" w:themeFillTint="33"/>
            <w:vAlign w:val="center"/>
          </w:tcPr>
          <w:p>
            <w:pPr>
              <w:snapToGrid w:val="0"/>
              <w:spacing w:line="280" w:lineRule="exact"/>
              <w:jc w:val="left"/>
              <w:rPr>
                <w:b/>
                <w:sz w:val="20"/>
              </w:rPr>
            </w:pPr>
          </w:p>
        </w:tc>
        <w:tc>
          <w:tcPr>
            <w:tcW w:w="6781" w:type="dxa"/>
            <w:shd w:val="clear" w:color="auto" w:fill="EAF1DD" w:themeFill="accent3" w:themeFillTint="33"/>
            <w:vAlign w:val="center"/>
          </w:tcPr>
          <w:p>
            <w:pPr>
              <w:jc w:val="left"/>
              <w:rPr>
                <w:shd w:val="pct10" w:color="auto" w:fill="FFFFFF"/>
              </w:rPr>
            </w:pPr>
            <w:r>
              <w:rPr>
                <w:rFonts w:hint="eastAsia"/>
                <w:shd w:val="pct10" w:color="auto" w:fill="FFFFFF"/>
              </w:rPr>
              <w:t>QMS场所巡查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观察基础设施（生产设备）运行完好</w:t>
            </w:r>
          </w:p>
          <w:p>
            <w:pPr>
              <w:widowControl/>
              <w:numPr>
                <w:ilvl w:val="0"/>
                <w:numId w:val="2"/>
              </w:numPr>
              <w:spacing w:before="40"/>
              <w:jc w:val="left"/>
            </w:pPr>
            <w:r>
              <w:rPr>
                <w:rFonts w:hint="eastAsia"/>
              </w:rPr>
              <w:t>观察质量相关的监视和测量设备的种类并了解检定/校准情况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观察工作环境</w:t>
            </w:r>
          </w:p>
        </w:tc>
        <w:tc>
          <w:tcPr>
            <w:tcW w:w="1196" w:type="dxa"/>
            <w:tcBorders>
              <w:right w:val="single" w:color="auto" w:sz="8" w:space="0"/>
            </w:tcBorders>
            <w:shd w:val="clear" w:color="auto" w:fill="EAF1DD" w:themeFill="accent3" w:themeFillTint="33"/>
            <w:vAlign w:val="center"/>
          </w:tcPr>
          <w:p>
            <w:pPr>
              <w:snapToGrid w:val="0"/>
              <w:spacing w:line="280" w:lineRule="exact"/>
              <w:jc w:val="left"/>
              <w:rPr>
                <w:b/>
                <w:sz w:val="20"/>
              </w:rPr>
            </w:pPr>
            <w:r>
              <w:rPr>
                <w:rFonts w:hint="eastAsia"/>
                <w:b/>
                <w:sz w:val="20"/>
                <w:lang w:val="en-US" w:eastAsia="zh-CN"/>
              </w:rPr>
              <w:t>余家龙、陈兴平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restart"/>
            <w:tcBorders>
              <w:left w:val="single" w:color="auto" w:sz="8" w:space="0"/>
            </w:tcBorders>
            <w:shd w:val="clear" w:color="auto" w:fill="DAEEF3" w:themeFill="accent5"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2021年11月14日</w:t>
            </w:r>
          </w:p>
        </w:tc>
        <w:tc>
          <w:tcPr>
            <w:tcW w:w="1389" w:type="dxa"/>
            <w:vMerge w:val="restart"/>
            <w:shd w:val="clear" w:color="auto" w:fill="DAEEF3" w:themeFill="accent5"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8：30-12：00</w:t>
            </w:r>
          </w:p>
        </w:tc>
        <w:tc>
          <w:tcPr>
            <w:tcW w:w="6781" w:type="dxa"/>
            <w:shd w:val="clear" w:color="auto" w:fill="DAEEF3" w:themeFill="accent5" w:themeFillTint="33"/>
            <w:vAlign w:val="center"/>
          </w:tcPr>
          <w:p>
            <w:pPr>
              <w:jc w:val="left"/>
              <w:rPr>
                <w:szCs w:val="18"/>
                <w:shd w:val="pct10" w:color="auto" w:fill="FFFFFF"/>
              </w:rPr>
            </w:pPr>
            <w:r>
              <w:rPr>
                <w:rFonts w:hint="eastAsia"/>
                <w:szCs w:val="18"/>
                <w:shd w:val="pct10" w:color="auto" w:fill="FFFFFF"/>
              </w:rPr>
              <w:t>EMS运行情况：</w:t>
            </w:r>
          </w:p>
          <w:p>
            <w:pPr>
              <w:rPr>
                <w:szCs w:val="18"/>
              </w:rPr>
            </w:pPr>
            <w:r>
              <w:rPr>
                <w:rFonts w:hint="eastAsia"/>
                <w:szCs w:val="18"/>
              </w:rPr>
              <w:t>- 查看地理位置图、污水管网图（适用时）</w:t>
            </w:r>
          </w:p>
          <w:p>
            <w:pPr>
              <w:rPr>
                <w:szCs w:val="18"/>
              </w:rPr>
            </w:pPr>
            <w:r>
              <w:rPr>
                <w:szCs w:val="18"/>
              </w:rPr>
              <w:t>-</w:t>
            </w:r>
            <w:r>
              <w:rPr>
                <w:rFonts w:hint="eastAsia"/>
                <w:szCs w:val="18"/>
              </w:rPr>
              <w:t>了解主要资源和能源使用种类</w:t>
            </w:r>
          </w:p>
          <w:p>
            <w:pPr>
              <w:rPr>
                <w:szCs w:val="18"/>
              </w:rPr>
            </w:pPr>
            <w:r>
              <w:rPr>
                <w:rFonts w:hint="eastAsia"/>
                <w:szCs w:val="18"/>
              </w:rPr>
              <w:t>- 查看环境因素的识别和评价程序合理性</w:t>
            </w:r>
          </w:p>
          <w:p>
            <w:pPr>
              <w:rPr>
                <w:szCs w:val="18"/>
              </w:rPr>
            </w:pPr>
            <w:r>
              <w:rPr>
                <w:szCs w:val="18"/>
              </w:rPr>
              <w:t xml:space="preserve">- </w:t>
            </w:r>
            <w:r>
              <w:rPr>
                <w:rFonts w:hint="eastAsia"/>
                <w:szCs w:val="18"/>
              </w:rPr>
              <w:t>了解重要环境因素的和控制措施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-查看合规性证明（9</w:t>
            </w:r>
            <w:r>
              <w:rPr>
                <w:szCs w:val="18"/>
              </w:rPr>
              <w:t>8</w:t>
            </w:r>
            <w:r>
              <w:rPr>
                <w:rFonts w:hint="eastAsia"/>
                <w:szCs w:val="18"/>
              </w:rPr>
              <w:t>年后新扩建的环评验收、环境监测报告）</w:t>
            </w:r>
          </w:p>
          <w:p>
            <w:pPr>
              <w:rPr>
                <w:szCs w:val="18"/>
              </w:rPr>
            </w:pPr>
            <w:r>
              <w:rPr>
                <w:rFonts w:hint="eastAsia"/>
                <w:szCs w:val="18"/>
              </w:rPr>
              <w:t>-了解危险化学品的种类及MSDS</w:t>
            </w:r>
          </w:p>
          <w:p>
            <w:pPr>
              <w:rPr>
                <w:szCs w:val="18"/>
              </w:rPr>
            </w:pPr>
            <w:r>
              <w:rPr>
                <w:rFonts w:hint="eastAsia"/>
                <w:szCs w:val="18"/>
              </w:rPr>
              <w:t>-了解危险废弃物的处置</w:t>
            </w:r>
          </w:p>
          <w:p>
            <w:pPr>
              <w:rPr>
                <w:szCs w:val="18"/>
              </w:rPr>
            </w:pPr>
            <w:r>
              <w:rPr>
                <w:rFonts w:hint="eastAsia"/>
                <w:szCs w:val="18"/>
              </w:rPr>
              <w:t>-了解消防控制方法（消防备案或消防验收）</w:t>
            </w:r>
          </w:p>
          <w:p>
            <w:pPr>
              <w:rPr>
                <w:szCs w:val="18"/>
              </w:rPr>
            </w:pPr>
            <w:r>
              <w:rPr>
                <w:rFonts w:hint="eastAsia"/>
                <w:szCs w:val="18"/>
              </w:rPr>
              <w:t>-了解</w:t>
            </w:r>
            <w:r>
              <w:rPr>
                <w:szCs w:val="18"/>
              </w:rPr>
              <w:t>应急准备和响应情况</w:t>
            </w:r>
          </w:p>
          <w:p>
            <w:pPr>
              <w:rPr>
                <w:szCs w:val="18"/>
              </w:rPr>
            </w:pPr>
            <w:r>
              <w:rPr>
                <w:rFonts w:hint="eastAsia"/>
                <w:szCs w:val="18"/>
              </w:rPr>
              <w:t>-</w:t>
            </w:r>
            <w:r>
              <w:rPr>
                <w:szCs w:val="18"/>
              </w:rPr>
              <w:t>查看《排污许可证》</w:t>
            </w: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b/>
                <w:sz w:val="20"/>
              </w:rPr>
            </w:pPr>
            <w:r>
              <w:rPr>
                <w:rFonts w:hint="eastAsia"/>
                <w:b/>
                <w:sz w:val="20"/>
                <w:lang w:val="en-US" w:eastAsia="zh-CN"/>
              </w:rPr>
              <w:t>余家龙、陈兴平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shd w:val="clear" w:color="auto" w:fill="DAEEF3" w:themeFill="accent5" w:themeFillTint="33"/>
            <w:vAlign w:val="center"/>
          </w:tcPr>
          <w:p>
            <w:pPr>
              <w:snapToGrid w:val="0"/>
              <w:spacing w:line="280" w:lineRule="exact"/>
              <w:jc w:val="left"/>
              <w:rPr>
                <w:b/>
                <w:sz w:val="20"/>
              </w:rPr>
            </w:pPr>
          </w:p>
        </w:tc>
        <w:tc>
          <w:tcPr>
            <w:tcW w:w="1389" w:type="dxa"/>
            <w:vMerge w:val="continue"/>
            <w:shd w:val="clear" w:color="auto" w:fill="DAEEF3" w:themeFill="accent5" w:themeFillTint="33"/>
            <w:vAlign w:val="center"/>
          </w:tcPr>
          <w:p>
            <w:pPr>
              <w:snapToGrid w:val="0"/>
              <w:spacing w:line="280" w:lineRule="exact"/>
              <w:jc w:val="left"/>
              <w:rPr>
                <w:b/>
                <w:sz w:val="20"/>
              </w:rPr>
            </w:pPr>
          </w:p>
        </w:tc>
        <w:tc>
          <w:tcPr>
            <w:tcW w:w="6781" w:type="dxa"/>
            <w:shd w:val="clear" w:color="auto" w:fill="DAEEF3" w:themeFill="accent5" w:themeFillTint="33"/>
            <w:vAlign w:val="center"/>
          </w:tcPr>
          <w:p>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观察基础设施（环保设备）运行完好</w:t>
            </w:r>
          </w:p>
          <w:p>
            <w:pPr>
              <w:widowControl/>
              <w:numPr>
                <w:ilvl w:val="0"/>
                <w:numId w:val="2"/>
              </w:numPr>
              <w:spacing w:before="40"/>
              <w:jc w:val="left"/>
            </w:pPr>
            <w:r>
              <w:rPr>
                <w:rFonts w:hint="eastAsia"/>
              </w:rPr>
              <w:t>观察环境相关的监视和测量设备的种类并了解检定/校准情况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观察总排口是否存在明显违规现象</w:t>
            </w: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b/>
                <w:sz w:val="20"/>
              </w:rPr>
            </w:pPr>
            <w:r>
              <w:rPr>
                <w:rFonts w:hint="eastAsia"/>
                <w:b/>
                <w:sz w:val="20"/>
                <w:lang w:val="en-US" w:eastAsia="zh-CN"/>
              </w:rPr>
              <w:t>余家龙、陈兴平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389" w:type="dxa"/>
            <w:vMerge w:val="continue"/>
            <w:shd w:val="clear" w:color="auto" w:fill="E5DFEC" w:themeFill="accent4" w:themeFillTint="33"/>
            <w:vAlign w:val="center"/>
          </w:tcPr>
          <w:p>
            <w:pPr>
              <w:snapToGrid w:val="0"/>
              <w:spacing w:line="280" w:lineRule="exact"/>
              <w:jc w:val="left"/>
              <w:rPr>
                <w:b/>
                <w:sz w:val="20"/>
              </w:rPr>
            </w:pPr>
          </w:p>
        </w:tc>
        <w:tc>
          <w:tcPr>
            <w:tcW w:w="6781" w:type="dxa"/>
            <w:shd w:val="clear" w:color="auto" w:fill="E5DFEC" w:themeFill="accent4" w:themeFillTint="33"/>
            <w:vAlign w:val="center"/>
          </w:tcPr>
          <w:p>
            <w:pPr>
              <w:rPr>
                <w:szCs w:val="18"/>
                <w:shd w:val="pct10" w:color="auto" w:fill="FFFFFF"/>
              </w:rPr>
            </w:pPr>
            <w:r>
              <w:rPr>
                <w:rFonts w:hint="eastAsia"/>
                <w:szCs w:val="18"/>
                <w:shd w:val="pct10" w:color="auto" w:fill="FFFFFF"/>
              </w:rPr>
              <w:t>OHSMS运行情况：</w:t>
            </w:r>
          </w:p>
          <w:p>
            <w:pPr>
              <w:rPr>
                <w:szCs w:val="18"/>
              </w:rPr>
            </w:pPr>
            <w:r>
              <w:rPr>
                <w:rFonts w:hint="eastAsia"/>
                <w:szCs w:val="18"/>
              </w:rPr>
              <w:t>-查看危险源的辨识和评价程序合理性</w:t>
            </w:r>
          </w:p>
          <w:p>
            <w:pPr>
              <w:rPr>
                <w:szCs w:val="18"/>
              </w:rPr>
            </w:pPr>
            <w:r>
              <w:rPr>
                <w:rFonts w:hint="eastAsia"/>
                <w:szCs w:val="18"/>
              </w:rPr>
              <w:t>-了解重要危险源的辨识和控制措施</w:t>
            </w:r>
          </w:p>
          <w:p>
            <w:pPr>
              <w:rPr>
                <w:szCs w:val="18"/>
              </w:rPr>
            </w:pPr>
            <w:r>
              <w:rPr>
                <w:rFonts w:hint="eastAsia"/>
                <w:szCs w:val="18"/>
              </w:rPr>
              <w:t>- 了解适用的职业健康安全法律和其他要求的获取、识别程序实施情况和合规性评价</w:t>
            </w:r>
          </w:p>
          <w:p>
            <w:pPr>
              <w:rPr>
                <w:szCs w:val="18"/>
              </w:rPr>
            </w:pPr>
            <w:r>
              <w:rPr>
                <w:rFonts w:hint="eastAsia"/>
                <w:szCs w:val="18"/>
              </w:rPr>
              <w:t>-查看合规性证明（安全评估、职业病评估、作业场所监测、）</w:t>
            </w:r>
          </w:p>
          <w:p>
            <w:pPr>
              <w:rPr>
                <w:szCs w:val="18"/>
              </w:rPr>
            </w:pPr>
            <w:r>
              <w:rPr>
                <w:rFonts w:hint="eastAsia"/>
                <w:szCs w:val="18"/>
              </w:rPr>
              <w:t>-了解三级安全教育的实施</w:t>
            </w:r>
          </w:p>
          <w:p>
            <w:pPr>
              <w:rPr>
                <w:szCs w:val="18"/>
              </w:rPr>
            </w:pPr>
            <w:r>
              <w:rPr>
                <w:rFonts w:hint="eastAsia"/>
                <w:szCs w:val="18"/>
              </w:rPr>
              <w:t>-了解职业病体检的情况</w:t>
            </w:r>
          </w:p>
          <w:p>
            <w:pPr>
              <w:rPr>
                <w:szCs w:val="18"/>
              </w:rPr>
            </w:pPr>
            <w:r>
              <w:rPr>
                <w:rFonts w:hint="eastAsia"/>
                <w:szCs w:val="18"/>
              </w:rPr>
              <w:t>-了解危险化学品的种类及MSDS</w:t>
            </w:r>
          </w:p>
          <w:p>
            <w:pPr>
              <w:rPr>
                <w:szCs w:val="18"/>
              </w:rPr>
            </w:pPr>
            <w:r>
              <w:rPr>
                <w:rFonts w:hint="eastAsia"/>
                <w:szCs w:val="18"/>
              </w:rPr>
              <w:t>-了解消防控制方法（消防备案或消防验收）</w:t>
            </w:r>
          </w:p>
          <w:p>
            <w:pPr>
              <w:rPr>
                <w:szCs w:val="18"/>
              </w:rPr>
            </w:pPr>
            <w:r>
              <w:rPr>
                <w:rFonts w:hint="eastAsia"/>
                <w:szCs w:val="18"/>
              </w:rPr>
              <w:t>- 了解</w:t>
            </w:r>
            <w:r>
              <w:rPr>
                <w:szCs w:val="18"/>
              </w:rPr>
              <w:t>应急准备和响应情况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b/>
                <w:sz w:val="20"/>
              </w:rPr>
            </w:pPr>
            <w:r>
              <w:rPr>
                <w:rFonts w:hint="eastAsia"/>
                <w:b/>
                <w:sz w:val="20"/>
                <w:lang w:val="en-US" w:eastAsia="zh-CN"/>
              </w:rPr>
              <w:t>余家龙、陈兴平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389" w:type="dxa"/>
            <w:vMerge w:val="continue"/>
            <w:shd w:val="clear" w:color="auto" w:fill="E5DFEC" w:themeFill="accent4" w:themeFillTint="33"/>
            <w:vAlign w:val="center"/>
          </w:tcPr>
          <w:p>
            <w:pPr>
              <w:snapToGrid w:val="0"/>
              <w:spacing w:line="280" w:lineRule="exact"/>
              <w:jc w:val="left"/>
              <w:rPr>
                <w:b/>
                <w:sz w:val="20"/>
              </w:rPr>
            </w:pPr>
          </w:p>
        </w:tc>
        <w:tc>
          <w:tcPr>
            <w:tcW w:w="6781" w:type="dxa"/>
            <w:shd w:val="clear" w:color="auto" w:fill="E5DFEC" w:themeFill="accent4" w:themeFillTint="33"/>
            <w:vAlign w:val="center"/>
          </w:tcPr>
          <w:p>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观察基础设施完好并运行（安全装置/手持电动工具等）</w:t>
            </w:r>
          </w:p>
          <w:p>
            <w:pPr>
              <w:widowControl/>
              <w:numPr>
                <w:ilvl w:val="0"/>
                <w:numId w:val="2"/>
              </w:numPr>
              <w:spacing w:before="40"/>
              <w:jc w:val="left"/>
            </w:pPr>
            <w:r>
              <w:rPr>
                <w:rFonts w:hint="eastAsia"/>
              </w:rPr>
              <w:t>观察职业健康安全相关的监视和测量设备的种类并了解检定/校准情况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观察员工劳保用品的佩戴情况</w:t>
            </w:r>
          </w:p>
          <w:p>
            <w:pPr>
              <w:widowControl/>
              <w:numPr>
                <w:ilvl w:val="0"/>
                <w:numId w:val="2"/>
              </w:numPr>
              <w:spacing w:before="40"/>
              <w:jc w:val="left"/>
            </w:pPr>
            <w:r>
              <w:rPr>
                <w:rFonts w:hint="eastAsia"/>
              </w:rPr>
              <w:t>了解是否存在室外作业的情况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b/>
                <w:sz w:val="20"/>
              </w:rPr>
            </w:pPr>
            <w:r>
              <w:rPr>
                <w:rFonts w:hint="eastAsia"/>
                <w:b/>
                <w:sz w:val="20"/>
                <w:lang w:val="en-US" w:eastAsia="zh-CN"/>
              </w:rPr>
              <w:t>余家龙、陈兴平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auto"/>
            <w:vAlign w:val="center"/>
          </w:tcPr>
          <w:p>
            <w:pPr>
              <w:snapToGrid w:val="0"/>
              <w:spacing w:line="280" w:lineRule="exact"/>
              <w:jc w:val="left"/>
              <w:rPr>
                <w:b/>
                <w:sz w:val="20"/>
              </w:rPr>
            </w:pPr>
          </w:p>
        </w:tc>
        <w:tc>
          <w:tcPr>
            <w:tcW w:w="1389" w:type="dxa"/>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12：00-12：30</w:t>
            </w:r>
          </w:p>
        </w:tc>
        <w:tc>
          <w:tcPr>
            <w:tcW w:w="6781" w:type="dxa"/>
            <w:shd w:val="clear" w:color="auto" w:fill="auto"/>
            <w:vAlign w:val="center"/>
          </w:tcPr>
          <w:p>
            <w:pPr>
              <w:widowControl/>
              <w:spacing w:before="4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审核组</w:t>
            </w:r>
          </w:p>
        </w:tc>
      </w:tr>
    </w:tbl>
    <w:p>
      <w:pPr>
        <w:spacing w:line="300" w:lineRule="exact"/>
        <w:ind w:firstLine="4156" w:firstLineChars="2300"/>
        <w:rPr>
          <w:b/>
          <w:color w:val="000000"/>
          <w:sz w:val="18"/>
          <w:szCs w:val="18"/>
        </w:rPr>
      </w:pPr>
    </w:p>
    <w:p>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pPr>
        <w:rPr>
          <w:b/>
          <w:sz w:val="28"/>
          <w:szCs w:val="28"/>
        </w:rPr>
      </w:pPr>
      <w:r>
        <w:rPr>
          <w:rFonts w:hint="eastAsia"/>
          <w:b/>
          <w:sz w:val="28"/>
          <w:szCs w:val="28"/>
        </w:rPr>
        <w:t>若是全日审核，请明确午餐时间！</w:t>
      </w: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pict>
        <v:shape id="_x0000_s4097" o:spid="_x0000_s4097"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CBE6A9E"/>
    <w:rsid w:val="7BD548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550</Words>
  <Characters>3139</Characters>
  <Lines>26</Lines>
  <Paragraphs>7</Paragraphs>
  <TotalTime>0</TotalTime>
  <ScaleCrop>false</ScaleCrop>
  <LinksUpToDate>false</LinksUpToDate>
  <CharactersWithSpaces>3682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way一直都在</cp:lastModifiedBy>
  <cp:lastPrinted>2019-03-27T03:10:00Z</cp:lastPrinted>
  <dcterms:modified xsi:type="dcterms:W3CDTF">2021-11-29T14:07:01Z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2052-11.1.0.11115</vt:lpwstr>
  </property>
</Properties>
</file>