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22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四川集栩农业有限公司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四川省泸州市纳溪区云溪东路二段340号5幢3号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rFonts w:hint="default" w:eastAsia="宋体"/>
                <w:sz w:val="20"/>
                <w:lang w:val="en-US" w:eastAsia="zh-CN"/>
              </w:rPr>
            </w:pPr>
            <w:r>
              <w:rPr>
                <w:rFonts w:hint="eastAsia"/>
                <w:sz w:val="20"/>
              </w:rPr>
              <w:t>经营地址</w:t>
            </w:r>
            <w:r>
              <w:rPr>
                <w:rFonts w:hint="eastAsia"/>
                <w:sz w:val="20"/>
                <w:lang w:val="en-US" w:eastAsia="zh-CN"/>
              </w:rPr>
              <w:t>/生产地址</w:t>
            </w:r>
          </w:p>
        </w:tc>
        <w:tc>
          <w:tcPr>
            <w:tcW w:w="9179" w:type="dxa"/>
            <w:gridSpan w:val="12"/>
            <w:vAlign w:val="center"/>
          </w:tcPr>
          <w:p>
            <w:pPr>
              <w:rPr>
                <w:rFonts w:asciiTheme="minorEastAsia" w:hAnsiTheme="minorEastAsia" w:eastAsiaTheme="minorEastAsia"/>
                <w:sz w:val="20"/>
              </w:rPr>
            </w:pPr>
            <w:r>
              <w:rPr>
                <w:rFonts w:hint="eastAsia" w:asciiTheme="minorEastAsia" w:hAnsiTheme="minorEastAsia" w:eastAsiaTheme="minorEastAsia"/>
                <w:sz w:val="20"/>
              </w:rPr>
              <w:t>四川省泸州市纳溪区云溪东路二段城市花园4号楼3号门市/四川省泸州市纳溪区龙车镇塘口村</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2" w:name="联系人"/>
            <w:r>
              <w:rPr>
                <w:sz w:val="21"/>
                <w:szCs w:val="21"/>
              </w:rPr>
              <w:t>邓华光</w:t>
            </w:r>
            <w:bookmarkEnd w:id="2"/>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3" w:name="联系人手机"/>
            <w:r>
              <w:rPr>
                <w:sz w:val="21"/>
                <w:szCs w:val="21"/>
              </w:rPr>
              <w:t>13568121188</w:t>
            </w:r>
            <w:bookmarkEnd w:id="3"/>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4" w:name="联系人邮箱"/>
            <w:r>
              <w:rPr>
                <w:sz w:val="21"/>
                <w:szCs w:val="21"/>
              </w:rPr>
              <w:t>447317909@qq.com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5" w:name="最高管理者"/>
            <w:bookmarkEnd w:id="5"/>
            <w:r>
              <w:rPr>
                <w:sz w:val="21"/>
                <w:szCs w:val="21"/>
              </w:rPr>
              <w:t>邓华光</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6" w:name="管代电话"/>
            <w:bookmarkEnd w:id="6"/>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7" w:name="合同编号"/>
            <w:r>
              <w:rPr>
                <w:sz w:val="20"/>
              </w:rPr>
              <w:t>1112-2021-QEO</w:t>
            </w:r>
            <w:bookmarkEnd w:id="7"/>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7" w:name="二阶段勾选"/>
            <w:r>
              <w:rPr>
                <w:rFonts w:hint="eastAsia" w:ascii="宋体" w:hAnsi="宋体"/>
                <w:b/>
                <w:bCs/>
                <w:sz w:val="20"/>
                <w:szCs w:val="22"/>
              </w:rPr>
              <w:t>■</w:t>
            </w:r>
            <w:bookmarkEnd w:id="17"/>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8" w:name="再认证勾选Add1"/>
            <w:r>
              <w:rPr>
                <w:rFonts w:hint="eastAsia" w:ascii="宋体" w:hAnsi="宋体"/>
                <w:b/>
                <w:bCs/>
                <w:sz w:val="20"/>
                <w:szCs w:val="22"/>
              </w:rPr>
              <w:t>□</w:t>
            </w:r>
            <w:bookmarkEnd w:id="18"/>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9" w:name="特殊审核勾选"/>
            <w:r>
              <w:rPr>
                <w:rFonts w:hint="eastAsia" w:ascii="宋体" w:hAnsi="宋体"/>
                <w:b/>
                <w:bCs/>
                <w:sz w:val="20"/>
                <w:szCs w:val="22"/>
              </w:rPr>
              <w:t>□</w:t>
            </w:r>
            <w:bookmarkEnd w:id="19"/>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0" w:name="审核范围"/>
            <w:r>
              <w:rPr>
                <w:sz w:val="20"/>
              </w:rPr>
              <w:t>Q：资质许可范围内老鹰茶苗、普通生态林苗木、普通经济林苗木、普通城镇绿化苗木的种植及销售</w:t>
            </w:r>
          </w:p>
          <w:p>
            <w:pPr>
              <w:rPr>
                <w:sz w:val="20"/>
              </w:rPr>
            </w:pPr>
            <w:r>
              <w:rPr>
                <w:sz w:val="20"/>
              </w:rPr>
              <w:t>E：资质许可范围内老鹰茶苗、普通生态林苗木、普通经济林苗木、普通城镇绿化苗木的种植及销售所涉及场所的相关环境管理活动</w:t>
            </w:r>
          </w:p>
          <w:p>
            <w:pPr>
              <w:rPr>
                <w:sz w:val="20"/>
              </w:rPr>
            </w:pPr>
            <w:r>
              <w:rPr>
                <w:sz w:val="20"/>
              </w:rPr>
              <w:t>O：资质许可范围内老鹰茶苗、普通生态林苗木、普通经济林苗木、普通城镇绿化苗木的种植及销售所涉及场所的相关职业健康安全管理活动</w:t>
            </w:r>
            <w:bookmarkEnd w:id="20"/>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1" w:name="专业代码"/>
            <w:r>
              <w:rPr>
                <w:sz w:val="20"/>
              </w:rPr>
              <w:t>Q：01.03.00</w:t>
            </w:r>
          </w:p>
          <w:p>
            <w:pPr>
              <w:jc w:val="left"/>
              <w:rPr>
                <w:sz w:val="20"/>
              </w:rPr>
            </w:pPr>
            <w:r>
              <w:rPr>
                <w:sz w:val="20"/>
              </w:rPr>
              <w:t>E：01.03.00</w:t>
            </w:r>
          </w:p>
          <w:p>
            <w:pPr>
              <w:jc w:val="left"/>
              <w:rPr>
                <w:sz w:val="20"/>
              </w:rPr>
            </w:pPr>
            <w:r>
              <w:rPr>
                <w:sz w:val="20"/>
              </w:rPr>
              <w:t>O：01.03.00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
            <w:r>
              <w:rPr>
                <w:rFonts w:hint="eastAsia" w:ascii="宋体" w:hAnsi="宋体"/>
                <w:b/>
                <w:sz w:val="21"/>
                <w:szCs w:val="21"/>
              </w:rPr>
              <w:t>□</w:t>
            </w:r>
            <w:bookmarkEnd w:id="23"/>
            <w:r>
              <w:rPr>
                <w:rFonts w:hint="eastAsia" w:ascii="宋体" w:hAnsi="宋体"/>
                <w:b/>
                <w:sz w:val="21"/>
                <w:szCs w:val="21"/>
              </w:rPr>
              <w:t>GB/T 50430-2017</w:t>
            </w:r>
            <w:bookmarkStart w:id="24" w:name="E勾选Add1"/>
            <w:r>
              <w:rPr>
                <w:rFonts w:hint="eastAsia" w:ascii="宋体" w:hAnsi="宋体"/>
                <w:b/>
                <w:sz w:val="21"/>
                <w:szCs w:val="21"/>
              </w:rPr>
              <w:t>■</w:t>
            </w:r>
            <w:bookmarkEnd w:id="24"/>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5" w:name="S勾选"/>
            <w:r>
              <w:rPr>
                <w:rFonts w:hint="eastAsia" w:ascii="宋体" w:hAnsi="宋体"/>
                <w:b/>
                <w:sz w:val="21"/>
                <w:szCs w:val="21"/>
              </w:rPr>
              <w:t>■</w:t>
            </w:r>
            <w:bookmarkEnd w:id="25"/>
            <w:r>
              <w:rPr>
                <w:rFonts w:hint="eastAsia" w:ascii="宋体" w:hAnsi="宋体"/>
                <w:b/>
                <w:sz w:val="21"/>
                <w:szCs w:val="21"/>
              </w:rPr>
              <w:t xml:space="preserve">GB/T45001-2020/ISO45001：2020标准 </w:t>
            </w:r>
            <w:bookmarkStart w:id="26" w:name="F勾选Add1"/>
            <w:r>
              <w:rPr>
                <w:rFonts w:hint="eastAsia" w:ascii="宋体" w:hAnsi="宋体"/>
                <w:b/>
                <w:sz w:val="21"/>
                <w:szCs w:val="21"/>
              </w:rPr>
              <w:t>□</w:t>
            </w:r>
            <w:bookmarkEnd w:id="26"/>
            <w:r>
              <w:rPr>
                <w:rFonts w:hint="eastAsia" w:ascii="宋体" w:hAnsi="宋体"/>
                <w:b/>
                <w:sz w:val="21"/>
                <w:szCs w:val="21"/>
              </w:rPr>
              <w:t xml:space="preserve">ISO 22000:2018 </w:t>
            </w:r>
          </w:p>
          <w:p>
            <w:pPr>
              <w:jc w:val="left"/>
              <w:rPr>
                <w:rFonts w:ascii="宋体" w:hAnsi="宋体"/>
                <w:b/>
                <w:sz w:val="21"/>
                <w:szCs w:val="21"/>
              </w:rPr>
            </w:pPr>
            <w:bookmarkStart w:id="27" w:name="H勾选Add1"/>
            <w:r>
              <w:rPr>
                <w:rFonts w:hint="eastAsia" w:ascii="宋体" w:hAnsi="宋体"/>
                <w:b/>
                <w:sz w:val="21"/>
                <w:szCs w:val="21"/>
              </w:rPr>
              <w:t>□</w:t>
            </w:r>
            <w:bookmarkEnd w:id="27"/>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8" w:name="EnMS勾选Add1"/>
            <w:r>
              <w:rPr>
                <w:rFonts w:hint="eastAsia" w:ascii="宋体" w:hAnsi="宋体"/>
                <w:b/>
                <w:sz w:val="21"/>
                <w:szCs w:val="21"/>
              </w:rPr>
              <w:t>□</w:t>
            </w:r>
            <w:bookmarkEnd w:id="28"/>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9" w:name="审核日期"/>
            <w:r>
              <w:rPr>
                <w:rFonts w:hint="eastAsia"/>
                <w:b/>
                <w:sz w:val="20"/>
              </w:rPr>
              <w:t>2021年11月15日 上午至2021年11月18日 下午</w:t>
            </w:r>
            <w:bookmarkEnd w:id="29"/>
            <w:r>
              <w:rPr>
                <w:rFonts w:hint="eastAsia"/>
                <w:b/>
                <w:sz w:val="20"/>
              </w:rPr>
              <w:t>(共</w:t>
            </w:r>
            <w:bookmarkStart w:id="30" w:name="审核天数"/>
            <w:r>
              <w:rPr>
                <w:rFonts w:hint="eastAsia"/>
                <w:b/>
                <w:sz w:val="20"/>
              </w:rPr>
              <w:t>4.0</w:t>
            </w:r>
            <w:bookmarkEnd w:id="30"/>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57" w:type="dxa"/>
            <w:gridSpan w:val="4"/>
            <w:vAlign w:val="center"/>
          </w:tcPr>
          <w:p>
            <w:pPr>
              <w:jc w:val="center"/>
              <w:rPr>
                <w:sz w:val="20"/>
                <w:lang w:val="de-DE"/>
              </w:rPr>
            </w:pPr>
            <w:r>
              <w:rPr>
                <w:rFonts w:hint="eastAsia"/>
                <w:sz w:val="21"/>
                <w:szCs w:val="21"/>
              </w:rPr>
              <w:t>联系电话</w:t>
            </w:r>
          </w:p>
        </w:tc>
        <w:tc>
          <w:tcPr>
            <w:tcW w:w="1222"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余家龙</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sz w:val="20"/>
                <w:lang w:val="de-DE"/>
              </w:rPr>
            </w:pPr>
            <w:r>
              <w:rPr>
                <w:sz w:val="20"/>
                <w:lang w:val="de-DE"/>
              </w:rPr>
              <w:t>2021-N1OHSMS-1262293</w:t>
            </w:r>
          </w:p>
        </w:tc>
        <w:tc>
          <w:tcPr>
            <w:tcW w:w="1696" w:type="dxa"/>
            <w:gridSpan w:val="2"/>
            <w:vAlign w:val="center"/>
          </w:tcPr>
          <w:p>
            <w:pPr>
              <w:jc w:val="center"/>
              <w:rPr>
                <w:sz w:val="20"/>
                <w:lang w:val="de-DE"/>
              </w:rPr>
            </w:pPr>
          </w:p>
        </w:tc>
        <w:tc>
          <w:tcPr>
            <w:tcW w:w="1457" w:type="dxa"/>
            <w:gridSpan w:val="4"/>
            <w:vAlign w:val="center"/>
          </w:tcPr>
          <w:p>
            <w:pPr>
              <w:jc w:val="center"/>
              <w:rPr>
                <w:sz w:val="20"/>
                <w:lang w:val="de-DE"/>
              </w:rPr>
            </w:pPr>
            <w:r>
              <w:rPr>
                <w:sz w:val="20"/>
                <w:lang w:val="de-DE"/>
              </w:rPr>
              <w:t>15181072354 17709081193</w:t>
            </w:r>
          </w:p>
        </w:tc>
        <w:tc>
          <w:tcPr>
            <w:tcW w:w="1222"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陈兴平</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ISC-JSZJ-409</w:t>
            </w:r>
          </w:p>
          <w:p>
            <w:pPr>
              <w:jc w:val="center"/>
              <w:rPr>
                <w:sz w:val="20"/>
                <w:lang w:val="de-DE"/>
              </w:rPr>
            </w:pPr>
            <w:r>
              <w:rPr>
                <w:sz w:val="20"/>
                <w:lang w:val="de-DE"/>
              </w:rPr>
              <w:t>ISC-JSZJ-409</w:t>
            </w:r>
          </w:p>
          <w:p>
            <w:pPr>
              <w:jc w:val="center"/>
              <w:rPr>
                <w:sz w:val="20"/>
                <w:lang w:val="de-DE"/>
              </w:rPr>
            </w:pPr>
            <w:r>
              <w:rPr>
                <w:sz w:val="20"/>
                <w:lang w:val="de-DE"/>
              </w:rPr>
              <w:t>ISC-JSZJ-409</w:t>
            </w:r>
          </w:p>
          <w:p>
            <w:pPr>
              <w:jc w:val="center"/>
              <w:rPr>
                <w:sz w:val="20"/>
                <w:lang w:val="de-DE"/>
              </w:rPr>
            </w:pPr>
            <w:r>
              <w:rPr>
                <w:sz w:val="20"/>
                <w:lang w:val="de-DE"/>
              </w:rPr>
              <w:t>四川嘉普信工程技术咨询有限公司</w:t>
            </w:r>
          </w:p>
        </w:tc>
        <w:tc>
          <w:tcPr>
            <w:tcW w:w="1696" w:type="dxa"/>
            <w:gridSpan w:val="2"/>
            <w:vAlign w:val="center"/>
          </w:tcPr>
          <w:p>
            <w:pPr>
              <w:jc w:val="center"/>
              <w:rPr>
                <w:sz w:val="20"/>
                <w:lang w:val="de-DE"/>
              </w:rPr>
            </w:pPr>
            <w:r>
              <w:rPr>
                <w:sz w:val="20"/>
                <w:lang w:val="de-DE"/>
              </w:rPr>
              <w:t>Q:01.03.00</w:t>
            </w:r>
          </w:p>
          <w:p>
            <w:pPr>
              <w:jc w:val="center"/>
              <w:rPr>
                <w:sz w:val="20"/>
                <w:lang w:val="de-DE"/>
              </w:rPr>
            </w:pPr>
            <w:r>
              <w:rPr>
                <w:sz w:val="20"/>
                <w:lang w:val="de-DE"/>
              </w:rPr>
              <w:t>E:01.03.00</w:t>
            </w:r>
          </w:p>
          <w:p>
            <w:pPr>
              <w:jc w:val="center"/>
              <w:rPr>
                <w:sz w:val="20"/>
                <w:lang w:val="de-DE"/>
              </w:rPr>
            </w:pPr>
            <w:r>
              <w:rPr>
                <w:sz w:val="20"/>
                <w:lang w:val="de-DE"/>
              </w:rPr>
              <w:t>O:01.03.00</w:t>
            </w:r>
          </w:p>
        </w:tc>
        <w:tc>
          <w:tcPr>
            <w:tcW w:w="1457" w:type="dxa"/>
            <w:gridSpan w:val="4"/>
            <w:vAlign w:val="center"/>
          </w:tcPr>
          <w:p>
            <w:pPr>
              <w:jc w:val="center"/>
              <w:rPr>
                <w:sz w:val="20"/>
                <w:lang w:val="de-DE"/>
              </w:rPr>
            </w:pPr>
            <w:r>
              <w:rPr>
                <w:sz w:val="20"/>
                <w:lang w:val="de-DE"/>
              </w:rPr>
              <w:t>18982754996</w:t>
            </w:r>
          </w:p>
        </w:tc>
        <w:tc>
          <w:tcPr>
            <w:tcW w:w="1222"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57" w:type="dxa"/>
            <w:gridSpan w:val="4"/>
            <w:vAlign w:val="center"/>
          </w:tcPr>
          <w:p>
            <w:pPr>
              <w:rPr>
                <w:sz w:val="21"/>
                <w:szCs w:val="21"/>
              </w:rPr>
            </w:pPr>
          </w:p>
        </w:tc>
        <w:tc>
          <w:tcPr>
            <w:tcW w:w="122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57" w:type="dxa"/>
            <w:gridSpan w:val="4"/>
            <w:vAlign w:val="center"/>
          </w:tcPr>
          <w:p>
            <w:pPr>
              <w:rPr>
                <w:sz w:val="21"/>
                <w:szCs w:val="21"/>
              </w:rPr>
            </w:pPr>
          </w:p>
        </w:tc>
        <w:tc>
          <w:tcPr>
            <w:tcW w:w="122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57" w:type="dxa"/>
            <w:gridSpan w:val="4"/>
            <w:vAlign w:val="center"/>
          </w:tcPr>
          <w:p>
            <w:pPr>
              <w:rPr>
                <w:sz w:val="21"/>
                <w:szCs w:val="21"/>
              </w:rPr>
            </w:pPr>
          </w:p>
        </w:tc>
        <w:tc>
          <w:tcPr>
            <w:tcW w:w="122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457" w:type="dxa"/>
            <w:gridSpan w:val="4"/>
            <w:vAlign w:val="center"/>
          </w:tcPr>
          <w:p>
            <w:pPr>
              <w:rPr>
                <w:sz w:val="21"/>
                <w:szCs w:val="21"/>
              </w:rPr>
            </w:pPr>
          </w:p>
        </w:tc>
        <w:tc>
          <w:tcPr>
            <w:tcW w:w="122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57" w:type="dxa"/>
            <w:gridSpan w:val="4"/>
            <w:vAlign w:val="center"/>
          </w:tcPr>
          <w:p>
            <w:r>
              <w:rPr>
                <w:rFonts w:hint="eastAsia"/>
                <w:sz w:val="21"/>
                <w:szCs w:val="21"/>
              </w:rPr>
              <w:t>组内代码</w:t>
            </w:r>
          </w:p>
        </w:tc>
        <w:tc>
          <w:tcPr>
            <w:tcW w:w="1222"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陈兴平</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1502" w:type="dxa"/>
            <w:gridSpan w:val="2"/>
            <w:vAlign w:val="center"/>
          </w:tcPr>
          <w:p>
            <w:pPr>
              <w:rPr>
                <w:sz w:val="18"/>
                <w:szCs w:val="18"/>
              </w:rPr>
            </w:pPr>
            <w:r>
              <w:rPr>
                <w:sz w:val="20"/>
                <w:lang w:val="de-DE"/>
              </w:rPr>
              <w:t>四川嘉普信工程技术咨询有限公司</w:t>
            </w:r>
          </w:p>
        </w:tc>
        <w:tc>
          <w:tcPr>
            <w:tcW w:w="1004" w:type="dxa"/>
            <w:vAlign w:val="center"/>
          </w:tcPr>
          <w:p>
            <w:pPr>
              <w:rPr>
                <w:sz w:val="18"/>
                <w:szCs w:val="18"/>
              </w:rPr>
            </w:pPr>
          </w:p>
        </w:tc>
        <w:tc>
          <w:tcPr>
            <w:tcW w:w="1696" w:type="dxa"/>
            <w:gridSpan w:val="2"/>
            <w:vAlign w:val="center"/>
          </w:tcPr>
          <w:p>
            <w:pPr>
              <w:jc w:val="center"/>
              <w:rPr>
                <w:sz w:val="20"/>
                <w:lang w:val="de-DE"/>
              </w:rPr>
            </w:pPr>
            <w:r>
              <w:rPr>
                <w:sz w:val="20"/>
                <w:lang w:val="de-DE"/>
              </w:rPr>
              <w:t>Q:01.03.00</w:t>
            </w:r>
          </w:p>
          <w:p>
            <w:pPr>
              <w:jc w:val="center"/>
              <w:rPr>
                <w:sz w:val="20"/>
                <w:lang w:val="de-DE"/>
              </w:rPr>
            </w:pPr>
            <w:r>
              <w:rPr>
                <w:sz w:val="20"/>
                <w:lang w:val="de-DE"/>
              </w:rPr>
              <w:t>E:01.03.00</w:t>
            </w:r>
          </w:p>
          <w:p>
            <w:pPr>
              <w:rPr>
                <w:sz w:val="18"/>
                <w:szCs w:val="18"/>
              </w:rPr>
            </w:pPr>
            <w:r>
              <w:rPr>
                <w:sz w:val="20"/>
                <w:lang w:val="de-DE"/>
              </w:rPr>
              <w:t>O:01.03.00</w:t>
            </w:r>
          </w:p>
        </w:tc>
        <w:tc>
          <w:tcPr>
            <w:tcW w:w="1457" w:type="dxa"/>
            <w:gridSpan w:val="4"/>
            <w:vAlign w:val="center"/>
          </w:tcPr>
          <w:p>
            <w:pPr>
              <w:jc w:val="center"/>
              <w:rPr>
                <w:sz w:val="20"/>
                <w:lang w:val="de-DE"/>
              </w:rPr>
            </w:pPr>
            <w:r>
              <w:rPr>
                <w:sz w:val="20"/>
                <w:lang w:val="de-DE"/>
              </w:rPr>
              <w:t>ISC-JSZJ-409</w:t>
            </w:r>
          </w:p>
          <w:p>
            <w:pPr>
              <w:jc w:val="center"/>
              <w:rPr>
                <w:sz w:val="20"/>
                <w:lang w:val="de-DE"/>
              </w:rPr>
            </w:pPr>
            <w:r>
              <w:rPr>
                <w:sz w:val="20"/>
                <w:lang w:val="de-DE"/>
              </w:rPr>
              <w:t>ISC-JSZJ-409</w:t>
            </w:r>
          </w:p>
          <w:p>
            <w:r>
              <w:rPr>
                <w:sz w:val="20"/>
                <w:lang w:val="de-DE"/>
              </w:rPr>
              <w:t>ISC-JSZJ-409</w:t>
            </w:r>
          </w:p>
        </w:tc>
        <w:tc>
          <w:tcPr>
            <w:tcW w:w="1222" w:type="dxa"/>
            <w:vAlign w:val="center"/>
          </w:tcPr>
          <w:p>
            <w:pPr>
              <w:rPr>
                <w:sz w:val="21"/>
                <w:szCs w:val="21"/>
              </w:rPr>
            </w:pPr>
            <w:r>
              <w:rPr>
                <w:sz w:val="20"/>
                <w:lang w:val="de-DE"/>
              </w:rPr>
              <w:t>18982754996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57" w:type="dxa"/>
            <w:gridSpan w:val="4"/>
            <w:vAlign w:val="center"/>
          </w:tcPr>
          <w:p/>
        </w:tc>
        <w:tc>
          <w:tcPr>
            <w:tcW w:w="122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279400</wp:posOffset>
                  </wp:positionH>
                  <wp:positionV relativeFrom="paragraph">
                    <wp:posOffset>9525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eastAsia" w:eastAsia="宋体"/>
                <w:sz w:val="21"/>
                <w:szCs w:val="21"/>
                <w:lang w:val="en-US" w:eastAsia="zh-CN"/>
              </w:rPr>
            </w:pPr>
            <w:r>
              <w:rPr>
                <w:rFonts w:hint="eastAsia"/>
                <w:sz w:val="21"/>
                <w:szCs w:val="21"/>
                <w:lang w:val="en-US" w:eastAsia="zh-CN"/>
              </w:rPr>
              <w:t>李永忠</w:t>
            </w:r>
          </w:p>
        </w:tc>
        <w:tc>
          <w:tcPr>
            <w:tcW w:w="2219"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22"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15181072354</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219" w:type="dxa"/>
            <w:gridSpan w:val="5"/>
            <w:vMerge w:val="continue"/>
            <w:vAlign w:val="center"/>
          </w:tcPr>
          <w:p>
            <w:pPr>
              <w:rPr>
                <w:sz w:val="21"/>
                <w:szCs w:val="21"/>
              </w:rPr>
            </w:pPr>
          </w:p>
        </w:tc>
        <w:tc>
          <w:tcPr>
            <w:tcW w:w="1222"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2021.11.14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2021.11.14</w:t>
            </w:r>
          </w:p>
        </w:tc>
        <w:tc>
          <w:tcPr>
            <w:tcW w:w="2219" w:type="dxa"/>
            <w:gridSpan w:val="5"/>
            <w:vAlign w:val="center"/>
          </w:tcPr>
          <w:p>
            <w:pPr>
              <w:rPr>
                <w:sz w:val="21"/>
                <w:szCs w:val="21"/>
              </w:rPr>
            </w:pPr>
            <w:r>
              <w:rPr>
                <w:rFonts w:hint="eastAsia"/>
                <w:sz w:val="20"/>
              </w:rPr>
              <w:t>日期</w:t>
            </w:r>
          </w:p>
        </w:tc>
        <w:tc>
          <w:tcPr>
            <w:tcW w:w="1222" w:type="dxa"/>
            <w:vAlign w:val="center"/>
          </w:tcPr>
          <w:p>
            <w:pPr>
              <w:rPr>
                <w:sz w:val="21"/>
                <w:szCs w:val="21"/>
              </w:rPr>
            </w:pPr>
          </w:p>
        </w:tc>
      </w:tr>
    </w:tbl>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639"/>
        <w:gridCol w:w="995"/>
        <w:gridCol w:w="5668"/>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6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0" w:type="dxa"/>
            <w:vMerge w:val="restart"/>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11</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月</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15</w:t>
            </w:r>
          </w:p>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日</w:t>
            </w:r>
          </w:p>
          <w:p>
            <w:pPr>
              <w:snapToGrid w:val="0"/>
              <w:spacing w:line="320" w:lineRule="exact"/>
              <w:rPr>
                <w:rFonts w:ascii="宋体" w:hAnsi="宋体"/>
                <w:b/>
                <w:bCs/>
                <w:sz w:val="21"/>
                <w:szCs w:val="21"/>
              </w:rPr>
            </w:pPr>
          </w:p>
        </w:tc>
        <w:tc>
          <w:tcPr>
            <w:tcW w:w="1639" w:type="dxa"/>
            <w:vAlign w:val="center"/>
          </w:tcPr>
          <w:p>
            <w:pPr>
              <w:snapToGrid w:val="0"/>
              <w:spacing w:line="280" w:lineRule="exact"/>
              <w:jc w:val="both"/>
              <w:rPr>
                <w:rFonts w:hint="default" w:ascii="宋体" w:hAnsi="宋体"/>
                <w:b/>
                <w:bCs/>
                <w:sz w:val="21"/>
                <w:szCs w:val="21"/>
                <w:lang w:val="en-US"/>
              </w:rPr>
            </w:pPr>
            <w:r>
              <w:rPr>
                <w:rFonts w:hint="eastAsia" w:ascii="宋体" w:hAnsi="宋体"/>
                <w:b/>
                <w:bCs/>
                <w:sz w:val="21"/>
                <w:szCs w:val="21"/>
                <w:lang w:val="en-US" w:eastAsia="zh-CN"/>
              </w:rPr>
              <w:t>8：30-9：00</w:t>
            </w:r>
          </w:p>
        </w:tc>
        <w:tc>
          <w:tcPr>
            <w:tcW w:w="6663" w:type="dxa"/>
            <w:gridSpan w:val="2"/>
            <w:vAlign w:val="center"/>
          </w:tcPr>
          <w:p>
            <w:pPr>
              <w:rPr>
                <w:rFonts w:ascii="宋体" w:hAnsi="宋体"/>
                <w:sz w:val="18"/>
              </w:rPr>
            </w:pPr>
            <w:r>
              <w:rPr>
                <w:rFonts w:hint="eastAsia" w:ascii="宋体" w:hAnsi="宋体"/>
                <w:sz w:val="18"/>
              </w:rPr>
              <w:t>首次会议</w:t>
            </w:r>
          </w:p>
        </w:tc>
        <w:tc>
          <w:tcPr>
            <w:tcW w:w="1065" w:type="dxa"/>
            <w:tcBorders>
              <w:right w:val="single" w:color="auto" w:sz="8" w:space="0"/>
            </w:tcBorders>
            <w:vAlign w:val="center"/>
          </w:tcPr>
          <w:p>
            <w:pPr>
              <w:snapToGrid w:val="0"/>
              <w:spacing w:line="280" w:lineRule="exact"/>
              <w:jc w:val="center"/>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8" w:hRule="atLeast"/>
          <w:jc w:val="center"/>
        </w:trPr>
        <w:tc>
          <w:tcPr>
            <w:tcW w:w="1010"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hint="eastAsia" w:ascii="宋体" w:hAnsi="宋体" w:eastAsia="宋体"/>
                <w:b/>
                <w:bCs/>
                <w:sz w:val="21"/>
                <w:szCs w:val="21"/>
                <w:lang w:eastAsia="zh-CN"/>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:00</w:t>
            </w:r>
          </w:p>
        </w:tc>
        <w:tc>
          <w:tcPr>
            <w:tcW w:w="995" w:type="dxa"/>
          </w:tcPr>
          <w:p>
            <w:pPr>
              <w:spacing w:line="300" w:lineRule="exact"/>
              <w:rPr>
                <w:rFonts w:ascii="宋体" w:hAnsi="宋体"/>
                <w:b/>
                <w:bCs/>
                <w:sz w:val="21"/>
                <w:szCs w:val="21"/>
              </w:rPr>
            </w:pPr>
            <w:r>
              <w:rPr>
                <w:rFonts w:hint="eastAsia" w:ascii="宋体" w:hAnsi="宋体"/>
                <w:b/>
                <w:bCs/>
                <w:sz w:val="21"/>
                <w:szCs w:val="21"/>
              </w:rPr>
              <w:t>管理层</w:t>
            </w:r>
          </w:p>
        </w:tc>
        <w:tc>
          <w:tcPr>
            <w:tcW w:w="5668" w:type="dxa"/>
          </w:tcPr>
          <w:p>
            <w:pPr>
              <w:snapToGrid w:val="0"/>
              <w:spacing w:line="240" w:lineRule="exact"/>
              <w:rPr>
                <w:rFonts w:ascii="宋体" w:hAnsi="宋体" w:cs="新宋体"/>
                <w:sz w:val="18"/>
                <w:szCs w:val="18"/>
              </w:rPr>
            </w:pPr>
            <w:r>
              <w:rPr>
                <w:rFonts w:hint="eastAsia" w:ascii="宋体" w:hAnsi="宋体" w:cs="新宋体"/>
                <w:sz w:val="18"/>
                <w:szCs w:val="18"/>
              </w:rPr>
              <w:t xml:space="preserve">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总则；7.1.6组织知识；9.3管理评审；10.1改进 总则；10.3持续改进</w:t>
            </w:r>
          </w:p>
          <w:p>
            <w:pPr>
              <w:rPr>
                <w:rFonts w:ascii="宋体" w:hAnsi="宋体" w:cs="新宋体"/>
                <w:sz w:val="18"/>
                <w:szCs w:val="18"/>
              </w:rPr>
            </w:pPr>
            <w:r>
              <w:rPr>
                <w:rFonts w:hint="eastAsia" w:ascii="宋体" w:hAnsi="宋体" w:cs="新宋体"/>
                <w:sz w:val="18"/>
                <w:szCs w:val="18"/>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4.1组织及其环境;4.2相关方需求与期望;4.3确定体系范围;4.4体系;5.1领导作用与承诺;5.2方针;5.3组织的角色、职责和权限；6.1.1策划总则；6.1.4措施的策划；6.2目标及其实现的策划；7.1资源；9.3管理评审；10.1改进 总则；10.3持续改进。</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OHSMS-</w:t>
            </w:r>
            <w:r>
              <w:rPr>
                <w:rFonts w:hint="eastAsia" w:ascii="宋体" w:hAnsi="宋体" w:cs="新宋体"/>
                <w:sz w:val="18"/>
                <w:szCs w:val="18"/>
                <w:lang w:eastAsia="zh-CN"/>
              </w:rPr>
              <w:t>2020</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 2相关方需求与期望;4.3确定体系范围;4.4体系;5.1领导作用与承诺;5.2方针;5.3组织的角色、职责和权限；</w:t>
            </w:r>
            <w:r>
              <w:rPr>
                <w:rFonts w:hint="eastAsia" w:ascii="宋体" w:hAnsi="宋体" w:cs="新宋体"/>
                <w:sz w:val="18"/>
                <w:szCs w:val="18"/>
                <w:lang w:val="en-US" w:eastAsia="zh-CN"/>
              </w:rPr>
              <w:t>5.4工作人员的协商和参与；</w:t>
            </w:r>
            <w:r>
              <w:rPr>
                <w:rFonts w:hint="eastAsia" w:ascii="宋体" w:hAnsi="宋体" w:cs="新宋体"/>
                <w:sz w:val="18"/>
                <w:szCs w:val="18"/>
              </w:rPr>
              <w:t>6.1应对风险和机遇的措施6.1.4措施的策划；6.2目标及其实现的策划；7.1资源；9.3管理评审；10.1事件、不符合和纠正措施；10.</w:t>
            </w:r>
            <w:r>
              <w:rPr>
                <w:rFonts w:hint="eastAsia" w:ascii="宋体" w:hAnsi="宋体" w:cs="新宋体"/>
                <w:sz w:val="18"/>
                <w:szCs w:val="18"/>
                <w:lang w:val="en-US" w:eastAsia="zh-CN"/>
              </w:rPr>
              <w:t>2</w:t>
            </w:r>
            <w:r>
              <w:rPr>
                <w:rFonts w:hint="eastAsia" w:ascii="宋体" w:hAnsi="宋体" w:cs="新宋体"/>
                <w:sz w:val="18"/>
                <w:szCs w:val="18"/>
              </w:rPr>
              <w:t>持续改进。</w:t>
            </w:r>
          </w:p>
          <w:p>
            <w:pPr>
              <w:snapToGrid w:val="0"/>
              <w:spacing w:line="240" w:lineRule="exact"/>
              <w:rPr>
                <w:rFonts w:ascii="宋体" w:hAnsi="宋体" w:cs="新宋体"/>
                <w:sz w:val="18"/>
                <w:szCs w:val="18"/>
              </w:rPr>
            </w:pPr>
            <w:r>
              <w:rPr>
                <w:rFonts w:hint="eastAsia" w:ascii="宋体" w:hAnsi="宋体" w:cs="新宋体"/>
                <w:sz w:val="18"/>
                <w:szCs w:val="18"/>
                <w:highlight w:val="none"/>
                <w:lang w:val="en-US" w:eastAsia="zh-CN"/>
              </w:rPr>
              <w:t>范围的确认，资质的确认，法律法规执行情况，质量环境安全投诉或事故/政府主管部门监督抽查情况，一阶段不符合的验证。</w:t>
            </w:r>
          </w:p>
        </w:tc>
        <w:tc>
          <w:tcPr>
            <w:tcW w:w="1065" w:type="dxa"/>
            <w:tcBorders>
              <w:right w:val="single" w:color="auto" w:sz="8" w:space="0"/>
            </w:tcBorders>
          </w:tcPr>
          <w:p>
            <w:pPr>
              <w:snapToGrid w:val="0"/>
              <w:spacing w:line="320" w:lineRule="exact"/>
              <w:rPr>
                <w:rFonts w:hint="default" w:ascii="宋体" w:hAnsi="宋体"/>
                <w:b w:val="0"/>
                <w:bCs w:val="0"/>
                <w:sz w:val="15"/>
                <w:szCs w:val="15"/>
                <w:lang w:val="en-US"/>
              </w:rPr>
            </w:pPr>
            <w:r>
              <w:rPr>
                <w:rFonts w:hint="eastAsia" w:ascii="宋体" w:hAnsi="宋体"/>
                <w:b w:val="0"/>
                <w:bCs w:val="0"/>
                <w:sz w:val="18"/>
                <w:szCs w:val="18"/>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8" w:hRule="atLeast"/>
          <w:jc w:val="center"/>
        </w:trPr>
        <w:tc>
          <w:tcPr>
            <w:tcW w:w="1010"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13：00-17：30（12：00-13：00午餐）</w:t>
            </w:r>
          </w:p>
        </w:tc>
        <w:tc>
          <w:tcPr>
            <w:tcW w:w="995" w:type="dxa"/>
          </w:tcPr>
          <w:p>
            <w:pPr>
              <w:spacing w:line="30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综合办</w:t>
            </w:r>
          </w:p>
        </w:tc>
        <w:tc>
          <w:tcPr>
            <w:tcW w:w="5668" w:type="dxa"/>
            <w:vAlign w:val="top"/>
          </w:tcPr>
          <w:p>
            <w:pPr>
              <w:snapToGrid w:val="0"/>
              <w:spacing w:line="240" w:lineRule="exact"/>
              <w:rPr>
                <w:rFonts w:ascii="宋体" w:hAnsi="宋体" w:cs="新宋体"/>
                <w:sz w:val="18"/>
                <w:szCs w:val="18"/>
              </w:rPr>
            </w:pPr>
            <w:r>
              <w:rPr>
                <w:rFonts w:hint="eastAsia" w:ascii="宋体" w:hAnsi="宋体" w:cs="新宋体"/>
                <w:sz w:val="18"/>
                <w:szCs w:val="18"/>
              </w:rPr>
              <w:t xml:space="preserve">QMS-2015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/权限；6.2质量目标及其实现的策划；7.1.2人员7.2能力；7.3意识；7.4沟通；7.5文件化信息；8.4外部提供供方的控制；9.1监视、测量、分析与评估；9.2内部审核；10.2不符合和纠正措施</w:t>
            </w:r>
          </w:p>
          <w:p>
            <w:pPr>
              <w:rPr>
                <w:rFonts w:ascii="宋体" w:hAnsi="宋体" w:cs="新宋体"/>
                <w:sz w:val="18"/>
                <w:szCs w:val="18"/>
              </w:rPr>
            </w:pPr>
            <w:r>
              <w:rPr>
                <w:rFonts w:hint="eastAsia" w:ascii="宋体" w:hAnsi="宋体" w:cs="新宋体"/>
                <w:sz w:val="18"/>
                <w:szCs w:val="18"/>
              </w:rPr>
              <w:t>EMS-2015</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OHSMS-</w:t>
            </w:r>
            <w:r>
              <w:rPr>
                <w:rFonts w:hint="eastAsia" w:ascii="宋体" w:hAnsi="宋体" w:cs="新宋体"/>
                <w:sz w:val="18"/>
                <w:szCs w:val="18"/>
                <w:lang w:eastAsia="zh-CN"/>
              </w:rPr>
              <w:t>2020</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spacing w:line="300" w:lineRule="exact"/>
              <w:rPr>
                <w:rFonts w:hint="eastAsia" w:ascii="宋体" w:hAnsi="宋体" w:eastAsia="宋体" w:cs="新宋体"/>
                <w:kern w:val="2"/>
                <w:sz w:val="18"/>
                <w:szCs w:val="18"/>
                <w:lang w:val="en-US" w:eastAsia="zh-CN" w:bidi="ar-SA"/>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与评估；9.1.2法律法规要求和其他要求的合规性评价；9.2内部审核；10.</w:t>
            </w:r>
            <w:r>
              <w:rPr>
                <w:rFonts w:hint="eastAsia" w:ascii="宋体" w:hAnsi="宋体" w:cs="新宋体"/>
                <w:sz w:val="18"/>
                <w:szCs w:val="18"/>
                <w:lang w:val="en-US" w:eastAsia="zh-CN"/>
              </w:rPr>
              <w:t>1</w:t>
            </w:r>
            <w:r>
              <w:rPr>
                <w:rFonts w:hint="eastAsia" w:ascii="宋体" w:hAnsi="宋体" w:cs="新宋体"/>
                <w:sz w:val="18"/>
                <w:szCs w:val="18"/>
              </w:rPr>
              <w:t>事件、不符合和纠正措施/OHSMS运行控制财务支出证据</w:t>
            </w:r>
          </w:p>
        </w:tc>
        <w:tc>
          <w:tcPr>
            <w:tcW w:w="1065" w:type="dxa"/>
            <w:tcBorders>
              <w:right w:val="single" w:color="auto" w:sz="8" w:space="0"/>
            </w:tcBorders>
          </w:tcPr>
          <w:p>
            <w:pPr>
              <w:snapToGrid w:val="0"/>
              <w:spacing w:line="320" w:lineRule="exact"/>
              <w:rPr>
                <w:rFonts w:hint="eastAsia" w:ascii="宋体" w:hAnsi="宋体"/>
                <w:b w:val="0"/>
                <w:bCs w:val="0"/>
                <w:sz w:val="18"/>
                <w:szCs w:val="18"/>
                <w:lang w:val="en-US" w:eastAsia="zh-CN"/>
              </w:rPr>
            </w:pPr>
            <w:r>
              <w:rPr>
                <w:rFonts w:hint="eastAsia" w:ascii="宋体" w:hAnsi="宋体"/>
                <w:b w:val="0"/>
                <w:bCs w:val="0"/>
                <w:sz w:val="18"/>
                <w:szCs w:val="18"/>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1010" w:type="dxa"/>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11</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月</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16</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日</w:t>
            </w:r>
          </w:p>
        </w:tc>
        <w:tc>
          <w:tcPr>
            <w:tcW w:w="1639" w:type="dxa"/>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8：30-19：00（8：30-9：30去生产现场）（11：00-12：30午餐，回办公室）</w:t>
            </w:r>
          </w:p>
        </w:tc>
        <w:tc>
          <w:tcPr>
            <w:tcW w:w="995" w:type="dxa"/>
            <w:vAlign w:val="top"/>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项目部</w:t>
            </w:r>
          </w:p>
        </w:tc>
        <w:tc>
          <w:tcPr>
            <w:tcW w:w="5668" w:type="dxa"/>
            <w:vAlign w:val="top"/>
          </w:tcPr>
          <w:p>
            <w:pPr>
              <w:snapToGrid w:val="0"/>
              <w:spacing w:line="240" w:lineRule="exact"/>
              <w:rPr>
                <w:rFonts w:ascii="宋体" w:hAnsi="宋体" w:cs="新宋体"/>
                <w:sz w:val="18"/>
                <w:szCs w:val="18"/>
              </w:rPr>
            </w:pPr>
            <w:r>
              <w:rPr>
                <w:rFonts w:hint="eastAsia" w:ascii="宋体" w:hAnsi="宋体" w:cs="新宋体"/>
                <w:sz w:val="18"/>
                <w:szCs w:val="18"/>
              </w:rPr>
              <w:t>QMS-2015</w:t>
            </w:r>
          </w:p>
          <w:p>
            <w:pPr>
              <w:spacing w:line="300" w:lineRule="exact"/>
              <w:rPr>
                <w:rFonts w:ascii="宋体" w:hAnsi="宋体" w:cs="新宋体"/>
                <w:sz w:val="18"/>
                <w:szCs w:val="18"/>
              </w:rPr>
            </w:pPr>
            <w:r>
              <w:rPr>
                <w:rFonts w:hint="eastAsia" w:ascii="宋体" w:hAnsi="宋体" w:cs="新宋体"/>
                <w:sz w:val="18"/>
                <w:szCs w:val="18"/>
              </w:rPr>
              <w:t>5.3岗位/职责/权限；6.2质量目标及其实现的策划；7.1.3基础设施；7.1.4运作环境；7.1.5监视和测量资源； 8.1运行策划和控制；8.3设计开发控制； 8.5.1生产和服务提供的控制； 8.5.2标识和可追溯性；8.5.4防护；8.5.5交付后的活动；8.5.6更改控制；8.6产品和服务放行；8.7不合格输出的控制；</w:t>
            </w:r>
            <w:r>
              <w:rPr>
                <w:rFonts w:hint="eastAsia" w:ascii="宋体" w:hAnsi="宋体" w:cs="新宋体"/>
                <w:sz w:val="18"/>
                <w:szCs w:val="18"/>
                <w:lang w:val="en-US" w:eastAsia="zh-CN"/>
              </w:rPr>
              <w:t>9.1.3分析和评价；</w:t>
            </w:r>
          </w:p>
          <w:p>
            <w:pPr>
              <w:rPr>
                <w:rFonts w:ascii="宋体" w:hAnsi="宋体" w:cs="新宋体"/>
                <w:sz w:val="18"/>
                <w:szCs w:val="18"/>
              </w:rPr>
            </w:pP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OHSMS-</w:t>
            </w:r>
            <w:r>
              <w:rPr>
                <w:rFonts w:hint="eastAsia" w:ascii="宋体" w:hAnsi="宋体" w:cs="新宋体"/>
                <w:sz w:val="18"/>
                <w:szCs w:val="18"/>
                <w:lang w:eastAsia="zh-CN"/>
              </w:rPr>
              <w:t>2020</w:t>
            </w:r>
          </w:p>
          <w:p>
            <w:pPr>
              <w:snapToGrid w:val="0"/>
              <w:spacing w:line="240" w:lineRule="exact"/>
              <w:rPr>
                <w:rFonts w:hint="eastAsia" w:ascii="宋体" w:hAnsi="宋体" w:eastAsia="宋体" w:cs="Times New Roman"/>
                <w:b/>
                <w:bCs/>
                <w:kern w:val="2"/>
                <w:sz w:val="18"/>
                <w:szCs w:val="18"/>
                <w:lang w:val="en-US" w:eastAsia="zh-CN" w:bidi="ar-SA"/>
              </w:rPr>
            </w:pPr>
            <w:r>
              <w:rPr>
                <w:rFonts w:hint="eastAsia" w:ascii="宋体" w:hAnsi="宋体" w:cs="新宋体"/>
                <w:sz w:val="18"/>
                <w:szCs w:val="18"/>
              </w:rPr>
              <w:t>5.3组织的角色、职责和权限、6.1.2</w:t>
            </w:r>
            <w:r>
              <w:rPr>
                <w:rFonts w:hint="eastAsia" w:ascii="宋体" w:hAnsi="宋体" w:cs="新宋体"/>
                <w:sz w:val="18"/>
                <w:szCs w:val="18"/>
                <w:highlight w:val="none"/>
                <w:lang w:val="en-US" w:eastAsia="zh-CN"/>
              </w:rPr>
              <w:t>危险源辨识和职业安全风险评价</w:t>
            </w:r>
            <w:r>
              <w:rPr>
                <w:rFonts w:hint="eastAsia" w:ascii="宋体" w:hAnsi="宋体" w:cs="新宋体"/>
                <w:sz w:val="18"/>
                <w:szCs w:val="18"/>
              </w:rPr>
              <w:t>；6.2目标及其达成的策划；8.1运行策划和控制；8.2应急准备和响应；</w:t>
            </w:r>
          </w:p>
        </w:tc>
        <w:tc>
          <w:tcPr>
            <w:tcW w:w="1065" w:type="dxa"/>
            <w:tcBorders>
              <w:right w:val="single" w:color="auto" w:sz="8" w:space="0"/>
            </w:tcBorders>
            <w:vAlign w:val="top"/>
          </w:tcPr>
          <w:p>
            <w:pPr>
              <w:snapToGrid w:val="0"/>
              <w:spacing w:line="320" w:lineRule="exact"/>
              <w:rPr>
                <w:rFonts w:hint="eastAsia" w:ascii="宋体" w:hAnsi="宋体" w:eastAsia="宋体" w:cs="Times New Roman"/>
                <w:b w:val="0"/>
                <w:bCs w:val="0"/>
                <w:kern w:val="2"/>
                <w:sz w:val="15"/>
                <w:szCs w:val="15"/>
                <w:lang w:val="en-US" w:eastAsia="zh-CN" w:bidi="ar-SA"/>
              </w:rPr>
            </w:pPr>
            <w:r>
              <w:rPr>
                <w:rFonts w:hint="eastAsia" w:ascii="宋体" w:hAnsi="宋体"/>
                <w:b w:val="0"/>
                <w:bCs w:val="0"/>
                <w:sz w:val="18"/>
                <w:szCs w:val="18"/>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010" w:type="dxa"/>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lang w:val="en-US" w:eastAsia="zh-CN"/>
              </w:rPr>
              <w:t>11</w:t>
            </w:r>
            <w:r>
              <w:rPr>
                <w:rFonts w:hint="eastAsia" w:ascii="宋体" w:hAnsi="宋体"/>
                <w:b/>
                <w:bCs/>
                <w:sz w:val="21"/>
                <w:szCs w:val="21"/>
                <w:lang w:val="en-US" w:eastAsia="zh-CN"/>
              </w:rPr>
              <w:t>月17</w:t>
            </w:r>
          </w:p>
          <w:p>
            <w:pPr>
              <w:pStyle w:val="2"/>
              <w:rPr>
                <w:rFonts w:hint="default" w:ascii="宋体" w:hAnsi="宋体"/>
                <w:b/>
                <w:bCs/>
                <w:sz w:val="21"/>
                <w:szCs w:val="21"/>
                <w:lang w:val="en-US" w:eastAsia="zh-CN"/>
              </w:rPr>
            </w:pPr>
            <w:r>
              <w:rPr>
                <w:rFonts w:hint="eastAsia" w:ascii="宋体" w:hAnsi="宋体"/>
                <w:b/>
                <w:bCs/>
                <w:sz w:val="21"/>
                <w:szCs w:val="21"/>
                <w:lang w:val="en-US" w:eastAsia="zh-CN"/>
              </w:rPr>
              <w:t>日</w:t>
            </w:r>
          </w:p>
        </w:tc>
        <w:tc>
          <w:tcPr>
            <w:tcW w:w="1639"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8：30-17：30（12：00-13：00午休）</w:t>
            </w:r>
          </w:p>
        </w:tc>
        <w:tc>
          <w:tcPr>
            <w:tcW w:w="995" w:type="dxa"/>
            <w:vAlign w:val="top"/>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项目部</w:t>
            </w:r>
          </w:p>
        </w:tc>
        <w:tc>
          <w:tcPr>
            <w:tcW w:w="5668" w:type="dxa"/>
            <w:vAlign w:val="top"/>
          </w:tcPr>
          <w:p>
            <w:pPr>
              <w:snapToGrid w:val="0"/>
              <w:spacing w:line="240" w:lineRule="exact"/>
              <w:rPr>
                <w:rFonts w:hint="eastAsia" w:ascii="宋体" w:hAnsi="宋体" w:cs="新宋体"/>
                <w:sz w:val="18"/>
                <w:szCs w:val="18"/>
              </w:rPr>
            </w:pPr>
            <w:r>
              <w:rPr>
                <w:rFonts w:hint="eastAsia" w:ascii="宋体" w:hAnsi="宋体" w:cs="新宋体"/>
                <w:sz w:val="18"/>
                <w:szCs w:val="18"/>
                <w:lang w:val="en-US" w:eastAsia="zh-CN"/>
              </w:rPr>
              <w:t>继续前一天的审核</w:t>
            </w:r>
          </w:p>
        </w:tc>
        <w:tc>
          <w:tcPr>
            <w:tcW w:w="1065" w:type="dxa"/>
            <w:tcBorders>
              <w:right w:val="single" w:color="auto" w:sz="8" w:space="0"/>
            </w:tcBorders>
            <w:vAlign w:val="top"/>
          </w:tcPr>
          <w:p>
            <w:pPr>
              <w:snapToGrid w:val="0"/>
              <w:spacing w:line="320" w:lineRule="exact"/>
              <w:rPr>
                <w:rFonts w:hint="eastAsia" w:ascii="宋体" w:hAnsi="宋体" w:eastAsia="宋体" w:cs="Times New Roman"/>
                <w:b w:val="0"/>
                <w:bCs w:val="0"/>
                <w:kern w:val="2"/>
                <w:sz w:val="15"/>
                <w:szCs w:val="15"/>
                <w:lang w:val="en-US" w:eastAsia="zh-CN" w:bidi="ar-SA"/>
              </w:rPr>
            </w:pPr>
            <w:r>
              <w:rPr>
                <w:rFonts w:hint="eastAsia" w:ascii="宋体" w:hAnsi="宋体"/>
                <w:b w:val="0"/>
                <w:bCs w:val="0"/>
                <w:sz w:val="18"/>
                <w:szCs w:val="18"/>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1010"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11</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月</w:t>
            </w: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18</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日</w:t>
            </w:r>
          </w:p>
        </w:tc>
        <w:tc>
          <w:tcPr>
            <w:tcW w:w="1639"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8：30-16：00（12：00-12：30午餐）</w:t>
            </w:r>
          </w:p>
        </w:tc>
        <w:tc>
          <w:tcPr>
            <w:tcW w:w="995"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市场部</w:t>
            </w:r>
          </w:p>
        </w:tc>
        <w:tc>
          <w:tcPr>
            <w:tcW w:w="5668" w:type="dxa"/>
            <w:vAlign w:val="top"/>
          </w:tcPr>
          <w:p>
            <w:pPr>
              <w:snapToGrid w:val="0"/>
              <w:spacing w:line="240" w:lineRule="exact"/>
              <w:rPr>
                <w:rFonts w:ascii="宋体" w:hAnsi="宋体" w:cs="新宋体"/>
                <w:sz w:val="18"/>
                <w:szCs w:val="18"/>
              </w:rPr>
            </w:pPr>
            <w:r>
              <w:rPr>
                <w:rFonts w:hint="eastAsia" w:ascii="宋体" w:hAnsi="宋体" w:cs="新宋体"/>
                <w:sz w:val="18"/>
                <w:szCs w:val="18"/>
              </w:rPr>
              <w:t>QMS-2015</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 8.2产品和服务的要求；</w:t>
            </w:r>
            <w:r>
              <w:rPr>
                <w:rFonts w:hint="eastAsia" w:ascii="宋体" w:hAnsi="宋体" w:cs="新宋体"/>
                <w:sz w:val="18"/>
                <w:szCs w:val="18"/>
                <w:lang w:val="en-US" w:eastAsia="zh-CN"/>
              </w:rPr>
              <w:t>8.5.3顾客和外部供方的财产；</w:t>
            </w:r>
            <w:r>
              <w:rPr>
                <w:rFonts w:hint="eastAsia" w:ascii="宋体" w:hAnsi="宋体" w:cs="新宋体"/>
                <w:sz w:val="18"/>
                <w:szCs w:val="18"/>
              </w:rPr>
              <w:t>9.1.2顾客满意；</w:t>
            </w:r>
          </w:p>
          <w:p>
            <w:pPr>
              <w:rPr>
                <w:rFonts w:ascii="宋体" w:hAnsi="宋体" w:cs="新宋体"/>
                <w:sz w:val="18"/>
                <w:szCs w:val="18"/>
              </w:rPr>
            </w:pP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OHSMS-</w:t>
            </w:r>
            <w:r>
              <w:rPr>
                <w:rFonts w:hint="eastAsia" w:ascii="宋体" w:hAnsi="宋体" w:cs="新宋体"/>
                <w:sz w:val="18"/>
                <w:szCs w:val="18"/>
                <w:lang w:eastAsia="zh-CN"/>
              </w:rPr>
              <w:t>2020</w:t>
            </w:r>
          </w:p>
          <w:p>
            <w:pPr>
              <w:snapToGrid w:val="0"/>
              <w:spacing w:line="240" w:lineRule="exact"/>
              <w:rPr>
                <w:rFonts w:hint="eastAsia" w:ascii="宋体" w:hAnsi="宋体" w:eastAsia="宋体" w:cs="新宋体"/>
                <w:kern w:val="2"/>
                <w:sz w:val="18"/>
                <w:szCs w:val="18"/>
                <w:lang w:val="en-US" w:eastAsia="zh-CN" w:bidi="ar-SA"/>
              </w:rPr>
            </w:pPr>
            <w:r>
              <w:rPr>
                <w:rFonts w:hint="eastAsia" w:ascii="宋体" w:hAnsi="宋体" w:cs="新宋体"/>
                <w:sz w:val="18"/>
                <w:szCs w:val="18"/>
              </w:rPr>
              <w:t>5.3组织的角色、职责和权限、6.1.2</w:t>
            </w:r>
            <w:r>
              <w:rPr>
                <w:rFonts w:hint="eastAsia" w:ascii="宋体" w:hAnsi="宋体" w:cs="新宋体"/>
                <w:sz w:val="18"/>
                <w:szCs w:val="18"/>
                <w:highlight w:val="none"/>
                <w:lang w:val="en-US" w:eastAsia="zh-CN"/>
              </w:rPr>
              <w:t>危险源辨识和职业安全风险评价</w:t>
            </w:r>
            <w:r>
              <w:rPr>
                <w:rFonts w:hint="eastAsia" w:ascii="宋体" w:hAnsi="宋体" w:cs="新宋体"/>
                <w:sz w:val="18"/>
                <w:szCs w:val="18"/>
              </w:rPr>
              <w:t>；6.2目标及其达成的策划；8.1运行策划和控制；8.2应急准备和响应；</w:t>
            </w:r>
          </w:p>
        </w:tc>
        <w:tc>
          <w:tcPr>
            <w:tcW w:w="1065" w:type="dxa"/>
            <w:tcBorders>
              <w:right w:val="single" w:color="auto" w:sz="8" w:space="0"/>
            </w:tcBorders>
            <w:vAlign w:val="top"/>
          </w:tcPr>
          <w:p>
            <w:pPr>
              <w:snapToGrid w:val="0"/>
              <w:spacing w:line="320" w:lineRule="exact"/>
              <w:rPr>
                <w:rFonts w:hint="default" w:ascii="宋体" w:hAnsi="宋体" w:eastAsia="宋体" w:cs="Times New Roman"/>
                <w:b w:val="0"/>
                <w:bCs w:val="0"/>
                <w:kern w:val="2"/>
                <w:sz w:val="15"/>
                <w:szCs w:val="15"/>
                <w:lang w:val="en-US" w:eastAsia="zh-CN" w:bidi="ar-SA"/>
              </w:rPr>
            </w:pPr>
            <w:r>
              <w:rPr>
                <w:rFonts w:hint="eastAsia" w:ascii="宋体" w:hAnsi="宋体"/>
                <w:b w:val="0"/>
                <w:bCs w:val="0"/>
                <w:sz w:val="18"/>
                <w:szCs w:val="18"/>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663"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065" w:type="dxa"/>
            <w:tcBorders>
              <w:right w:val="single" w:color="auto" w:sz="8" w:space="0"/>
            </w:tcBorders>
          </w:tcPr>
          <w:p>
            <w:pPr>
              <w:snapToGrid w:val="0"/>
              <w:spacing w:line="320" w:lineRule="exact"/>
              <w:rPr>
                <w:rFonts w:ascii="宋体" w:hAnsi="宋体"/>
                <w:b w:val="0"/>
                <w:bCs w:val="0"/>
                <w:sz w:val="18"/>
                <w:szCs w:val="18"/>
              </w:rPr>
            </w:pPr>
            <w:r>
              <w:rPr>
                <w:rFonts w:hint="eastAsia" w:ascii="宋体" w:hAnsi="宋体"/>
                <w:b w:val="0"/>
                <w:bCs w:val="0"/>
                <w:sz w:val="18"/>
                <w:szCs w:val="18"/>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0"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663"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065" w:type="dxa"/>
            <w:tcBorders>
              <w:right w:val="single" w:color="auto" w:sz="8" w:space="0"/>
            </w:tcBorders>
          </w:tcPr>
          <w:p>
            <w:pPr>
              <w:snapToGrid w:val="0"/>
              <w:spacing w:line="320" w:lineRule="exact"/>
              <w:rPr>
                <w:rFonts w:hint="default" w:ascii="宋体" w:hAnsi="宋体"/>
                <w:b w:val="0"/>
                <w:bCs w:val="0"/>
                <w:sz w:val="18"/>
                <w:szCs w:val="18"/>
                <w:lang w:val="en-US"/>
              </w:rPr>
            </w:pPr>
            <w:r>
              <w:rPr>
                <w:rFonts w:hint="eastAsia" w:ascii="宋体" w:hAnsi="宋体"/>
                <w:b w:val="0"/>
                <w:bCs w:val="0"/>
                <w:sz w:val="18"/>
                <w:szCs w:val="18"/>
                <w:lang w:val="en-US" w:eastAsia="zh-CN"/>
              </w:rPr>
              <w:t>审核组</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D45CC7"/>
    <w:rsid w:val="3F507021"/>
    <w:rsid w:val="4A2966CF"/>
    <w:rsid w:val="708D2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0</TotalTime>
  <ScaleCrop>false</ScaleCrop>
  <LinksUpToDate>false</LinksUpToDate>
  <CharactersWithSpaces>5336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2021-11-29T14:11:39Z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2052-11.1.0.11115</vt:lpwstr>
  </property>
</Properties>
</file>