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宣城市宝冠金属制品有限责任公司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Q：23.01.01;23.01.04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E：23.01.01;23.01.04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O：23.01.01;23.01.04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Q：23.01.01;23.01.04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E：23.01.01;23.01.04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O：23.01.01;23.01.04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产品工艺流程图：</w:t>
            </w:r>
          </w:p>
          <w:p>
            <w:pPr>
              <w:pStyle w:val="12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下料</w:t>
            </w:r>
            <w:r>
              <w:rPr>
                <w:rFonts w:ascii="Arial" w:hAnsi="Arial" w:cs="Arial"/>
                <w:szCs w:val="22"/>
              </w:rPr>
              <w:t>→</w:t>
            </w:r>
            <w:r>
              <w:rPr>
                <w:rFonts w:hint="eastAsia"/>
                <w:szCs w:val="22"/>
              </w:rPr>
              <w:t>冲压</w:t>
            </w:r>
            <w:r>
              <w:rPr>
                <w:rFonts w:ascii="Arial" w:hAnsi="Arial" w:cs="Arial"/>
                <w:szCs w:val="22"/>
              </w:rPr>
              <w:t>→</w:t>
            </w:r>
            <w:r>
              <w:rPr>
                <w:rFonts w:hint="eastAsia"/>
                <w:szCs w:val="22"/>
              </w:rPr>
              <w:t>折弯</w:t>
            </w:r>
            <w:r>
              <w:rPr>
                <w:rFonts w:ascii="Arial" w:hAnsi="Arial" w:cs="Arial"/>
                <w:szCs w:val="22"/>
              </w:rPr>
              <w:t>→</w:t>
            </w:r>
            <w:r>
              <w:rPr>
                <w:rFonts w:hint="eastAsia"/>
                <w:szCs w:val="22"/>
              </w:rPr>
              <w:t>焊接</w:t>
            </w:r>
            <w:r>
              <w:rPr>
                <w:rFonts w:ascii="Arial" w:hAnsi="Arial" w:cs="Arial"/>
                <w:szCs w:val="22"/>
              </w:rPr>
              <w:t>→</w:t>
            </w:r>
            <w:r>
              <w:rPr>
                <w:rFonts w:hint="eastAsia"/>
                <w:szCs w:val="22"/>
              </w:rPr>
              <w:t>抛丸</w:t>
            </w:r>
            <w:r>
              <w:rPr>
                <w:rFonts w:ascii="Arial" w:hAnsi="Arial" w:cs="Arial"/>
                <w:szCs w:val="22"/>
              </w:rPr>
              <w:t>→</w:t>
            </w:r>
            <w:r>
              <w:rPr>
                <w:rFonts w:hint="eastAsia"/>
                <w:szCs w:val="22"/>
              </w:rPr>
              <w:t>喷涂</w:t>
            </w:r>
            <w:r>
              <w:rPr>
                <w:rFonts w:ascii="Arial" w:hAnsi="Arial" w:cs="Arial"/>
                <w:szCs w:val="22"/>
              </w:rPr>
              <w:t>→</w:t>
            </w:r>
            <w:r>
              <w:rPr>
                <w:rFonts w:hint="eastAsia"/>
                <w:szCs w:val="22"/>
              </w:rPr>
              <w:t>固化</w:t>
            </w:r>
            <w:r>
              <w:rPr>
                <w:rFonts w:ascii="Arial" w:hAnsi="Arial" w:cs="Arial"/>
                <w:szCs w:val="22"/>
              </w:rPr>
              <w:t>→</w:t>
            </w:r>
            <w:r>
              <w:rPr>
                <w:rFonts w:hint="eastAsia"/>
                <w:szCs w:val="22"/>
              </w:rPr>
              <w:t>组装</w:t>
            </w:r>
            <w:r>
              <w:rPr>
                <w:rFonts w:ascii="Arial" w:hAnsi="Arial" w:cs="Arial"/>
                <w:szCs w:val="22"/>
              </w:rPr>
              <w:t>→</w:t>
            </w:r>
            <w:r>
              <w:rPr>
                <w:rFonts w:hint="eastAsia" w:ascii="Arial" w:hAnsi="Arial" w:cs="Arial"/>
                <w:szCs w:val="22"/>
              </w:rPr>
              <w:t>包装</w:t>
            </w:r>
            <w:r>
              <w:rPr>
                <w:rFonts w:ascii="Arial" w:hAnsi="Arial" w:cs="Arial"/>
                <w:szCs w:val="22"/>
              </w:rPr>
              <w:t>→</w:t>
            </w:r>
            <w:r>
              <w:rPr>
                <w:rFonts w:hint="eastAsia"/>
                <w:szCs w:val="22"/>
              </w:rPr>
              <w:t>成品</w:t>
            </w:r>
          </w:p>
          <w:p>
            <w:pPr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关键和特殊</w:t>
            </w:r>
            <w:r>
              <w:rPr>
                <w:rFonts w:hint="eastAsia"/>
              </w:rPr>
              <w:t>过程为：焊接、喷漆</w:t>
            </w:r>
          </w:p>
          <w:p>
            <w:pPr>
              <w:pStyle w:val="12"/>
            </w:pPr>
            <w:r>
              <w:rPr>
                <w:rFonts w:hint="eastAsia"/>
                <w:lang w:val="en-US" w:eastAsia="zh-CN"/>
              </w:rPr>
              <w:t>生产风险及控制措施：产品质量不达标，导致客户要求得不到满足，针对生产人员的能力、生产发的设备、质量要求、作业指导书、工作环境等进行确认，严格遵守客户订单要求，针对订单要求进行评审，后期进行产品测试验证，保障输出符合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重大环境因素：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废气、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火灾，噪声排放，电能等资源能源的消耗，固废排放；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控制措施：集中收集外售至废品回收站；选用低噪声设备，废气主要来源于排孔、打磨产生的粉尘，通过集气罩、布袋除尘器等进行处理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重大危险源：机械伤害、触电、火灾、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废气、噪声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Q：中华人民共和国产品质量法、中华人民共和国标准化法、中华人民共和国消费者权益保护法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E：《环境保护法》、《水污染防治法》、《大气污染防治法》、《环境噪声污染防治法》、《环境影响评价法》、《清洁生产促进法》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消防条例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污水综合排放标准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大气污染物排放标准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O：《职业卫生标准管理办法》、《作业场所职业危害申报管理办法》、《职业性健康检查管理规定》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职业病防治法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安全生产条例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消防条例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外观、规格尺寸、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平整度</w:t>
            </w:r>
            <w:r>
              <w:rPr>
                <w:rFonts w:hint="eastAsia" w:ascii="宋体" w:hAnsi="宋体"/>
                <w:sz w:val="21"/>
                <w:szCs w:val="21"/>
              </w:rPr>
              <w:t>等，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检验要求详见产品检测报告，</w:t>
            </w:r>
            <w:r>
              <w:rPr>
                <w:rFonts w:hint="eastAsia" w:ascii="宋体" w:hAnsi="宋体"/>
                <w:sz w:val="21"/>
                <w:szCs w:val="21"/>
              </w:rPr>
              <w:t>无型式试验要求。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118110</wp:posOffset>
                  </wp:positionV>
                  <wp:extent cx="565150" cy="476250"/>
                  <wp:effectExtent l="0" t="0" r="6350" b="6350"/>
                  <wp:wrapNone/>
                  <wp:docPr id="1" name="图片 1" descr="a9e3cf7c3b14aeb48d91bc2b6488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9e3cf7c3b14aeb48d91bc2b64882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2021.11.7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63370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5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2021-11-17T07:37:42Z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