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968"/>
        <w:gridCol w:w="10978"/>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08"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78" w:type="dxa"/>
            <w:vAlign w:val="center"/>
          </w:tcPr>
          <w:p>
            <w:pPr>
              <w:rPr>
                <w:sz w:val="24"/>
                <w:szCs w:val="24"/>
              </w:rPr>
            </w:pPr>
            <w:r>
              <w:rPr>
                <w:rFonts w:hint="eastAsia"/>
                <w:sz w:val="24"/>
                <w:szCs w:val="24"/>
              </w:rPr>
              <w:t>受审核部门：管理研究所（含食堂、厂区</w:t>
            </w:r>
            <w:r>
              <w:rPr>
                <w:rFonts w:hint="eastAsia"/>
                <w:sz w:val="24"/>
                <w:szCs w:val="24"/>
                <w:lang w:eastAsia="zh-CN"/>
              </w:rPr>
              <w:t>、</w:t>
            </w:r>
            <w:r>
              <w:rPr>
                <w:rFonts w:hint="eastAsia"/>
                <w:sz w:val="24"/>
                <w:szCs w:val="24"/>
                <w:lang w:val="en-US" w:eastAsia="zh-CN"/>
              </w:rPr>
              <w:t>财务</w:t>
            </w:r>
            <w:r>
              <w:rPr>
                <w:rFonts w:hint="eastAsia"/>
                <w:sz w:val="24"/>
                <w:szCs w:val="24"/>
              </w:rPr>
              <w:t>）      主管领导：祝立夫    陪同人员： 乙春红</w:t>
            </w:r>
          </w:p>
        </w:tc>
        <w:tc>
          <w:tcPr>
            <w:tcW w:w="115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08" w:type="dxa"/>
            <w:vMerge w:val="continue"/>
            <w:vAlign w:val="center"/>
          </w:tcPr>
          <w:p/>
        </w:tc>
        <w:tc>
          <w:tcPr>
            <w:tcW w:w="968" w:type="dxa"/>
            <w:vMerge w:val="continue"/>
            <w:vAlign w:val="center"/>
          </w:tcPr>
          <w:p/>
        </w:tc>
        <w:tc>
          <w:tcPr>
            <w:tcW w:w="10978" w:type="dxa"/>
            <w:vAlign w:val="center"/>
          </w:tcPr>
          <w:p>
            <w:pPr>
              <w:spacing w:before="120"/>
              <w:rPr>
                <w:rFonts w:hint="default" w:eastAsia="宋体"/>
                <w:lang w:val="en-US" w:eastAsia="zh-CN"/>
              </w:rPr>
            </w:pPr>
            <w:r>
              <w:rPr>
                <w:rFonts w:hint="eastAsia"/>
                <w:sz w:val="24"/>
                <w:szCs w:val="24"/>
              </w:rPr>
              <w:t>审核员： 郭力                                审核时间：20</w:t>
            </w:r>
            <w:r>
              <w:rPr>
                <w:rFonts w:hint="eastAsia"/>
                <w:sz w:val="24"/>
                <w:szCs w:val="24"/>
                <w:lang w:val="en-US" w:eastAsia="zh-CN"/>
              </w:rPr>
              <w:t>21</w:t>
            </w:r>
            <w:r>
              <w:rPr>
                <w:rFonts w:hint="eastAsia"/>
                <w:sz w:val="24"/>
                <w:szCs w:val="24"/>
              </w:rPr>
              <w:t>.1</w:t>
            </w:r>
            <w:r>
              <w:rPr>
                <w:rFonts w:hint="eastAsia"/>
                <w:sz w:val="24"/>
                <w:szCs w:val="24"/>
                <w:lang w:val="en-US" w:eastAsia="zh-CN"/>
              </w:rPr>
              <w:t>1</w:t>
            </w:r>
            <w:r>
              <w:rPr>
                <w:rFonts w:hint="eastAsia"/>
                <w:sz w:val="24"/>
                <w:szCs w:val="24"/>
              </w:rPr>
              <w:t>.</w:t>
            </w:r>
            <w:r>
              <w:rPr>
                <w:rFonts w:hint="eastAsia"/>
                <w:sz w:val="24"/>
                <w:szCs w:val="24"/>
                <w:lang w:val="en-US" w:eastAsia="zh-CN"/>
              </w:rPr>
              <w:t>4</w:t>
            </w:r>
          </w:p>
        </w:tc>
        <w:tc>
          <w:tcPr>
            <w:tcW w:w="115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08" w:type="dxa"/>
            <w:vMerge w:val="continue"/>
            <w:vAlign w:val="center"/>
          </w:tcPr>
          <w:p/>
        </w:tc>
        <w:tc>
          <w:tcPr>
            <w:tcW w:w="968" w:type="dxa"/>
            <w:vMerge w:val="continue"/>
            <w:vAlign w:val="center"/>
          </w:tcPr>
          <w:p/>
        </w:tc>
        <w:tc>
          <w:tcPr>
            <w:tcW w:w="10978" w:type="dxa"/>
            <w:vAlign w:val="center"/>
          </w:tcPr>
          <w:p>
            <w:pPr>
              <w:spacing w:line="360" w:lineRule="auto"/>
              <w:rPr>
                <w:szCs w:val="22"/>
              </w:rPr>
            </w:pPr>
            <w:r>
              <w:rPr>
                <w:rFonts w:hint="eastAsia"/>
                <w:szCs w:val="22"/>
              </w:rPr>
              <w:t>审核条款：</w:t>
            </w:r>
          </w:p>
          <w:p>
            <w:pPr>
              <w:spacing w:line="360" w:lineRule="auto"/>
              <w:rPr>
                <w:color w:val="000000" w:themeColor="text1"/>
                <w:szCs w:val="22"/>
              </w:rPr>
            </w:pPr>
            <w:r>
              <w:rPr>
                <w:rFonts w:hint="eastAsia"/>
                <w:color w:val="000000" w:themeColor="text1"/>
                <w:szCs w:val="22"/>
              </w:rPr>
              <w:t xml:space="preserve">EMS: </w:t>
            </w:r>
            <w:r>
              <w:rPr>
                <w:rFonts w:hint="eastAsia" w:ascii="宋体" w:hAnsi="宋体"/>
                <w:kern w:val="0"/>
                <w:szCs w:val="21"/>
              </w:rPr>
              <w:t>5.3组织的岗位、职责和权限、6.2环境目标、6.1.2环境因素、6.1.3合规义务、6.2.1环境目标、6.2.2实现环境目标措施的策划、6.1.4措施的策划、8.1运行策划和控制、8.2应急准备和响应、9.1监视、测量、分析和评价（9.1.1总则、9.1.2合规性评价）、9.2 内部审核、10.2不合格和纠正措施，</w:t>
            </w:r>
          </w:p>
        </w:tc>
        <w:tc>
          <w:tcPr>
            <w:tcW w:w="115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608" w:type="dxa"/>
          </w:tcPr>
          <w:p>
            <w:pPr>
              <w:spacing w:line="360" w:lineRule="auto"/>
              <w:rPr>
                <w:color w:val="000000" w:themeColor="text1"/>
                <w:szCs w:val="22"/>
              </w:rPr>
            </w:pPr>
          </w:p>
          <w:p>
            <w:pPr>
              <w:spacing w:line="360" w:lineRule="auto"/>
              <w:rPr>
                <w:color w:val="000000" w:themeColor="text1"/>
                <w:szCs w:val="22"/>
              </w:rPr>
            </w:pPr>
          </w:p>
          <w:p>
            <w:pPr>
              <w:spacing w:line="360" w:lineRule="auto"/>
              <w:rPr>
                <w:color w:val="000000" w:themeColor="text1"/>
                <w:szCs w:val="22"/>
              </w:rPr>
            </w:pPr>
            <w:r>
              <w:rPr>
                <w:rFonts w:hint="eastAsia"/>
                <w:color w:val="000000" w:themeColor="text1"/>
                <w:szCs w:val="22"/>
              </w:rPr>
              <w:t>组织的岗位、职责和权限</w:t>
            </w:r>
          </w:p>
        </w:tc>
        <w:tc>
          <w:tcPr>
            <w:tcW w:w="968" w:type="dxa"/>
          </w:tcPr>
          <w:p>
            <w:pPr>
              <w:spacing w:line="360" w:lineRule="auto"/>
              <w:rPr>
                <w:color w:val="000000" w:themeColor="text1"/>
                <w:szCs w:val="22"/>
              </w:rPr>
            </w:pPr>
          </w:p>
          <w:p>
            <w:pPr>
              <w:spacing w:line="360" w:lineRule="auto"/>
              <w:rPr>
                <w:color w:val="000000" w:themeColor="text1"/>
                <w:szCs w:val="22"/>
              </w:rPr>
            </w:pPr>
          </w:p>
          <w:p>
            <w:pPr>
              <w:spacing w:line="360" w:lineRule="auto"/>
              <w:rPr>
                <w:color w:val="000000" w:themeColor="text1"/>
                <w:szCs w:val="22"/>
              </w:rPr>
            </w:pPr>
          </w:p>
          <w:p>
            <w:pPr>
              <w:spacing w:line="360" w:lineRule="auto"/>
              <w:rPr>
                <w:color w:val="000000" w:themeColor="text1"/>
                <w:szCs w:val="22"/>
              </w:rPr>
            </w:pPr>
            <w:r>
              <w:rPr>
                <w:rFonts w:hint="eastAsia"/>
                <w:color w:val="000000" w:themeColor="text1"/>
                <w:szCs w:val="22"/>
              </w:rPr>
              <w:t>E5.3</w:t>
            </w:r>
          </w:p>
        </w:tc>
        <w:tc>
          <w:tcPr>
            <w:tcW w:w="10978" w:type="dxa"/>
          </w:tcPr>
          <w:p>
            <w:pPr>
              <w:spacing w:line="360" w:lineRule="auto"/>
              <w:rPr>
                <w:color w:val="000000" w:themeColor="text1"/>
                <w:szCs w:val="22"/>
              </w:rPr>
            </w:pPr>
            <w:r>
              <w:rPr>
                <w:rFonts w:hint="eastAsia"/>
                <w:color w:val="000000" w:themeColor="text1"/>
                <w:szCs w:val="22"/>
              </w:rPr>
              <w:t xml:space="preserve">部门负责人：祝立夫 </w:t>
            </w:r>
          </w:p>
          <w:p>
            <w:pPr>
              <w:spacing w:line="360" w:lineRule="auto"/>
              <w:rPr>
                <w:color w:val="000000" w:themeColor="text1"/>
                <w:szCs w:val="22"/>
              </w:rPr>
            </w:pPr>
            <w:r>
              <w:rPr>
                <w:rFonts w:hint="eastAsia"/>
                <w:color w:val="000000" w:themeColor="text1"/>
                <w:szCs w:val="22"/>
              </w:rPr>
              <w:t>询问主要职责：负责环境管理体系的建立与实施； 组织环境因素识别与评价，确定重要环境因素；组织环境管理体系内审及各种评审；负责获取、识别和更新适用的环境法律法规及其他要求，组织实施对法律法规遵循情况的评价；组织环境管理体系文件的编写和文件的管理； 组织制定环境目标、指标和方案，并对完成情况进行监督检查；负责内、外部环境信息交流；负责环境管理体系运行的监督检查，对纠正预措施和预防措施跟踪验证等；</w:t>
            </w:r>
          </w:p>
          <w:p>
            <w:pPr>
              <w:spacing w:line="360" w:lineRule="auto"/>
              <w:rPr>
                <w:color w:val="000000" w:themeColor="text1"/>
                <w:szCs w:val="22"/>
              </w:rPr>
            </w:pPr>
            <w:r>
              <w:rPr>
                <w:rFonts w:hint="eastAsia"/>
                <w:color w:val="000000" w:themeColor="text1"/>
                <w:szCs w:val="22"/>
              </w:rPr>
              <w:t>部门职责清晰、明确。管理研究所负责人能基本阐述本部门的主要职责。</w:t>
            </w:r>
          </w:p>
        </w:tc>
        <w:tc>
          <w:tcPr>
            <w:tcW w:w="115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608" w:type="dxa"/>
            <w:vAlign w:val="center"/>
          </w:tcPr>
          <w:p>
            <w:pPr>
              <w:spacing w:line="360" w:lineRule="auto"/>
              <w:rPr>
                <w:color w:val="000000" w:themeColor="text1"/>
                <w:szCs w:val="22"/>
              </w:rPr>
            </w:pPr>
            <w:r>
              <w:rPr>
                <w:rFonts w:hint="eastAsia" w:ascii="宋体" w:hAnsi="宋体"/>
                <w:kern w:val="0"/>
                <w:szCs w:val="21"/>
              </w:rPr>
              <w:t>环境目标及策划</w:t>
            </w:r>
          </w:p>
        </w:tc>
        <w:tc>
          <w:tcPr>
            <w:tcW w:w="968" w:type="dxa"/>
            <w:vAlign w:val="center"/>
          </w:tcPr>
          <w:p>
            <w:pPr>
              <w:spacing w:line="360" w:lineRule="auto"/>
              <w:rPr>
                <w:color w:val="000000" w:themeColor="text1"/>
                <w:szCs w:val="22"/>
              </w:rPr>
            </w:pPr>
            <w:r>
              <w:rPr>
                <w:rFonts w:hint="eastAsia"/>
                <w:color w:val="000000" w:themeColor="text1"/>
                <w:szCs w:val="22"/>
              </w:rPr>
              <w:t>E</w:t>
            </w:r>
            <w:r>
              <w:rPr>
                <w:rFonts w:hint="eastAsia" w:ascii="宋体" w:hAnsi="宋体"/>
                <w:kern w:val="0"/>
                <w:szCs w:val="21"/>
              </w:rPr>
              <w:t>6.2.16.2.2</w:t>
            </w:r>
          </w:p>
        </w:tc>
        <w:tc>
          <w:tcPr>
            <w:tcW w:w="10978" w:type="dxa"/>
          </w:tcPr>
          <w:p>
            <w:pPr>
              <w:spacing w:line="360" w:lineRule="auto"/>
              <w:rPr>
                <w:color w:val="000000" w:themeColor="text1"/>
                <w:szCs w:val="22"/>
              </w:rPr>
            </w:pPr>
            <w:r>
              <w:rPr>
                <w:rFonts w:hint="eastAsia"/>
                <w:color w:val="000000" w:themeColor="text1"/>
                <w:szCs w:val="22"/>
              </w:rPr>
              <w:t>提供《20</w:t>
            </w:r>
            <w:r>
              <w:rPr>
                <w:rFonts w:hint="eastAsia"/>
                <w:color w:val="000000" w:themeColor="text1"/>
                <w:szCs w:val="22"/>
                <w:lang w:val="en-US" w:eastAsia="zh-CN"/>
              </w:rPr>
              <w:t>21</w:t>
            </w:r>
            <w:r>
              <w:rPr>
                <w:rFonts w:hint="eastAsia"/>
                <w:color w:val="000000" w:themeColor="text1"/>
                <w:szCs w:val="22"/>
              </w:rPr>
              <w:t>年度公司环境目标计划表》，</w:t>
            </w:r>
          </w:p>
          <w:p>
            <w:pPr>
              <w:spacing w:line="360" w:lineRule="auto"/>
              <w:rPr>
                <w:color w:val="000000" w:themeColor="text1"/>
                <w:szCs w:val="22"/>
              </w:rPr>
            </w:pPr>
            <w:r>
              <w:rPr>
                <w:rFonts w:hint="eastAsia"/>
                <w:color w:val="000000" w:themeColor="text1"/>
                <w:szCs w:val="22"/>
              </w:rPr>
              <w:t>部门目标：</w:t>
            </w:r>
          </w:p>
          <w:p>
            <w:pPr>
              <w:spacing w:line="360" w:lineRule="auto"/>
              <w:rPr>
                <w:color w:val="000000" w:themeColor="text1"/>
                <w:szCs w:val="22"/>
              </w:rPr>
            </w:pPr>
            <w:r>
              <w:rPr>
                <w:rFonts w:hint="eastAsia"/>
                <w:color w:val="000000" w:themeColor="text1"/>
                <w:szCs w:val="22"/>
              </w:rPr>
              <w:t>1、潜在的火灾事故为0；</w:t>
            </w:r>
          </w:p>
          <w:p>
            <w:pPr>
              <w:spacing w:line="360" w:lineRule="auto"/>
              <w:rPr>
                <w:color w:val="000000" w:themeColor="text1"/>
                <w:szCs w:val="22"/>
              </w:rPr>
            </w:pPr>
            <w:r>
              <w:rPr>
                <w:rFonts w:hint="eastAsia"/>
                <w:color w:val="000000" w:themeColor="text1"/>
                <w:szCs w:val="22"/>
              </w:rPr>
              <w:t>2、环境因素识别控制率100%；</w:t>
            </w:r>
          </w:p>
          <w:p>
            <w:pPr>
              <w:spacing w:line="360" w:lineRule="auto"/>
              <w:rPr>
                <w:color w:val="000000" w:themeColor="text1"/>
                <w:szCs w:val="22"/>
              </w:rPr>
            </w:pPr>
            <w:r>
              <w:rPr>
                <w:rFonts w:hint="eastAsia"/>
                <w:color w:val="000000" w:themeColor="text1"/>
                <w:szCs w:val="22"/>
              </w:rPr>
              <w:t>3、各类环保培训计划完成率100%，合格率100%；</w:t>
            </w:r>
          </w:p>
          <w:p>
            <w:pPr>
              <w:spacing w:line="360" w:lineRule="auto"/>
              <w:rPr>
                <w:color w:val="000000" w:themeColor="text1"/>
                <w:szCs w:val="22"/>
              </w:rPr>
            </w:pPr>
            <w:r>
              <w:rPr>
                <w:rFonts w:hint="eastAsia"/>
                <w:color w:val="000000" w:themeColor="text1"/>
                <w:szCs w:val="22"/>
              </w:rPr>
              <w:t>4、办公、生活垃圾分类处理率100%；可回收废弃物100%分类收集、存放、再利用或交公司相关部门统一处理；</w:t>
            </w:r>
          </w:p>
          <w:p>
            <w:pPr>
              <w:spacing w:line="360" w:lineRule="auto"/>
              <w:rPr>
                <w:color w:val="000000" w:themeColor="text1"/>
                <w:szCs w:val="22"/>
              </w:rPr>
            </w:pPr>
            <w:r>
              <w:rPr>
                <w:rFonts w:hint="eastAsia"/>
                <w:color w:val="000000" w:themeColor="text1"/>
                <w:szCs w:val="22"/>
              </w:rPr>
              <w:t>5、节约用水、电、气，减少能源消耗；</w:t>
            </w:r>
          </w:p>
          <w:p>
            <w:pPr>
              <w:spacing w:line="360" w:lineRule="auto"/>
              <w:rPr>
                <w:color w:val="000000" w:themeColor="text1"/>
                <w:szCs w:val="22"/>
              </w:rPr>
            </w:pPr>
            <w:r>
              <w:rPr>
                <w:rFonts w:hint="eastAsia"/>
                <w:color w:val="000000" w:themeColor="text1"/>
                <w:szCs w:val="22"/>
              </w:rPr>
              <w:t>6、办公用纸双面打印减少资源消耗；</w:t>
            </w:r>
          </w:p>
          <w:p>
            <w:pPr>
              <w:spacing w:line="360" w:lineRule="auto"/>
              <w:rPr>
                <w:color w:val="000000" w:themeColor="text1"/>
                <w:szCs w:val="22"/>
              </w:rPr>
            </w:pPr>
            <w:r>
              <w:rPr>
                <w:rFonts w:hint="eastAsia"/>
                <w:color w:val="000000" w:themeColor="text1"/>
                <w:szCs w:val="22"/>
              </w:rPr>
              <w:t>7、环保处理设施运行完好率100%；</w:t>
            </w:r>
          </w:p>
          <w:p>
            <w:pPr>
              <w:spacing w:line="360" w:lineRule="auto"/>
              <w:rPr>
                <w:color w:val="000000" w:themeColor="text1"/>
                <w:szCs w:val="22"/>
              </w:rPr>
            </w:pPr>
            <w:r>
              <w:rPr>
                <w:rFonts w:hint="eastAsia"/>
                <w:color w:val="000000" w:themeColor="text1"/>
                <w:szCs w:val="22"/>
              </w:rPr>
              <w:t>8、设备（重点设备、特种设备、环保设备）定期检测合格率100%；</w:t>
            </w:r>
          </w:p>
          <w:p>
            <w:pPr>
              <w:spacing w:line="360" w:lineRule="auto"/>
              <w:rPr>
                <w:color w:val="000000" w:themeColor="text1"/>
                <w:szCs w:val="22"/>
              </w:rPr>
            </w:pPr>
            <w:r>
              <w:rPr>
                <w:rFonts w:hint="eastAsia"/>
                <w:color w:val="000000" w:themeColor="text1"/>
                <w:szCs w:val="22"/>
              </w:rPr>
              <w:t>9、危险废物100%分类暂存，公司相关部门统一处理；</w:t>
            </w:r>
          </w:p>
          <w:p>
            <w:pPr>
              <w:spacing w:line="360" w:lineRule="auto"/>
              <w:rPr>
                <w:rFonts w:hint="eastAsia"/>
                <w:color w:val="auto"/>
                <w:szCs w:val="22"/>
              </w:rPr>
            </w:pPr>
            <w:r>
              <w:rPr>
                <w:rFonts w:hint="eastAsia"/>
                <w:color w:val="auto"/>
                <w:szCs w:val="22"/>
              </w:rPr>
              <w:t>提供《20</w:t>
            </w:r>
            <w:r>
              <w:rPr>
                <w:rFonts w:hint="eastAsia"/>
                <w:color w:val="auto"/>
                <w:szCs w:val="22"/>
                <w:lang w:val="en-US" w:eastAsia="zh-CN"/>
              </w:rPr>
              <w:t>21</w:t>
            </w:r>
            <w:r>
              <w:rPr>
                <w:rFonts w:hint="eastAsia"/>
                <w:color w:val="auto"/>
                <w:szCs w:val="22"/>
              </w:rPr>
              <w:t>年公司环境目标考核表》，完成情况生产部已完成，</w:t>
            </w:r>
            <w:r>
              <w:rPr>
                <w:rFonts w:hint="eastAsia"/>
                <w:color w:val="auto"/>
                <w:szCs w:val="22"/>
                <w:lang w:val="en-US" w:eastAsia="zh-CN"/>
              </w:rPr>
              <w:t xml:space="preserve">制表：张婷    审核：乙大伟     </w:t>
            </w:r>
            <w:r>
              <w:rPr>
                <w:rFonts w:hint="eastAsia"/>
                <w:color w:val="auto"/>
                <w:szCs w:val="22"/>
              </w:rPr>
              <w:t>批准：祝</w:t>
            </w:r>
            <w:r>
              <w:rPr>
                <w:rFonts w:hint="eastAsia"/>
                <w:color w:val="auto"/>
                <w:szCs w:val="22"/>
                <w:lang w:val="en-US" w:eastAsia="zh-CN"/>
              </w:rPr>
              <w:t>亚利</w:t>
            </w:r>
            <w:r>
              <w:rPr>
                <w:rFonts w:hint="eastAsia"/>
                <w:color w:val="auto"/>
                <w:szCs w:val="22"/>
              </w:rPr>
              <w:t>，日期：20</w:t>
            </w:r>
            <w:r>
              <w:rPr>
                <w:rFonts w:hint="eastAsia"/>
                <w:color w:val="auto"/>
                <w:szCs w:val="22"/>
                <w:lang w:val="en-US" w:eastAsia="zh-CN"/>
              </w:rPr>
              <w:t>21</w:t>
            </w:r>
            <w:r>
              <w:rPr>
                <w:rFonts w:hint="eastAsia"/>
                <w:color w:val="auto"/>
                <w:szCs w:val="22"/>
              </w:rPr>
              <w:t>年</w:t>
            </w:r>
            <w:r>
              <w:rPr>
                <w:rFonts w:hint="eastAsia"/>
                <w:color w:val="auto"/>
                <w:szCs w:val="22"/>
                <w:lang w:val="en-US" w:eastAsia="zh-CN"/>
              </w:rPr>
              <w:t>9</w:t>
            </w:r>
            <w:r>
              <w:rPr>
                <w:rFonts w:hint="eastAsia"/>
                <w:color w:val="auto"/>
                <w:szCs w:val="22"/>
              </w:rPr>
              <w:t>月</w:t>
            </w:r>
            <w:r>
              <w:rPr>
                <w:rFonts w:hint="eastAsia"/>
                <w:color w:val="auto"/>
                <w:szCs w:val="22"/>
                <w:lang w:val="en-US" w:eastAsia="zh-CN"/>
              </w:rPr>
              <w:t>20</w:t>
            </w:r>
            <w:r>
              <w:rPr>
                <w:rFonts w:hint="eastAsia"/>
                <w:color w:val="auto"/>
                <w:szCs w:val="22"/>
              </w:rPr>
              <w:t>日。</w:t>
            </w:r>
          </w:p>
          <w:p>
            <w:pPr>
              <w:spacing w:line="360" w:lineRule="auto"/>
              <w:rPr>
                <w:color w:val="000000" w:themeColor="text1"/>
                <w:szCs w:val="22"/>
              </w:rPr>
            </w:pPr>
            <w:r>
              <w:rPr>
                <w:rFonts w:hint="eastAsia"/>
                <w:color w:val="000000" w:themeColor="text1"/>
                <w:szCs w:val="22"/>
              </w:rPr>
              <w:t xml:space="preserve">提供《环境目标方案》杜绝重大环境污染事故、控制废水、废气和厂界噪声、危险废物处置、控制能源消耗、杜绝重大环境污染事故、危险废物处置等各部门的指标，主要控制措施，项目实施计划，实施结果验收符合要求。  </w:t>
            </w:r>
          </w:p>
        </w:tc>
        <w:tc>
          <w:tcPr>
            <w:tcW w:w="115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608" w:type="dxa"/>
            <w:vAlign w:val="center"/>
          </w:tcPr>
          <w:p>
            <w:pPr>
              <w:snapToGrid w:val="0"/>
              <w:spacing w:line="360" w:lineRule="auto"/>
              <w:rPr>
                <w:rFonts w:ascii="楷体" w:hAnsi="楷体" w:eastAsia="楷体" w:cs="宋体"/>
                <w:sz w:val="24"/>
                <w:szCs w:val="24"/>
              </w:rPr>
            </w:pPr>
            <w:r>
              <w:rPr>
                <w:rFonts w:hint="eastAsia" w:ascii="楷体" w:hAnsi="楷体" w:eastAsia="楷体" w:cs="宋体"/>
                <w:sz w:val="24"/>
                <w:szCs w:val="24"/>
              </w:rPr>
              <w:t xml:space="preserve"> </w:t>
            </w:r>
          </w:p>
          <w:p>
            <w:pPr>
              <w:snapToGrid w:val="0"/>
              <w:spacing w:line="360" w:lineRule="auto"/>
              <w:rPr>
                <w:szCs w:val="22"/>
              </w:rPr>
            </w:pPr>
            <w:r>
              <w:rPr>
                <w:rFonts w:hint="eastAsia" w:ascii="楷体" w:hAnsi="楷体" w:eastAsia="楷体" w:cs="Arial"/>
                <w:sz w:val="24"/>
                <w:szCs w:val="24"/>
              </w:rPr>
              <w:t>环境因素</w:t>
            </w:r>
          </w:p>
        </w:tc>
        <w:tc>
          <w:tcPr>
            <w:tcW w:w="968" w:type="dxa"/>
          </w:tcPr>
          <w:p>
            <w:pPr>
              <w:spacing w:line="360" w:lineRule="auto"/>
              <w:rPr>
                <w:color w:val="000000" w:themeColor="text1"/>
                <w:szCs w:val="22"/>
              </w:rPr>
            </w:pPr>
          </w:p>
          <w:p>
            <w:pPr>
              <w:spacing w:line="360" w:lineRule="auto"/>
              <w:rPr>
                <w:color w:val="000000" w:themeColor="text1"/>
                <w:szCs w:val="22"/>
              </w:rPr>
            </w:pPr>
          </w:p>
          <w:p>
            <w:pPr>
              <w:spacing w:line="360" w:lineRule="auto"/>
              <w:rPr>
                <w:color w:val="000000" w:themeColor="text1"/>
                <w:szCs w:val="22"/>
              </w:rPr>
            </w:pPr>
          </w:p>
          <w:p>
            <w:pPr>
              <w:spacing w:line="360" w:lineRule="auto"/>
              <w:rPr>
                <w:color w:val="000000" w:themeColor="text1"/>
                <w:szCs w:val="22"/>
              </w:rPr>
            </w:pPr>
          </w:p>
          <w:p>
            <w:pPr>
              <w:spacing w:line="360" w:lineRule="auto"/>
              <w:rPr>
                <w:color w:val="000000" w:themeColor="text1"/>
                <w:szCs w:val="22"/>
              </w:rPr>
            </w:pPr>
            <w:r>
              <w:rPr>
                <w:rFonts w:hint="eastAsia"/>
                <w:color w:val="000000" w:themeColor="text1"/>
                <w:szCs w:val="22"/>
              </w:rPr>
              <w:t xml:space="preserve">E6.1.2 </w:t>
            </w:r>
          </w:p>
          <w:p>
            <w:pPr>
              <w:spacing w:line="360" w:lineRule="auto"/>
              <w:rPr>
                <w:szCs w:val="22"/>
              </w:rPr>
            </w:pPr>
          </w:p>
        </w:tc>
        <w:tc>
          <w:tcPr>
            <w:tcW w:w="10978" w:type="dxa"/>
          </w:tcPr>
          <w:p>
            <w:pPr>
              <w:spacing w:line="360" w:lineRule="auto"/>
              <w:ind w:firstLine="420" w:firstLineChars="200"/>
              <w:rPr>
                <w:color w:val="000000" w:themeColor="text1"/>
                <w:szCs w:val="22"/>
              </w:rPr>
            </w:pPr>
            <w:r>
              <w:rPr>
                <w:rFonts w:hint="eastAsia"/>
                <w:color w:val="000000" w:themeColor="text1"/>
                <w:szCs w:val="22"/>
              </w:rPr>
              <w:t>管理研究所为环境管理体系的推进部门，主要负责识别评价相关的环境因素，查有：《环境因素识别与评价控制程序》。提供了《环境因素识别与评价控制程序》，以识别和评价公司内能够控制或能够施加影响的环境因素，并确定、更新重要环境因素，对其进行有效的管理和控制，以实现对环境污染的预防。对环境因素的识别、评价结果、控制手段等做出了规定。</w:t>
            </w:r>
          </w:p>
          <w:p>
            <w:pPr>
              <w:spacing w:line="360" w:lineRule="auto"/>
              <w:rPr>
                <w:color w:val="000000" w:themeColor="text1"/>
                <w:szCs w:val="22"/>
              </w:rPr>
            </w:pPr>
            <w:r>
              <w:rPr>
                <w:rFonts w:hint="eastAsia"/>
                <w:color w:val="000000" w:themeColor="text1"/>
                <w:szCs w:val="22"/>
              </w:rPr>
              <w:t>部门负责人介绍识别环境因素时考虑了三种时态，过去、现在和将来，三种状态，正常、异常和紧急及八个方面，大气污染、水体污染、固体废物污染、噪声污染、放射性污染、土地污染、原材料与自然资源的使用(或消耗)、当地其他环境问题按照办公过程及生产过程等进行了辨识。</w:t>
            </w:r>
          </w:p>
          <w:p>
            <w:pPr>
              <w:spacing w:line="360" w:lineRule="auto"/>
              <w:rPr>
                <w:color w:val="000000" w:themeColor="text1"/>
                <w:szCs w:val="22"/>
              </w:rPr>
            </w:pPr>
            <w:r>
              <w:rPr>
                <w:rFonts w:hint="eastAsia"/>
                <w:color w:val="000000" w:themeColor="text1"/>
                <w:szCs w:val="22"/>
              </w:rPr>
              <w:t>查《环境因素识别评价表》，对本部门办公等有关过程的环境因素。</w:t>
            </w:r>
          </w:p>
          <w:p>
            <w:pPr>
              <w:spacing w:line="360" w:lineRule="auto"/>
              <w:rPr>
                <w:color w:val="000000" w:themeColor="text1"/>
                <w:szCs w:val="22"/>
              </w:rPr>
            </w:pPr>
            <w:r>
              <w:rPr>
                <w:rFonts w:hint="eastAsia"/>
                <w:color w:val="000000" w:themeColor="text1"/>
                <w:szCs w:val="22"/>
              </w:rPr>
              <w:t>日常办公过程中的固废（废纸、废电池、灯管、墨盒）造成的土壤污染、水资源消耗、电能消耗、意外火灾引起的污染大气、生产过程（边角料排放、噪声排放、火灾、电能消耗）、设备维修（废弃丢弃、漏油）等环境因素。</w:t>
            </w:r>
          </w:p>
          <w:p>
            <w:pPr>
              <w:spacing w:line="360" w:lineRule="auto"/>
              <w:rPr>
                <w:color w:val="000000" w:themeColor="text1"/>
                <w:szCs w:val="22"/>
              </w:rPr>
            </w:pPr>
            <w:r>
              <w:rPr>
                <w:rFonts w:hint="eastAsia"/>
                <w:color w:val="000000" w:themeColor="text1"/>
                <w:szCs w:val="22"/>
              </w:rPr>
              <w:t>查到：《重要环境因素清单》，公司涉及重要环境因素：甲苯、二甲苯、粉尘、乳化液、废油、甲烷总烃、噪音、油棉纱、油手套、火灾和废水等，本部门涉及的重要环境因素：火灾和固废。</w:t>
            </w:r>
          </w:p>
          <w:p>
            <w:pPr>
              <w:spacing w:line="360" w:lineRule="auto"/>
              <w:rPr>
                <w:color w:val="000000" w:themeColor="text1"/>
                <w:szCs w:val="22"/>
              </w:rPr>
            </w:pPr>
            <w:r>
              <w:rPr>
                <w:rFonts w:hint="eastAsia"/>
                <w:color w:val="000000" w:themeColor="text1"/>
                <w:szCs w:val="22"/>
              </w:rPr>
              <w:t>对于环境因素通过运行控制、管理方案、定期收集、应急准备与响应进行控制。</w:t>
            </w:r>
          </w:p>
          <w:p>
            <w:pPr>
              <w:spacing w:line="360" w:lineRule="auto"/>
              <w:rPr>
                <w:rFonts w:ascii="宋体" w:hAnsi="宋体" w:cs="宋体"/>
                <w:color w:val="000000" w:themeColor="text1"/>
                <w:szCs w:val="21"/>
                <w:lang w:bidi="ar"/>
              </w:rPr>
            </w:pPr>
            <w:r>
              <w:rPr>
                <w:rFonts w:hint="eastAsia"/>
                <w:color w:val="000000" w:themeColor="text1"/>
                <w:szCs w:val="22"/>
              </w:rPr>
              <w:t>对于重要环境因素的控制，通过日常检查、目标、管理方案、运行控制、应急预案等控制方式，各部门的运行控制情况见各部门审核记录。</w:t>
            </w:r>
          </w:p>
        </w:tc>
        <w:tc>
          <w:tcPr>
            <w:tcW w:w="115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8" w:type="dxa"/>
            <w:vAlign w:val="center"/>
          </w:tcPr>
          <w:p>
            <w:pPr>
              <w:spacing w:line="360" w:lineRule="auto"/>
              <w:jc w:val="center"/>
              <w:rPr>
                <w:color w:val="000000" w:themeColor="text1"/>
                <w:szCs w:val="22"/>
              </w:rPr>
            </w:pPr>
            <w:r>
              <w:rPr>
                <w:rFonts w:hint="eastAsia"/>
                <w:color w:val="000000" w:themeColor="text1"/>
                <w:szCs w:val="22"/>
              </w:rPr>
              <w:t>合规义务</w:t>
            </w:r>
          </w:p>
          <w:p>
            <w:pPr>
              <w:spacing w:line="360" w:lineRule="auto"/>
              <w:jc w:val="center"/>
              <w:rPr>
                <w:color w:val="000000" w:themeColor="text1"/>
                <w:szCs w:val="22"/>
              </w:rPr>
            </w:pPr>
            <w:r>
              <w:rPr>
                <w:rFonts w:hint="eastAsia"/>
                <w:color w:val="000000" w:themeColor="text1"/>
                <w:szCs w:val="22"/>
              </w:rPr>
              <w:t>合规性评价</w:t>
            </w:r>
          </w:p>
        </w:tc>
        <w:tc>
          <w:tcPr>
            <w:tcW w:w="968" w:type="dxa"/>
          </w:tcPr>
          <w:p>
            <w:pPr>
              <w:spacing w:line="360" w:lineRule="auto"/>
              <w:rPr>
                <w:color w:val="000000" w:themeColor="text1"/>
                <w:szCs w:val="22"/>
              </w:rPr>
            </w:pPr>
          </w:p>
          <w:p>
            <w:pPr>
              <w:spacing w:line="360" w:lineRule="auto"/>
              <w:rPr>
                <w:color w:val="000000" w:themeColor="text1"/>
                <w:szCs w:val="22"/>
              </w:rPr>
            </w:pPr>
          </w:p>
          <w:p>
            <w:pPr>
              <w:spacing w:line="360" w:lineRule="auto"/>
              <w:rPr>
                <w:color w:val="000000" w:themeColor="text1"/>
                <w:szCs w:val="22"/>
              </w:rPr>
            </w:pPr>
            <w:r>
              <w:rPr>
                <w:rFonts w:hint="eastAsia"/>
                <w:color w:val="000000" w:themeColor="text1"/>
                <w:szCs w:val="22"/>
              </w:rPr>
              <w:t>E6.1.3</w:t>
            </w:r>
          </w:p>
          <w:p>
            <w:pPr>
              <w:spacing w:line="360" w:lineRule="auto"/>
              <w:rPr>
                <w:color w:val="000000" w:themeColor="text1"/>
                <w:szCs w:val="22"/>
              </w:rPr>
            </w:pPr>
            <w:r>
              <w:rPr>
                <w:rFonts w:hint="eastAsia"/>
                <w:color w:val="000000" w:themeColor="text1"/>
                <w:szCs w:val="22"/>
              </w:rPr>
              <w:t>E9.1.2</w:t>
            </w:r>
          </w:p>
        </w:tc>
        <w:tc>
          <w:tcPr>
            <w:tcW w:w="10978" w:type="dxa"/>
            <w:vAlign w:val="center"/>
          </w:tcPr>
          <w:p>
            <w:pPr>
              <w:spacing w:line="360" w:lineRule="auto"/>
              <w:rPr>
                <w:color w:val="000000" w:themeColor="text1"/>
                <w:szCs w:val="22"/>
              </w:rPr>
            </w:pPr>
            <w:r>
              <w:rPr>
                <w:rFonts w:hint="eastAsia"/>
                <w:color w:val="000000" w:themeColor="text1"/>
                <w:szCs w:val="22"/>
              </w:rPr>
              <w:t>建立实施了《法律法规及其他要求控制程序》。</w:t>
            </w:r>
          </w:p>
          <w:p>
            <w:pPr>
              <w:spacing w:line="360" w:lineRule="auto"/>
              <w:ind w:firstLine="420" w:firstLineChars="200"/>
              <w:rPr>
                <w:rFonts w:hint="eastAsia"/>
                <w:color w:val="000000" w:themeColor="text1"/>
                <w:szCs w:val="22"/>
              </w:rPr>
            </w:pPr>
            <w:r>
              <w:rPr>
                <w:rFonts w:hint="eastAsia"/>
                <w:color w:val="000000" w:themeColor="text1"/>
                <w:szCs w:val="22"/>
              </w:rPr>
              <w:t>提供了“法律法规和其</w:t>
            </w:r>
            <w:r>
              <w:rPr>
                <w:rFonts w:hint="eastAsia"/>
                <w:color w:val="auto"/>
                <w:szCs w:val="22"/>
              </w:rPr>
              <w:t>他要求清单”，包含了</w:t>
            </w:r>
            <w:r>
              <w:rPr>
                <w:rFonts w:hint="eastAsia"/>
                <w:color w:val="auto"/>
                <w:szCs w:val="22"/>
                <w:lang w:val="en-US" w:eastAsia="zh-CN"/>
              </w:rPr>
              <w:t>40</w:t>
            </w:r>
            <w:r>
              <w:rPr>
                <w:rFonts w:hint="eastAsia"/>
                <w:color w:val="auto"/>
                <w:szCs w:val="22"/>
              </w:rPr>
              <w:t>个环境/安全法律法规、标准和其他</w:t>
            </w:r>
            <w:r>
              <w:rPr>
                <w:rFonts w:hint="eastAsia"/>
                <w:color w:val="000000" w:themeColor="text1"/>
                <w:szCs w:val="22"/>
              </w:rPr>
              <w:t>要求。如中华人民共和国环境保护法、中华人民共和国消防法、中华人民共和国环境影响评价法、中华人民共和国水污染防治法、中华人民共和国噪声污染防治法等。</w:t>
            </w:r>
          </w:p>
          <w:p>
            <w:pPr>
              <w:spacing w:line="360" w:lineRule="auto"/>
              <w:ind w:firstLine="420" w:firstLineChars="200"/>
              <w:rPr>
                <w:color w:val="000000" w:themeColor="text1"/>
                <w:szCs w:val="22"/>
              </w:rPr>
            </w:pPr>
            <w:r>
              <w:rPr>
                <w:rFonts w:hint="eastAsia"/>
                <w:color w:val="000000" w:themeColor="text1"/>
                <w:szCs w:val="22"/>
              </w:rPr>
              <w:t>管理研究所根据需要随时网上获取、识别更新，并通过培训、宣传、会议等形式传达给员工和相关方，各部门如有需要随时到管理研究所查阅。</w:t>
            </w:r>
          </w:p>
          <w:p>
            <w:pPr>
              <w:spacing w:line="360" w:lineRule="auto"/>
              <w:ind w:firstLine="420" w:firstLineChars="200"/>
              <w:rPr>
                <w:color w:val="000000" w:themeColor="text1"/>
                <w:szCs w:val="22"/>
              </w:rPr>
            </w:pPr>
            <w:r>
              <w:rPr>
                <w:rFonts w:hint="eastAsia"/>
                <w:color w:val="000000" w:themeColor="text1"/>
                <w:szCs w:val="22"/>
              </w:rPr>
              <w:t>现场提供了“环境合规性评价表”,对公司的废水：清洗地面和绿化、生产和生活废水、固废：生活垃圾、办公垃圾、生产中产生的下脚料等、生产噪声的排放、电能的消耗、原材料消耗、资源的消耗、安全生产、国家、省市提出环境因素要求等方面进行了法律法规及其他要求的遵守情况进行了评价，评价结论均为符合。</w:t>
            </w:r>
          </w:p>
          <w:p>
            <w:pPr>
              <w:spacing w:line="360" w:lineRule="auto"/>
              <w:rPr>
                <w:rFonts w:ascii="楷体" w:hAnsi="楷体" w:eastAsia="楷体" w:cs="楷体"/>
                <w:sz w:val="24"/>
                <w:szCs w:val="24"/>
              </w:rPr>
            </w:pPr>
            <w:r>
              <w:rPr>
                <w:rFonts w:hint="eastAsia"/>
                <w:color w:val="auto"/>
                <w:szCs w:val="22"/>
              </w:rPr>
              <w:t>编制：</w:t>
            </w:r>
            <w:r>
              <w:rPr>
                <w:rFonts w:hint="eastAsia"/>
                <w:color w:val="auto"/>
                <w:szCs w:val="22"/>
                <w:lang w:val="en-US" w:eastAsia="zh-CN"/>
              </w:rPr>
              <w:t>乙大伟</w:t>
            </w:r>
            <w:r>
              <w:rPr>
                <w:rFonts w:hint="eastAsia"/>
                <w:color w:val="auto"/>
                <w:szCs w:val="22"/>
              </w:rPr>
              <w:t xml:space="preserve">   审核：祝峰    批准：祝亚利，  日期：20</w:t>
            </w:r>
            <w:r>
              <w:rPr>
                <w:rFonts w:hint="eastAsia"/>
                <w:color w:val="auto"/>
                <w:szCs w:val="22"/>
                <w:lang w:val="en-US" w:eastAsia="zh-CN"/>
              </w:rPr>
              <w:t>21</w:t>
            </w:r>
            <w:r>
              <w:rPr>
                <w:rFonts w:hint="eastAsia"/>
                <w:color w:val="auto"/>
                <w:szCs w:val="22"/>
              </w:rPr>
              <w:t>年</w:t>
            </w:r>
            <w:r>
              <w:rPr>
                <w:rFonts w:hint="eastAsia"/>
                <w:color w:val="auto"/>
                <w:szCs w:val="22"/>
                <w:lang w:val="en-US" w:eastAsia="zh-CN"/>
              </w:rPr>
              <w:t>9</w:t>
            </w:r>
            <w:r>
              <w:rPr>
                <w:rFonts w:hint="eastAsia"/>
                <w:color w:val="auto"/>
                <w:szCs w:val="22"/>
              </w:rPr>
              <w:t>月</w:t>
            </w:r>
            <w:r>
              <w:rPr>
                <w:rFonts w:hint="eastAsia"/>
                <w:color w:val="auto"/>
                <w:szCs w:val="22"/>
                <w:lang w:val="en-US" w:eastAsia="zh-CN"/>
              </w:rPr>
              <w:t>23</w:t>
            </w:r>
            <w:r>
              <w:rPr>
                <w:rFonts w:hint="eastAsia"/>
                <w:color w:val="auto"/>
                <w:szCs w:val="22"/>
              </w:rPr>
              <w:t>日。</w:t>
            </w:r>
          </w:p>
        </w:tc>
        <w:tc>
          <w:tcPr>
            <w:tcW w:w="1155" w:type="dxa"/>
          </w:tcPr>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608" w:type="dxa"/>
            <w:vAlign w:val="center"/>
          </w:tcPr>
          <w:p>
            <w:pPr>
              <w:ind w:firstLine="210" w:firstLineChars="100"/>
              <w:rPr>
                <w:szCs w:val="22"/>
              </w:rPr>
            </w:pPr>
            <w:r>
              <w:rPr>
                <w:rFonts w:hint="eastAsia"/>
                <w:szCs w:val="22"/>
              </w:rPr>
              <w:t>措施的策划</w:t>
            </w:r>
          </w:p>
        </w:tc>
        <w:tc>
          <w:tcPr>
            <w:tcW w:w="968" w:type="dxa"/>
          </w:tcPr>
          <w:p>
            <w:pPr>
              <w:rPr>
                <w:szCs w:val="22"/>
              </w:rPr>
            </w:pPr>
          </w:p>
          <w:p>
            <w:pPr>
              <w:rPr>
                <w:szCs w:val="22"/>
              </w:rPr>
            </w:pPr>
          </w:p>
          <w:p>
            <w:pPr>
              <w:rPr>
                <w:szCs w:val="22"/>
              </w:rPr>
            </w:pPr>
          </w:p>
          <w:p>
            <w:pPr>
              <w:rPr>
                <w:szCs w:val="22"/>
              </w:rPr>
            </w:pPr>
            <w:r>
              <w:rPr>
                <w:rFonts w:hint="eastAsia"/>
                <w:szCs w:val="22"/>
              </w:rPr>
              <w:t>E6.1.4</w:t>
            </w:r>
          </w:p>
        </w:tc>
        <w:tc>
          <w:tcPr>
            <w:tcW w:w="10978" w:type="dxa"/>
            <w:vAlign w:val="center"/>
          </w:tcPr>
          <w:p>
            <w:pPr>
              <w:spacing w:line="360" w:lineRule="auto"/>
              <w:ind w:firstLine="420" w:firstLineChars="200"/>
              <w:rPr>
                <w:color w:val="000000" w:themeColor="text1"/>
                <w:szCs w:val="22"/>
              </w:rPr>
            </w:pPr>
            <w:r>
              <w:rPr>
                <w:rFonts w:hint="eastAsia"/>
                <w:color w:val="000000" w:themeColor="text1"/>
                <w:szCs w:val="22"/>
              </w:rPr>
              <w:t>公司根据环境因素评价结果，制定出《重要环境因素清单》，清单内明确了控制措施计划，通过具体的措施进行有效控制：目标、管理方案、管理制度运行控制、应急预案、检查、培训。</w:t>
            </w:r>
          </w:p>
          <w:p>
            <w:pPr>
              <w:spacing w:line="360" w:lineRule="auto"/>
              <w:ind w:firstLine="420" w:firstLineChars="200"/>
              <w:rPr>
                <w:color w:val="000000" w:themeColor="text1"/>
                <w:szCs w:val="22"/>
              </w:rPr>
            </w:pPr>
            <w:r>
              <w:rPr>
                <w:rFonts w:hint="eastAsia"/>
                <w:color w:val="000000" w:themeColor="text1"/>
                <w:szCs w:val="22"/>
              </w:rPr>
              <w:t>制定了《法律、法规和其他要求控制程序》、《合规性评价控制程序》，每年对公司适用的合规义务进行识别更新并定期评价、检查。</w:t>
            </w:r>
          </w:p>
          <w:p>
            <w:pPr>
              <w:spacing w:line="360" w:lineRule="auto"/>
              <w:ind w:firstLine="420" w:firstLineChars="200"/>
              <w:rPr>
                <w:szCs w:val="22"/>
              </w:rPr>
            </w:pPr>
            <w:r>
              <w:rPr>
                <w:rFonts w:hint="eastAsia"/>
                <w:color w:val="000000" w:themeColor="text1"/>
                <w:szCs w:val="22"/>
              </w:rPr>
              <w:t>经组织评价，组织策划的措施基本能够满足风险和机遇应对需要，与潜在影响相适应，基本满足标准要求。</w:t>
            </w:r>
          </w:p>
        </w:tc>
        <w:tc>
          <w:tcPr>
            <w:tcW w:w="115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608" w:type="dxa"/>
            <w:vAlign w:val="center"/>
          </w:tcPr>
          <w:p>
            <w:pPr>
              <w:spacing w:line="360" w:lineRule="auto"/>
              <w:rPr>
                <w:rFonts w:ascii="楷体" w:hAnsi="楷体" w:eastAsia="楷体"/>
                <w:sz w:val="24"/>
                <w:szCs w:val="24"/>
              </w:rPr>
            </w:pPr>
            <w:r>
              <w:rPr>
                <w:rFonts w:hint="eastAsia" w:ascii="楷体" w:hAnsi="楷体" w:eastAsia="楷体" w:cs="Arial"/>
                <w:sz w:val="24"/>
                <w:szCs w:val="24"/>
              </w:rPr>
              <w:t>运行策划和控制、</w:t>
            </w:r>
          </w:p>
        </w:tc>
        <w:tc>
          <w:tcPr>
            <w:tcW w:w="968" w:type="dxa"/>
            <w:vAlign w:val="center"/>
          </w:tcPr>
          <w:p>
            <w:pPr>
              <w:spacing w:line="360" w:lineRule="auto"/>
              <w:rPr>
                <w:szCs w:val="22"/>
              </w:rPr>
            </w:pPr>
            <w:r>
              <w:rPr>
                <w:rFonts w:hint="eastAsia" w:ascii="楷体" w:hAnsi="楷体" w:eastAsia="楷体" w:cs="楷体"/>
                <w:bCs/>
                <w:sz w:val="24"/>
                <w:szCs w:val="24"/>
              </w:rPr>
              <w:t>E</w:t>
            </w:r>
            <w:r>
              <w:rPr>
                <w:rFonts w:hint="eastAsia" w:ascii="楷体" w:hAnsi="楷体" w:eastAsia="楷体" w:cs="Arial"/>
                <w:sz w:val="24"/>
                <w:szCs w:val="24"/>
              </w:rPr>
              <w:t>8.1</w:t>
            </w:r>
            <w:r>
              <w:rPr>
                <w:rFonts w:hint="eastAsia" w:ascii="楷体" w:hAnsi="楷体" w:eastAsia="楷体" w:cs="楷体"/>
                <w:sz w:val="24"/>
                <w:szCs w:val="24"/>
              </w:rPr>
              <w:t xml:space="preserve">  </w:t>
            </w:r>
          </w:p>
        </w:tc>
        <w:tc>
          <w:tcPr>
            <w:tcW w:w="10978" w:type="dxa"/>
            <w:vAlign w:val="center"/>
          </w:tcPr>
          <w:p>
            <w:pPr>
              <w:spacing w:line="360" w:lineRule="auto"/>
              <w:ind w:firstLine="420" w:firstLineChars="200"/>
              <w:rPr>
                <w:color w:val="000000" w:themeColor="text1"/>
                <w:szCs w:val="22"/>
              </w:rPr>
            </w:pPr>
            <w:r>
              <w:rPr>
                <w:rFonts w:hint="eastAsia"/>
                <w:color w:val="000000" w:themeColor="text1"/>
                <w:szCs w:val="22"/>
              </w:rPr>
              <w:t>公司制定并实施了环境管理体系运行控制有关的文件有Q/HLJC-EMS-003《环境管理控制程序》、Q/HLJC-EMS-014《固体废弃物污染防治控制程序》、Q/HLJC-EMS-011《废水污染防治控制程序》、Q/HLJC-EMS-012《废气防治污染控制程序》、Q/HLJC-EMS-013《噪声防治污染控制程序》、Q/HLJC-EMS-015《能源资源管理控制程序》、Q/HLJC-EMS-016《危险化学品管理控制程序》、Q/HLJC-EMS-017《环保设备设施运行控制程序》、Q/HLJC-EMS-019《应急准备和响应控制程序》等。</w:t>
            </w:r>
          </w:p>
          <w:p>
            <w:pPr>
              <w:spacing w:line="360" w:lineRule="auto"/>
              <w:ind w:firstLine="420" w:firstLineChars="200"/>
              <w:rPr>
                <w:rFonts w:ascii="宋体" w:hAnsi="宋体"/>
                <w:szCs w:val="21"/>
              </w:rPr>
            </w:pPr>
            <w:r>
              <w:rPr>
                <w:rFonts w:hint="eastAsia" w:ascii="宋体" w:hAnsi="宋体"/>
                <w:szCs w:val="21"/>
              </w:rPr>
              <w:t>查到2016年12月，由中国轻工西安设计工程有限责任公司编制的《</w:t>
            </w:r>
            <w:r>
              <w:rPr>
                <w:szCs w:val="21"/>
              </w:rPr>
              <w:t>咸阳海龙密封复合材料有限公司</w:t>
            </w:r>
            <w:r>
              <w:rPr>
                <w:rFonts w:hint="eastAsia" w:ascii="宋体" w:hAnsi="宋体"/>
                <w:szCs w:val="21"/>
              </w:rPr>
              <w:t>海龙密封阳峪工厂建设项目现状环境影响报告表》，查到2017年9月2日乾县环境保护局《关于</w:t>
            </w:r>
            <w:r>
              <w:rPr>
                <w:szCs w:val="21"/>
              </w:rPr>
              <w:t>咸阳海龙密封复合材料有限公司</w:t>
            </w:r>
            <w:r>
              <w:rPr>
                <w:rFonts w:hint="eastAsia" w:ascii="宋体" w:hAnsi="宋体"/>
                <w:szCs w:val="21"/>
              </w:rPr>
              <w:t>海龙密封阳峪工厂建设项目现状环境影响报告表备案意见的函》、2018年12月《</w:t>
            </w:r>
            <w:r>
              <w:rPr>
                <w:szCs w:val="21"/>
              </w:rPr>
              <w:t>咸阳海龙密封复合材料有限公司</w:t>
            </w:r>
            <w:r>
              <w:rPr>
                <w:rFonts w:hint="eastAsia" w:ascii="宋体" w:hAnsi="宋体"/>
                <w:szCs w:val="21"/>
              </w:rPr>
              <w:t>海龙密封阳峪工厂建设项目现状环境影响报告表》补充说明和2019年3月4日乾环函[2019]21号乾县环境保护局关于《</w:t>
            </w:r>
            <w:r>
              <w:rPr>
                <w:szCs w:val="21"/>
              </w:rPr>
              <w:t>咸阳海龙密封复合材料有限公司</w:t>
            </w:r>
            <w:r>
              <w:rPr>
                <w:rFonts w:hint="eastAsia" w:ascii="宋体" w:hAnsi="宋体"/>
                <w:szCs w:val="21"/>
              </w:rPr>
              <w:t>海龙密封阳峪工厂建设项目现状环境影响报告》内容变更的复函。</w:t>
            </w:r>
          </w:p>
          <w:p>
            <w:pPr>
              <w:spacing w:line="360" w:lineRule="auto"/>
              <w:ind w:firstLine="420" w:firstLineChars="200"/>
              <w:rPr>
                <w:rFonts w:ascii="宋体" w:hAnsi="宋体"/>
                <w:szCs w:val="21"/>
              </w:rPr>
            </w:pPr>
            <w:r>
              <w:rPr>
                <w:rFonts w:hint="eastAsia" w:ascii="宋体" w:hAnsi="宋体"/>
                <w:szCs w:val="21"/>
              </w:rPr>
              <w:t>乾县密封件厂区，2017年7月，由中国轻工西安设计工程有限责任公司编制的《</w:t>
            </w:r>
            <w:r>
              <w:rPr>
                <w:szCs w:val="21"/>
              </w:rPr>
              <w:t>咸阳海龙密封复合材料有限公司</w:t>
            </w:r>
            <w:r>
              <w:rPr>
                <w:rFonts w:hint="eastAsia"/>
                <w:szCs w:val="21"/>
              </w:rPr>
              <w:t>密封件建设项目环境影响报告书</w:t>
            </w:r>
            <w:r>
              <w:rPr>
                <w:rFonts w:hint="eastAsia" w:ascii="宋体" w:hAnsi="宋体"/>
                <w:szCs w:val="21"/>
              </w:rPr>
              <w:t>》、2017年7月27日乾环发[2017]79号乾县环境保护局关于《</w:t>
            </w:r>
            <w:r>
              <w:rPr>
                <w:szCs w:val="21"/>
              </w:rPr>
              <w:t>咸阳海龙密封复合材料有限公司</w:t>
            </w:r>
            <w:r>
              <w:rPr>
                <w:rFonts w:hint="eastAsia"/>
                <w:szCs w:val="21"/>
              </w:rPr>
              <w:t>密封件建设项目</w:t>
            </w:r>
            <w:r>
              <w:rPr>
                <w:rFonts w:hint="eastAsia" w:ascii="宋体" w:hAnsi="宋体"/>
                <w:szCs w:val="21"/>
              </w:rPr>
              <w:t>》环境影响报告书的批复和2018.9《</w:t>
            </w:r>
            <w:r>
              <w:rPr>
                <w:szCs w:val="21"/>
              </w:rPr>
              <w:t>咸阳海龙密封复合材料有限公司</w:t>
            </w:r>
            <w:r>
              <w:rPr>
                <w:rFonts w:hint="eastAsia"/>
                <w:szCs w:val="21"/>
              </w:rPr>
              <w:t>密封件建设项目（废水和废气）竣工环境保护验收监测报告</w:t>
            </w:r>
            <w:r>
              <w:rPr>
                <w:rFonts w:hint="eastAsia" w:ascii="宋体" w:hAnsi="宋体"/>
                <w:szCs w:val="21"/>
              </w:rPr>
              <w:t>》、《</w:t>
            </w:r>
            <w:r>
              <w:rPr>
                <w:szCs w:val="21"/>
              </w:rPr>
              <w:t>咸阳海龙密封复合材料有限公司</w:t>
            </w:r>
            <w:r>
              <w:rPr>
                <w:rFonts w:hint="eastAsia"/>
                <w:szCs w:val="21"/>
              </w:rPr>
              <w:t>密封件建设项目（固废和噪声）竣工环境保护验收监测报告</w:t>
            </w:r>
            <w:r>
              <w:rPr>
                <w:rFonts w:hint="eastAsia" w:ascii="宋体" w:hAnsi="宋体"/>
                <w:szCs w:val="21"/>
              </w:rPr>
              <w:t>》、2018年9月28日乾环函[2018]65号乾县环境保护局关于《</w:t>
            </w:r>
            <w:r>
              <w:rPr>
                <w:szCs w:val="21"/>
              </w:rPr>
              <w:t>咸阳海龙密封复合材料有限公司</w:t>
            </w:r>
            <w:r>
              <w:rPr>
                <w:rFonts w:hint="eastAsia"/>
                <w:szCs w:val="21"/>
              </w:rPr>
              <w:t>密封件建设项目（噪声和固废污染预防设施）竣工环境保护验收意见的函</w:t>
            </w:r>
            <w:r>
              <w:rPr>
                <w:rFonts w:hint="eastAsia" w:ascii="宋体" w:hAnsi="宋体"/>
                <w:szCs w:val="21"/>
              </w:rPr>
              <w:t>》。具体见附件。</w:t>
            </w:r>
          </w:p>
          <w:p>
            <w:pPr>
              <w:spacing w:line="360" w:lineRule="auto"/>
              <w:ind w:firstLine="420" w:firstLineChars="200"/>
              <w:rPr>
                <w:rFonts w:ascii="宋体" w:hAnsi="宋体"/>
                <w:szCs w:val="21"/>
              </w:rPr>
            </w:pPr>
            <w:r>
              <w:rPr>
                <w:rFonts w:hint="eastAsia" w:ascii="宋体" w:hAnsi="宋体"/>
                <w:szCs w:val="21"/>
              </w:rPr>
              <w:t>咸阳海龙密封复合材料有限公司创建于1987年1月9日，是一家从事于密封技术研究和密封制品制造的高新技术企业。公司运营中心及密封件厂位于乾县工业园区，密封材料工厂地处咸阳市郊乾县的阳峪镇。海龙密封阳峪工厂厂区原为乾县第五中学校区，2011年因教育体制及生源缺失等原因而废弃，2004年由威阳海龙密封复合材料有限公司收购，并将土地性质变为工业用地，2005年开始改造建设，2006年6月建成投产。工厂现有炼胶机、压延机、硫化机、剪板机等设备以及齐全的辅助配套设施，年产橡胶密封件100.5t。</w:t>
            </w:r>
          </w:p>
          <w:p>
            <w:pPr>
              <w:spacing w:line="360" w:lineRule="auto"/>
              <w:rPr>
                <w:rFonts w:ascii="宋体" w:hAnsi="宋体"/>
                <w:szCs w:val="21"/>
              </w:rPr>
            </w:pPr>
            <w:r>
              <w:rPr>
                <w:rFonts w:hint="eastAsia" w:ascii="宋体" w:hAnsi="宋体"/>
                <w:szCs w:val="21"/>
              </w:rPr>
              <w:t>《公司海龙密封阳峪工厂建设项目现状环境影响报告表》，主要结论：“咸阳海龙密封复合材料有限公司海龙密封阳峪工厂建设项目符合国家产业政策，选址符合城市规划，项目区域环境空气质量、声环境质量均满足当地环境功能区划的要求。项目现有和整改方案落实到位后，配套的各项污染防治设施基本符合现行环保要求，且项目未导致区域环境质量发生显著变化，可以做到达标排放，可按照陕西省环保厅办公室《关于做好环境保护违法违规建设项目环境影</w:t>
            </w:r>
          </w:p>
          <w:p>
            <w:pPr>
              <w:spacing w:line="360" w:lineRule="auto"/>
              <w:rPr>
                <w:rFonts w:ascii="宋体" w:hAnsi="宋体"/>
                <w:szCs w:val="21"/>
              </w:rPr>
            </w:pPr>
            <w:r>
              <w:rPr>
                <w:rFonts w:hint="eastAsia" w:ascii="宋体" w:hAnsi="宋体"/>
                <w:szCs w:val="21"/>
              </w:rPr>
              <w:t>响评估及备案审查工作的通知》(陕环办发(2016)63号)文件完善环境影响评估备案手续。”</w:t>
            </w:r>
          </w:p>
          <w:p>
            <w:pPr>
              <w:spacing w:line="360" w:lineRule="auto"/>
              <w:rPr>
                <w:rFonts w:ascii="宋体" w:hAnsi="宋体"/>
                <w:szCs w:val="21"/>
              </w:rPr>
            </w:pPr>
            <w:r>
              <w:rPr>
                <w:rFonts w:hint="eastAsia" w:ascii="宋体" w:hAnsi="宋体"/>
                <w:szCs w:val="21"/>
              </w:rPr>
              <w:t>《</w:t>
            </w:r>
            <w:r>
              <w:rPr>
                <w:szCs w:val="21"/>
              </w:rPr>
              <w:t>咸阳海龙密封复合材料有限公司</w:t>
            </w:r>
            <w:r>
              <w:rPr>
                <w:rFonts w:hint="eastAsia"/>
                <w:szCs w:val="21"/>
              </w:rPr>
              <w:t>密封件建设项目环境影响报告书</w:t>
            </w:r>
            <w:r>
              <w:rPr>
                <w:rFonts w:hint="eastAsia" w:ascii="宋体" w:hAnsi="宋体"/>
                <w:szCs w:val="21"/>
              </w:rPr>
              <w:t>》，环境影响评价结论：“总投资约1457万元，项目环保投资36.6万元，占项目总投资的2.51％，环保投资用于噪声防治、污水处理、废气治理、环境绿化及固废处置等方面，可有效预防项目污染排放对环境的影响，将其环境污染降至最低。”</w:t>
            </w:r>
          </w:p>
          <w:p>
            <w:pPr>
              <w:spacing w:line="360" w:lineRule="auto"/>
              <w:ind w:firstLine="420" w:firstLineChars="200"/>
              <w:rPr>
                <w:rFonts w:ascii="宋体" w:hAnsi="宋体"/>
                <w:szCs w:val="21"/>
              </w:rPr>
            </w:pPr>
            <w:r>
              <w:rPr>
                <w:rFonts w:hint="eastAsia" w:ascii="宋体" w:hAnsi="宋体"/>
                <w:szCs w:val="21"/>
              </w:rPr>
              <w:t>公司位于陕西省咸阳市乾县阳峪镇海龙路1号和咸阳市乾县工业区92号，根据需要建设有办公楼、车间、仓库，厂区有停车位和消防栓、消防池。</w:t>
            </w:r>
          </w:p>
          <w:p>
            <w:pPr>
              <w:spacing w:line="360" w:lineRule="auto"/>
              <w:ind w:firstLine="420" w:firstLineChars="200"/>
              <w:rPr>
                <w:rFonts w:ascii="宋体" w:hAnsi="宋体"/>
                <w:szCs w:val="21"/>
              </w:rPr>
            </w:pPr>
            <w:r>
              <w:rPr>
                <w:rFonts w:hint="eastAsia" w:ascii="宋体" w:hAnsi="宋体"/>
                <w:szCs w:val="21"/>
              </w:rPr>
              <w:t>按公司管理人走关灯，办公室内电脑要求人走后电源切断。办公室内垃圾主要包含可回收垃圾、硒鼓、废纸。公司配置了垃圾箱，管理研究所统一处理。</w:t>
            </w:r>
          </w:p>
          <w:p>
            <w:pPr>
              <w:spacing w:line="360" w:lineRule="auto"/>
              <w:ind w:firstLine="420" w:firstLineChars="200"/>
              <w:rPr>
                <w:rFonts w:ascii="宋体" w:hAnsi="宋体"/>
                <w:szCs w:val="21"/>
              </w:rPr>
            </w:pPr>
            <w:r>
              <w:rPr>
                <w:rFonts w:hint="eastAsia" w:ascii="宋体" w:hAnsi="宋体"/>
                <w:szCs w:val="21"/>
              </w:rPr>
              <w:t>厨房油烟经净化器排放、生活废水经油水分离器处理后水进入3T贮存罐，用于环境树木绿化。</w:t>
            </w:r>
          </w:p>
          <w:p>
            <w:pPr>
              <w:spacing w:line="360" w:lineRule="auto"/>
              <w:ind w:firstLine="421"/>
              <w:rPr>
                <w:rFonts w:ascii="楷体" w:hAnsi="楷体" w:eastAsia="楷体" w:cs="宋体"/>
                <w:sz w:val="24"/>
                <w:szCs w:val="24"/>
              </w:rPr>
            </w:pPr>
            <w:r>
              <w:rPr>
                <w:rFonts w:hint="eastAsia" w:ascii="楷体" w:hAnsi="楷体" w:eastAsia="楷体" w:cs="宋体"/>
                <w:sz w:val="24"/>
                <w:szCs w:val="24"/>
              </w:rPr>
              <w:drawing>
                <wp:anchor distT="0" distB="0" distL="114300" distR="114300" simplePos="0" relativeHeight="251662336" behindDoc="0" locked="0" layoutInCell="1" allowOverlap="1">
                  <wp:simplePos x="0" y="0"/>
                  <wp:positionH relativeFrom="column">
                    <wp:posOffset>2966085</wp:posOffset>
                  </wp:positionH>
                  <wp:positionV relativeFrom="paragraph">
                    <wp:posOffset>191135</wp:posOffset>
                  </wp:positionV>
                  <wp:extent cx="1753870" cy="1710690"/>
                  <wp:effectExtent l="0" t="0" r="11430" b="3810"/>
                  <wp:wrapNone/>
                  <wp:docPr id="15" name="图片 15" descr="bd281e0b52b104e66dbe7d3ad15df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d281e0b52b104e66dbe7d3ad15dfd5"/>
                          <pic:cNvPicPr>
                            <a:picLocks noChangeAspect="1"/>
                          </pic:cNvPicPr>
                        </pic:nvPicPr>
                        <pic:blipFill>
                          <a:blip r:embed="rId6"/>
                          <a:srcRect b="26842"/>
                          <a:stretch>
                            <a:fillRect/>
                          </a:stretch>
                        </pic:blipFill>
                        <pic:spPr>
                          <a:xfrm>
                            <a:off x="0" y="0"/>
                            <a:ext cx="1753870" cy="1710690"/>
                          </a:xfrm>
                          <a:prstGeom prst="rect">
                            <a:avLst/>
                          </a:prstGeom>
                        </pic:spPr>
                      </pic:pic>
                    </a:graphicData>
                  </a:graphic>
                </wp:anchor>
              </w:drawing>
            </w:r>
            <w:r>
              <w:rPr>
                <w:rFonts w:ascii="楷体" w:hAnsi="楷体" w:eastAsia="楷体" w:cs="宋体"/>
                <w:sz w:val="24"/>
                <w:szCs w:val="24"/>
              </w:rPr>
              <w:drawing>
                <wp:anchor distT="0" distB="0" distL="114300" distR="114300" simplePos="0" relativeHeight="251661312" behindDoc="0" locked="0" layoutInCell="1" allowOverlap="1">
                  <wp:simplePos x="0" y="0"/>
                  <wp:positionH relativeFrom="column">
                    <wp:posOffset>4794885</wp:posOffset>
                  </wp:positionH>
                  <wp:positionV relativeFrom="paragraph">
                    <wp:posOffset>247650</wp:posOffset>
                  </wp:positionV>
                  <wp:extent cx="2105660" cy="1579880"/>
                  <wp:effectExtent l="0" t="0" r="2540" b="7620"/>
                  <wp:wrapNone/>
                  <wp:docPr id="26" name="图片 26" descr="0ebb903eba53cb73297ca84a46170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0ebb903eba53cb73297ca84a46170c2"/>
                          <pic:cNvPicPr>
                            <a:picLocks noChangeAspect="1"/>
                          </pic:cNvPicPr>
                        </pic:nvPicPr>
                        <pic:blipFill>
                          <a:blip r:embed="rId7"/>
                          <a:stretch>
                            <a:fillRect/>
                          </a:stretch>
                        </pic:blipFill>
                        <pic:spPr>
                          <a:xfrm>
                            <a:off x="0" y="0"/>
                            <a:ext cx="2105660" cy="1579880"/>
                          </a:xfrm>
                          <a:prstGeom prst="rect">
                            <a:avLst/>
                          </a:prstGeom>
                        </pic:spPr>
                      </pic:pic>
                    </a:graphicData>
                  </a:graphic>
                </wp:anchor>
              </w:drawing>
            </w:r>
            <w:r>
              <w:rPr>
                <w:rFonts w:hint="eastAsia" w:ascii="楷体" w:hAnsi="楷体" w:eastAsia="楷体" w:cs="宋体"/>
                <w:sz w:val="24"/>
                <w:szCs w:val="24"/>
              </w:rPr>
              <w:drawing>
                <wp:anchor distT="0" distB="0" distL="114300" distR="114300" simplePos="0" relativeHeight="251663360" behindDoc="0" locked="0" layoutInCell="1" allowOverlap="1">
                  <wp:simplePos x="0" y="0"/>
                  <wp:positionH relativeFrom="column">
                    <wp:posOffset>6985</wp:posOffset>
                  </wp:positionH>
                  <wp:positionV relativeFrom="paragraph">
                    <wp:posOffset>257175</wp:posOffset>
                  </wp:positionV>
                  <wp:extent cx="2917825" cy="1382395"/>
                  <wp:effectExtent l="0" t="0" r="3175" b="1905"/>
                  <wp:wrapNone/>
                  <wp:docPr id="32" name="图片 32" descr="a93c5b8ea04eea99c1ce4444aaab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a93c5b8ea04eea99c1ce4444aaab656"/>
                          <pic:cNvPicPr>
                            <a:picLocks noChangeAspect="1"/>
                          </pic:cNvPicPr>
                        </pic:nvPicPr>
                        <pic:blipFill>
                          <a:blip r:embed="rId8"/>
                          <a:stretch>
                            <a:fillRect/>
                          </a:stretch>
                        </pic:blipFill>
                        <pic:spPr>
                          <a:xfrm>
                            <a:off x="0" y="0"/>
                            <a:ext cx="2917825" cy="1382395"/>
                          </a:xfrm>
                          <a:prstGeom prst="rect">
                            <a:avLst/>
                          </a:prstGeom>
                        </pic:spPr>
                      </pic:pic>
                    </a:graphicData>
                  </a:graphic>
                </wp:anchor>
              </w:drawing>
            </w:r>
          </w:p>
          <w:p>
            <w:pPr>
              <w:spacing w:line="360" w:lineRule="auto"/>
              <w:ind w:firstLine="421"/>
              <w:rPr>
                <w:rFonts w:ascii="楷体" w:hAnsi="楷体" w:eastAsia="楷体" w:cs="宋体"/>
                <w:sz w:val="24"/>
                <w:szCs w:val="24"/>
              </w:rPr>
            </w:pPr>
          </w:p>
          <w:p>
            <w:pPr>
              <w:spacing w:line="360" w:lineRule="auto"/>
              <w:ind w:firstLine="421"/>
              <w:rPr>
                <w:rFonts w:ascii="楷体" w:hAnsi="楷体" w:eastAsia="楷体" w:cs="宋体"/>
                <w:sz w:val="24"/>
                <w:szCs w:val="24"/>
              </w:rPr>
            </w:pPr>
          </w:p>
          <w:p>
            <w:pPr>
              <w:spacing w:line="360" w:lineRule="auto"/>
              <w:ind w:firstLine="421"/>
              <w:rPr>
                <w:rFonts w:ascii="楷体" w:hAnsi="楷体" w:eastAsia="楷体" w:cs="宋体"/>
                <w:sz w:val="24"/>
                <w:szCs w:val="24"/>
              </w:rPr>
            </w:pPr>
          </w:p>
          <w:p>
            <w:pPr>
              <w:spacing w:line="360" w:lineRule="auto"/>
              <w:rPr>
                <w:rFonts w:ascii="楷体" w:hAnsi="楷体" w:eastAsia="楷体" w:cs="宋体"/>
                <w:sz w:val="24"/>
                <w:szCs w:val="24"/>
              </w:rPr>
            </w:pPr>
          </w:p>
          <w:p>
            <w:pPr>
              <w:spacing w:line="360" w:lineRule="auto"/>
              <w:ind w:firstLine="420" w:firstLineChars="200"/>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对可回收的固体废弃物，一部分由厂家回收，厂家不回收的公司统一回收再利用或由物资回收公司处理。不可回收的废弃物由公司统一处理，各部门不得单独处理。</w:t>
            </w:r>
          </w:p>
          <w:p>
            <w:pPr>
              <w:spacing w:line="360" w:lineRule="auto"/>
              <w:ind w:firstLine="420" w:firstLineChars="200"/>
              <w:rPr>
                <w:rFonts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日与陕西新天地固体废物综合处置有限公司签订了危险废物委托处置合同，经查处理方有处理资质。</w:t>
            </w:r>
          </w:p>
          <w:p>
            <w:pPr>
              <w:spacing w:line="360" w:lineRule="auto"/>
              <w:ind w:firstLine="480" w:firstLineChars="200"/>
              <w:rPr>
                <w:rFonts w:ascii="楷体" w:hAnsi="楷体" w:eastAsia="楷体" w:cs="楷体"/>
                <w:color w:val="auto"/>
                <w:sz w:val="24"/>
                <w:szCs w:val="24"/>
              </w:rPr>
            </w:pPr>
          </w:p>
          <w:p>
            <w:pPr>
              <w:spacing w:line="360" w:lineRule="auto"/>
              <w:ind w:firstLine="480" w:firstLineChars="200"/>
              <w:rPr>
                <w:rFonts w:ascii="楷体" w:hAnsi="楷体" w:eastAsia="楷体" w:cs="楷体"/>
                <w:color w:val="auto"/>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rPr>
                <w:rFonts w:hint="eastAsia" w:ascii="楷体" w:hAnsi="楷体" w:eastAsia="楷体" w:cs="楷体"/>
                <w:sz w:val="24"/>
                <w:szCs w:val="24"/>
                <w:lang w:eastAsia="zh-CN"/>
              </w:rPr>
            </w:pPr>
            <w:r>
              <w:drawing>
                <wp:anchor distT="0" distB="0" distL="114300" distR="114300" simplePos="0" relativeHeight="251665408" behindDoc="0" locked="0" layoutInCell="1" allowOverlap="1">
                  <wp:simplePos x="0" y="0"/>
                  <wp:positionH relativeFrom="column">
                    <wp:posOffset>3263900</wp:posOffset>
                  </wp:positionH>
                  <wp:positionV relativeFrom="paragraph">
                    <wp:posOffset>142875</wp:posOffset>
                  </wp:positionV>
                  <wp:extent cx="2743835" cy="3656330"/>
                  <wp:effectExtent l="0" t="0" r="12065" b="127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2743835" cy="3656330"/>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304800</wp:posOffset>
                  </wp:positionH>
                  <wp:positionV relativeFrom="paragraph">
                    <wp:posOffset>116840</wp:posOffset>
                  </wp:positionV>
                  <wp:extent cx="2697480" cy="3645535"/>
                  <wp:effectExtent l="0" t="0" r="7620" b="1206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2697480" cy="3645535"/>
                          </a:xfrm>
                          <a:prstGeom prst="rect">
                            <a:avLst/>
                          </a:prstGeom>
                          <a:noFill/>
                          <a:ln>
                            <a:noFill/>
                          </a:ln>
                        </pic:spPr>
                      </pic:pic>
                    </a:graphicData>
                  </a:graphic>
                </wp:anchor>
              </w:drawing>
            </w:r>
          </w:p>
          <w:p>
            <w:pPr>
              <w:spacing w:line="360" w:lineRule="auto"/>
              <w:ind w:firstLine="480" w:firstLineChars="200"/>
              <w:rPr>
                <w:rFonts w:hint="eastAsia" w:ascii="楷体" w:hAnsi="楷体" w:eastAsia="楷体" w:cs="楷体"/>
                <w:sz w:val="24"/>
                <w:szCs w:val="24"/>
                <w:lang w:eastAsia="zh-CN"/>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主要是电的使用，电器有漏电保护器，经常对电路、电源进行检查，没有露电现象发生。现场巡视办公区域消防栓、灭火器正常，电线、电气插座完整，未见破损。</w:t>
            </w:r>
          </w:p>
          <w:p>
            <w:pPr>
              <w:spacing w:line="360" w:lineRule="auto"/>
              <w:ind w:firstLine="420" w:firstLineChars="200"/>
              <w:rPr>
                <w:rFonts w:ascii="宋体" w:hAnsi="宋体"/>
                <w:szCs w:val="21"/>
              </w:rPr>
            </w:pPr>
            <w:r>
              <w:rPr>
                <w:rFonts w:hint="eastAsia" w:ascii="宋体" w:hAnsi="宋体"/>
                <w:szCs w:val="21"/>
              </w:rPr>
              <w:t>现场查看食堂地面干净，餐桌干净卫生，配有空调和风扇，餐厅和操作间有灭火器，食堂作业使用电器和液化气。有冰柜储存冷鲜食物，有消毒柜对碗筷进行日常消毒处理，菜板和刀具区分生、熟食。刀具有专门存放位置、使用时注意安全，查食堂作业人员均有健康证。垃圾、剩饭倒入垃圾桶，每天由当地环卫部门统一清运处理，现场巡查未发现异常。查公司宿舍为6排平房，每层宿舍走廊过道均配有消防栓、灭火器，查均符合要求。</w:t>
            </w:r>
          </w:p>
          <w:p>
            <w:pPr>
              <w:spacing w:line="360" w:lineRule="auto"/>
              <w:rPr>
                <w:rFonts w:ascii="宋体" w:hAnsi="宋体"/>
                <w:szCs w:val="21"/>
              </w:rPr>
            </w:pPr>
            <w:r>
              <w:rPr>
                <w:rFonts w:hint="eastAsia" w:ascii="宋体" w:hAnsi="宋体"/>
                <w:szCs w:val="21"/>
              </w:rPr>
              <w:t>管理研究所部门运行控制基本符合规定要求。</w:t>
            </w:r>
          </w:p>
          <w:p>
            <w:pPr>
              <w:spacing w:line="360" w:lineRule="auto"/>
              <w:rPr>
                <w:rFonts w:ascii="宋体" w:hAnsi="宋体"/>
                <w:szCs w:val="21"/>
              </w:rPr>
            </w:pPr>
            <w:r>
              <w:rPr>
                <w:rFonts w:hint="eastAsia" w:ascii="宋体" w:hAnsi="宋体"/>
                <w:szCs w:val="21"/>
              </w:rPr>
              <w:t>部门运行控制能结合产品生命周期方法，基本符合规定要求。</w:t>
            </w:r>
          </w:p>
        </w:tc>
        <w:tc>
          <w:tcPr>
            <w:tcW w:w="115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8" w:hRule="atLeast"/>
        </w:trPr>
        <w:tc>
          <w:tcPr>
            <w:tcW w:w="1608" w:type="dxa"/>
            <w:vAlign w:val="center"/>
          </w:tcPr>
          <w:p>
            <w:pPr>
              <w:spacing w:line="360" w:lineRule="auto"/>
              <w:rPr>
                <w:rFonts w:ascii="楷体" w:hAnsi="楷体" w:eastAsia="楷体" w:cs="楷体"/>
                <w:bCs/>
                <w:sz w:val="24"/>
                <w:szCs w:val="24"/>
              </w:rPr>
            </w:pPr>
            <w:r>
              <w:rPr>
                <w:rFonts w:hint="eastAsia" w:ascii="楷体" w:hAnsi="楷体" w:eastAsia="楷体" w:cs="Arial"/>
                <w:sz w:val="24"/>
                <w:szCs w:val="24"/>
              </w:rPr>
              <w:t>应急准备和响应</w:t>
            </w:r>
          </w:p>
          <w:p>
            <w:pPr>
              <w:spacing w:line="360" w:lineRule="auto"/>
              <w:rPr>
                <w:rFonts w:ascii="楷体" w:hAnsi="楷体" w:eastAsia="楷体"/>
                <w:sz w:val="24"/>
                <w:szCs w:val="24"/>
              </w:rPr>
            </w:pPr>
          </w:p>
        </w:tc>
        <w:tc>
          <w:tcPr>
            <w:tcW w:w="968" w:type="dxa"/>
          </w:tcPr>
          <w:p>
            <w:pPr>
              <w:spacing w:line="360" w:lineRule="auto"/>
              <w:rPr>
                <w:rFonts w:ascii="楷体" w:hAnsi="楷体" w:eastAsia="楷体" w:cs="楷体"/>
                <w:bCs/>
                <w:sz w:val="24"/>
                <w:szCs w:val="24"/>
              </w:rPr>
            </w:pPr>
          </w:p>
          <w:p>
            <w:pPr>
              <w:spacing w:line="360" w:lineRule="auto"/>
              <w:rPr>
                <w:rFonts w:ascii="楷体" w:hAnsi="楷体" w:eastAsia="楷体" w:cs="楷体"/>
                <w:bCs/>
                <w:sz w:val="24"/>
                <w:szCs w:val="24"/>
              </w:rPr>
            </w:pPr>
          </w:p>
          <w:p>
            <w:pPr>
              <w:spacing w:line="360" w:lineRule="auto"/>
              <w:rPr>
                <w:rFonts w:ascii="楷体" w:hAnsi="楷体" w:eastAsia="楷体" w:cs="楷体"/>
                <w:bCs/>
                <w:sz w:val="24"/>
                <w:szCs w:val="24"/>
              </w:rPr>
            </w:pPr>
          </w:p>
          <w:p>
            <w:pPr>
              <w:spacing w:line="360" w:lineRule="auto"/>
              <w:rPr>
                <w:rFonts w:ascii="楷体" w:hAnsi="楷体" w:eastAsia="楷体" w:cs="楷体"/>
                <w:bCs/>
                <w:sz w:val="24"/>
                <w:szCs w:val="24"/>
              </w:rPr>
            </w:pPr>
          </w:p>
          <w:p>
            <w:pPr>
              <w:spacing w:line="360" w:lineRule="auto"/>
              <w:rPr>
                <w:rFonts w:ascii="楷体" w:hAnsi="楷体" w:eastAsia="楷体" w:cs="楷体"/>
                <w:bCs/>
                <w:sz w:val="24"/>
                <w:szCs w:val="24"/>
              </w:rPr>
            </w:pPr>
          </w:p>
          <w:p>
            <w:pPr>
              <w:spacing w:line="360" w:lineRule="auto"/>
              <w:rPr>
                <w:rFonts w:ascii="楷体" w:hAnsi="楷体" w:eastAsia="楷体" w:cs="楷体"/>
                <w:bCs/>
                <w:sz w:val="24"/>
                <w:szCs w:val="24"/>
              </w:rPr>
            </w:pPr>
            <w:r>
              <w:rPr>
                <w:rFonts w:hint="eastAsia" w:ascii="楷体" w:hAnsi="楷体" w:eastAsia="楷体" w:cs="楷体"/>
                <w:bCs/>
                <w:sz w:val="24"/>
                <w:szCs w:val="24"/>
              </w:rPr>
              <w:t>E：</w:t>
            </w:r>
            <w:r>
              <w:rPr>
                <w:rFonts w:hint="eastAsia" w:ascii="楷体" w:hAnsi="楷体" w:eastAsia="楷体" w:cs="Arial"/>
                <w:sz w:val="24"/>
                <w:szCs w:val="24"/>
              </w:rPr>
              <w:t>8.2</w:t>
            </w:r>
          </w:p>
          <w:p>
            <w:pPr>
              <w:spacing w:line="360" w:lineRule="auto"/>
              <w:rPr>
                <w:rFonts w:ascii="楷体" w:hAnsi="楷体" w:eastAsia="楷体" w:cs="楷体"/>
                <w:bCs/>
                <w:sz w:val="24"/>
                <w:szCs w:val="24"/>
              </w:rPr>
            </w:pPr>
          </w:p>
          <w:p>
            <w:pPr>
              <w:spacing w:line="360" w:lineRule="auto"/>
              <w:rPr>
                <w:szCs w:val="22"/>
              </w:rPr>
            </w:pPr>
          </w:p>
        </w:tc>
        <w:tc>
          <w:tcPr>
            <w:tcW w:w="10978" w:type="dxa"/>
          </w:tcPr>
          <w:p>
            <w:pPr>
              <w:spacing w:line="360" w:lineRule="auto"/>
              <w:ind w:firstLine="420" w:firstLineChars="200"/>
              <w:rPr>
                <w:rFonts w:ascii="宋体" w:hAnsi="宋体"/>
                <w:szCs w:val="21"/>
              </w:rPr>
            </w:pPr>
            <w:r>
              <w:rPr>
                <w:rFonts w:hint="eastAsia" w:ascii="宋体" w:hAnsi="宋体"/>
                <w:szCs w:val="21"/>
              </w:rPr>
              <w:t>提供了《应急准备和响应控制程序》、《消防安全应急预案》，其中包括目的、适用范围、职责、应急领导小组成员职责、程序、现场应急措施等，相关内容基本充分。</w:t>
            </w:r>
          </w:p>
          <w:p>
            <w:pPr>
              <w:spacing w:line="360" w:lineRule="auto"/>
              <w:ind w:firstLine="420" w:firstLineChars="200"/>
              <w:rPr>
                <w:rFonts w:ascii="宋体" w:hAnsi="宋体"/>
                <w:color w:val="auto"/>
                <w:szCs w:val="21"/>
              </w:rPr>
            </w:pPr>
            <w:r>
              <w:rPr>
                <w:rFonts w:hint="eastAsia" w:ascii="宋体" w:hAnsi="宋体"/>
                <w:color w:val="auto"/>
                <w:szCs w:val="21"/>
              </w:rPr>
              <w:t>提供编号：HLYLYA-2018《咸阳海龙密封复合材料有限公司阳峪工厂突发环境事件应急预案》，</w:t>
            </w:r>
          </w:p>
          <w:p>
            <w:pPr>
              <w:spacing w:line="360" w:lineRule="auto"/>
              <w:ind w:firstLine="420" w:firstLineChars="200"/>
              <w:rPr>
                <w:rFonts w:ascii="宋体" w:hAnsi="宋体"/>
                <w:color w:val="auto"/>
                <w:szCs w:val="21"/>
              </w:rPr>
            </w:pPr>
            <w:r>
              <w:rPr>
                <w:rFonts w:hint="eastAsia" w:ascii="宋体" w:hAnsi="宋体"/>
                <w:color w:val="auto"/>
                <w:szCs w:val="21"/>
              </w:rPr>
              <w:t>内容：企业概况、应急指挥机构、环境风险分析、环境风险防范措施、应急处置、应急保障等，根据《企业突发环境事件风险分级方法》（HJ941-2018）计算，阳峪厂涉及危险物质：磷化液、机油，风险等级：一般，对风险类型及事故后果分析及预防措施进行了规定。</w:t>
            </w:r>
          </w:p>
          <w:p>
            <w:pPr>
              <w:spacing w:line="360" w:lineRule="auto"/>
              <w:ind w:firstLine="420" w:firstLineChars="200"/>
              <w:rPr>
                <w:rFonts w:ascii="宋体" w:hAnsi="宋体"/>
                <w:color w:val="auto"/>
                <w:szCs w:val="21"/>
              </w:rPr>
            </w:pPr>
            <w:r>
              <w:rPr>
                <w:rFonts w:hint="eastAsia" w:ascii="宋体" w:hAnsi="宋体"/>
                <w:color w:val="auto"/>
                <w:szCs w:val="21"/>
              </w:rPr>
              <w:t>提供</w:t>
            </w:r>
            <w:r>
              <w:rPr>
                <w:rFonts w:hint="eastAsia" w:ascii="宋体" w:hAnsi="宋体"/>
                <w:color w:val="auto"/>
                <w:szCs w:val="21"/>
                <w:lang w:val="en-US" w:eastAsia="zh-CN"/>
              </w:rPr>
              <w:t>了</w:t>
            </w:r>
            <w:r>
              <w:rPr>
                <w:rFonts w:hint="eastAsia" w:ascii="宋体" w:hAnsi="宋体"/>
                <w:color w:val="auto"/>
                <w:szCs w:val="21"/>
              </w:rPr>
              <w:t>《企业事业单位突发环境应急预案备案表》、《咸阳海龙密封复合材料有限公司阳峪工厂突发环境事件风险评估报告》、《咸阳海龙密封复合材料有限公司阳峪环境应急资源调查报告》</w:t>
            </w:r>
            <w:r>
              <w:rPr>
                <w:rFonts w:hint="eastAsia" w:ascii="宋体" w:hAnsi="宋体"/>
                <w:color w:val="auto"/>
                <w:szCs w:val="21"/>
                <w:lang w:eastAsia="zh-CN"/>
              </w:rPr>
              <w:t>。</w:t>
            </w:r>
          </w:p>
          <w:p>
            <w:pPr>
              <w:spacing w:line="360" w:lineRule="auto"/>
              <w:ind w:firstLine="420" w:firstLineChars="200"/>
              <w:rPr>
                <w:rFonts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9日</w:t>
            </w:r>
            <w:r>
              <w:rPr>
                <w:rFonts w:hint="eastAsia" w:ascii="宋体" w:hAnsi="宋体"/>
                <w:color w:val="auto"/>
                <w:szCs w:val="21"/>
              </w:rPr>
              <w:t>公司进行了消防安全突发事件应急演练，咸阳海龙密封复合材料有限公司、乾县密封件厂区全体员。查到《应急救援预案演练评估表，记录了演练过程、预案适应性、充分性评审、演练效果评价等，对演练中的一些常规知识进行了现场讲评</w:t>
            </w:r>
            <w:r>
              <w:rPr>
                <w:rFonts w:hint="eastAsia" w:ascii="宋体" w:hAnsi="宋体"/>
                <w:color w:val="auto"/>
                <w:szCs w:val="21"/>
                <w:lang w:eastAsia="zh-CN"/>
              </w:rPr>
              <w:t>，</w:t>
            </w:r>
            <w:r>
              <w:rPr>
                <w:rFonts w:hint="eastAsia" w:ascii="宋体" w:hAnsi="宋体"/>
                <w:color w:val="auto"/>
                <w:szCs w:val="21"/>
              </w:rPr>
              <w:t>提供《环境突发事件应急演练报告》、《突发事件应急演练签到表》及图片。</w:t>
            </w:r>
          </w:p>
          <w:p>
            <w:pPr>
              <w:spacing w:line="360" w:lineRule="auto"/>
              <w:ind w:firstLine="210" w:firstLineChars="100"/>
              <w:rPr>
                <w:rFonts w:hint="eastAsia" w:ascii="宋体" w:hAnsi="宋体"/>
                <w:color w:val="auto"/>
                <w:szCs w:val="21"/>
              </w:rPr>
            </w:pPr>
            <w:r>
              <w:rPr>
                <w:rFonts w:hint="eastAsia" w:ascii="宋体" w:hAnsi="宋体"/>
                <w:color w:val="auto"/>
                <w:szCs w:val="21"/>
              </w:rPr>
              <w:t>查到消防器材台账：提供消防器材台账，灭火器46个，消防栓6个，消防器材配置部位，责任部门、责任人，消防器材较充分。</w:t>
            </w:r>
          </w:p>
          <w:p>
            <w:pPr>
              <w:spacing w:line="360" w:lineRule="auto"/>
              <w:ind w:firstLine="210" w:firstLineChars="100"/>
              <w:rPr>
                <w:rFonts w:hint="eastAsia" w:ascii="宋体" w:hAnsi="宋体"/>
                <w:color w:val="auto"/>
                <w:szCs w:val="21"/>
              </w:rPr>
            </w:pPr>
          </w:p>
          <w:p>
            <w:pPr>
              <w:spacing w:line="360" w:lineRule="auto"/>
              <w:ind w:firstLine="210" w:firstLineChars="100"/>
              <w:rPr>
                <w:rFonts w:hint="eastAsia" w:ascii="宋体" w:hAnsi="宋体"/>
                <w:color w:val="auto"/>
                <w:szCs w:val="21"/>
              </w:rPr>
            </w:pPr>
          </w:p>
          <w:p>
            <w:pPr>
              <w:spacing w:line="360" w:lineRule="auto"/>
              <w:ind w:firstLine="240" w:firstLineChars="100"/>
              <w:rPr>
                <w:rFonts w:hint="eastAsia" w:ascii="宋体" w:hAnsi="宋体" w:eastAsia="宋体"/>
                <w:szCs w:val="21"/>
                <w:lang w:eastAsia="zh-CN"/>
              </w:rPr>
            </w:pPr>
            <w:r>
              <w:rPr>
                <w:rFonts w:hint="eastAsia" w:ascii="楷体" w:hAnsi="楷体" w:eastAsia="楷体" w:cs="楷体"/>
                <w:sz w:val="24"/>
                <w:szCs w:val="24"/>
                <w:lang w:eastAsia="zh-CN"/>
              </w:rPr>
              <w:drawing>
                <wp:anchor distT="0" distB="0" distL="114300" distR="114300" simplePos="0" relativeHeight="251667456" behindDoc="0" locked="0" layoutInCell="1" allowOverlap="1">
                  <wp:simplePos x="0" y="0"/>
                  <wp:positionH relativeFrom="column">
                    <wp:posOffset>3759200</wp:posOffset>
                  </wp:positionH>
                  <wp:positionV relativeFrom="paragraph">
                    <wp:posOffset>160655</wp:posOffset>
                  </wp:positionV>
                  <wp:extent cx="2562860" cy="3799840"/>
                  <wp:effectExtent l="0" t="0" r="2540" b="10160"/>
                  <wp:wrapNone/>
                  <wp:docPr id="16" name="图片 16" descr="7c727822e44c38bf5f4306f1913c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7c727822e44c38bf5f4306f1913c40d"/>
                          <pic:cNvPicPr>
                            <a:picLocks noChangeAspect="1"/>
                          </pic:cNvPicPr>
                        </pic:nvPicPr>
                        <pic:blipFill>
                          <a:blip r:embed="rId11"/>
                          <a:stretch>
                            <a:fillRect/>
                          </a:stretch>
                        </pic:blipFill>
                        <pic:spPr>
                          <a:xfrm>
                            <a:off x="0" y="0"/>
                            <a:ext cx="2562860" cy="3799840"/>
                          </a:xfrm>
                          <a:prstGeom prst="rect">
                            <a:avLst/>
                          </a:prstGeom>
                        </pic:spPr>
                      </pic:pic>
                    </a:graphicData>
                  </a:graphic>
                </wp:anchor>
              </w:drawing>
            </w:r>
            <w:r>
              <w:rPr>
                <w:rFonts w:hint="eastAsia" w:ascii="宋体" w:hAnsi="宋体" w:eastAsia="宋体"/>
                <w:szCs w:val="21"/>
                <w:lang w:eastAsia="zh-CN"/>
              </w:rPr>
              <w:drawing>
                <wp:anchor distT="0" distB="0" distL="114300" distR="114300" simplePos="0" relativeHeight="251666432" behindDoc="0" locked="0" layoutInCell="1" allowOverlap="1">
                  <wp:simplePos x="0" y="0"/>
                  <wp:positionH relativeFrom="column">
                    <wp:posOffset>431800</wp:posOffset>
                  </wp:positionH>
                  <wp:positionV relativeFrom="paragraph">
                    <wp:posOffset>160655</wp:posOffset>
                  </wp:positionV>
                  <wp:extent cx="2853055" cy="3805555"/>
                  <wp:effectExtent l="0" t="0" r="4445" b="4445"/>
                  <wp:wrapNone/>
                  <wp:docPr id="4" name="图片 4" descr="55ac2c3efb5602c274e8de05379e4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5ac2c3efb5602c274e8de05379e49e"/>
                          <pic:cNvPicPr>
                            <a:picLocks noChangeAspect="1"/>
                          </pic:cNvPicPr>
                        </pic:nvPicPr>
                        <pic:blipFill>
                          <a:blip r:embed="rId12"/>
                          <a:stretch>
                            <a:fillRect/>
                          </a:stretch>
                        </pic:blipFill>
                        <pic:spPr>
                          <a:xfrm>
                            <a:off x="0" y="0"/>
                            <a:ext cx="2853055" cy="3805555"/>
                          </a:xfrm>
                          <a:prstGeom prst="rect">
                            <a:avLst/>
                          </a:prstGeom>
                        </pic:spPr>
                      </pic:pic>
                    </a:graphicData>
                  </a:graphic>
                </wp:anchor>
              </w:drawing>
            </w:r>
          </w:p>
          <w:p>
            <w:pPr>
              <w:spacing w:line="360" w:lineRule="auto"/>
              <w:ind w:firstLine="210" w:firstLineChars="100"/>
              <w:rPr>
                <w:rFonts w:ascii="宋体" w:hAnsi="宋体"/>
                <w:szCs w:val="21"/>
              </w:rPr>
            </w:pPr>
          </w:p>
          <w:p>
            <w:pPr>
              <w:tabs>
                <w:tab w:val="left" w:pos="6597"/>
              </w:tabs>
              <w:spacing w:line="360" w:lineRule="auto"/>
              <w:rPr>
                <w:rFonts w:hint="eastAsia" w:ascii="楷体" w:hAnsi="楷体" w:eastAsia="楷体" w:cs="楷体"/>
                <w:sz w:val="24"/>
                <w:szCs w:val="24"/>
                <w:lang w:eastAsia="zh-CN"/>
              </w:rPr>
            </w:pPr>
          </w:p>
          <w:p>
            <w:pPr>
              <w:tabs>
                <w:tab w:val="left" w:pos="6597"/>
              </w:tabs>
              <w:spacing w:line="360" w:lineRule="auto"/>
              <w:rPr>
                <w:rFonts w:ascii="楷体" w:hAnsi="楷体" w:eastAsia="楷体" w:cs="楷体"/>
                <w:sz w:val="24"/>
                <w:szCs w:val="24"/>
              </w:rPr>
            </w:pPr>
          </w:p>
          <w:p>
            <w:pPr>
              <w:tabs>
                <w:tab w:val="left" w:pos="6597"/>
              </w:tabs>
              <w:spacing w:line="360" w:lineRule="auto"/>
              <w:rPr>
                <w:rFonts w:ascii="楷体" w:hAnsi="楷体" w:eastAsia="楷体" w:cs="楷体"/>
                <w:sz w:val="24"/>
                <w:szCs w:val="24"/>
              </w:rPr>
            </w:pPr>
          </w:p>
          <w:p>
            <w:pPr>
              <w:tabs>
                <w:tab w:val="left" w:pos="6597"/>
              </w:tabs>
              <w:spacing w:line="360" w:lineRule="auto"/>
              <w:rPr>
                <w:rFonts w:ascii="楷体" w:hAnsi="楷体" w:eastAsia="楷体" w:cs="楷体"/>
                <w:sz w:val="24"/>
                <w:szCs w:val="24"/>
              </w:rPr>
            </w:pPr>
          </w:p>
          <w:p>
            <w:pPr>
              <w:tabs>
                <w:tab w:val="left" w:pos="6597"/>
              </w:tabs>
              <w:spacing w:line="360" w:lineRule="auto"/>
              <w:rPr>
                <w:rFonts w:ascii="楷体" w:hAnsi="楷体" w:eastAsia="楷体" w:cs="楷体"/>
                <w:sz w:val="24"/>
                <w:szCs w:val="24"/>
              </w:rPr>
            </w:pPr>
            <w:bookmarkStart w:id="0" w:name="_GoBack"/>
            <w:bookmarkEnd w:id="0"/>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查到《消防设施器材点检表》，每</w:t>
            </w:r>
            <w:r>
              <w:rPr>
                <w:rFonts w:hint="eastAsia" w:ascii="宋体" w:hAnsi="宋体"/>
                <w:szCs w:val="21"/>
                <w:lang w:val="en-US" w:eastAsia="zh-CN"/>
              </w:rPr>
              <w:t>月检查</w:t>
            </w:r>
            <w:r>
              <w:rPr>
                <w:rFonts w:hint="eastAsia" w:ascii="宋体" w:hAnsi="宋体"/>
                <w:szCs w:val="21"/>
              </w:rPr>
              <w:t>一次，自体系运行以来</w:t>
            </w:r>
          </w:p>
          <w:p>
            <w:pPr>
              <w:spacing w:line="360" w:lineRule="auto"/>
              <w:rPr>
                <w:rFonts w:ascii="宋体" w:hAnsi="宋体"/>
                <w:szCs w:val="21"/>
              </w:rPr>
            </w:pPr>
            <w:r>
              <w:rPr>
                <w:rFonts w:hint="eastAsia" w:ascii="宋体" w:hAnsi="宋体"/>
                <w:szCs w:val="21"/>
              </w:rPr>
              <w:t>尚未发生紧急情况。</w:t>
            </w:r>
          </w:p>
          <w:p>
            <w:pPr>
              <w:spacing w:line="360" w:lineRule="auto"/>
              <w:rPr>
                <w:rFonts w:ascii="宋体" w:hAnsi="宋体"/>
                <w:szCs w:val="21"/>
              </w:rPr>
            </w:pPr>
            <w:r>
              <w:rPr>
                <w:rFonts w:hint="eastAsia" w:ascii="宋体" w:hAnsi="宋体"/>
                <w:szCs w:val="21"/>
              </w:rPr>
              <w:t>现场查看：</w:t>
            </w:r>
          </w:p>
          <w:p>
            <w:pPr>
              <w:spacing w:line="360" w:lineRule="auto"/>
              <w:rPr>
                <w:rFonts w:ascii="楷体" w:hAnsi="楷体" w:eastAsia="楷体" w:cs="楷体"/>
                <w:sz w:val="24"/>
                <w:szCs w:val="24"/>
              </w:rPr>
            </w:pPr>
            <w:r>
              <w:rPr>
                <w:rFonts w:hint="eastAsia" w:ascii="宋体" w:hAnsi="宋体"/>
                <w:szCs w:val="21"/>
              </w:rPr>
              <w:t>公司办公楼、特橡车间的灭火器检查表，状态正常。</w:t>
            </w:r>
          </w:p>
        </w:tc>
        <w:tc>
          <w:tcPr>
            <w:tcW w:w="115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6" w:hRule="atLeast"/>
        </w:trPr>
        <w:tc>
          <w:tcPr>
            <w:tcW w:w="1608" w:type="dxa"/>
            <w:vAlign w:val="center"/>
          </w:tcPr>
          <w:p>
            <w:pPr>
              <w:spacing w:line="360" w:lineRule="auto"/>
              <w:rPr>
                <w:rFonts w:ascii="楷体" w:hAnsi="楷体" w:eastAsia="楷体"/>
                <w:sz w:val="24"/>
                <w:szCs w:val="24"/>
              </w:rPr>
            </w:pPr>
            <w:r>
              <w:rPr>
                <w:rFonts w:hint="eastAsia" w:ascii="楷体" w:hAnsi="楷体" w:eastAsia="楷体" w:cs="楷体"/>
                <w:sz w:val="24"/>
                <w:szCs w:val="24"/>
              </w:rPr>
              <w:t>监视、测量、分析和评价</w:t>
            </w:r>
          </w:p>
        </w:tc>
        <w:tc>
          <w:tcPr>
            <w:tcW w:w="968" w:type="dxa"/>
            <w:vAlign w:val="center"/>
          </w:tcPr>
          <w:p>
            <w:pPr>
              <w:tabs>
                <w:tab w:val="left" w:pos="6597"/>
              </w:tabs>
              <w:spacing w:line="360" w:lineRule="auto"/>
              <w:rPr>
                <w:szCs w:val="22"/>
              </w:rPr>
            </w:pPr>
            <w:r>
              <w:rPr>
                <w:rFonts w:hint="eastAsia" w:ascii="楷体" w:hAnsi="楷体" w:eastAsia="楷体" w:cs="楷体"/>
                <w:sz w:val="24"/>
                <w:szCs w:val="24"/>
              </w:rPr>
              <w:t xml:space="preserve">E9.1.1  </w:t>
            </w:r>
          </w:p>
        </w:tc>
        <w:tc>
          <w:tcPr>
            <w:tcW w:w="10978" w:type="dxa"/>
            <w:vAlign w:val="center"/>
          </w:tcPr>
          <w:p>
            <w:pPr>
              <w:spacing w:line="360" w:lineRule="auto"/>
              <w:rPr>
                <w:rFonts w:ascii="宋体" w:hAnsi="宋体"/>
                <w:szCs w:val="21"/>
              </w:rPr>
            </w:pPr>
            <w:r>
              <w:rPr>
                <w:rFonts w:hint="eastAsia" w:ascii="宋体" w:hAnsi="宋体"/>
                <w:szCs w:val="21"/>
              </w:rPr>
              <w:t>查到《环境目标指标考核表》，记录了公司各部门环境目标的完成情况，</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日完成情况：</w:t>
            </w:r>
            <w:r>
              <w:rPr>
                <w:rFonts w:hint="eastAsia" w:ascii="宋体" w:hAnsi="宋体"/>
                <w:szCs w:val="21"/>
              </w:rPr>
              <w:t>目标均已完成。</w:t>
            </w:r>
          </w:p>
          <w:p>
            <w:pPr>
              <w:spacing w:line="360" w:lineRule="auto"/>
              <w:rPr>
                <w:rFonts w:ascii="宋体" w:hAnsi="宋体"/>
                <w:szCs w:val="21"/>
              </w:rPr>
            </w:pPr>
            <w:r>
              <w:rPr>
                <w:rFonts w:hint="eastAsia" w:ascii="宋体" w:hAnsi="宋体"/>
                <w:szCs w:val="21"/>
              </w:rPr>
              <w:t>提供《环境管理运行管理过程检查记录表》，每月对各部门进行环境安全事项的例行检查，检查项目包括资源能源使用、固体废弃物管理、污水控制、噪声控制、消防设施管理、管理方案控制等。</w:t>
            </w:r>
          </w:p>
          <w:p>
            <w:pPr>
              <w:spacing w:line="360" w:lineRule="auto"/>
              <w:rPr>
                <w:rFonts w:hint="default" w:ascii="宋体" w:hAnsi="宋体"/>
                <w:color w:val="auto"/>
                <w:szCs w:val="21"/>
                <w:lang w:val="en-US"/>
              </w:rPr>
            </w:pPr>
            <w:r>
              <w:rPr>
                <w:rFonts w:hint="eastAsia" w:ascii="宋体" w:hAnsi="宋体"/>
                <w:color w:val="auto"/>
                <w:szCs w:val="21"/>
              </w:rPr>
              <w:t>抽查1）20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日，</w:t>
            </w:r>
            <w:r>
              <w:rPr>
                <w:rFonts w:hint="eastAsia" w:ascii="宋体" w:hAnsi="宋体"/>
                <w:color w:val="auto"/>
                <w:szCs w:val="21"/>
                <w:lang w:val="en-US" w:eastAsia="zh-CN"/>
              </w:rPr>
              <w:t>阳峪</w:t>
            </w:r>
            <w:r>
              <w:rPr>
                <w:rFonts w:hint="eastAsia" w:ascii="宋体" w:hAnsi="宋体"/>
                <w:color w:val="auto"/>
                <w:szCs w:val="21"/>
              </w:rPr>
              <w:t>厂区</w:t>
            </w:r>
            <w:r>
              <w:rPr>
                <w:rFonts w:hint="eastAsia" w:ascii="宋体" w:hAnsi="宋体"/>
                <w:color w:val="auto"/>
                <w:szCs w:val="21"/>
                <w:lang w:val="en-US" w:eastAsia="zh-CN"/>
              </w:rPr>
              <w:t>胶料制造课环境过程管理检查记录表</w:t>
            </w:r>
            <w:r>
              <w:rPr>
                <w:rFonts w:hint="eastAsia" w:ascii="宋体" w:hAnsi="宋体"/>
                <w:color w:val="auto"/>
                <w:szCs w:val="21"/>
              </w:rPr>
              <w:t>，检查人：</w:t>
            </w:r>
            <w:r>
              <w:rPr>
                <w:rFonts w:hint="eastAsia" w:ascii="宋体" w:hAnsi="宋体"/>
                <w:color w:val="auto"/>
                <w:szCs w:val="21"/>
                <w:lang w:val="en-US" w:eastAsia="zh-CN"/>
              </w:rPr>
              <w:t>张婷，负责人：何亚虎；</w:t>
            </w:r>
          </w:p>
          <w:p>
            <w:pPr>
              <w:spacing w:line="360" w:lineRule="auto"/>
              <w:rPr>
                <w:rFonts w:ascii="宋体" w:hAnsi="宋体"/>
                <w:color w:val="auto"/>
                <w:szCs w:val="21"/>
              </w:rPr>
            </w:pPr>
            <w:r>
              <w:rPr>
                <w:rFonts w:hint="eastAsia" w:ascii="宋体" w:hAnsi="宋体"/>
                <w:color w:val="auto"/>
                <w:szCs w:val="21"/>
              </w:rPr>
              <w:t>抽查2）20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日，</w:t>
            </w:r>
            <w:r>
              <w:rPr>
                <w:rFonts w:hint="eastAsia" w:ascii="宋体" w:hAnsi="宋体"/>
                <w:color w:val="auto"/>
                <w:szCs w:val="21"/>
                <w:lang w:val="en-US" w:eastAsia="zh-CN"/>
              </w:rPr>
              <w:t>阳峪</w:t>
            </w:r>
            <w:r>
              <w:rPr>
                <w:rFonts w:hint="eastAsia" w:ascii="宋体" w:hAnsi="宋体"/>
                <w:color w:val="auto"/>
                <w:szCs w:val="21"/>
              </w:rPr>
              <w:t>厂区</w:t>
            </w:r>
            <w:r>
              <w:rPr>
                <w:rFonts w:hint="eastAsia" w:ascii="宋体" w:hAnsi="宋体"/>
                <w:color w:val="auto"/>
                <w:szCs w:val="21"/>
                <w:lang w:val="en-US" w:eastAsia="zh-CN"/>
              </w:rPr>
              <w:t>软木制造课环境过程管理检查记录表</w:t>
            </w:r>
            <w:r>
              <w:rPr>
                <w:rFonts w:hint="eastAsia" w:ascii="宋体" w:hAnsi="宋体"/>
                <w:color w:val="auto"/>
                <w:szCs w:val="21"/>
              </w:rPr>
              <w:t>，检查人：</w:t>
            </w:r>
            <w:r>
              <w:rPr>
                <w:rFonts w:hint="eastAsia" w:ascii="宋体" w:hAnsi="宋体"/>
                <w:color w:val="auto"/>
                <w:szCs w:val="21"/>
                <w:lang w:val="en-US" w:eastAsia="zh-CN"/>
              </w:rPr>
              <w:t>张婷，负责人：何亚虎</w:t>
            </w:r>
            <w:r>
              <w:rPr>
                <w:rFonts w:hint="eastAsia" w:ascii="宋体" w:hAnsi="宋体"/>
                <w:color w:val="auto"/>
                <w:szCs w:val="21"/>
              </w:rPr>
              <w:t>。</w:t>
            </w:r>
          </w:p>
          <w:p>
            <w:pPr>
              <w:spacing w:line="360" w:lineRule="auto"/>
              <w:rPr>
                <w:rFonts w:ascii="宋体" w:hAnsi="宋体"/>
                <w:szCs w:val="21"/>
              </w:rPr>
            </w:pPr>
            <w:r>
              <w:rPr>
                <w:rFonts w:hint="eastAsia" w:ascii="宋体" w:hAnsi="宋体"/>
                <w:szCs w:val="21"/>
              </w:rPr>
              <w:t>经检查符合要求。</w:t>
            </w:r>
          </w:p>
          <w:p>
            <w:pPr>
              <w:spacing w:line="360" w:lineRule="auto"/>
              <w:rPr>
                <w:rFonts w:ascii="宋体" w:hAnsi="宋体"/>
                <w:szCs w:val="21"/>
              </w:rPr>
            </w:pPr>
            <w:r>
              <w:rPr>
                <w:rFonts w:hint="eastAsia" w:ascii="宋体" w:hAnsi="宋体"/>
                <w:szCs w:val="21"/>
              </w:rPr>
              <w:t>第三方检测报告：</w:t>
            </w:r>
          </w:p>
          <w:p>
            <w:pPr>
              <w:spacing w:line="360" w:lineRule="auto"/>
              <w:rPr>
                <w:rFonts w:ascii="宋体" w:hAnsi="宋体"/>
                <w:szCs w:val="21"/>
              </w:rPr>
            </w:pPr>
            <w:r>
              <w:rPr>
                <w:rFonts w:hint="eastAsia" w:ascii="宋体" w:hAnsi="宋体"/>
                <w:szCs w:val="21"/>
                <w:lang w:val="en-US" w:eastAsia="zh-CN"/>
              </w:rPr>
              <w:t>1、</w:t>
            </w: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28</w:t>
            </w:r>
            <w:r>
              <w:rPr>
                <w:rFonts w:hint="eastAsia" w:ascii="宋体" w:hAnsi="宋体"/>
                <w:szCs w:val="21"/>
              </w:rPr>
              <w:t>日由陕西泽</w:t>
            </w:r>
            <w:r>
              <w:rPr>
                <w:rFonts w:hint="eastAsia" w:ascii="宋体" w:hAnsi="宋体"/>
                <w:szCs w:val="21"/>
                <w:lang w:val="en-US" w:eastAsia="zh-CN"/>
              </w:rPr>
              <w:t>希</w:t>
            </w:r>
            <w:r>
              <w:rPr>
                <w:rFonts w:hint="eastAsia" w:ascii="宋体" w:hAnsi="宋体"/>
                <w:szCs w:val="21"/>
              </w:rPr>
              <w:t>检测</w:t>
            </w:r>
            <w:r>
              <w:rPr>
                <w:rFonts w:hint="eastAsia" w:ascii="宋体" w:hAnsi="宋体"/>
                <w:szCs w:val="21"/>
                <w:lang w:val="en-US" w:eastAsia="zh-CN"/>
              </w:rPr>
              <w:t>服务</w:t>
            </w:r>
            <w:r>
              <w:rPr>
                <w:rFonts w:hint="eastAsia" w:ascii="宋体" w:hAnsi="宋体"/>
                <w:szCs w:val="21"/>
              </w:rPr>
              <w:t>有限公司，委托单位：咸阳海龙密封复合材料有限公司；报告编号：泽</w:t>
            </w:r>
            <w:r>
              <w:rPr>
                <w:rFonts w:hint="eastAsia" w:ascii="宋体" w:hAnsi="宋体"/>
                <w:szCs w:val="21"/>
                <w:lang w:val="en-US" w:eastAsia="zh-CN"/>
              </w:rPr>
              <w:t>希</w:t>
            </w:r>
            <w:r>
              <w:rPr>
                <w:rFonts w:hint="eastAsia" w:ascii="宋体" w:hAnsi="宋体"/>
                <w:szCs w:val="21"/>
              </w:rPr>
              <w:t>检测</w:t>
            </w:r>
            <w:r>
              <w:rPr>
                <w:rFonts w:hint="eastAsia" w:ascii="宋体" w:hAnsi="宋体"/>
                <w:szCs w:val="21"/>
                <w:lang w:val="en-US" w:eastAsia="zh-CN"/>
              </w:rPr>
              <w:t>（综）202104085</w:t>
            </w:r>
            <w:r>
              <w:rPr>
                <w:rFonts w:hint="eastAsia" w:ascii="宋体" w:hAnsi="宋体"/>
                <w:szCs w:val="21"/>
              </w:rPr>
              <w:t>号《监测报告》，项目名称：</w:t>
            </w:r>
            <w:r>
              <w:rPr>
                <w:rFonts w:hint="eastAsia" w:ascii="宋体" w:hAnsi="宋体"/>
                <w:szCs w:val="21"/>
                <w:lang w:val="en-US" w:eastAsia="zh-CN"/>
              </w:rPr>
              <w:t>噪音、废水、废气</w:t>
            </w:r>
            <w:r>
              <w:rPr>
                <w:rFonts w:hint="eastAsia" w:ascii="宋体" w:hAnsi="宋体"/>
                <w:szCs w:val="21"/>
              </w:rPr>
              <w:t>；监测结果</w:t>
            </w:r>
            <w:r>
              <w:rPr>
                <w:rFonts w:hint="eastAsia" w:ascii="宋体" w:hAnsi="宋体"/>
                <w:szCs w:val="21"/>
                <w:lang w:val="en-US" w:eastAsia="zh-CN"/>
              </w:rPr>
              <w:t>均合格。详见附件。</w:t>
            </w:r>
          </w:p>
          <w:p>
            <w:pPr>
              <w:spacing w:line="360" w:lineRule="auto"/>
              <w:rPr>
                <w:rFonts w:ascii="宋体" w:hAnsi="宋体"/>
                <w:szCs w:val="21"/>
              </w:rPr>
            </w:pPr>
            <w:r>
              <w:rPr>
                <w:rFonts w:hint="eastAsia" w:ascii="宋体" w:hAnsi="宋体"/>
                <w:szCs w:val="21"/>
                <w:lang w:val="en-US" w:eastAsia="zh-CN"/>
              </w:rPr>
              <w:t>2、</w:t>
            </w: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5</w:t>
            </w:r>
            <w:r>
              <w:rPr>
                <w:rFonts w:hint="eastAsia" w:ascii="宋体" w:hAnsi="宋体"/>
                <w:szCs w:val="21"/>
              </w:rPr>
              <w:t>.1</w:t>
            </w:r>
            <w:r>
              <w:rPr>
                <w:rFonts w:hint="eastAsia" w:ascii="宋体" w:hAnsi="宋体"/>
                <w:szCs w:val="21"/>
                <w:lang w:val="en-US" w:eastAsia="zh-CN"/>
              </w:rPr>
              <w:t>8</w:t>
            </w:r>
            <w:r>
              <w:rPr>
                <w:rFonts w:hint="eastAsia" w:ascii="宋体" w:hAnsi="宋体"/>
                <w:szCs w:val="21"/>
              </w:rPr>
              <w:t>日陕西源泽检测技术有限公司，委托单位：咸阳海龙密封复合材料有限公司乾县密封件厂区；报告编号：泽</w:t>
            </w:r>
            <w:r>
              <w:rPr>
                <w:rFonts w:hint="eastAsia" w:ascii="宋体" w:hAnsi="宋体"/>
                <w:szCs w:val="21"/>
                <w:lang w:val="en-US" w:eastAsia="zh-CN"/>
              </w:rPr>
              <w:t>希</w:t>
            </w:r>
            <w:r>
              <w:rPr>
                <w:rFonts w:hint="eastAsia" w:ascii="宋体" w:hAnsi="宋体"/>
                <w:szCs w:val="21"/>
              </w:rPr>
              <w:t>检测</w:t>
            </w:r>
            <w:r>
              <w:rPr>
                <w:rFonts w:hint="eastAsia" w:ascii="宋体" w:hAnsi="宋体"/>
                <w:szCs w:val="21"/>
                <w:lang w:val="en-US" w:eastAsia="zh-CN"/>
              </w:rPr>
              <w:t>（综）202104086</w:t>
            </w:r>
            <w:r>
              <w:rPr>
                <w:rFonts w:hint="eastAsia" w:ascii="宋体" w:hAnsi="宋体"/>
                <w:szCs w:val="21"/>
              </w:rPr>
              <w:t>号《监测报告》，项目名称：</w:t>
            </w:r>
            <w:r>
              <w:rPr>
                <w:rFonts w:hint="eastAsia" w:ascii="宋体" w:hAnsi="宋体"/>
                <w:szCs w:val="21"/>
                <w:lang w:val="en-US" w:eastAsia="zh-CN"/>
              </w:rPr>
              <w:t>噪音、废气</w:t>
            </w:r>
            <w:r>
              <w:rPr>
                <w:rFonts w:hint="eastAsia" w:ascii="宋体" w:hAnsi="宋体"/>
                <w:szCs w:val="21"/>
              </w:rPr>
              <w:t>，监测结果</w:t>
            </w:r>
            <w:r>
              <w:rPr>
                <w:rFonts w:hint="eastAsia" w:ascii="宋体" w:hAnsi="宋体"/>
                <w:szCs w:val="21"/>
                <w:lang w:val="en-US" w:eastAsia="zh-CN"/>
              </w:rPr>
              <w:t>均为合格。详见附件。</w:t>
            </w:r>
          </w:p>
          <w:p>
            <w:pPr>
              <w:spacing w:line="360" w:lineRule="auto"/>
              <w:rPr>
                <w:rFonts w:hint="default" w:ascii="宋体" w:hAnsi="宋体" w:eastAsia="宋体"/>
                <w:szCs w:val="21"/>
                <w:lang w:val="en-US" w:eastAsia="zh-CN"/>
              </w:rPr>
            </w:pPr>
            <w:r>
              <w:rPr>
                <w:rFonts w:hint="eastAsia" w:ascii="宋体" w:hAnsi="宋体"/>
                <w:szCs w:val="21"/>
                <w:lang w:val="en-US" w:eastAsia="zh-CN"/>
              </w:rPr>
              <w:t>企业已于2021年11月3日对两个厂区进行了检测，检测报告近期出具。</w:t>
            </w:r>
          </w:p>
          <w:p>
            <w:pPr>
              <w:spacing w:line="360" w:lineRule="auto"/>
              <w:ind w:firstLine="210" w:firstLineChars="100"/>
              <w:rPr>
                <w:rFonts w:ascii="楷体" w:hAnsi="楷体" w:eastAsia="楷体" w:cs="楷体"/>
                <w:sz w:val="24"/>
                <w:szCs w:val="24"/>
              </w:rPr>
            </w:pPr>
            <w:r>
              <w:rPr>
                <w:rFonts w:hint="eastAsia" w:ascii="宋体" w:hAnsi="宋体"/>
                <w:szCs w:val="21"/>
              </w:rPr>
              <w:t>检测结果满足要求。</w:t>
            </w:r>
          </w:p>
        </w:tc>
        <w:tc>
          <w:tcPr>
            <w:tcW w:w="115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8" w:type="dxa"/>
          </w:tcPr>
          <w:p>
            <w:pPr>
              <w:rPr>
                <w:szCs w:val="22"/>
              </w:rPr>
            </w:pPr>
          </w:p>
          <w:p>
            <w:pPr>
              <w:rPr>
                <w:szCs w:val="22"/>
              </w:rPr>
            </w:pPr>
          </w:p>
          <w:p>
            <w:pPr>
              <w:rPr>
                <w:szCs w:val="22"/>
              </w:rPr>
            </w:pPr>
          </w:p>
          <w:p>
            <w:pPr>
              <w:rPr>
                <w:szCs w:val="22"/>
              </w:rPr>
            </w:pPr>
            <w:r>
              <w:rPr>
                <w:rFonts w:hint="eastAsia"/>
                <w:szCs w:val="22"/>
              </w:rPr>
              <w:t>内部审核</w:t>
            </w:r>
          </w:p>
        </w:tc>
        <w:tc>
          <w:tcPr>
            <w:tcW w:w="968" w:type="dxa"/>
          </w:tcPr>
          <w:p>
            <w:pPr>
              <w:rPr>
                <w:szCs w:val="22"/>
              </w:rPr>
            </w:pPr>
          </w:p>
          <w:p>
            <w:pPr>
              <w:rPr>
                <w:szCs w:val="22"/>
              </w:rPr>
            </w:pPr>
          </w:p>
          <w:p>
            <w:pPr>
              <w:rPr>
                <w:szCs w:val="22"/>
              </w:rPr>
            </w:pPr>
          </w:p>
          <w:p>
            <w:r>
              <w:rPr>
                <w:rFonts w:hint="eastAsia"/>
                <w:szCs w:val="22"/>
              </w:rPr>
              <w:t xml:space="preserve">9.2 </w:t>
            </w:r>
          </w:p>
        </w:tc>
        <w:tc>
          <w:tcPr>
            <w:tcW w:w="10978" w:type="dxa"/>
          </w:tcPr>
          <w:p>
            <w:pPr>
              <w:spacing w:line="360" w:lineRule="auto"/>
              <w:rPr>
                <w:rFonts w:ascii="宋体" w:hAnsi="宋体"/>
                <w:color w:val="auto"/>
                <w:szCs w:val="21"/>
              </w:rPr>
            </w:pPr>
            <w:r>
              <w:rPr>
                <w:rFonts w:hint="eastAsia" w:ascii="宋体" w:hAnsi="宋体"/>
                <w:szCs w:val="21"/>
              </w:rPr>
              <w:t>由组长祝立夫组织内部审核，查年度审核计划：提供《审核实施计划》，其内容已包括了审核目的、范围、依据、</w:t>
            </w:r>
            <w:r>
              <w:rPr>
                <w:rFonts w:hint="eastAsia" w:ascii="宋体" w:hAnsi="宋体"/>
                <w:color w:val="auto"/>
                <w:szCs w:val="21"/>
              </w:rPr>
              <w:t>编制：</w:t>
            </w:r>
            <w:r>
              <w:rPr>
                <w:rFonts w:hint="eastAsia" w:ascii="宋体" w:hAnsi="宋体"/>
                <w:color w:val="auto"/>
                <w:szCs w:val="21"/>
                <w:lang w:val="en-US" w:eastAsia="zh-CN"/>
              </w:rPr>
              <w:t>张婷</w:t>
            </w:r>
            <w:r>
              <w:rPr>
                <w:rFonts w:hint="eastAsia" w:ascii="宋体" w:hAnsi="宋体"/>
                <w:color w:val="auto"/>
                <w:szCs w:val="21"/>
              </w:rPr>
              <w:t xml:space="preserve"> 审批：祝立夫。审核组构成：组长祝立夫、组员祝峰、祝达夫、乙大伟。</w:t>
            </w:r>
          </w:p>
          <w:p>
            <w:pPr>
              <w:spacing w:line="360" w:lineRule="auto"/>
              <w:rPr>
                <w:rFonts w:ascii="宋体" w:hAnsi="宋体"/>
                <w:color w:val="auto"/>
                <w:szCs w:val="21"/>
              </w:rPr>
            </w:pPr>
            <w:r>
              <w:rPr>
                <w:rFonts w:hint="eastAsia" w:ascii="宋体" w:hAnsi="宋体"/>
                <w:color w:val="auto"/>
                <w:szCs w:val="21"/>
              </w:rPr>
              <w:t>1. 审核时间：20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10</w:t>
            </w:r>
            <w:r>
              <w:rPr>
                <w:rFonts w:hint="eastAsia" w:ascii="宋体" w:hAnsi="宋体"/>
                <w:color w:val="auto"/>
                <w:szCs w:val="21"/>
              </w:rPr>
              <w:t>.</w:t>
            </w:r>
            <w:r>
              <w:rPr>
                <w:rFonts w:hint="eastAsia" w:ascii="宋体" w:hAnsi="宋体"/>
                <w:color w:val="auto"/>
                <w:szCs w:val="21"/>
                <w:lang w:val="en-US" w:eastAsia="zh-CN"/>
              </w:rPr>
              <w:t>12</w:t>
            </w:r>
            <w:r>
              <w:rPr>
                <w:rFonts w:hint="eastAsia" w:ascii="宋体" w:hAnsi="宋体"/>
                <w:color w:val="auto"/>
                <w:szCs w:val="21"/>
              </w:rPr>
              <w:t>日上午-20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10</w:t>
            </w: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下午。</w:t>
            </w:r>
          </w:p>
          <w:p>
            <w:pPr>
              <w:spacing w:line="360" w:lineRule="auto"/>
              <w:rPr>
                <w:rFonts w:ascii="宋体" w:hAnsi="宋体"/>
                <w:szCs w:val="21"/>
              </w:rPr>
            </w:pPr>
            <w:r>
              <w:rPr>
                <w:rFonts w:hint="eastAsia" w:ascii="宋体" w:hAnsi="宋体"/>
                <w:szCs w:val="21"/>
              </w:rPr>
              <w:t>2.审核按计划进行，抽查检查表：</w:t>
            </w:r>
            <w:r>
              <w:rPr>
                <w:rFonts w:hint="eastAsia" w:ascii="宋体" w:hAnsi="宋体"/>
                <w:szCs w:val="21"/>
                <w:lang w:val="en-US" w:eastAsia="zh-CN"/>
              </w:rPr>
              <w:t>人力部</w:t>
            </w:r>
            <w:r>
              <w:rPr>
                <w:rFonts w:hint="eastAsia" w:ascii="宋体" w:hAnsi="宋体"/>
                <w:szCs w:val="21"/>
              </w:rPr>
              <w:t>、生产部、</w:t>
            </w:r>
            <w:r>
              <w:rPr>
                <w:rFonts w:hint="eastAsia" w:ascii="宋体" w:hAnsi="宋体"/>
                <w:szCs w:val="21"/>
                <w:lang w:val="en-US" w:eastAsia="zh-CN"/>
              </w:rPr>
              <w:t>质量中心</w:t>
            </w:r>
            <w:r>
              <w:rPr>
                <w:rFonts w:hint="eastAsia" w:ascii="宋体" w:hAnsi="宋体"/>
                <w:szCs w:val="21"/>
              </w:rPr>
              <w:t>审核记录与计划相一致，4名内审员经内部培训合格，</w:t>
            </w:r>
          </w:p>
          <w:p>
            <w:pPr>
              <w:spacing w:line="360" w:lineRule="auto"/>
              <w:rPr>
                <w:rFonts w:ascii="宋体" w:hAnsi="宋体"/>
                <w:szCs w:val="21"/>
              </w:rPr>
            </w:pPr>
            <w:r>
              <w:rPr>
                <w:rFonts w:hint="eastAsia" w:ascii="宋体" w:hAnsi="宋体"/>
                <w:szCs w:val="21"/>
              </w:rPr>
              <w:t>审核计划已考虑到互查的公正性，无审核员审核本部门的工作，计划内容涉及各部门，条款覆盖整个体系。本次内审</w:t>
            </w:r>
            <w:r>
              <w:rPr>
                <w:rFonts w:hint="eastAsia" w:ascii="宋体" w:hAnsi="宋体"/>
                <w:color w:val="auto"/>
                <w:szCs w:val="21"/>
              </w:rPr>
              <w:t>发现2个一般不符合项，针对这2个不合格，</w:t>
            </w:r>
            <w:r>
              <w:rPr>
                <w:rFonts w:hint="eastAsia" w:ascii="宋体" w:hAnsi="宋体"/>
                <w:color w:val="auto"/>
                <w:szCs w:val="21"/>
                <w:lang w:val="en-US" w:eastAsia="zh-CN"/>
              </w:rPr>
              <w:t>人力部和生产部</w:t>
            </w:r>
            <w:r>
              <w:rPr>
                <w:rFonts w:hint="eastAsia" w:ascii="宋体" w:hAnsi="宋体"/>
                <w:szCs w:val="21"/>
              </w:rPr>
              <w:t>所已分析了原因并采取了纠正措施，按要求进行了整改，最后内审员进行了验证，纠正措施实施有效。</w:t>
            </w:r>
          </w:p>
          <w:p>
            <w:pPr>
              <w:spacing w:line="360" w:lineRule="auto"/>
            </w:pPr>
            <w:r>
              <w:rPr>
                <w:rFonts w:hint="eastAsia" w:ascii="宋体" w:hAnsi="宋体"/>
                <w:szCs w:val="21"/>
              </w:rPr>
              <w:t>内部审核结论：提供了《内部审核报告》，对现场审核进行了综述，对环境管理体系进行了符合性的综合评价，最后结论为：公司的环境管理体系基本符合标准要求，运行有效。</w:t>
            </w:r>
          </w:p>
        </w:tc>
        <w:tc>
          <w:tcPr>
            <w:tcW w:w="115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08" w:type="dxa"/>
          </w:tcPr>
          <w:p>
            <w:pPr>
              <w:rPr>
                <w:szCs w:val="22"/>
              </w:rPr>
            </w:pPr>
            <w:r>
              <w:rPr>
                <w:rFonts w:hint="eastAsia"/>
                <w:szCs w:val="22"/>
              </w:rPr>
              <w:t>不合格和纠正措施</w:t>
            </w:r>
          </w:p>
        </w:tc>
        <w:tc>
          <w:tcPr>
            <w:tcW w:w="968" w:type="dxa"/>
          </w:tcPr>
          <w:p>
            <w:pPr>
              <w:rPr>
                <w:szCs w:val="22"/>
              </w:rPr>
            </w:pPr>
            <w:r>
              <w:rPr>
                <w:rFonts w:hint="eastAsia"/>
                <w:szCs w:val="22"/>
              </w:rPr>
              <w:t>10.2</w:t>
            </w:r>
          </w:p>
        </w:tc>
        <w:tc>
          <w:tcPr>
            <w:tcW w:w="10978" w:type="dxa"/>
          </w:tcPr>
          <w:p>
            <w:pPr>
              <w:spacing w:line="360" w:lineRule="auto"/>
              <w:ind w:firstLine="420" w:firstLineChars="200"/>
            </w:pPr>
            <w:r>
              <w:rPr>
                <w:rFonts w:hint="eastAsia" w:asciiTheme="minorEastAsia" w:hAnsiTheme="minorEastAsia" w:eastAsiaTheme="minorEastAsia"/>
                <w:szCs w:val="24"/>
              </w:rPr>
              <w:t>管理者代表根据总经理意图组织持续改进过程的策划工作，由</w:t>
            </w:r>
            <w:r>
              <w:rPr>
                <w:rFonts w:hint="eastAsia" w:ascii="宋体" w:hAnsi="宋体"/>
                <w:szCs w:val="21"/>
              </w:rPr>
              <w:t>管理研究所</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w:t>
            </w:r>
            <w:r>
              <w:rPr>
                <w:rFonts w:hint="eastAsia" w:asciiTheme="minorEastAsia" w:hAnsiTheme="minorEastAsia" w:eastAsiaTheme="minorEastAsia"/>
                <w:szCs w:val="24"/>
                <w:lang w:val="en-US" w:eastAsia="zh-CN"/>
              </w:rPr>
              <w:t xml:space="preserve"> </w:t>
            </w:r>
            <w:r>
              <w:rPr>
                <w:rFonts w:hint="eastAsia" w:asciiTheme="minorEastAsia" w:hAnsiTheme="minorEastAsia" w:eastAsiaTheme="minorEastAsia"/>
                <w:szCs w:val="24"/>
              </w:rPr>
              <w:t>对各项工作的考核，不断提出改进要求，全员的环境意识有较大的提高，持续改进了管理体系的有效性。</w:t>
            </w:r>
          </w:p>
        </w:tc>
        <w:tc>
          <w:tcPr>
            <w:tcW w:w="1155" w:type="dxa"/>
          </w:tcPr>
          <w:p/>
        </w:tc>
      </w:tr>
    </w:tbl>
    <w:p>
      <w:r>
        <w:ptab w:relativeTo="margin" w:alignment="center" w:leader="none"/>
      </w:r>
    </w:p>
    <w:p>
      <w:pPr>
        <w:pStyle w:val="8"/>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9"/>
      <w:pBdr>
        <w:bottom w:val="none" w:color="auto" w:sz="0" w:space="1"/>
      </w:pBdr>
      <w:spacing w:line="320" w:lineRule="exact"/>
      <w:jc w:val="left"/>
    </w:pPr>
    <w:r>
      <w:pict>
        <v:shape id="_x0000_s2049" o:spid="_x0000_s2049"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ISC-B-II-12管理体系审核记录表(03版)</w:t>
                </w:r>
              </w:p>
            </w:txbxContent>
          </v:textbox>
        </v:shape>
      </w:pict>
    </w:r>
    <w:r>
      <w:rPr>
        <w:rStyle w:val="15"/>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62E46"/>
    <w:rsid w:val="00115B23"/>
    <w:rsid w:val="001A2D7F"/>
    <w:rsid w:val="00256683"/>
    <w:rsid w:val="002939AD"/>
    <w:rsid w:val="002F538C"/>
    <w:rsid w:val="00337922"/>
    <w:rsid w:val="00340867"/>
    <w:rsid w:val="00380837"/>
    <w:rsid w:val="003A198A"/>
    <w:rsid w:val="003D1342"/>
    <w:rsid w:val="004055E4"/>
    <w:rsid w:val="00410914"/>
    <w:rsid w:val="00443BED"/>
    <w:rsid w:val="00536930"/>
    <w:rsid w:val="00564E53"/>
    <w:rsid w:val="005D5659"/>
    <w:rsid w:val="00600C20"/>
    <w:rsid w:val="00644FE2"/>
    <w:rsid w:val="0067640C"/>
    <w:rsid w:val="006B5819"/>
    <w:rsid w:val="006E678B"/>
    <w:rsid w:val="007757F3"/>
    <w:rsid w:val="007E6AEB"/>
    <w:rsid w:val="008973EE"/>
    <w:rsid w:val="008F2282"/>
    <w:rsid w:val="009642EC"/>
    <w:rsid w:val="00971600"/>
    <w:rsid w:val="009973B4"/>
    <w:rsid w:val="009C28C1"/>
    <w:rsid w:val="009F7EED"/>
    <w:rsid w:val="00A80636"/>
    <w:rsid w:val="00AF0AAB"/>
    <w:rsid w:val="00BD16C0"/>
    <w:rsid w:val="00BF597E"/>
    <w:rsid w:val="00C0118A"/>
    <w:rsid w:val="00C51A36"/>
    <w:rsid w:val="00C55228"/>
    <w:rsid w:val="00CE315A"/>
    <w:rsid w:val="00CF7B08"/>
    <w:rsid w:val="00D06F59"/>
    <w:rsid w:val="00D8388C"/>
    <w:rsid w:val="00E407A5"/>
    <w:rsid w:val="00E6224C"/>
    <w:rsid w:val="00E65F8D"/>
    <w:rsid w:val="00EB0164"/>
    <w:rsid w:val="00EC7076"/>
    <w:rsid w:val="00ED0F62"/>
    <w:rsid w:val="00FB023F"/>
    <w:rsid w:val="00FE275F"/>
    <w:rsid w:val="01283A58"/>
    <w:rsid w:val="02C47B52"/>
    <w:rsid w:val="04EF5DE6"/>
    <w:rsid w:val="06AA120F"/>
    <w:rsid w:val="06CA6B4A"/>
    <w:rsid w:val="085D0273"/>
    <w:rsid w:val="0A491FE9"/>
    <w:rsid w:val="0BA63B80"/>
    <w:rsid w:val="0BFE20C2"/>
    <w:rsid w:val="0C434FF4"/>
    <w:rsid w:val="0CC80AD1"/>
    <w:rsid w:val="0E527594"/>
    <w:rsid w:val="0F4336C6"/>
    <w:rsid w:val="0F5857A9"/>
    <w:rsid w:val="108219C2"/>
    <w:rsid w:val="10C660B9"/>
    <w:rsid w:val="11C85183"/>
    <w:rsid w:val="130C28D3"/>
    <w:rsid w:val="14945D01"/>
    <w:rsid w:val="15057E41"/>
    <w:rsid w:val="16E15582"/>
    <w:rsid w:val="16FE3D7D"/>
    <w:rsid w:val="170D6B64"/>
    <w:rsid w:val="17A31FD9"/>
    <w:rsid w:val="184C6DC0"/>
    <w:rsid w:val="1A050FCC"/>
    <w:rsid w:val="1DDA64DF"/>
    <w:rsid w:val="20B95B1E"/>
    <w:rsid w:val="20D2614A"/>
    <w:rsid w:val="220C0482"/>
    <w:rsid w:val="23546B75"/>
    <w:rsid w:val="24637B8A"/>
    <w:rsid w:val="261D4DB3"/>
    <w:rsid w:val="270F2D32"/>
    <w:rsid w:val="27693EF3"/>
    <w:rsid w:val="29042D90"/>
    <w:rsid w:val="2A9F5A91"/>
    <w:rsid w:val="2B0E6253"/>
    <w:rsid w:val="2C0A469E"/>
    <w:rsid w:val="2C3042D5"/>
    <w:rsid w:val="2D2C2FE9"/>
    <w:rsid w:val="2E046559"/>
    <w:rsid w:val="2F2155FF"/>
    <w:rsid w:val="319E48F7"/>
    <w:rsid w:val="31A94F54"/>
    <w:rsid w:val="31E53BF9"/>
    <w:rsid w:val="31EC1811"/>
    <w:rsid w:val="31F313E2"/>
    <w:rsid w:val="330C3F7F"/>
    <w:rsid w:val="34A11DDF"/>
    <w:rsid w:val="34E54193"/>
    <w:rsid w:val="36DF3DD4"/>
    <w:rsid w:val="37893FD3"/>
    <w:rsid w:val="37D21A2C"/>
    <w:rsid w:val="39FB0E4F"/>
    <w:rsid w:val="39FB167E"/>
    <w:rsid w:val="3BF91A5A"/>
    <w:rsid w:val="3C0E5144"/>
    <w:rsid w:val="3D7C38EA"/>
    <w:rsid w:val="3F1B5AEE"/>
    <w:rsid w:val="409D547F"/>
    <w:rsid w:val="43E67127"/>
    <w:rsid w:val="4543037D"/>
    <w:rsid w:val="45CB1967"/>
    <w:rsid w:val="46322F86"/>
    <w:rsid w:val="46A05244"/>
    <w:rsid w:val="4A6159D7"/>
    <w:rsid w:val="4A995517"/>
    <w:rsid w:val="4BEB3BEE"/>
    <w:rsid w:val="4BF2309D"/>
    <w:rsid w:val="4C2324D8"/>
    <w:rsid w:val="4DB72E73"/>
    <w:rsid w:val="4E9C551C"/>
    <w:rsid w:val="4F4E5E01"/>
    <w:rsid w:val="505C3145"/>
    <w:rsid w:val="524F053D"/>
    <w:rsid w:val="543B58FB"/>
    <w:rsid w:val="55046B0C"/>
    <w:rsid w:val="553F15DC"/>
    <w:rsid w:val="55E76D51"/>
    <w:rsid w:val="56326653"/>
    <w:rsid w:val="572F6EC6"/>
    <w:rsid w:val="582F271D"/>
    <w:rsid w:val="5AAF6A77"/>
    <w:rsid w:val="5ABD2175"/>
    <w:rsid w:val="5B4E1A3F"/>
    <w:rsid w:val="5C6443AA"/>
    <w:rsid w:val="5CAE71C7"/>
    <w:rsid w:val="5CBF25FD"/>
    <w:rsid w:val="5D064F7B"/>
    <w:rsid w:val="5D195866"/>
    <w:rsid w:val="5D2F0E9D"/>
    <w:rsid w:val="5E8C083E"/>
    <w:rsid w:val="5EA12B9A"/>
    <w:rsid w:val="604D368D"/>
    <w:rsid w:val="63A95AB0"/>
    <w:rsid w:val="663E594B"/>
    <w:rsid w:val="667977F1"/>
    <w:rsid w:val="66EB6CF4"/>
    <w:rsid w:val="679B47DF"/>
    <w:rsid w:val="67B63D95"/>
    <w:rsid w:val="6F3A48C3"/>
    <w:rsid w:val="6FD92E89"/>
    <w:rsid w:val="733E6DC5"/>
    <w:rsid w:val="73C10934"/>
    <w:rsid w:val="75263D29"/>
    <w:rsid w:val="78A579FE"/>
    <w:rsid w:val="78F8460C"/>
    <w:rsid w:val="79D95718"/>
    <w:rsid w:val="7ACD4981"/>
    <w:rsid w:val="7B307D45"/>
    <w:rsid w:val="7B335210"/>
    <w:rsid w:val="7CB84E05"/>
    <w:rsid w:val="7D142775"/>
    <w:rsid w:val="7D5B167E"/>
    <w:rsid w:val="7D844C20"/>
    <w:rsid w:val="7ECC6A73"/>
    <w:rsid w:val="7F280FA0"/>
    <w:rsid w:val="7FEB2D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qFormat/>
    <w:uiPriority w:val="0"/>
    <w:pPr>
      <w:jc w:val="center"/>
    </w:pPr>
    <w:rPr>
      <w:sz w:val="18"/>
    </w:rPr>
  </w:style>
  <w:style w:type="paragraph" w:styleId="6">
    <w:name w:val="Plain Text"/>
    <w:basedOn w:val="1"/>
    <w:qFormat/>
    <w:uiPriority w:val="0"/>
    <w:rPr>
      <w:rFonts w:ascii="宋体" w:hAnsi="Courier New"/>
    </w:rPr>
  </w:style>
  <w:style w:type="paragraph" w:styleId="7">
    <w:name w:val="Balloon Text"/>
    <w:basedOn w:val="1"/>
    <w:link w:val="14"/>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rFonts w:ascii="Times New Roman" w:hAnsi="Times New Roman" w:eastAsia="宋体" w:cs="Times New Roman"/>
      <w:sz w:val="18"/>
      <w:szCs w:val="18"/>
    </w:rPr>
  </w:style>
  <w:style w:type="character" w:customStyle="1" w:styleId="13">
    <w:name w:val="页脚 Char"/>
    <w:basedOn w:val="11"/>
    <w:link w:val="8"/>
    <w:qFormat/>
    <w:uiPriority w:val="99"/>
    <w:rPr>
      <w:rFonts w:ascii="Times New Roman" w:hAnsi="Times New Roman" w:eastAsia="宋体" w:cs="Times New Roman"/>
      <w:sz w:val="18"/>
      <w:szCs w:val="18"/>
    </w:rPr>
  </w:style>
  <w:style w:type="character" w:customStyle="1" w:styleId="14">
    <w:name w:val="批注框文本 Char"/>
    <w:basedOn w:val="11"/>
    <w:link w:val="7"/>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1098</Words>
  <Characters>6263</Characters>
  <Lines>52</Lines>
  <Paragraphs>14</Paragraphs>
  <TotalTime>5</TotalTime>
  <ScaleCrop>false</ScaleCrop>
  <LinksUpToDate>false</LinksUpToDate>
  <CharactersWithSpaces>7347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2021-11-05T03:45:43Z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EB9C4AEFC88449DEBEC2B36193033A83</vt:lpwstr>
  </property>
</Properties>
</file>