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楷体" w:hAnsi="楷体" w:eastAsia="楷体"/>
          <w:bCs/>
          <w:color w:val="000000"/>
          <w:sz w:val="36"/>
          <w:szCs w:val="36"/>
        </w:rPr>
      </w:pPr>
      <w:r>
        <w:rPr>
          <w:rFonts w:hint="eastAsia" w:ascii="楷体" w:hAnsi="楷体" w:eastAsia="楷体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236"/>
        <w:gridCol w:w="10443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445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1236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涉及条款</w:t>
            </w:r>
          </w:p>
        </w:tc>
        <w:tc>
          <w:tcPr>
            <w:tcW w:w="10443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受审核部门：生产部及乾县密封件厂区        主管领导：祝亚利      陪同人员：祝立夫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45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236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443" w:type="dxa"/>
            <w:vAlign w:val="center"/>
          </w:tcPr>
          <w:p>
            <w:pPr>
              <w:spacing w:before="120" w:line="360" w:lineRule="auto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审核员：李俐      审核时间：20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.1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45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236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44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05" w:rightChars="50"/>
              <w:jc w:val="left"/>
              <w:textAlignment w:val="baseline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审核条款：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EMS：5.3组织的岗位、职责和权限、6.2环境目标、6.1.2环境因素、8.1运行策划和控制、8.2应急准备和响应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445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职责权限</w:t>
            </w:r>
          </w:p>
        </w:tc>
        <w:tc>
          <w:tcPr>
            <w:tcW w:w="1236" w:type="dxa"/>
          </w:tcPr>
          <w:p>
            <w:pPr>
              <w:snapToGrid w:val="0"/>
              <w:spacing w:line="360" w:lineRule="auto"/>
              <w:rPr>
                <w:rFonts w:ascii="楷体" w:hAnsi="楷体" w:eastAsia="楷体" w:cs="宋体"/>
                <w:bCs/>
                <w:sz w:val="24"/>
                <w:szCs w:val="24"/>
              </w:rPr>
            </w:pPr>
          </w:p>
          <w:p>
            <w:pPr>
              <w:snapToGrid w:val="0"/>
              <w:spacing w:line="360" w:lineRule="auto"/>
              <w:rPr>
                <w:rFonts w:ascii="楷体" w:hAnsi="楷体" w:eastAsia="楷体" w:cs="宋体"/>
                <w:bCs/>
                <w:sz w:val="24"/>
                <w:szCs w:val="24"/>
              </w:rPr>
            </w:pPr>
          </w:p>
          <w:p>
            <w:pPr>
              <w:snapToGrid w:val="0"/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sz w:val="24"/>
                <w:szCs w:val="24"/>
              </w:rPr>
              <w:t>E5.3</w:t>
            </w:r>
            <w:r>
              <w:rPr>
                <w:rFonts w:ascii="楷体" w:hAnsi="楷体" w:eastAsia="楷体" w:cs="宋体"/>
                <w:sz w:val="24"/>
                <w:szCs w:val="24"/>
              </w:rPr>
              <w:t xml:space="preserve"> </w:t>
            </w:r>
          </w:p>
        </w:tc>
        <w:tc>
          <w:tcPr>
            <w:tcW w:w="10443" w:type="dxa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询问生产部负责人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祝亚利为公司副总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，能明确本人在环境管理体系方面的职责：</w:t>
            </w: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贯彻公司环境管理方针、目标、指标和方案，组织协调生产过程中重要环境因素的有效控制；负责生产现场运行控制管理，实施监督和检查；根据公司生产经营计划合理调度，合理配置动力能源，提高能源利用率；参加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应急准备和响应，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环境事件的调查处理工作；负责部门环境因素识别评价及运行控制。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1445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 xml:space="preserve">目标 </w:t>
            </w:r>
          </w:p>
        </w:tc>
        <w:tc>
          <w:tcPr>
            <w:tcW w:w="1236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E6.2</w:t>
            </w:r>
          </w:p>
        </w:tc>
        <w:tc>
          <w:tcPr>
            <w:tcW w:w="10443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部门目标：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1、潜在的火灾事故为0；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2、环境因素识别控制率100%；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3、办公、生活垃圾分类处理率100%；可回收废弃物100%分类收集、存放、再利用或交公司相关部门统一处理；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4、节约用水、电、气，减少能源消耗；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5、办公用纸双面打印减少资源消耗；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6、环保处理设施运行完好率100%；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7、设备（重点设备、特种设备、环保设备）定期检测合格率100%；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8、危险废物100%分类暂存，公司相关部门统一处理；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9、主产品边角料100%回收再利用。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提供《20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年公司环境目标考核表》，完成情况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生产部已完成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，报表：乙大伟；审核：祝立夫；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 xml:space="preserve">制表：张婷    审核：乙大伟    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</w:rPr>
              <w:t>批准：祝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lang w:val="en-US" w:eastAsia="zh-CN"/>
              </w:rPr>
              <w:t>亚利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</w:rPr>
              <w:t>，日期：20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</w:rPr>
              <w:t>日。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8" w:hRule="atLeast"/>
        </w:trPr>
        <w:tc>
          <w:tcPr>
            <w:tcW w:w="1445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环境因素</w:t>
            </w:r>
          </w:p>
        </w:tc>
        <w:tc>
          <w:tcPr>
            <w:tcW w:w="1236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E6.1.2</w:t>
            </w:r>
          </w:p>
        </w:tc>
        <w:tc>
          <w:tcPr>
            <w:tcW w:w="10443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了《环境因素识别与评价控制程序》，以识别和评价公司内能够控制或能够施加影响的环境因素，并确定、更新重要环境因素，对其进行有效的管理和控制，以实现对环境污染的预防。对环境因素的识别、评价结果、控制手段等做出了规定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部门负责人介绍识别环境因素时考虑了三种时态，过去、现在和将来，三种状态，正常、异常和紧急及八个方面，大气污染、水体污染、固体废物污染、噪声污染、放射性污染、土地污染、原材料与自然资源的使用(或消耗)、当地其他环境问题按照办公过程及生产过程等进行了辨识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查《环境因素识别评价表》，对本部门生产和办公等有关过程的环境因素。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日常办公过程中的固废（废纸、废电池、灯管、墨盒）造成的土壤污染、水资源消耗、电能消耗、意外火灾引起的污染大气、生产过程（边角料排放、噪声排放、火灾、电能消耗）、设备维修（废弃丢弃、漏油）等环境因素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查到：《重要环境因素清单》，公司涉及重要环境因素：甲苯、二甲苯、粉尘、乳化液、废油、甲烷总烃、噪音、油棉纱、油手套、火灾和废水排放等，本部门涉及的重要环境因素：均有涉及。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对于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环境因素通过运行控制、管理方案、定期收集、应急准备与响应进行控制。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rPr>
                <w:rFonts w:ascii="楷体" w:hAnsi="楷体" w:eastAsia="楷体" w:cs="楷体"/>
                <w:color w:val="FF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生产部环境因素识别、评价基本符合标准要求。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运行控制</w:t>
            </w:r>
          </w:p>
        </w:tc>
        <w:tc>
          <w:tcPr>
            <w:tcW w:w="1236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E8.1</w:t>
            </w:r>
          </w:p>
        </w:tc>
        <w:tc>
          <w:tcPr>
            <w:tcW w:w="10443" w:type="dxa"/>
          </w:tcPr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编制与环境管理体系运行控制有关的文件有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Q/HLJC-EMS-027-2019A《UV光解废气处理设备使用及保养规定》、Q/HLJC-EMS-028-2019A《布袋除尘器使用及保养规定》、Q/HLJC-EMS-040-2019A《大气技术规范》、Q/HLJC-EMS-039-2019A《噪声技术规范》、Q/HLJC-EMS-026-2019A《一般工业固体废物管理规定》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等。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color w:val="FF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祝亚利副总介绍，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公司为了减少生产过程中产生的水、气、声、渣对环境的影响，公司扩建了新的厂房，更新了部分生产设备，加装了相应的处理或防护措施，增加环保方面的投资，经环保专家评估，专业生产厂家施工，先后新增了废气、噪声等处理设施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 xml:space="preserve">提供《环保设备台账》  </w:t>
            </w:r>
          </w:p>
          <w:tbl>
            <w:tblPr>
              <w:tblStyle w:val="6"/>
              <w:tblW w:w="7282" w:type="dxa"/>
              <w:jc w:val="cente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63"/>
              <w:gridCol w:w="2130"/>
              <w:gridCol w:w="2989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jc w:val="center"/>
              </w:trPr>
              <w:tc>
                <w:tcPr>
                  <w:tcW w:w="7282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Style w:val="14"/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宋体" w:hAnsi="宋体"/>
                      <w:sz w:val="21"/>
                      <w:szCs w:val="21"/>
                    </w:rPr>
                    <w:t>阳峪厂区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jc w:val="center"/>
              </w:trPr>
              <w:tc>
                <w:tcPr>
                  <w:tcW w:w="21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车间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设备名称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数量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2" w:hRule="atLeast"/>
                <w:jc w:val="center"/>
              </w:trPr>
              <w:tc>
                <w:tcPr>
                  <w:tcW w:w="2163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炼胶车间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布袋净化器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2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2" w:hRule="atLeast"/>
                <w:jc w:val="center"/>
              </w:trPr>
              <w:tc>
                <w:tcPr>
                  <w:tcW w:w="2163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送新风机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2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3" w:hRule="atLeast"/>
                <w:jc w:val="center"/>
              </w:trPr>
              <w:tc>
                <w:tcPr>
                  <w:tcW w:w="2163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硫化车间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UV光解废气处理设备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2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3" w:hRule="atLeast"/>
                <w:jc w:val="center"/>
              </w:trPr>
              <w:tc>
                <w:tcPr>
                  <w:tcW w:w="2163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送新风机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5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0" w:hRule="atLeast"/>
                <w:jc w:val="center"/>
              </w:trPr>
              <w:tc>
                <w:tcPr>
                  <w:tcW w:w="2163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处理车间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UV光解废气处理设备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2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0" w:hRule="atLeast"/>
                <w:jc w:val="center"/>
              </w:trPr>
              <w:tc>
                <w:tcPr>
                  <w:tcW w:w="2163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送新风机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5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2" w:hRule="atLeast"/>
                <w:jc w:val="center"/>
              </w:trPr>
              <w:tc>
                <w:tcPr>
                  <w:tcW w:w="21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密封材料车间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UV光解废气处理设备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 w:themeColor="text1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2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  <w:jc w:val="center"/>
              </w:trPr>
              <w:tc>
                <w:tcPr>
                  <w:tcW w:w="21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软木车间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UV光解废气处理设备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0" w:hRule="atLeast"/>
                <w:jc w:val="center"/>
              </w:trPr>
              <w:tc>
                <w:tcPr>
                  <w:tcW w:w="2163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厨房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静电式油烟净化器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7" w:hRule="atLeast"/>
                <w:jc w:val="center"/>
              </w:trPr>
              <w:tc>
                <w:tcPr>
                  <w:tcW w:w="2163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油水分离器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7" w:hRule="atLeast"/>
                <w:jc w:val="center"/>
              </w:trPr>
              <w:tc>
                <w:tcPr>
                  <w:tcW w:w="7282" w:type="dxa"/>
                  <w:gridSpan w:val="3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Style w:val="14"/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Style w:val="14"/>
                      <w:rFonts w:hint="eastAsia" w:ascii="宋体" w:hAnsi="宋体"/>
                      <w:sz w:val="21"/>
                      <w:szCs w:val="21"/>
                    </w:rPr>
                    <w:t>乾县密封件厂区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7" w:hRule="atLeast"/>
                <w:jc w:val="center"/>
              </w:trPr>
              <w:tc>
                <w:tcPr>
                  <w:tcW w:w="21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　特橡车间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 w:themeColor="text1"/>
                      <w:kern w:val="24"/>
                      <w:szCs w:val="21"/>
                    </w:rPr>
                    <w:t>UV光解废气处理设备</w:t>
                  </w: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　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1　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7" w:hRule="atLeast"/>
                <w:jc w:val="center"/>
              </w:trPr>
              <w:tc>
                <w:tcPr>
                  <w:tcW w:w="21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厨房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静电式油烟净化器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1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7" w:hRule="atLeast"/>
                <w:jc w:val="center"/>
              </w:trPr>
              <w:tc>
                <w:tcPr>
                  <w:tcW w:w="216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厨房</w:t>
                  </w:r>
                </w:p>
              </w:tc>
              <w:tc>
                <w:tcPr>
                  <w:tcW w:w="21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油水分离器</w:t>
                  </w:r>
                </w:p>
              </w:tc>
              <w:tc>
                <w:tcPr>
                  <w:tcW w:w="29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FFFFFF" w:themeColor="background1" w:fill="auto"/>
                  <w:tcMar>
                    <w:top w:w="1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24"/>
                      <w:szCs w:val="21"/>
                    </w:rPr>
                    <w:t>2</w:t>
                  </w:r>
                </w:p>
              </w:tc>
            </w:tr>
          </w:tbl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提供《20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年度环保设备保养（检修）计划》，有编制、审核、审批等。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设备名称 ：环保抽风机、UV光解、布袋除尘；使用区域：炼胶车间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设备名称 ：环保抽风机、活性炭、UV光解；使用区域：硫化车间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设备名称 ：环保抽风机、UV光解；使用区域：处理车间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设备名称 ：环保抽风机、UV光解；使用区域：软木车间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 xml:space="preserve">        </w:t>
            </w: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3707765</wp:posOffset>
                  </wp:positionH>
                  <wp:positionV relativeFrom="paragraph">
                    <wp:posOffset>140970</wp:posOffset>
                  </wp:positionV>
                  <wp:extent cx="2317115" cy="3159760"/>
                  <wp:effectExtent l="0" t="0" r="2540" b="6985"/>
                  <wp:wrapNone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17115" cy="31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182880</wp:posOffset>
                  </wp:positionV>
                  <wp:extent cx="2287270" cy="3092450"/>
                  <wp:effectExtent l="0" t="0" r="6350" b="11430"/>
                  <wp:wrapNone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87270" cy="309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抽查炼胶车间、硫化车间、软木车间《设备维护保养记录》，环保设备均按计划维护保养，满足要求。</w:t>
            </w: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1、废水管控：处理车间生产过程产生废水按Q/HLJC-EMS-037《处理涂胶车间废水排放技术规范》，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废水治理工艺：车间废水→防渗水池→药料罐处理→反应罐处理→进入贮存罐→检测合格→后排水绿化，沉淀污泥经风干后外运。</w:t>
            </w: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药料罐处理，提供污水处理工艺流程：</w:t>
            </w: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4527550</wp:posOffset>
                  </wp:positionH>
                  <wp:positionV relativeFrom="paragraph">
                    <wp:posOffset>70485</wp:posOffset>
                  </wp:positionV>
                  <wp:extent cx="1949450" cy="2625090"/>
                  <wp:effectExtent l="0" t="0" r="6350" b="3810"/>
                  <wp:wrapNone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2501900</wp:posOffset>
                  </wp:positionH>
                  <wp:positionV relativeFrom="paragraph">
                    <wp:posOffset>40640</wp:posOffset>
                  </wp:positionV>
                  <wp:extent cx="1922145" cy="2659380"/>
                  <wp:effectExtent l="0" t="0" r="8255" b="762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55245</wp:posOffset>
                  </wp:positionV>
                  <wp:extent cx="2211705" cy="2703830"/>
                  <wp:effectExtent l="0" t="0" r="10795" b="1270"/>
                  <wp:wrapNone/>
                  <wp:docPr id="16" name="图片 16" descr="986d81188fed12f5cfd6b004681fc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86d81188fed12f5cfd6b004681fca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4197350</wp:posOffset>
                  </wp:positionH>
                  <wp:positionV relativeFrom="paragraph">
                    <wp:posOffset>133350</wp:posOffset>
                  </wp:positionV>
                  <wp:extent cx="2040890" cy="2366645"/>
                  <wp:effectExtent l="0" t="0" r="3810" b="8255"/>
                  <wp:wrapNone/>
                  <wp:docPr id="15" name="图片 15" descr="bddccea779dce30136eed452694d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ddccea779dce30136eed452694d5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90" cy="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196850</wp:posOffset>
                  </wp:positionV>
                  <wp:extent cx="3061335" cy="2296160"/>
                  <wp:effectExtent l="0" t="0" r="12065" b="2540"/>
                  <wp:wrapNone/>
                  <wp:docPr id="14" name="图片 14" descr="53b4a34edcde3d42d4c2debec4ec9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3b4a34edcde3d42d4c2debec4ec9c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35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提供《环保设备点检记录》，污水处理设备记录，设备运行正常。</w:t>
            </w:r>
          </w:p>
          <w:p>
            <w:pPr>
              <w:spacing w:line="360" w:lineRule="auto"/>
              <w:rPr>
                <w:rFonts w:hint="default" w:ascii="楷体" w:hAnsi="楷体" w:eastAsia="楷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具体废水监测报告详见管理研究所9.1.1条款。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废气管控：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主要采用环保抽风机、布袋除尘、UV光解后15米高空排放。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现场查看，阳峪厂区的炼胶车间、硫化车间、处理车间、密封材料车间、软木车间、乾县密封件厂区特橡车间的环境处理设备，运转正常。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73025</wp:posOffset>
                  </wp:positionV>
                  <wp:extent cx="2019935" cy="2694305"/>
                  <wp:effectExtent l="0" t="0" r="12065" b="10795"/>
                  <wp:wrapNone/>
                  <wp:docPr id="10" name="图片 10" descr="8b8003862b125eb2932968106da2c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b8003862b125eb2932968106da2cb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6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2870200</wp:posOffset>
                  </wp:positionH>
                  <wp:positionV relativeFrom="paragraph">
                    <wp:posOffset>93345</wp:posOffset>
                  </wp:positionV>
                  <wp:extent cx="1502410" cy="1972310"/>
                  <wp:effectExtent l="0" t="0" r="8890" b="8890"/>
                  <wp:wrapNone/>
                  <wp:docPr id="35" name="图片 35" descr="3518fcebf97e6d6570c21d4af043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518fcebf97e6d6570c21d4af0436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1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116840</wp:posOffset>
                  </wp:positionV>
                  <wp:extent cx="2452370" cy="1839595"/>
                  <wp:effectExtent l="0" t="0" r="11430" b="1905"/>
                  <wp:wrapNone/>
                  <wp:docPr id="27" name="图片 27" descr="a8b3e44a79e1796d461afb3c9f2a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a8b3e44a79e1796d461afb3c9f2a3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3、噪声管控：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640715</wp:posOffset>
                  </wp:positionV>
                  <wp:extent cx="1372235" cy="2033270"/>
                  <wp:effectExtent l="0" t="0" r="12065" b="11430"/>
                  <wp:wrapNone/>
                  <wp:docPr id="38" name="图片 38" descr="70589b334742831bf730caa72b166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70589b334742831bf730caa72b1667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生产过程设备噪声，采取密闭厂房内操作，车间窗户采用双层玻璃，新设备选用低噪声的设备和老设备采用消声罩处理，同时加强设备的检查和维保，确保机械设备在正常工况下运行，噪声满足要求。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4、固废管控：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固体废物主要有生产固废、生活垃圾、危险废物。项目生产中产生的边角料及不合格产品回收利用，钢板边角料外售废品站，废包装材料由厂家回收处理。废棉纱收集后送至垃圾填埋场填埋。生活垃圾委托环卫部门处置;废机油、废乳化油与危废资质单位签订处置协议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垃圾分类管理，定期处置。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360" w:firstLineChars="150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196215</wp:posOffset>
                  </wp:positionV>
                  <wp:extent cx="2289810" cy="1717040"/>
                  <wp:effectExtent l="0" t="0" r="8890" b="10160"/>
                  <wp:wrapNone/>
                  <wp:docPr id="11" name="图片 11" descr="94be2fe7e325ad56455316075c1d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4be2fe7e325ad56455316075c1d1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3136900</wp:posOffset>
                  </wp:positionH>
                  <wp:positionV relativeFrom="paragraph">
                    <wp:posOffset>213360</wp:posOffset>
                  </wp:positionV>
                  <wp:extent cx="2279650" cy="1710055"/>
                  <wp:effectExtent l="0" t="0" r="6350" b="4445"/>
                  <wp:wrapNone/>
                  <wp:docPr id="37" name="图片 37" descr="eb10978266ace7b73cc7c0214d45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eb10978266ace7b73cc7c0214d451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960" w:firstLineChars="4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垃圾分类                                   新风系统</w:t>
            </w:r>
          </w:p>
          <w:p>
            <w:pPr>
              <w:spacing w:line="360" w:lineRule="auto"/>
              <w:ind w:firstLine="240" w:firstLineChars="1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危险废物为车间含油抹布、废油桶、废汽油桶，采取集中收集定期回收的方式处理。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查危废仓库，地面经防渗处理，室内通风，物料分类摆放整齐。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提供《主要原辅材料清单》、《危险废物登记表》，满足要求。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2889885</wp:posOffset>
                  </wp:positionH>
                  <wp:positionV relativeFrom="paragraph">
                    <wp:posOffset>43180</wp:posOffset>
                  </wp:positionV>
                  <wp:extent cx="2992120" cy="2020570"/>
                  <wp:effectExtent l="0" t="0" r="5080" b="11430"/>
                  <wp:wrapNone/>
                  <wp:docPr id="42" name="图片 42" descr="fc23c8bc1576bc7c058f97fdc9301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fc23c8bc1576bc7c058f97fdc9301f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38100</wp:posOffset>
                  </wp:positionV>
                  <wp:extent cx="1359535" cy="2014855"/>
                  <wp:effectExtent l="0" t="0" r="12065" b="4445"/>
                  <wp:wrapNone/>
                  <wp:docPr id="41" name="图片 41" descr="d8fe3107dd6747f17db3d9be03c1c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8fe3107dd6747f17db3d9be03c1c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52070</wp:posOffset>
                  </wp:positionV>
                  <wp:extent cx="2875915" cy="2157730"/>
                  <wp:effectExtent l="0" t="0" r="6985" b="1270"/>
                  <wp:wrapNone/>
                  <wp:docPr id="40" name="图片 40" descr="2c1437d61e305f8d7baf43458936f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c1437d61e305f8d7baf43458936f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69215</wp:posOffset>
                  </wp:positionV>
                  <wp:extent cx="2644775" cy="2204720"/>
                  <wp:effectExtent l="0" t="0" r="9525" b="5080"/>
                  <wp:wrapNone/>
                  <wp:docPr id="39" name="图片 39" descr="98799b4b5ce7300bd167cbfb19d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98799b4b5ce7300bd167cbfb19d58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5、能源资源管控：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生产过程注意节水、节电、节胶料，人走关闭设备和照明开关，现场未发现有漏水和浪费电能的现象。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6、产品生命周期的环境管控：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公司从工艺设计和采购产品时已考虑了产品的环保性（包括原材料），生产过程中，严格按照环保等管理制度实施，控制好辅助材料的用量，避免浪费，生命周期终了时钢材还可以回收再利用。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7、潜在火灾管控：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公司生产车间和办公区域配备了消防栓、灭火器，均符合要求。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4889500</wp:posOffset>
                  </wp:positionH>
                  <wp:positionV relativeFrom="paragraph">
                    <wp:posOffset>101600</wp:posOffset>
                  </wp:positionV>
                  <wp:extent cx="1435735" cy="1915160"/>
                  <wp:effectExtent l="0" t="0" r="12065" b="2540"/>
                  <wp:wrapNone/>
                  <wp:docPr id="36" name="图片 36" descr="07831e8dc039039140e2fc96dd07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7831e8dc039039140e2fc96dd071a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91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79375</wp:posOffset>
                  </wp:positionV>
                  <wp:extent cx="1436370" cy="1915795"/>
                  <wp:effectExtent l="0" t="0" r="11430" b="1905"/>
                  <wp:wrapNone/>
                  <wp:docPr id="43" name="图片 43" descr="75403f431d32233703606159ff2fc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75403f431d32233703606159ff2fce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2596515</wp:posOffset>
                  </wp:positionH>
                  <wp:positionV relativeFrom="paragraph">
                    <wp:posOffset>-544195</wp:posOffset>
                  </wp:positionV>
                  <wp:extent cx="1306830" cy="2716530"/>
                  <wp:effectExtent l="0" t="0" r="1270" b="1270"/>
                  <wp:wrapNone/>
                  <wp:docPr id="3" name="图片 3" descr="f8a6651b8bcf8ce084977102c3b5e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8a6651b8bcf8ce084977102c3b5ee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6830" cy="271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8、按有关程序和要求通报供方和顾客，采用〈告知函〉方式通报。查到相关方告知书。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9、现场观察运行控制：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现场巡视办公及生产区域配备有消防栓、灭火器多个，各车间均配有消防栓、灭火器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企业主要从事金属橡胶复合密封板；金属橡胶密封件；软木复合材料密封制品和特种橡胶制品制造，车间分为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阳峪厂区的炼胶车间、硫化车间、处理车间、密封材料车间、软木车间、乾县密封件厂区特橡车间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等，产品主要为汽车和高铁部件的密封件。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各车间安全设施设有提示说明，方便取用，未发现遮挡消防设施和挤占消防通道的情况。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车间有环保设施满足要求，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车间采光良好、安装新风系统，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废气、废水、噪声经第三方监测，能达标排放。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现场查看炼胶车间的布袋净化器和送新风机运转正常。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硫化车间的UV光解废气处理设备和送新风机运转正常。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处理车间的UV光解废气处理设备和送新风机运转正常。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密封材料车间的UV光解废气处理设备运转正常。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软木车间的UV光解废气处理设备运转正常。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特橡车间的UV光解废气处理设备运转正常。　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废水处理站设备运转正常。</w:t>
            </w: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与车间炼胶、硫化、废水处理、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特橡车间岗位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操作人员交流了解到，员工均接受过环保和职业健康安全相关知识的培训，包括应急预案及演练等，现场人员交流对机械伤害、防火、逃生均较为清楚、明确，了解本岗位的设备安全操作规程。 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生产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车间内现场设备和电线布线合理，电线均处于完好状态，设备有接地及保护装置，控制柜及漏电保护器状态良好，</w:t>
            </w:r>
            <w:r>
              <w:rPr>
                <w:rFonts w:ascii="楷体" w:hAnsi="楷体" w:eastAsia="楷体"/>
                <w:sz w:val="24"/>
                <w:szCs w:val="24"/>
              </w:rPr>
              <w:t>现场查看以上设施运行正常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 xml:space="preserve">车间现场在环保方面的控制管理基本有效。 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抽查20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1-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2020.10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月环保设备运行记录和点检记录: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2136140</wp:posOffset>
                  </wp:positionH>
                  <wp:positionV relativeFrom="paragraph">
                    <wp:posOffset>-16510</wp:posOffset>
                  </wp:positionV>
                  <wp:extent cx="1514475" cy="2057400"/>
                  <wp:effectExtent l="0" t="0" r="0" b="9525"/>
                  <wp:wrapNone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44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乾县密封件厂区特橡车间UV光解废气处理设备运行记录：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咸阳海龙密封复合材料有限公司炼胶车间布袋除尘、UV光解废气处理设备运行记录：</w:t>
            </w:r>
          </w:p>
          <w:p>
            <w:pPr>
              <w:spacing w:line="360" w:lineRule="auto"/>
              <w:rPr>
                <w:rFonts w:hint="eastAsia" w:ascii="楷体" w:hAnsi="楷体" w:eastAsia="楷体" w:cs="宋体"/>
                <w:color w:val="FF0000"/>
                <w:sz w:val="24"/>
                <w:szCs w:val="24"/>
                <w:shd w:val="clear" w:color="FFFFFF" w:fill="D9D9D9"/>
                <w:lang w:eastAsia="zh-CN"/>
              </w:rPr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3254375</wp:posOffset>
                  </wp:positionH>
                  <wp:positionV relativeFrom="paragraph">
                    <wp:posOffset>-315595</wp:posOffset>
                  </wp:positionV>
                  <wp:extent cx="1928495" cy="2639060"/>
                  <wp:effectExtent l="0" t="0" r="2540" b="1905"/>
                  <wp:wrapNone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8495" cy="263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-320675</wp:posOffset>
                  </wp:positionV>
                  <wp:extent cx="1905635" cy="2614930"/>
                  <wp:effectExtent l="0" t="0" r="1270" b="12065"/>
                  <wp:wrapNone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5635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color w:val="FF0000"/>
                <w:sz w:val="24"/>
                <w:szCs w:val="24"/>
                <w:shd w:val="clear" w:color="FFFFFF" w:fill="D9D9D9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环保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运行控制满足要求。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应急准备和相应</w:t>
            </w:r>
          </w:p>
        </w:tc>
        <w:tc>
          <w:tcPr>
            <w:tcW w:w="1236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E8.2</w:t>
            </w:r>
          </w:p>
        </w:tc>
        <w:tc>
          <w:tcPr>
            <w:tcW w:w="10443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生产部按照策划的《应急准备和响应控制程序程序》《消防安全应急预案》等，明确了相应的运行准则。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生产过程中加强用电安全，防止触电事故和火灾事故的发生，安装了漏电保护器。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 xml:space="preserve"> 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生产现场有“禁止吸烟”， 等环保、安全警示标识。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查参加了20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.</w:t>
            </w:r>
            <w:bookmarkStart w:id="0" w:name="_GoBack"/>
            <w:bookmarkEnd w:id="0"/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日公司组织的环境突发事件应急演练和消防演练。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44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23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443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</w:tbl>
    <w:p>
      <w:pPr>
        <w:pStyle w:val="3"/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134" w:right="1080" w:bottom="1134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none" w:color="auto" w:sz="0" w:space="1"/>
      </w:pBdr>
      <w:spacing w:line="320" w:lineRule="exact"/>
      <w:jc w:val="left"/>
    </w:pPr>
    <w:r>
      <w:pict>
        <v:shape id="文本框 1" o:spid="_x0000_s2050" o:spt="202" type="#_x0000_t202" style="position:absolute;left:0pt;margin-left:554.75pt;margin-top:2.7pt;height:20.2pt;width:172pt;z-index:251660288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</w:t>
                </w:r>
                <w:r>
                  <w:rPr>
                    <w:rFonts w:hint="eastAsia"/>
                    <w:sz w:val="18"/>
                    <w:szCs w:val="18"/>
                    <w:lang w:val="en-US" w:eastAsia="zh-CN"/>
                  </w:rPr>
                  <w:t>12</w:t>
                </w:r>
                <w:r>
                  <w:rPr>
                    <w:rFonts w:hint="eastAsia"/>
                    <w:sz w:val="18"/>
                    <w:szCs w:val="18"/>
                  </w:rPr>
                  <w:t xml:space="preserve"> 管理体系审核记录表(03版)</w:t>
                </w:r>
              </w:p>
            </w:txbxContent>
          </v:textbox>
        </v:shape>
      </w:pict>
    </w:r>
    <w:r>
      <w:rPr>
        <w:rStyle w:val="12"/>
        <w:rFonts w:hint="default"/>
      </w:rPr>
      <w:t xml:space="preserve">        </w:t>
    </w:r>
    <w:r>
      <w:rPr>
        <w:rStyle w:val="12"/>
        <w:rFonts w:hint="default"/>
        <w:w w:val="90"/>
      </w:rPr>
      <w:t>Beijing International Standard united Certification Co.,Ltd.</w:t>
    </w:r>
    <w:r>
      <w:rPr>
        <w:rStyle w:val="12"/>
        <w:rFonts w:hint="default"/>
        <w:w w:val="90"/>
        <w:szCs w:val="21"/>
      </w:rPr>
      <w:t xml:space="preserve">  </w:t>
    </w:r>
    <w:r>
      <w:rPr>
        <w:rStyle w:val="12"/>
        <w:rFonts w:hint="default"/>
        <w:w w:val="90"/>
        <w:sz w:val="20"/>
      </w:rPr>
      <w:t xml:space="preserve"> </w:t>
    </w:r>
    <w:r>
      <w:rPr>
        <w:rStyle w:val="12"/>
        <w:rFonts w:hint="default"/>
        <w:w w:val="90"/>
      </w:rPr>
      <w:t xml:space="preserve">                   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230F34"/>
    <w:multiLevelType w:val="singleLevel"/>
    <w:tmpl w:val="0A230F3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248829E8"/>
    <w:multiLevelType w:val="singleLevel"/>
    <w:tmpl w:val="248829E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10B05"/>
    <w:rsid w:val="00020CA6"/>
    <w:rsid w:val="000214B6"/>
    <w:rsid w:val="00032462"/>
    <w:rsid w:val="0003373A"/>
    <w:rsid w:val="000421F8"/>
    <w:rsid w:val="00050B17"/>
    <w:rsid w:val="0005199E"/>
    <w:rsid w:val="0005697E"/>
    <w:rsid w:val="00061925"/>
    <w:rsid w:val="00062EC3"/>
    <w:rsid w:val="00081821"/>
    <w:rsid w:val="000849D2"/>
    <w:rsid w:val="000A5E44"/>
    <w:rsid w:val="000A6DBB"/>
    <w:rsid w:val="000B1394"/>
    <w:rsid w:val="000B13C1"/>
    <w:rsid w:val="000B40BD"/>
    <w:rsid w:val="000C123B"/>
    <w:rsid w:val="000E2B69"/>
    <w:rsid w:val="000F0B40"/>
    <w:rsid w:val="000F35F1"/>
    <w:rsid w:val="000F49B5"/>
    <w:rsid w:val="00102221"/>
    <w:rsid w:val="00102C0C"/>
    <w:rsid w:val="001037D5"/>
    <w:rsid w:val="00127276"/>
    <w:rsid w:val="00133A9E"/>
    <w:rsid w:val="00133F17"/>
    <w:rsid w:val="00160177"/>
    <w:rsid w:val="00162423"/>
    <w:rsid w:val="00171246"/>
    <w:rsid w:val="00186785"/>
    <w:rsid w:val="00191AFC"/>
    <w:rsid w:val="0019749C"/>
    <w:rsid w:val="001A2D7F"/>
    <w:rsid w:val="001A3DF8"/>
    <w:rsid w:val="001C345C"/>
    <w:rsid w:val="001C5C73"/>
    <w:rsid w:val="001C5C87"/>
    <w:rsid w:val="001D0C70"/>
    <w:rsid w:val="001F6044"/>
    <w:rsid w:val="00214671"/>
    <w:rsid w:val="00222532"/>
    <w:rsid w:val="00234803"/>
    <w:rsid w:val="00237445"/>
    <w:rsid w:val="00241B7D"/>
    <w:rsid w:val="002926AE"/>
    <w:rsid w:val="00295B8A"/>
    <w:rsid w:val="002A0E6E"/>
    <w:rsid w:val="002A1B7E"/>
    <w:rsid w:val="002A7679"/>
    <w:rsid w:val="002B018A"/>
    <w:rsid w:val="002C3E0D"/>
    <w:rsid w:val="002D41FB"/>
    <w:rsid w:val="002D56C8"/>
    <w:rsid w:val="002D7B3A"/>
    <w:rsid w:val="002E09DF"/>
    <w:rsid w:val="002E1E1D"/>
    <w:rsid w:val="002F4DA9"/>
    <w:rsid w:val="00327441"/>
    <w:rsid w:val="003358F7"/>
    <w:rsid w:val="003370D7"/>
    <w:rsid w:val="00337922"/>
    <w:rsid w:val="00340867"/>
    <w:rsid w:val="00342857"/>
    <w:rsid w:val="00355472"/>
    <w:rsid w:val="00361197"/>
    <w:rsid w:val="003627B6"/>
    <w:rsid w:val="00367C20"/>
    <w:rsid w:val="003708D5"/>
    <w:rsid w:val="00380837"/>
    <w:rsid w:val="00381A3A"/>
    <w:rsid w:val="003836CA"/>
    <w:rsid w:val="00386A98"/>
    <w:rsid w:val="003B712F"/>
    <w:rsid w:val="003D6BE3"/>
    <w:rsid w:val="003F20A5"/>
    <w:rsid w:val="003F696F"/>
    <w:rsid w:val="004012E9"/>
    <w:rsid w:val="00405D5F"/>
    <w:rsid w:val="00410914"/>
    <w:rsid w:val="00425E89"/>
    <w:rsid w:val="0043494E"/>
    <w:rsid w:val="00453CC3"/>
    <w:rsid w:val="00465FE1"/>
    <w:rsid w:val="00475FEA"/>
    <w:rsid w:val="004772FA"/>
    <w:rsid w:val="00491735"/>
    <w:rsid w:val="00492096"/>
    <w:rsid w:val="004B217F"/>
    <w:rsid w:val="004B5E36"/>
    <w:rsid w:val="004C07FE"/>
    <w:rsid w:val="004E4394"/>
    <w:rsid w:val="004E4AA7"/>
    <w:rsid w:val="00500FC6"/>
    <w:rsid w:val="00521CF0"/>
    <w:rsid w:val="00533E7D"/>
    <w:rsid w:val="00536930"/>
    <w:rsid w:val="00564E53"/>
    <w:rsid w:val="00583277"/>
    <w:rsid w:val="00592C3E"/>
    <w:rsid w:val="005A000F"/>
    <w:rsid w:val="005B0413"/>
    <w:rsid w:val="005B6888"/>
    <w:rsid w:val="005C1225"/>
    <w:rsid w:val="005E301C"/>
    <w:rsid w:val="005E489C"/>
    <w:rsid w:val="005F1B92"/>
    <w:rsid w:val="005F3411"/>
    <w:rsid w:val="005F6C65"/>
    <w:rsid w:val="005F7730"/>
    <w:rsid w:val="00600F02"/>
    <w:rsid w:val="00603024"/>
    <w:rsid w:val="0060444D"/>
    <w:rsid w:val="0060554E"/>
    <w:rsid w:val="00611DAE"/>
    <w:rsid w:val="00640D78"/>
    <w:rsid w:val="006423BE"/>
    <w:rsid w:val="00642776"/>
    <w:rsid w:val="00644FE2"/>
    <w:rsid w:val="00645FB8"/>
    <w:rsid w:val="00651986"/>
    <w:rsid w:val="006545E8"/>
    <w:rsid w:val="00664CAA"/>
    <w:rsid w:val="00665980"/>
    <w:rsid w:val="006702AA"/>
    <w:rsid w:val="0067640C"/>
    <w:rsid w:val="00692C4C"/>
    <w:rsid w:val="00694F0E"/>
    <w:rsid w:val="00695256"/>
    <w:rsid w:val="00695570"/>
    <w:rsid w:val="00696AF1"/>
    <w:rsid w:val="006A1F44"/>
    <w:rsid w:val="006A3B31"/>
    <w:rsid w:val="006A68F3"/>
    <w:rsid w:val="006B4127"/>
    <w:rsid w:val="006B5535"/>
    <w:rsid w:val="006B7A73"/>
    <w:rsid w:val="006C40B9"/>
    <w:rsid w:val="006D2A9F"/>
    <w:rsid w:val="006E05DB"/>
    <w:rsid w:val="006E678B"/>
    <w:rsid w:val="006F00CC"/>
    <w:rsid w:val="006F594E"/>
    <w:rsid w:val="006F7E33"/>
    <w:rsid w:val="007170AA"/>
    <w:rsid w:val="007171D0"/>
    <w:rsid w:val="007262EA"/>
    <w:rsid w:val="00730589"/>
    <w:rsid w:val="00732B66"/>
    <w:rsid w:val="007406DE"/>
    <w:rsid w:val="00743E79"/>
    <w:rsid w:val="00750554"/>
    <w:rsid w:val="00751C37"/>
    <w:rsid w:val="007757F3"/>
    <w:rsid w:val="007774E2"/>
    <w:rsid w:val="00777EAC"/>
    <w:rsid w:val="007815DC"/>
    <w:rsid w:val="007960BC"/>
    <w:rsid w:val="007A47FB"/>
    <w:rsid w:val="007B106B"/>
    <w:rsid w:val="007B275D"/>
    <w:rsid w:val="007E339C"/>
    <w:rsid w:val="007E6AEB"/>
    <w:rsid w:val="007F01EC"/>
    <w:rsid w:val="007F030C"/>
    <w:rsid w:val="007F61DA"/>
    <w:rsid w:val="007F6A42"/>
    <w:rsid w:val="007F7DF2"/>
    <w:rsid w:val="008079FA"/>
    <w:rsid w:val="0085122B"/>
    <w:rsid w:val="00864902"/>
    <w:rsid w:val="0086555F"/>
    <w:rsid w:val="00870A97"/>
    <w:rsid w:val="00880718"/>
    <w:rsid w:val="00882522"/>
    <w:rsid w:val="00890931"/>
    <w:rsid w:val="00896C56"/>
    <w:rsid w:val="008973EE"/>
    <w:rsid w:val="008C6CF5"/>
    <w:rsid w:val="008D089D"/>
    <w:rsid w:val="008F0B04"/>
    <w:rsid w:val="008F76A9"/>
    <w:rsid w:val="0090035E"/>
    <w:rsid w:val="00904E1B"/>
    <w:rsid w:val="00923EDF"/>
    <w:rsid w:val="00924483"/>
    <w:rsid w:val="00930694"/>
    <w:rsid w:val="009323D0"/>
    <w:rsid w:val="0093521F"/>
    <w:rsid w:val="00945677"/>
    <w:rsid w:val="00946670"/>
    <w:rsid w:val="00962F78"/>
    <w:rsid w:val="0096609F"/>
    <w:rsid w:val="009711D4"/>
    <w:rsid w:val="00971600"/>
    <w:rsid w:val="0097317D"/>
    <w:rsid w:val="00977B3A"/>
    <w:rsid w:val="009973B4"/>
    <w:rsid w:val="009C7777"/>
    <w:rsid w:val="009D0081"/>
    <w:rsid w:val="009E30DA"/>
    <w:rsid w:val="009E35C0"/>
    <w:rsid w:val="009F7EED"/>
    <w:rsid w:val="00A04935"/>
    <w:rsid w:val="00A138EC"/>
    <w:rsid w:val="00A456AF"/>
    <w:rsid w:val="00A4606C"/>
    <w:rsid w:val="00A62689"/>
    <w:rsid w:val="00A653E2"/>
    <w:rsid w:val="00A712F4"/>
    <w:rsid w:val="00A76D36"/>
    <w:rsid w:val="00A801DE"/>
    <w:rsid w:val="00A90A22"/>
    <w:rsid w:val="00A911CD"/>
    <w:rsid w:val="00A964A3"/>
    <w:rsid w:val="00AB41FC"/>
    <w:rsid w:val="00AB4BFA"/>
    <w:rsid w:val="00AB7D2F"/>
    <w:rsid w:val="00AC0A90"/>
    <w:rsid w:val="00AC19B4"/>
    <w:rsid w:val="00AE37CA"/>
    <w:rsid w:val="00AF0AAB"/>
    <w:rsid w:val="00AF4665"/>
    <w:rsid w:val="00AF546C"/>
    <w:rsid w:val="00B0685B"/>
    <w:rsid w:val="00B166EA"/>
    <w:rsid w:val="00B411A9"/>
    <w:rsid w:val="00B434A0"/>
    <w:rsid w:val="00B45C2D"/>
    <w:rsid w:val="00B8202D"/>
    <w:rsid w:val="00B931E4"/>
    <w:rsid w:val="00B95F69"/>
    <w:rsid w:val="00BA1E88"/>
    <w:rsid w:val="00BA25C0"/>
    <w:rsid w:val="00BC0645"/>
    <w:rsid w:val="00BC2015"/>
    <w:rsid w:val="00BD6549"/>
    <w:rsid w:val="00BE2A1A"/>
    <w:rsid w:val="00BF04D9"/>
    <w:rsid w:val="00BF4EC2"/>
    <w:rsid w:val="00BF597E"/>
    <w:rsid w:val="00C24C9B"/>
    <w:rsid w:val="00C31C73"/>
    <w:rsid w:val="00C4051A"/>
    <w:rsid w:val="00C51A36"/>
    <w:rsid w:val="00C548BE"/>
    <w:rsid w:val="00C55228"/>
    <w:rsid w:val="00C67A2A"/>
    <w:rsid w:val="00C67E19"/>
    <w:rsid w:val="00C67E47"/>
    <w:rsid w:val="00C71E85"/>
    <w:rsid w:val="00C86F9B"/>
    <w:rsid w:val="00CB260B"/>
    <w:rsid w:val="00CC2F1B"/>
    <w:rsid w:val="00CC3D9A"/>
    <w:rsid w:val="00CD26AD"/>
    <w:rsid w:val="00CE315A"/>
    <w:rsid w:val="00CE7BE1"/>
    <w:rsid w:val="00CF1726"/>
    <w:rsid w:val="00CF6C5C"/>
    <w:rsid w:val="00CF7E7F"/>
    <w:rsid w:val="00D06F59"/>
    <w:rsid w:val="00D0742D"/>
    <w:rsid w:val="00D21285"/>
    <w:rsid w:val="00D26082"/>
    <w:rsid w:val="00D3392D"/>
    <w:rsid w:val="00D43964"/>
    <w:rsid w:val="00D55E69"/>
    <w:rsid w:val="00D562F6"/>
    <w:rsid w:val="00D83753"/>
    <w:rsid w:val="00D8388C"/>
    <w:rsid w:val="00D838ED"/>
    <w:rsid w:val="00D91EE4"/>
    <w:rsid w:val="00DA7238"/>
    <w:rsid w:val="00DB5EE9"/>
    <w:rsid w:val="00DD15AC"/>
    <w:rsid w:val="00DE2645"/>
    <w:rsid w:val="00DE2D80"/>
    <w:rsid w:val="00DE650B"/>
    <w:rsid w:val="00DF72F9"/>
    <w:rsid w:val="00E038E4"/>
    <w:rsid w:val="00E06FC4"/>
    <w:rsid w:val="00E10651"/>
    <w:rsid w:val="00E11153"/>
    <w:rsid w:val="00E14458"/>
    <w:rsid w:val="00E173A4"/>
    <w:rsid w:val="00E43418"/>
    <w:rsid w:val="00E43822"/>
    <w:rsid w:val="00E53CE6"/>
    <w:rsid w:val="00E63714"/>
    <w:rsid w:val="00E65129"/>
    <w:rsid w:val="00E95A68"/>
    <w:rsid w:val="00E97424"/>
    <w:rsid w:val="00EA55F7"/>
    <w:rsid w:val="00EA6F97"/>
    <w:rsid w:val="00EB0164"/>
    <w:rsid w:val="00EC42F5"/>
    <w:rsid w:val="00ED0F62"/>
    <w:rsid w:val="00EE654C"/>
    <w:rsid w:val="00F019E4"/>
    <w:rsid w:val="00F06CFC"/>
    <w:rsid w:val="00F075C4"/>
    <w:rsid w:val="00F1123C"/>
    <w:rsid w:val="00F136ED"/>
    <w:rsid w:val="00F35603"/>
    <w:rsid w:val="00F606E1"/>
    <w:rsid w:val="00F721C7"/>
    <w:rsid w:val="00F83639"/>
    <w:rsid w:val="00F840C3"/>
    <w:rsid w:val="00F94E47"/>
    <w:rsid w:val="00F956F5"/>
    <w:rsid w:val="00FA0833"/>
    <w:rsid w:val="00FA350D"/>
    <w:rsid w:val="00FA4584"/>
    <w:rsid w:val="00FC5B50"/>
    <w:rsid w:val="00FC7CBE"/>
    <w:rsid w:val="00FD2869"/>
    <w:rsid w:val="00FD5EE5"/>
    <w:rsid w:val="00FD72A6"/>
    <w:rsid w:val="00FF6091"/>
    <w:rsid w:val="02E96C20"/>
    <w:rsid w:val="0542635A"/>
    <w:rsid w:val="0C27780D"/>
    <w:rsid w:val="0CA20C79"/>
    <w:rsid w:val="0D8B2F4C"/>
    <w:rsid w:val="0E727268"/>
    <w:rsid w:val="0F9D6A3F"/>
    <w:rsid w:val="1000210E"/>
    <w:rsid w:val="101B422A"/>
    <w:rsid w:val="108219C2"/>
    <w:rsid w:val="11700661"/>
    <w:rsid w:val="12CA2DF0"/>
    <w:rsid w:val="14117429"/>
    <w:rsid w:val="1492333B"/>
    <w:rsid w:val="15A45C82"/>
    <w:rsid w:val="15B80C10"/>
    <w:rsid w:val="16EB1FD4"/>
    <w:rsid w:val="170759D7"/>
    <w:rsid w:val="173C0B7B"/>
    <w:rsid w:val="18033556"/>
    <w:rsid w:val="182E07C0"/>
    <w:rsid w:val="18E939A6"/>
    <w:rsid w:val="19171475"/>
    <w:rsid w:val="192C7113"/>
    <w:rsid w:val="19EC745C"/>
    <w:rsid w:val="1E716B59"/>
    <w:rsid w:val="1FB366DF"/>
    <w:rsid w:val="200F6748"/>
    <w:rsid w:val="212D7A6B"/>
    <w:rsid w:val="21C52990"/>
    <w:rsid w:val="2644125F"/>
    <w:rsid w:val="267F61BB"/>
    <w:rsid w:val="26E00900"/>
    <w:rsid w:val="281B5EB5"/>
    <w:rsid w:val="2C22240B"/>
    <w:rsid w:val="2E367CA0"/>
    <w:rsid w:val="341D1083"/>
    <w:rsid w:val="356521BB"/>
    <w:rsid w:val="3576766D"/>
    <w:rsid w:val="36293956"/>
    <w:rsid w:val="3A106AD8"/>
    <w:rsid w:val="3D886F25"/>
    <w:rsid w:val="3D893259"/>
    <w:rsid w:val="3F1D7F8E"/>
    <w:rsid w:val="403B289B"/>
    <w:rsid w:val="42C62DA6"/>
    <w:rsid w:val="44E82AB9"/>
    <w:rsid w:val="48463DB3"/>
    <w:rsid w:val="4BA37A7F"/>
    <w:rsid w:val="4D18180D"/>
    <w:rsid w:val="4DF32FFA"/>
    <w:rsid w:val="4F8348A6"/>
    <w:rsid w:val="50E9601C"/>
    <w:rsid w:val="582D0655"/>
    <w:rsid w:val="59591254"/>
    <w:rsid w:val="59605C0A"/>
    <w:rsid w:val="59805E09"/>
    <w:rsid w:val="5ABF2FA9"/>
    <w:rsid w:val="5AC02B04"/>
    <w:rsid w:val="5AF60D50"/>
    <w:rsid w:val="5DE7317D"/>
    <w:rsid w:val="5EA12B9A"/>
    <w:rsid w:val="5EF56490"/>
    <w:rsid w:val="663A1AC1"/>
    <w:rsid w:val="669C24C5"/>
    <w:rsid w:val="690137BC"/>
    <w:rsid w:val="6A2E57B5"/>
    <w:rsid w:val="6D075D3E"/>
    <w:rsid w:val="6ECE7C02"/>
    <w:rsid w:val="707066E8"/>
    <w:rsid w:val="726C483A"/>
    <w:rsid w:val="76752714"/>
    <w:rsid w:val="78EF5D2A"/>
    <w:rsid w:val="7DBB12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  <w:szCs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3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character" w:customStyle="1" w:styleId="14">
    <w:name w:val="15"/>
    <w:qFormat/>
    <w:uiPriority w:val="0"/>
    <w:rPr>
      <w:rFonts w:hint="default"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622</Words>
  <Characters>3546</Characters>
  <Lines>29</Lines>
  <Paragraphs>8</Paragraphs>
  <TotalTime>2</TotalTime>
  <ScaleCrop>false</ScaleCrop>
  <LinksUpToDate>false</LinksUpToDate>
  <CharactersWithSpaces>4160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2021-11-05T04:07:29Z</dcterms:modified>
  <cp:revision>415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34DA7A57910C4F9595CD0877BBD43B83</vt:lpwstr>
  </property>
</Properties>
</file>