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0596-2020-QEO-2021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重庆易高实业有限公司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文平</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Q:ISC-Q-2020-1185,E:ISC-E-2020-0782,O:ISC-O-2020-0718</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91500118MA609UDU7R</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Q:40,E:40,O:40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重庆易高实业有限公司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Q：新型砂浆、增强型水泥基保温板的生产</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E：新型砂浆、增强型水泥基保温板的生产所涉及的相关环境管理活动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O：新型砂浆、增强型水泥基保温板的生产所涉及的相关职业健康安全管理活动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重庆市永川区大安工业园区</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重庆市永川区大安工业园区</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重庆易高实业有限公司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Q:ISC-Q-2020-1185,E:ISC-E-2020-0782,O:ISC-O-2020-0718</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重庆市永川区大安工业园区</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