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20737-2025-EO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宁波九龙气体制造有限公司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913302117421880148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宁波九龙气体制造有限公司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镇海区九龙湖镇三星工业区（长石村）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镇海区九龙湖镇三星工业区（长石村）三星路51号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E:资质范围内液氧、液氮的生产、氩气、工业二氧化碳的充装所涉及场所的相关环境管理活动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O:资质范围内液氧、液氮的生产、氩气、工业二氧化碳的充装所涉及场所的相关职业健康安全管理活动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宁波九龙气体制造有限公司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镇海区九龙湖镇三星工业区（长石村）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镇海区九龙湖镇三星工业区（长石村）三星路51号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E:资质范围内液氧、液氮的生产、氩气、工业二氧化碳的充装所涉及场所的相关环境管理活动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O:资质范围内液氧、液氮的生产、氩气、工业二氧化碳的充装所涉及场所的相关职业健康安全管理活动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595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