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0466-2022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浙江埃茨阀门科技有限公司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2398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