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土木方达（浙江）建筑科技有限公司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21508-2025-QEO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浙江省杭州市西湖区西城纪商务大厦2号楼1203-1室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浙江省杭州市上城区世包国际中心西塔楼805室</w:t>
            </w:r>
          </w:p>
          <w:p w:rsidR="00E12FF5">
            <w:r>
              <w:rPr>
                <w:rFonts w:hint="eastAsia"/>
                <w:sz w:val="21"/>
                <w:szCs w:val="21"/>
              </w:rPr>
              <w:t>上塘单元FG08-R21-38A(原拱宸桥单元 FG08-R21-38A)地块拆迁安置房设计-采 购-施工(EPC)总承包项目 浙江省杭州市拱墅区嘉兴东路48号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余文静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18969182066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13023667963@163.com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2025年10月16日 08:30至2025年10月17日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E:安全生产风险管理技术服务所涉及场所的相关环境管理活动</w:t>
            </w:r>
          </w:p>
          <w:p>
            <w:pPr>
              <w:tabs>
                <w:tab w:val="left" w:pos="0"/>
              </w:tabs>
              <w:jc w:val="left"/>
              <w:rPr>
                <w:rFonts w:hint="eastAsia"/>
                <w:sz w:val="21"/>
                <w:szCs w:val="21"/>
              </w:rPr>
            </w:pPr>
            <w:r>
              <w:rPr>
                <w:rFonts w:hint="eastAsia"/>
                <w:sz w:val="21"/>
                <w:szCs w:val="21"/>
              </w:rPr>
              <w:t>Q:安全生产风险管理技术服务</w:t>
            </w:r>
          </w:p>
          <w:p>
            <w:pPr>
              <w:tabs>
                <w:tab w:val="left" w:pos="0"/>
              </w:tabs>
              <w:jc w:val="left"/>
              <w:rPr>
                <w:rFonts w:hint="eastAsia"/>
                <w:sz w:val="21"/>
                <w:szCs w:val="21"/>
              </w:rPr>
            </w:pPr>
            <w:r>
              <w:rPr>
                <w:rFonts w:hint="eastAsia"/>
                <w:sz w:val="21"/>
                <w:szCs w:val="21"/>
              </w:rPr>
              <w:t>O:安全生产风险管理技术服务所涉及场所的相关职业健康安全管理活动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E:34.01.02,Q:34.01.02,O:34.01.02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杨建冬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2025-N1EMS-1515313</w:t>
            </w:r>
          </w:p>
        </w:tc>
        <w:tc>
          <w:tcPr>
            <w:tcW w:w="3684" w:type="dxa"/>
            <w:gridSpan w:val="9"/>
            <w:vAlign w:val="center"/>
          </w:tcPr>
          <w:p w:rsidR="00E12FF5">
            <w:pPr>
              <w:jc w:val="center"/>
              <w:rPr>
                <w:sz w:val="21"/>
                <w:szCs w:val="21"/>
              </w:rPr>
            </w:pPr>
            <w:r>
              <w:t>34.01.02</w:t>
            </w:r>
          </w:p>
        </w:tc>
        <w:tc>
          <w:tcPr>
            <w:tcW w:w="1560" w:type="dxa"/>
            <w:gridSpan w:val="2"/>
            <w:vAlign w:val="center"/>
          </w:tcPr>
          <w:p w:rsidR="00E12FF5">
            <w:pPr>
              <w:jc w:val="center"/>
              <w:rPr>
                <w:sz w:val="21"/>
                <w:szCs w:val="21"/>
              </w:rPr>
            </w:pPr>
            <w:bookmarkStart w:id="11" w:name="_GoBack"/>
            <w:bookmarkEnd w:id="11"/>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34.01.02</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34.01.02</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2022-N1EMS-2247783</w:t>
            </w:r>
          </w:p>
        </w:tc>
        <w:tc>
          <w:tcPr>
            <w:tcW w:w="3684" w:type="dxa"/>
            <w:gridSpan w:val="9"/>
            <w:vAlign w:val="center"/>
          </w:tcPr>
          <w:p>
            <w:pPr>
              <w:jc w:val="center"/>
            </w:pPr>
            <w:r>
              <w:t>34.01.02</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2023-N1QMS-2247783</w:t>
            </w:r>
          </w:p>
        </w:tc>
        <w:tc>
          <w:tcPr>
            <w:tcW w:w="3684" w:type="dxa"/>
            <w:gridSpan w:val="9"/>
            <w:vAlign w:val="center"/>
          </w:tcPr>
          <w:p>
            <w:pPr>
              <w:jc w:val="center"/>
            </w:pPr>
            <w:r>
              <w:t>34.01.02</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2024-N1OHSMS-2247783</w:t>
            </w:r>
          </w:p>
        </w:tc>
        <w:tc>
          <w:tcPr>
            <w:tcW w:w="3684" w:type="dxa"/>
            <w:gridSpan w:val="9"/>
            <w:vAlign w:val="center"/>
          </w:tcPr>
          <w:p>
            <w:pPr>
              <w:jc w:val="center"/>
            </w:pPr>
            <w:r>
              <w:t>34.01.02</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7470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876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