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0115-2017</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大庆市鑫路钻采设备有限公司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黑龙江省大庆市让胡路区乘风庄乘风大街297号-A北3号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黑龙江省大庆市让胡路区大庆经发建设投资集团有限公司标准工业厂房A3</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MMS：监督第4次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MMS:紧固件、毛毡的生产、加工及销售；连续油管成套设备修理；抽油杆修理；金属表面处理及热处理加工。</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2022-03-28</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