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9CD5A">
      <w:pPr>
        <w:tabs>
          <w:tab w:val="left" w:pos="7380"/>
        </w:tabs>
        <w:jc w:val="center"/>
        <w:rPr>
          <w:rFonts w:ascii="宋体" w:hAnsi="宋体"/>
          <w:b/>
          <w:sz w:val="44"/>
          <w:szCs w:val="44"/>
        </w:rPr>
      </w:pPr>
      <w:r>
        <w:rPr>
          <w:rFonts w:hint="eastAsia" w:ascii="宋体" w:hAnsi="宋体"/>
          <w:b/>
          <w:sz w:val="44"/>
          <w:szCs w:val="44"/>
        </w:rPr>
        <w:t>现场审核记录表</w:t>
      </w:r>
    </w:p>
    <w:p w14:paraId="1CB50616">
      <w:pPr>
        <w:tabs>
          <w:tab w:val="left" w:pos="7380"/>
        </w:tabs>
        <w:ind w:firstLine="1084"/>
        <w:rPr>
          <w:rFonts w:ascii="宋体" w:hAnsi="宋体"/>
          <w:b/>
          <w:sz w:val="24"/>
        </w:rPr>
      </w:pPr>
    </w:p>
    <w:p w14:paraId="139AB2BE">
      <w:pPr>
        <w:tabs>
          <w:tab w:val="left" w:pos="7380"/>
        </w:tabs>
        <w:spacing w:line="276" w:lineRule="auto"/>
        <w:rPr>
          <w:rFonts w:ascii="宋体" w:hAnsi="宋体"/>
          <w:bCs/>
          <w:szCs w:val="21"/>
        </w:rPr>
      </w:pPr>
      <w:r>
        <w:rPr>
          <w:rFonts w:hint="eastAsia" w:ascii="宋体" w:hAnsi="宋体"/>
          <w:bCs/>
          <w:szCs w:val="21"/>
        </w:rPr>
        <w:t>组织名称：</w:t>
      </w:r>
      <w:bookmarkStart w:id="0" w:name="组织名称"/>
      <w:r>
        <w:rPr>
          <w:rFonts w:ascii="宋体" w:hAnsi="宋体"/>
          <w:bCs/>
          <w:szCs w:val="21"/>
        </w:rPr>
        <w:t>浙江尖峰健康科技有限公司</w:t>
      </w:r>
      <w:bookmarkEnd w:id="0"/>
    </w:p>
    <w:p w14:paraId="5831CDA2">
      <w:pPr>
        <w:tabs>
          <w:tab w:val="left" w:pos="7380"/>
        </w:tabs>
        <w:spacing w:line="276" w:lineRule="auto"/>
        <w:rPr>
          <w:rFonts w:ascii="宋体" w:hAnsi="宋体" w:cs="Arial"/>
          <w:bCs/>
          <w:szCs w:val="21"/>
        </w:rPr>
      </w:pPr>
      <w:r>
        <w:rPr>
          <w:rFonts w:hint="eastAsia" w:ascii="宋体" w:hAnsi="宋体" w:cs="Arial"/>
          <w:bCs/>
          <w:szCs w:val="21"/>
        </w:rPr>
        <w:t xml:space="preserve">审核类型： </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bCs/>
          <w:szCs w:val="21"/>
        </w:rPr>
        <w:t xml:space="preserve"> 一阶段       </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bCs/>
          <w:szCs w:val="21"/>
        </w:rPr>
        <w:t xml:space="preserve">二阶段      </w:t>
      </w:r>
      <w:r>
        <w:rPr>
          <w:rFonts w:hint="eastAsia" w:ascii="宋体" w:hAnsi="宋体"/>
          <w:bCs/>
          <w:szCs w:val="21"/>
        </w:rPr>
        <w:sym w:font="Wingdings 2" w:char="00A3"/>
      </w:r>
      <w:r>
        <w:rPr>
          <w:rFonts w:hint="eastAsia" w:ascii="宋体" w:hAnsi="宋体"/>
          <w:bCs/>
          <w:szCs w:val="21"/>
        </w:rPr>
        <w:t>第</w:t>
      </w:r>
      <w:r>
        <w:rPr>
          <w:rFonts w:hint="eastAsia" w:ascii="宋体" w:hAnsi="宋体"/>
          <w:bCs/>
          <w:szCs w:val="21"/>
          <w:lang w:val="en-US" w:eastAsia="zh-CN"/>
        </w:rPr>
        <w:t xml:space="preserve">  </w:t>
      </w:r>
      <w:r>
        <w:rPr>
          <w:rFonts w:hint="eastAsia" w:ascii="宋体" w:hAnsi="宋体"/>
          <w:bCs/>
          <w:szCs w:val="21"/>
        </w:rPr>
        <w:t xml:space="preserve">次监督     </w:t>
      </w:r>
      <w:r>
        <w:rPr>
          <w:rFonts w:hint="eastAsia" w:ascii="宋体" w:hAnsi="宋体"/>
          <w:bCs/>
          <w:szCs w:val="21"/>
        </w:rPr>
        <w:sym w:font="Wingdings 2" w:char="0052"/>
      </w:r>
      <w:r>
        <w:rPr>
          <w:rFonts w:hint="eastAsia" w:ascii="宋体" w:hAnsi="宋体"/>
          <w:bCs/>
          <w:szCs w:val="21"/>
        </w:rPr>
        <w:t xml:space="preserve">再认证 </w:t>
      </w:r>
      <w:r>
        <w:rPr>
          <w:rFonts w:hint="eastAsia" w:ascii="宋体" w:hAnsi="宋体"/>
          <w:bCs/>
          <w:szCs w:val="21"/>
          <w:lang w:val="en-US" w:eastAsia="zh-CN"/>
        </w:rPr>
        <w:t xml:space="preserve">  </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bCs/>
          <w:szCs w:val="21"/>
        </w:rPr>
        <w:t>其他（</w:t>
      </w:r>
      <w:r>
        <w:rPr>
          <w:rFonts w:hint="eastAsia" w:ascii="宋体" w:hAnsi="宋体"/>
          <w:bCs/>
          <w:szCs w:val="21"/>
        </w:rPr>
        <w:sym w:font="Wingdings 2" w:char="00A3"/>
      </w:r>
      <w:r>
        <w:rPr>
          <w:rFonts w:hint="eastAsia" w:ascii="宋体" w:hAnsi="宋体"/>
          <w:bCs/>
          <w:szCs w:val="21"/>
        </w:rPr>
        <w:t>扩大、</w:t>
      </w:r>
      <w:r>
        <w:rPr>
          <w:rFonts w:hint="eastAsia" w:ascii="宋体" w:hAnsi="宋体"/>
          <w:bCs/>
          <w:szCs w:val="21"/>
        </w:rPr>
        <w:sym w:font="Wingdings 2" w:char="00A3"/>
      </w:r>
      <w:r>
        <w:rPr>
          <w:rFonts w:hint="eastAsia" w:ascii="宋体" w:hAnsi="宋体"/>
          <w:bCs/>
          <w:szCs w:val="21"/>
        </w:rPr>
        <w:t>暂停恢复、</w:t>
      </w:r>
      <w:r>
        <w:rPr>
          <w:rFonts w:hint="eastAsia" w:ascii="宋体" w:hAnsi="宋体"/>
          <w:bCs/>
          <w:szCs w:val="21"/>
        </w:rPr>
        <w:sym w:font="Wingdings 2" w:char="00A3"/>
      </w:r>
      <w:r>
        <w:rPr>
          <w:rFonts w:hint="eastAsia" w:ascii="宋体" w:hAnsi="宋体"/>
          <w:bCs/>
          <w:szCs w:val="21"/>
        </w:rPr>
        <w:t>补充审核）</w:t>
      </w:r>
    </w:p>
    <w:p w14:paraId="0E13CF9B">
      <w:pPr>
        <w:spacing w:line="360" w:lineRule="auto"/>
        <w:jc w:val="left"/>
        <w:rPr>
          <w:rFonts w:hint="eastAsia" w:ascii="宋体" w:hAnsi="宋体" w:eastAsia="宋体" w:cs="Arial"/>
          <w:bCs/>
          <w:szCs w:val="21"/>
          <w:lang w:val="en-US" w:eastAsia="zh-CN"/>
        </w:rPr>
      </w:pPr>
      <w:r>
        <w:rPr>
          <w:rFonts w:hint="eastAsia" w:ascii="宋体" w:hAnsi="宋体"/>
          <w:bCs/>
          <w:szCs w:val="21"/>
        </w:rPr>
        <w:t>审核组长：张磊              组员：</w:t>
      </w:r>
      <w:bookmarkStart w:id="1" w:name="审核组成员不含组长"/>
      <w:bookmarkEnd w:id="1"/>
      <w:r>
        <w:t>蒋建峰</w:t>
      </w:r>
      <w:r>
        <w:rPr>
          <w:rFonts w:hint="eastAsia"/>
          <w:lang w:eastAsia="zh-CN"/>
        </w:rPr>
        <w:t>、</w:t>
      </w:r>
      <w:r>
        <w:t>王宗收</w:t>
      </w:r>
    </w:p>
    <w:p w14:paraId="7409D5B8">
      <w:pPr>
        <w:spacing w:line="360" w:lineRule="auto"/>
        <w:jc w:val="left"/>
        <w:rPr>
          <w:rFonts w:ascii="宋体" w:hAnsi="宋体"/>
          <w:bCs/>
          <w:szCs w:val="21"/>
        </w:rPr>
      </w:pPr>
      <w:r>
        <w:rPr>
          <w:rFonts w:hint="eastAsia" w:ascii="宋体" w:hAnsi="宋体"/>
          <w:bCs/>
          <w:szCs w:val="21"/>
        </w:rPr>
        <w:t xml:space="preserve">审核日期： </w:t>
      </w:r>
      <w:bookmarkStart w:id="2" w:name="审核日期"/>
      <w:r>
        <w:rPr>
          <w:rFonts w:hint="eastAsia" w:ascii="宋体" w:hAnsi="宋体"/>
          <w:bCs/>
          <w:szCs w:val="21"/>
        </w:rPr>
        <w:t>2024年05月07日上午至2024年05月09日下午</w:t>
      </w:r>
      <w:bookmarkEnd w:id="2"/>
    </w:p>
    <w:p w14:paraId="5F36A366">
      <w:pPr>
        <w:pStyle w:val="2"/>
        <w:spacing w:line="276" w:lineRule="auto"/>
        <w:rPr>
          <w:szCs w:val="21"/>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2530"/>
        <w:gridCol w:w="2700"/>
        <w:gridCol w:w="1440"/>
        <w:gridCol w:w="1080"/>
      </w:tblGrid>
      <w:tr w14:paraId="44908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1F493F8E">
            <w:pPr>
              <w:spacing w:line="276" w:lineRule="auto"/>
              <w:jc w:val="center"/>
              <w:rPr>
                <w:rFonts w:ascii="宋体" w:hAnsi="宋体"/>
                <w:bCs/>
                <w:szCs w:val="21"/>
              </w:rPr>
            </w:pPr>
            <w:r>
              <w:rPr>
                <w:rFonts w:hint="eastAsia" w:ascii="宋体" w:hAnsi="宋体"/>
                <w:bCs/>
                <w:szCs w:val="21"/>
              </w:rPr>
              <w:t>序号</w:t>
            </w:r>
          </w:p>
        </w:tc>
        <w:tc>
          <w:tcPr>
            <w:tcW w:w="2530" w:type="dxa"/>
            <w:vAlign w:val="center"/>
          </w:tcPr>
          <w:p w14:paraId="12581F56">
            <w:pPr>
              <w:spacing w:line="276" w:lineRule="auto"/>
              <w:jc w:val="center"/>
              <w:rPr>
                <w:rFonts w:ascii="宋体" w:hAnsi="宋体"/>
                <w:bCs/>
                <w:szCs w:val="21"/>
              </w:rPr>
            </w:pPr>
            <w:r>
              <w:rPr>
                <w:rFonts w:hint="eastAsia" w:ascii="宋体" w:hAnsi="宋体"/>
                <w:bCs/>
                <w:szCs w:val="21"/>
              </w:rPr>
              <w:t>涉及部门</w:t>
            </w:r>
          </w:p>
        </w:tc>
        <w:tc>
          <w:tcPr>
            <w:tcW w:w="2700" w:type="dxa"/>
            <w:vAlign w:val="center"/>
          </w:tcPr>
          <w:p w14:paraId="5DB92C0E">
            <w:pPr>
              <w:spacing w:line="276" w:lineRule="auto"/>
              <w:jc w:val="center"/>
              <w:rPr>
                <w:rFonts w:ascii="宋体" w:hAnsi="宋体"/>
                <w:bCs/>
                <w:szCs w:val="21"/>
              </w:rPr>
            </w:pPr>
            <w:r>
              <w:rPr>
                <w:rFonts w:hint="eastAsia" w:ascii="宋体" w:hAnsi="宋体"/>
                <w:bCs/>
                <w:szCs w:val="21"/>
              </w:rPr>
              <w:t>审核员/专家</w:t>
            </w:r>
          </w:p>
        </w:tc>
        <w:tc>
          <w:tcPr>
            <w:tcW w:w="1440" w:type="dxa"/>
            <w:vAlign w:val="center"/>
          </w:tcPr>
          <w:p w14:paraId="1D4B609C">
            <w:pPr>
              <w:spacing w:line="276" w:lineRule="auto"/>
              <w:jc w:val="center"/>
              <w:rPr>
                <w:rFonts w:ascii="宋体" w:hAnsi="宋体"/>
                <w:bCs/>
                <w:szCs w:val="21"/>
              </w:rPr>
            </w:pPr>
            <w:r>
              <w:rPr>
                <w:rFonts w:hint="eastAsia" w:ascii="宋体" w:hAnsi="宋体"/>
                <w:bCs/>
                <w:szCs w:val="21"/>
              </w:rPr>
              <w:t>页数</w:t>
            </w:r>
          </w:p>
        </w:tc>
        <w:tc>
          <w:tcPr>
            <w:tcW w:w="1080" w:type="dxa"/>
            <w:vAlign w:val="center"/>
          </w:tcPr>
          <w:p w14:paraId="6DAE9E52">
            <w:pPr>
              <w:spacing w:line="276" w:lineRule="auto"/>
              <w:jc w:val="center"/>
              <w:rPr>
                <w:rFonts w:ascii="宋体" w:hAnsi="宋体"/>
                <w:bCs/>
                <w:szCs w:val="21"/>
              </w:rPr>
            </w:pPr>
            <w:r>
              <w:rPr>
                <w:rFonts w:hint="eastAsia" w:ascii="宋体" w:hAnsi="宋体"/>
                <w:bCs/>
                <w:szCs w:val="21"/>
              </w:rPr>
              <w:t>备注</w:t>
            </w:r>
          </w:p>
        </w:tc>
      </w:tr>
      <w:tr w14:paraId="1F298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35CB345C">
            <w:pPr>
              <w:spacing w:line="276" w:lineRule="auto"/>
              <w:jc w:val="center"/>
              <w:rPr>
                <w:rFonts w:ascii="宋体" w:hAnsi="宋体"/>
                <w:bCs/>
                <w:szCs w:val="21"/>
              </w:rPr>
            </w:pPr>
            <w:r>
              <w:rPr>
                <w:rFonts w:hint="eastAsia" w:ascii="宋体" w:hAnsi="宋体"/>
                <w:bCs/>
                <w:szCs w:val="21"/>
              </w:rPr>
              <w:t>01</w:t>
            </w:r>
          </w:p>
        </w:tc>
        <w:tc>
          <w:tcPr>
            <w:tcW w:w="2530" w:type="dxa"/>
            <w:vAlign w:val="center"/>
          </w:tcPr>
          <w:p w14:paraId="494AB5B0">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综合部</w:t>
            </w:r>
          </w:p>
        </w:tc>
        <w:tc>
          <w:tcPr>
            <w:tcW w:w="2700" w:type="dxa"/>
            <w:vAlign w:val="center"/>
          </w:tcPr>
          <w:p w14:paraId="404E570E">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张磊</w:t>
            </w:r>
          </w:p>
        </w:tc>
        <w:tc>
          <w:tcPr>
            <w:tcW w:w="1440" w:type="dxa"/>
            <w:vAlign w:val="center"/>
          </w:tcPr>
          <w:p w14:paraId="24FE0F4D">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3-12</w:t>
            </w:r>
          </w:p>
        </w:tc>
        <w:tc>
          <w:tcPr>
            <w:tcW w:w="1080" w:type="dxa"/>
            <w:vAlign w:val="center"/>
          </w:tcPr>
          <w:p w14:paraId="67319309">
            <w:pPr>
              <w:spacing w:line="276" w:lineRule="auto"/>
              <w:jc w:val="center"/>
              <w:rPr>
                <w:rFonts w:ascii="宋体" w:hAnsi="宋体"/>
                <w:bCs/>
                <w:szCs w:val="21"/>
              </w:rPr>
            </w:pPr>
          </w:p>
        </w:tc>
      </w:tr>
      <w:tr w14:paraId="07782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325FC8DC">
            <w:pPr>
              <w:spacing w:line="276" w:lineRule="auto"/>
              <w:jc w:val="center"/>
              <w:rPr>
                <w:rFonts w:ascii="宋体" w:hAnsi="宋体"/>
                <w:bCs/>
                <w:szCs w:val="21"/>
              </w:rPr>
            </w:pPr>
            <w:r>
              <w:rPr>
                <w:rFonts w:hint="eastAsia" w:ascii="宋体" w:hAnsi="宋体"/>
                <w:bCs/>
                <w:szCs w:val="21"/>
              </w:rPr>
              <w:t>02</w:t>
            </w:r>
          </w:p>
        </w:tc>
        <w:tc>
          <w:tcPr>
            <w:tcW w:w="2530" w:type="dxa"/>
            <w:vAlign w:val="center"/>
          </w:tcPr>
          <w:p w14:paraId="6D17EA4E">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生产部</w:t>
            </w:r>
          </w:p>
        </w:tc>
        <w:tc>
          <w:tcPr>
            <w:tcW w:w="2700" w:type="dxa"/>
            <w:vAlign w:val="center"/>
          </w:tcPr>
          <w:p w14:paraId="74829425">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张磊</w:t>
            </w:r>
          </w:p>
        </w:tc>
        <w:tc>
          <w:tcPr>
            <w:tcW w:w="1440" w:type="dxa"/>
            <w:vAlign w:val="center"/>
          </w:tcPr>
          <w:p w14:paraId="38848336">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13-16</w:t>
            </w:r>
          </w:p>
        </w:tc>
        <w:tc>
          <w:tcPr>
            <w:tcW w:w="1080" w:type="dxa"/>
            <w:vAlign w:val="center"/>
          </w:tcPr>
          <w:p w14:paraId="29CEF4EA">
            <w:pPr>
              <w:spacing w:line="276" w:lineRule="auto"/>
              <w:jc w:val="center"/>
              <w:rPr>
                <w:rFonts w:ascii="宋体" w:hAnsi="宋体"/>
                <w:bCs/>
                <w:szCs w:val="21"/>
              </w:rPr>
            </w:pPr>
          </w:p>
        </w:tc>
      </w:tr>
      <w:tr w14:paraId="64061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13517F93">
            <w:pPr>
              <w:spacing w:line="276" w:lineRule="auto"/>
              <w:jc w:val="center"/>
              <w:rPr>
                <w:rFonts w:ascii="宋体" w:hAnsi="宋体"/>
                <w:bCs/>
                <w:szCs w:val="21"/>
              </w:rPr>
            </w:pPr>
            <w:r>
              <w:rPr>
                <w:rFonts w:hint="eastAsia" w:ascii="宋体" w:hAnsi="宋体"/>
                <w:bCs/>
                <w:szCs w:val="21"/>
              </w:rPr>
              <w:t>03</w:t>
            </w:r>
          </w:p>
        </w:tc>
        <w:tc>
          <w:tcPr>
            <w:tcW w:w="2530" w:type="dxa"/>
            <w:vAlign w:val="center"/>
          </w:tcPr>
          <w:p w14:paraId="591A7A0C">
            <w:pPr>
              <w:spacing w:line="276" w:lineRule="auto"/>
              <w:jc w:val="center"/>
              <w:rPr>
                <w:rFonts w:hint="eastAsia" w:ascii="宋体" w:hAnsi="宋体" w:eastAsia="宋体"/>
                <w:bCs/>
                <w:szCs w:val="21"/>
                <w:lang w:val="en-US" w:eastAsia="zh-CN"/>
              </w:rPr>
            </w:pPr>
          </w:p>
        </w:tc>
        <w:tc>
          <w:tcPr>
            <w:tcW w:w="2700" w:type="dxa"/>
            <w:vAlign w:val="center"/>
          </w:tcPr>
          <w:p w14:paraId="095D8066">
            <w:pPr>
              <w:spacing w:line="276" w:lineRule="auto"/>
              <w:jc w:val="center"/>
              <w:rPr>
                <w:rFonts w:ascii="宋体" w:hAnsi="宋体"/>
                <w:bCs/>
                <w:szCs w:val="21"/>
              </w:rPr>
            </w:pPr>
          </w:p>
        </w:tc>
        <w:tc>
          <w:tcPr>
            <w:tcW w:w="1440" w:type="dxa"/>
            <w:vAlign w:val="center"/>
          </w:tcPr>
          <w:p w14:paraId="79A17D3F">
            <w:pPr>
              <w:spacing w:line="276" w:lineRule="auto"/>
              <w:jc w:val="center"/>
              <w:rPr>
                <w:rFonts w:hint="default" w:ascii="宋体" w:hAnsi="宋体" w:eastAsia="宋体"/>
                <w:bCs/>
                <w:szCs w:val="21"/>
                <w:lang w:val="en-US" w:eastAsia="zh-CN"/>
              </w:rPr>
            </w:pPr>
          </w:p>
        </w:tc>
        <w:tc>
          <w:tcPr>
            <w:tcW w:w="1080" w:type="dxa"/>
            <w:vAlign w:val="center"/>
          </w:tcPr>
          <w:p w14:paraId="3BCE9E18">
            <w:pPr>
              <w:spacing w:line="276" w:lineRule="auto"/>
              <w:jc w:val="center"/>
              <w:rPr>
                <w:rFonts w:ascii="宋体" w:hAnsi="宋体"/>
                <w:bCs/>
                <w:szCs w:val="21"/>
              </w:rPr>
            </w:pPr>
          </w:p>
        </w:tc>
      </w:tr>
      <w:tr w14:paraId="44D4D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5571E5DA">
            <w:pPr>
              <w:spacing w:line="276" w:lineRule="auto"/>
              <w:jc w:val="center"/>
              <w:rPr>
                <w:rFonts w:ascii="宋体" w:hAnsi="宋体"/>
                <w:bCs/>
                <w:szCs w:val="21"/>
              </w:rPr>
            </w:pPr>
            <w:r>
              <w:rPr>
                <w:rFonts w:hint="eastAsia" w:ascii="宋体" w:hAnsi="宋体"/>
                <w:bCs/>
                <w:szCs w:val="21"/>
              </w:rPr>
              <w:t>04</w:t>
            </w:r>
          </w:p>
        </w:tc>
        <w:tc>
          <w:tcPr>
            <w:tcW w:w="2530" w:type="dxa"/>
            <w:vAlign w:val="center"/>
          </w:tcPr>
          <w:p w14:paraId="48594823">
            <w:pPr>
              <w:spacing w:line="276" w:lineRule="auto"/>
              <w:jc w:val="center"/>
              <w:rPr>
                <w:rFonts w:hint="eastAsia" w:ascii="宋体" w:hAnsi="宋体" w:eastAsia="宋体"/>
                <w:bCs/>
                <w:szCs w:val="21"/>
                <w:lang w:val="en-US" w:eastAsia="zh-CN"/>
              </w:rPr>
            </w:pPr>
          </w:p>
        </w:tc>
        <w:tc>
          <w:tcPr>
            <w:tcW w:w="2700" w:type="dxa"/>
            <w:vAlign w:val="center"/>
          </w:tcPr>
          <w:p w14:paraId="3E6CA34B">
            <w:pPr>
              <w:spacing w:line="276" w:lineRule="auto"/>
              <w:jc w:val="center"/>
              <w:rPr>
                <w:rFonts w:ascii="宋体" w:hAnsi="宋体"/>
                <w:bCs/>
                <w:szCs w:val="21"/>
              </w:rPr>
            </w:pPr>
          </w:p>
        </w:tc>
        <w:tc>
          <w:tcPr>
            <w:tcW w:w="1440" w:type="dxa"/>
            <w:vAlign w:val="center"/>
          </w:tcPr>
          <w:p w14:paraId="75527A2F">
            <w:pPr>
              <w:spacing w:line="276" w:lineRule="auto"/>
              <w:jc w:val="center"/>
              <w:rPr>
                <w:rFonts w:hint="eastAsia" w:ascii="宋体" w:hAnsi="宋体" w:eastAsia="宋体"/>
                <w:bCs/>
                <w:szCs w:val="21"/>
                <w:lang w:eastAsia="zh-CN"/>
              </w:rPr>
            </w:pPr>
          </w:p>
        </w:tc>
        <w:tc>
          <w:tcPr>
            <w:tcW w:w="1080" w:type="dxa"/>
            <w:vAlign w:val="center"/>
          </w:tcPr>
          <w:p w14:paraId="65B08B7C">
            <w:pPr>
              <w:spacing w:line="276" w:lineRule="auto"/>
              <w:jc w:val="center"/>
              <w:rPr>
                <w:rFonts w:ascii="宋体" w:hAnsi="宋体"/>
                <w:bCs/>
                <w:szCs w:val="21"/>
              </w:rPr>
            </w:pPr>
          </w:p>
        </w:tc>
      </w:tr>
      <w:tr w14:paraId="4ACB7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3D9932E0">
            <w:pPr>
              <w:spacing w:line="276" w:lineRule="auto"/>
              <w:jc w:val="center"/>
              <w:rPr>
                <w:rFonts w:ascii="宋体" w:hAnsi="宋体"/>
                <w:bCs/>
                <w:szCs w:val="21"/>
              </w:rPr>
            </w:pPr>
            <w:r>
              <w:rPr>
                <w:rFonts w:hint="eastAsia" w:ascii="宋体" w:hAnsi="宋体"/>
                <w:bCs/>
                <w:szCs w:val="21"/>
              </w:rPr>
              <w:t>05</w:t>
            </w:r>
          </w:p>
        </w:tc>
        <w:tc>
          <w:tcPr>
            <w:tcW w:w="2530" w:type="dxa"/>
            <w:vAlign w:val="center"/>
          </w:tcPr>
          <w:p w14:paraId="6F3E926F">
            <w:pPr>
              <w:spacing w:line="276" w:lineRule="auto"/>
              <w:jc w:val="center"/>
              <w:rPr>
                <w:rFonts w:hint="default" w:ascii="宋体" w:hAnsi="宋体" w:eastAsia="宋体"/>
                <w:bCs/>
                <w:szCs w:val="21"/>
                <w:lang w:val="en-US" w:eastAsia="zh-CN"/>
              </w:rPr>
            </w:pPr>
          </w:p>
        </w:tc>
        <w:tc>
          <w:tcPr>
            <w:tcW w:w="2700" w:type="dxa"/>
            <w:vAlign w:val="center"/>
          </w:tcPr>
          <w:p w14:paraId="49FB64A5">
            <w:pPr>
              <w:spacing w:line="276" w:lineRule="auto"/>
              <w:jc w:val="center"/>
              <w:rPr>
                <w:rFonts w:ascii="宋体" w:hAnsi="宋体"/>
                <w:bCs/>
                <w:szCs w:val="21"/>
              </w:rPr>
            </w:pPr>
          </w:p>
        </w:tc>
        <w:tc>
          <w:tcPr>
            <w:tcW w:w="1440" w:type="dxa"/>
            <w:vAlign w:val="center"/>
          </w:tcPr>
          <w:p w14:paraId="6F9F21CC">
            <w:pPr>
              <w:spacing w:line="276" w:lineRule="auto"/>
              <w:jc w:val="center"/>
              <w:rPr>
                <w:rFonts w:hint="eastAsia" w:ascii="宋体" w:hAnsi="宋体" w:eastAsia="宋体"/>
                <w:bCs/>
                <w:szCs w:val="21"/>
                <w:lang w:eastAsia="zh-CN"/>
              </w:rPr>
            </w:pPr>
          </w:p>
        </w:tc>
        <w:tc>
          <w:tcPr>
            <w:tcW w:w="1080" w:type="dxa"/>
            <w:vAlign w:val="center"/>
          </w:tcPr>
          <w:p w14:paraId="7C37AB31">
            <w:pPr>
              <w:spacing w:line="276" w:lineRule="auto"/>
              <w:jc w:val="center"/>
              <w:rPr>
                <w:rFonts w:ascii="宋体" w:hAnsi="宋体"/>
                <w:bCs/>
                <w:szCs w:val="21"/>
              </w:rPr>
            </w:pPr>
          </w:p>
        </w:tc>
      </w:tr>
      <w:tr w14:paraId="38E4E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0E3171B8">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06</w:t>
            </w:r>
          </w:p>
        </w:tc>
        <w:tc>
          <w:tcPr>
            <w:tcW w:w="2530" w:type="dxa"/>
            <w:vAlign w:val="center"/>
          </w:tcPr>
          <w:p w14:paraId="5BC3CE04">
            <w:pPr>
              <w:spacing w:line="276" w:lineRule="auto"/>
              <w:jc w:val="center"/>
              <w:rPr>
                <w:rFonts w:hint="default" w:ascii="宋体" w:hAnsi="宋体"/>
                <w:bCs/>
                <w:szCs w:val="21"/>
                <w:lang w:val="en-US" w:eastAsia="zh-CN"/>
              </w:rPr>
            </w:pPr>
          </w:p>
        </w:tc>
        <w:tc>
          <w:tcPr>
            <w:tcW w:w="2700" w:type="dxa"/>
            <w:vAlign w:val="center"/>
          </w:tcPr>
          <w:p w14:paraId="7ABE3C95">
            <w:pPr>
              <w:spacing w:line="276" w:lineRule="auto"/>
              <w:jc w:val="center"/>
              <w:rPr>
                <w:rFonts w:ascii="宋体" w:hAnsi="宋体"/>
                <w:bCs/>
                <w:szCs w:val="21"/>
              </w:rPr>
            </w:pPr>
          </w:p>
        </w:tc>
        <w:tc>
          <w:tcPr>
            <w:tcW w:w="1440" w:type="dxa"/>
            <w:vAlign w:val="center"/>
          </w:tcPr>
          <w:p w14:paraId="61A7C132">
            <w:pPr>
              <w:spacing w:line="276" w:lineRule="auto"/>
              <w:jc w:val="center"/>
              <w:rPr>
                <w:rFonts w:hint="eastAsia" w:ascii="宋体" w:hAnsi="宋体" w:eastAsia="宋体"/>
                <w:bCs/>
                <w:szCs w:val="21"/>
                <w:lang w:eastAsia="zh-CN"/>
              </w:rPr>
            </w:pPr>
          </w:p>
        </w:tc>
        <w:tc>
          <w:tcPr>
            <w:tcW w:w="1080" w:type="dxa"/>
            <w:vAlign w:val="center"/>
          </w:tcPr>
          <w:p w14:paraId="6E7D025A">
            <w:pPr>
              <w:spacing w:line="276" w:lineRule="auto"/>
              <w:jc w:val="center"/>
              <w:rPr>
                <w:rFonts w:ascii="宋体" w:hAnsi="宋体"/>
                <w:bCs/>
                <w:szCs w:val="21"/>
              </w:rPr>
            </w:pPr>
          </w:p>
        </w:tc>
      </w:tr>
      <w:tr w14:paraId="36D68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14:paraId="2AF6968F">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07</w:t>
            </w:r>
          </w:p>
        </w:tc>
        <w:tc>
          <w:tcPr>
            <w:tcW w:w="2530" w:type="dxa"/>
            <w:vAlign w:val="center"/>
          </w:tcPr>
          <w:p w14:paraId="4354D0B8">
            <w:pPr>
              <w:spacing w:line="276" w:lineRule="auto"/>
              <w:jc w:val="center"/>
              <w:rPr>
                <w:rFonts w:hint="default" w:ascii="宋体" w:hAnsi="宋体"/>
                <w:bCs/>
                <w:szCs w:val="21"/>
                <w:lang w:val="en-US" w:eastAsia="zh-CN"/>
              </w:rPr>
            </w:pPr>
          </w:p>
        </w:tc>
        <w:tc>
          <w:tcPr>
            <w:tcW w:w="2700" w:type="dxa"/>
            <w:vAlign w:val="center"/>
          </w:tcPr>
          <w:p w14:paraId="0E4C3191">
            <w:pPr>
              <w:spacing w:line="276" w:lineRule="auto"/>
              <w:jc w:val="center"/>
              <w:rPr>
                <w:rFonts w:ascii="宋体" w:hAnsi="宋体"/>
                <w:bCs/>
                <w:szCs w:val="21"/>
              </w:rPr>
            </w:pPr>
          </w:p>
        </w:tc>
        <w:tc>
          <w:tcPr>
            <w:tcW w:w="1440" w:type="dxa"/>
            <w:vAlign w:val="center"/>
          </w:tcPr>
          <w:p w14:paraId="49E6AEA7">
            <w:pPr>
              <w:spacing w:line="276" w:lineRule="auto"/>
              <w:jc w:val="center"/>
              <w:rPr>
                <w:rFonts w:hint="eastAsia" w:ascii="宋体" w:hAnsi="宋体" w:eastAsia="宋体"/>
                <w:bCs/>
                <w:szCs w:val="21"/>
                <w:lang w:eastAsia="zh-CN"/>
              </w:rPr>
            </w:pPr>
          </w:p>
        </w:tc>
        <w:tc>
          <w:tcPr>
            <w:tcW w:w="1080" w:type="dxa"/>
            <w:vAlign w:val="center"/>
          </w:tcPr>
          <w:p w14:paraId="1696250A">
            <w:pPr>
              <w:spacing w:line="276" w:lineRule="auto"/>
              <w:jc w:val="center"/>
              <w:rPr>
                <w:rFonts w:ascii="宋体" w:hAnsi="宋体"/>
                <w:bCs/>
                <w:szCs w:val="21"/>
              </w:rPr>
            </w:pPr>
          </w:p>
        </w:tc>
      </w:tr>
    </w:tbl>
    <w:p w14:paraId="56E65A69">
      <w:pPr>
        <w:spacing w:line="276" w:lineRule="auto"/>
        <w:ind w:firstLine="211"/>
        <w:rPr>
          <w:rFonts w:ascii="宋体" w:hAnsi="宋体"/>
          <w:bCs/>
          <w:szCs w:val="21"/>
        </w:rPr>
      </w:pPr>
    </w:p>
    <w:p w14:paraId="05EBD1BB">
      <w:pPr>
        <w:spacing w:line="276" w:lineRule="auto"/>
        <w:ind w:firstLine="211"/>
        <w:rPr>
          <w:rFonts w:ascii="宋体" w:hAnsi="宋体"/>
          <w:bCs/>
          <w:szCs w:val="21"/>
        </w:rPr>
      </w:pPr>
      <w:r>
        <w:rPr>
          <w:rFonts w:hint="eastAsia" w:ascii="宋体" w:hAnsi="宋体"/>
          <w:bCs/>
          <w:szCs w:val="21"/>
        </w:rPr>
        <w:t>填写要求：</w:t>
      </w:r>
    </w:p>
    <w:p w14:paraId="5D01890F">
      <w:pPr>
        <w:numPr>
          <w:ilvl w:val="0"/>
          <w:numId w:val="1"/>
        </w:numPr>
        <w:adjustRightInd w:val="0"/>
        <w:spacing w:line="276" w:lineRule="auto"/>
        <w:textAlignment w:val="baseline"/>
        <w:rPr>
          <w:rFonts w:ascii="宋体" w:hAnsi="宋体"/>
          <w:bCs/>
          <w:szCs w:val="21"/>
        </w:rPr>
      </w:pPr>
      <w:r>
        <w:rPr>
          <w:rFonts w:hint="eastAsia" w:ascii="宋体" w:hAnsi="宋体"/>
          <w:bCs/>
          <w:szCs w:val="21"/>
        </w:rPr>
        <w:t>如某过程/活动涉及多个认证标准条款，请以Q、E、O、F、H 、EnMS标识。</w:t>
      </w:r>
    </w:p>
    <w:p w14:paraId="5033985F">
      <w:pPr>
        <w:numPr>
          <w:ilvl w:val="0"/>
          <w:numId w:val="1"/>
        </w:numPr>
        <w:adjustRightInd w:val="0"/>
        <w:spacing w:line="276" w:lineRule="auto"/>
        <w:textAlignment w:val="baseline"/>
        <w:rPr>
          <w:rFonts w:ascii="宋体" w:hAnsi="宋体"/>
          <w:bCs/>
          <w:szCs w:val="21"/>
        </w:rPr>
      </w:pPr>
      <w:r>
        <w:rPr>
          <w:rFonts w:hint="eastAsia" w:ascii="宋体" w:hAnsi="宋体"/>
          <w:bCs/>
          <w:szCs w:val="21"/>
        </w:rPr>
        <w:t>可在每个部门/过程的记录表第1页上注明受审核部门/过程、审核员、陪同人员（向导），在记录表中注明涉及的条款，与审核计划一致，审核记录真实，不得伪造作假；</w:t>
      </w:r>
    </w:p>
    <w:p w14:paraId="4898AD43">
      <w:pPr>
        <w:numPr>
          <w:ilvl w:val="0"/>
          <w:numId w:val="1"/>
        </w:numPr>
        <w:adjustRightInd w:val="0"/>
        <w:spacing w:line="276" w:lineRule="auto"/>
        <w:textAlignment w:val="baseline"/>
        <w:rPr>
          <w:rFonts w:ascii="宋体" w:hAnsi="宋体"/>
          <w:bCs/>
          <w:szCs w:val="21"/>
        </w:rPr>
      </w:pPr>
      <w:r>
        <w:rPr>
          <w:rFonts w:hint="eastAsia" w:ascii="宋体" w:hAnsi="宋体"/>
          <w:bCs/>
          <w:szCs w:val="21"/>
        </w:rPr>
        <w:t>审核记录必须覆盖审核计划的安排，具有可追溯的细节，有抽样的样本；审核计划中的调整在审核记录中应有体现，审核中与受审核方沟通也需作记录；</w:t>
      </w:r>
    </w:p>
    <w:p w14:paraId="066DE42B">
      <w:pPr>
        <w:numPr>
          <w:ilvl w:val="0"/>
          <w:numId w:val="1"/>
        </w:numPr>
        <w:adjustRightInd w:val="0"/>
        <w:spacing w:line="276" w:lineRule="auto"/>
        <w:ind w:right="-334"/>
        <w:textAlignment w:val="baseline"/>
        <w:rPr>
          <w:bCs/>
          <w:szCs w:val="21"/>
        </w:rPr>
      </w:pPr>
      <w:r>
        <w:rPr>
          <w:rFonts w:hint="eastAsia" w:ascii="宋体" w:hAnsi="宋体"/>
          <w:bCs/>
          <w:szCs w:val="21"/>
        </w:rPr>
        <w:t>在</w:t>
      </w:r>
      <w:r>
        <w:rPr>
          <w:rFonts w:hint="eastAsia" w:ascii="宋体" w:hAnsi="宋体"/>
          <w:szCs w:val="21"/>
        </w:rPr>
        <w:t>判定</w:t>
      </w:r>
      <w:r>
        <w:rPr>
          <w:rFonts w:hint="eastAsia" w:ascii="宋体" w:hAnsi="宋体"/>
          <w:bCs/>
          <w:szCs w:val="21"/>
        </w:rPr>
        <w:t>栏，符合不作标记，</w:t>
      </w:r>
      <w:r>
        <w:rPr>
          <w:rFonts w:hint="eastAsia" w:ascii="宋体" w:hAnsi="宋体"/>
          <w:szCs w:val="21"/>
        </w:rPr>
        <w:t>不符合</w:t>
      </w:r>
      <w:r>
        <w:rPr>
          <w:rFonts w:hint="eastAsia" w:ascii="宋体" w:hAnsi="宋体"/>
          <w:bCs/>
          <w:szCs w:val="21"/>
        </w:rPr>
        <w:t>用“△”注明一般不符合项，用“× ”注明严重不符合项。</w:t>
      </w:r>
    </w:p>
    <w:p w14:paraId="03AF0EEA">
      <w:pPr>
        <w:spacing w:line="276" w:lineRule="auto"/>
        <w:rPr>
          <w:rFonts w:ascii="隶书" w:hAnsi="宋体" w:eastAsia="隶书"/>
          <w:bCs/>
          <w:color w:val="000000"/>
          <w:szCs w:val="21"/>
        </w:rPr>
      </w:pPr>
    </w:p>
    <w:tbl>
      <w:tblPr>
        <w:tblStyle w:val="8"/>
        <w:tblpPr w:leftFromText="180" w:rightFromText="180" w:vertAnchor="text" w:horzAnchor="margin" w:tblpY="-3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4709"/>
      </w:tblGrid>
      <w:tr w14:paraId="58BE206F">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54" w:hRule="atLeast"/>
        </w:trPr>
        <w:tc>
          <w:tcPr>
            <w:tcW w:w="14709" w:type="dxa"/>
            <w:vAlign w:val="center"/>
          </w:tcPr>
          <w:p w14:paraId="4EC65774">
            <w:pPr>
              <w:spacing w:line="276" w:lineRule="auto"/>
              <w:jc w:val="center"/>
              <w:rPr>
                <w:rFonts w:ascii="宋体" w:hAnsi="宋体"/>
                <w:b/>
                <w:szCs w:val="21"/>
              </w:rPr>
            </w:pPr>
            <w:r>
              <w:rPr>
                <w:rFonts w:hint="eastAsia" w:ascii="宋体" w:hAnsi="宋体"/>
                <w:b/>
                <w:spacing w:val="34"/>
                <w:szCs w:val="21"/>
              </w:rPr>
              <w:t>信 息 沟 通（变更） 记 录</w:t>
            </w:r>
          </w:p>
        </w:tc>
      </w:tr>
      <w:tr w14:paraId="0945FAC5">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14:paraId="060A54E8">
            <w:pPr>
              <w:numPr>
                <w:ilvl w:val="0"/>
                <w:numId w:val="2"/>
              </w:numPr>
              <w:spacing w:line="276" w:lineRule="auto"/>
              <w:jc w:val="left"/>
              <w:rPr>
                <w:rFonts w:ascii="宋体" w:hAnsi="宋体"/>
                <w:b/>
                <w:szCs w:val="21"/>
              </w:rPr>
            </w:pPr>
            <w:r>
              <w:rPr>
                <w:rFonts w:hint="eastAsia" w:ascii="宋体" w:hAnsi="宋体"/>
                <w:b/>
                <w:szCs w:val="21"/>
              </w:rPr>
              <w:t>组织的多现场数量与分布及抽样情况：</w:t>
            </w:r>
          </w:p>
          <w:p w14:paraId="65BDE69B">
            <w:pPr>
              <w:numPr>
                <w:ilvl w:val="0"/>
                <w:numId w:val="3"/>
              </w:numPr>
              <w:spacing w:line="276" w:lineRule="auto"/>
              <w:jc w:val="left"/>
              <w:rPr>
                <w:rFonts w:ascii="宋体" w:hAnsi="宋体"/>
                <w:szCs w:val="21"/>
              </w:rPr>
            </w:pPr>
            <w:r>
              <w:rPr>
                <w:rFonts w:hint="eastAsia" w:ascii="宋体" w:hAnsi="宋体"/>
                <w:bCs/>
                <w:szCs w:val="21"/>
              </w:rPr>
              <w:sym w:font="Wingdings 2" w:char="0052"/>
            </w:r>
            <w:r>
              <w:rPr>
                <w:rFonts w:hint="eastAsia" w:ascii="宋体" w:hAnsi="宋体"/>
                <w:szCs w:val="21"/>
              </w:rPr>
              <w:t xml:space="preserve">  单一场所；</w:t>
            </w:r>
          </w:p>
          <w:p w14:paraId="22C03A3F">
            <w:pPr>
              <w:numPr>
                <w:ilvl w:val="0"/>
                <w:numId w:val="3"/>
              </w:numPr>
              <w:spacing w:line="276" w:lineRule="auto"/>
              <w:jc w:val="left"/>
              <w:rPr>
                <w:rFonts w:ascii="宋体" w:hAnsi="宋体"/>
                <w:szCs w:val="21"/>
              </w:rPr>
            </w:pPr>
            <w:r>
              <w:rPr>
                <w:rFonts w:hint="eastAsia" w:ascii="宋体" w:hAnsi="宋体"/>
                <w:bCs/>
                <w:szCs w:val="21"/>
              </w:rPr>
              <w:sym w:font="Wingdings 2" w:char="00A3"/>
            </w:r>
            <w:r>
              <w:rPr>
                <w:rFonts w:hint="eastAsia" w:ascii="宋体" w:hAnsi="宋体"/>
                <w:szCs w:val="21"/>
              </w:rPr>
              <w:t xml:space="preserve">  固定多场所  说明：</w:t>
            </w:r>
          </w:p>
          <w:p w14:paraId="1A32557E">
            <w:pPr>
              <w:numPr>
                <w:ilvl w:val="0"/>
                <w:numId w:val="4"/>
              </w:numPr>
              <w:spacing w:line="276" w:lineRule="auto"/>
              <w:jc w:val="left"/>
              <w:rPr>
                <w:rFonts w:ascii="宋体" w:hAnsi="宋体"/>
                <w:szCs w:val="21"/>
              </w:rPr>
            </w:pPr>
            <w:r>
              <w:rPr>
                <w:rFonts w:hint="eastAsia" w:ascii="宋体" w:hAnsi="宋体"/>
                <w:bCs/>
                <w:szCs w:val="21"/>
              </w:rPr>
              <w:sym w:font="Wingdings 2" w:char="00A3"/>
            </w:r>
            <w:r>
              <w:rPr>
                <w:rFonts w:hint="eastAsia" w:ascii="宋体" w:hAnsi="宋体"/>
                <w:szCs w:val="21"/>
              </w:rPr>
              <w:t xml:space="preserve"> 临时多场所   说明：</w:t>
            </w:r>
          </w:p>
        </w:tc>
      </w:tr>
      <w:tr w14:paraId="08D6F758">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14:paraId="4D051FC3">
            <w:pPr>
              <w:spacing w:line="276" w:lineRule="auto"/>
              <w:jc w:val="left"/>
              <w:rPr>
                <w:rFonts w:ascii="宋体" w:hAnsi="宋体"/>
                <w:b/>
                <w:szCs w:val="21"/>
              </w:rPr>
            </w:pPr>
            <w:r>
              <w:rPr>
                <w:rFonts w:hint="eastAsia" w:ascii="宋体" w:hAnsi="宋体"/>
                <w:b/>
                <w:szCs w:val="21"/>
              </w:rPr>
              <w:t>2.审核现场对审核部下达的《审核任务书》及《审核信息传递表》内容信息进行确认</w:t>
            </w:r>
          </w:p>
          <w:p w14:paraId="251C537F">
            <w:pPr>
              <w:numPr>
                <w:ilvl w:val="0"/>
                <w:numId w:val="4"/>
              </w:numPr>
              <w:spacing w:line="276" w:lineRule="auto"/>
              <w:jc w:val="left"/>
              <w:rPr>
                <w:rFonts w:ascii="宋体" w:hAnsi="宋体"/>
                <w:szCs w:val="21"/>
              </w:rPr>
            </w:pPr>
            <w:r>
              <w:rPr>
                <w:rFonts w:hint="eastAsia" w:ascii="宋体" w:hAnsi="宋体"/>
                <w:szCs w:val="21"/>
              </w:rPr>
              <w:t>与前期评审及审核策划、计划信息（默认时间）</w:t>
            </w:r>
            <w:r>
              <w:rPr>
                <w:rFonts w:hint="eastAsia" w:ascii="宋体" w:hAnsi="宋体"/>
                <w:bCs/>
                <w:szCs w:val="21"/>
              </w:rPr>
              <w:sym w:font="Wingdings 2" w:char="0052"/>
            </w:r>
            <w:r>
              <w:rPr>
                <w:rFonts w:hint="eastAsia" w:ascii="宋体" w:hAnsi="宋体"/>
                <w:szCs w:val="21"/>
              </w:rPr>
              <w:t>一致</w:t>
            </w:r>
          </w:p>
          <w:p w14:paraId="34E86712">
            <w:pPr>
              <w:numPr>
                <w:ilvl w:val="0"/>
                <w:numId w:val="4"/>
              </w:numPr>
              <w:spacing w:line="276" w:lineRule="auto"/>
              <w:jc w:val="left"/>
              <w:rPr>
                <w:rFonts w:ascii="宋体" w:hAnsi="宋体"/>
                <w:b/>
                <w:szCs w:val="21"/>
              </w:rPr>
            </w:pPr>
            <w:r>
              <w:rPr>
                <w:rFonts w:hint="eastAsia" w:ascii="宋体" w:hAnsi="宋体"/>
                <w:szCs w:val="21"/>
              </w:rPr>
              <w:t>与前期评审及审核策划、计划信息（默认时间）</w:t>
            </w:r>
            <w:r>
              <w:rPr>
                <w:rFonts w:hint="eastAsia" w:ascii="宋体" w:hAnsi="宋体"/>
                <w:bCs/>
                <w:szCs w:val="21"/>
              </w:rPr>
              <w:sym w:font="Wingdings 2" w:char="00A3"/>
            </w:r>
            <w:r>
              <w:rPr>
                <w:rFonts w:hint="eastAsia" w:ascii="宋体" w:hAnsi="宋体"/>
                <w:szCs w:val="21"/>
              </w:rPr>
              <w:t>不一致</w:t>
            </w:r>
            <w:r>
              <w:rPr>
                <w:rFonts w:ascii="宋体" w:hAnsi="宋体"/>
                <w:szCs w:val="21"/>
              </w:rPr>
              <w:t>，不一致的事项为：</w:t>
            </w:r>
          </w:p>
          <w:p w14:paraId="030CE0BA">
            <w:pPr>
              <w:spacing w:line="276" w:lineRule="auto"/>
              <w:ind w:firstLine="420" w:firstLineChars="200"/>
              <w:jc w:val="left"/>
              <w:rPr>
                <w:rFonts w:ascii="宋体" w:hAnsi="宋体"/>
                <w:szCs w:val="21"/>
              </w:rPr>
            </w:pPr>
            <w:r>
              <w:rPr>
                <w:rFonts w:ascii="宋体" w:hAnsi="宋体"/>
                <w:szCs w:val="21"/>
              </w:rPr>
              <w:t>（</w:t>
            </w:r>
            <w:r>
              <w:rPr>
                <w:rFonts w:hint="eastAsia" w:ascii="宋体" w:hAnsi="宋体"/>
                <w:szCs w:val="21"/>
              </w:rPr>
              <w:t>1）</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组织名称；（2）</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组织人数</w:t>
            </w:r>
            <w:r>
              <w:rPr>
                <w:rFonts w:ascii="宋体" w:hAnsi="宋体"/>
                <w:szCs w:val="21"/>
              </w:rPr>
              <w:t>；（</w:t>
            </w:r>
            <w:r>
              <w:rPr>
                <w:rFonts w:hint="eastAsia" w:ascii="宋体" w:hAnsi="宋体"/>
                <w:szCs w:val="21"/>
              </w:rPr>
              <w:t>3）</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组织地址（包括固定场所、临时场所）</w:t>
            </w:r>
            <w:r>
              <w:rPr>
                <w:rFonts w:ascii="宋体" w:hAnsi="宋体"/>
                <w:szCs w:val="21"/>
              </w:rPr>
              <w:t>；</w:t>
            </w:r>
          </w:p>
          <w:p w14:paraId="46794C6C">
            <w:pPr>
              <w:spacing w:line="276" w:lineRule="auto"/>
              <w:ind w:firstLine="420" w:firstLineChars="200"/>
              <w:jc w:val="left"/>
              <w:rPr>
                <w:rFonts w:ascii="宋体" w:hAnsi="宋体"/>
                <w:szCs w:val="21"/>
              </w:rPr>
            </w:pPr>
            <w:r>
              <w:rPr>
                <w:rFonts w:hint="eastAsia" w:ascii="宋体" w:hAnsi="宋体"/>
                <w:szCs w:val="21"/>
              </w:rPr>
              <w:t>（4）</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审核范围</w:t>
            </w:r>
            <w:r>
              <w:rPr>
                <w:rFonts w:ascii="宋体" w:hAnsi="宋体"/>
                <w:szCs w:val="21"/>
              </w:rPr>
              <w:t>；（</w:t>
            </w:r>
            <w:r>
              <w:rPr>
                <w:rFonts w:hint="eastAsia" w:ascii="宋体" w:hAnsi="宋体"/>
                <w:szCs w:val="21"/>
              </w:rPr>
              <w:t>5）</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倒班情况</w:t>
            </w:r>
            <w:r>
              <w:rPr>
                <w:rFonts w:ascii="宋体" w:hAnsi="宋体"/>
                <w:szCs w:val="21"/>
              </w:rPr>
              <w:t>；（</w:t>
            </w:r>
            <w:r>
              <w:rPr>
                <w:rFonts w:hint="eastAsia" w:ascii="宋体" w:hAnsi="宋体"/>
                <w:szCs w:val="21"/>
              </w:rPr>
              <w:t>6）</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审核组所需的专业能力</w:t>
            </w:r>
            <w:r>
              <w:rPr>
                <w:rFonts w:ascii="宋体" w:hAnsi="宋体"/>
                <w:szCs w:val="21"/>
              </w:rPr>
              <w:t>；</w:t>
            </w:r>
          </w:p>
          <w:p w14:paraId="68613E25">
            <w:pPr>
              <w:spacing w:line="276" w:lineRule="auto"/>
              <w:ind w:firstLine="420" w:firstLineChars="200"/>
              <w:jc w:val="left"/>
              <w:rPr>
                <w:rFonts w:ascii="宋体" w:hAnsi="宋体"/>
                <w:szCs w:val="21"/>
              </w:rPr>
            </w:pPr>
            <w:r>
              <w:rPr>
                <w:rFonts w:hint="eastAsia" w:ascii="宋体" w:hAnsi="宋体"/>
                <w:szCs w:val="21"/>
              </w:rPr>
              <w:t>（7）</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外包情况</w:t>
            </w:r>
            <w:r>
              <w:rPr>
                <w:rFonts w:ascii="宋体" w:hAnsi="宋体"/>
                <w:szCs w:val="21"/>
              </w:rPr>
              <w:t>；（</w:t>
            </w:r>
            <w:r>
              <w:rPr>
                <w:rFonts w:hint="eastAsia" w:ascii="宋体" w:hAnsi="宋体"/>
                <w:szCs w:val="21"/>
              </w:rPr>
              <w:t>8）</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不适用条款；</w:t>
            </w:r>
            <w:r>
              <w:rPr>
                <w:rFonts w:ascii="宋体" w:hAnsi="宋体"/>
                <w:szCs w:val="21"/>
              </w:rPr>
              <w:t>（</w:t>
            </w:r>
            <w:r>
              <w:rPr>
                <w:rFonts w:hint="eastAsia" w:ascii="宋体" w:hAnsi="宋体"/>
                <w:szCs w:val="21"/>
              </w:rPr>
              <w:t>9）</w:t>
            </w:r>
            <w:r>
              <w:rPr>
                <w:rFonts w:hint="eastAsia" w:ascii="宋体" w:hAnsi="宋体"/>
                <w:bCs/>
                <w:szCs w:val="21"/>
              </w:rPr>
              <w:sym w:font="Wingdings 2" w:char="00A3"/>
            </w:r>
            <w:r>
              <w:rPr>
                <w:rFonts w:hint="eastAsia" w:ascii="宋体" w:hAnsi="宋体"/>
                <w:bCs/>
                <w:szCs w:val="21"/>
                <w:lang w:val="en-US" w:eastAsia="zh-CN"/>
              </w:rPr>
              <w:t xml:space="preserve"> </w:t>
            </w:r>
            <w:r>
              <w:rPr>
                <w:rFonts w:hint="eastAsia" w:ascii="宋体" w:hAnsi="宋体"/>
                <w:szCs w:val="21"/>
              </w:rPr>
              <w:t>其他</w:t>
            </w:r>
            <w:r>
              <w:rPr>
                <w:rFonts w:ascii="宋体" w:hAnsi="宋体"/>
                <w:szCs w:val="21"/>
              </w:rPr>
              <w:t>。</w:t>
            </w:r>
          </w:p>
          <w:p w14:paraId="7588F9D1">
            <w:pPr>
              <w:spacing w:line="276" w:lineRule="auto"/>
              <w:ind w:firstLine="420" w:firstLineChars="200"/>
              <w:jc w:val="left"/>
              <w:rPr>
                <w:rFonts w:hint="eastAsia" w:ascii="宋体" w:hAnsi="宋体" w:eastAsia="宋体"/>
                <w:szCs w:val="21"/>
                <w:u w:val="single"/>
                <w:lang w:val="en-US" w:eastAsia="zh-CN"/>
              </w:rPr>
            </w:pPr>
            <w:r>
              <w:rPr>
                <w:rFonts w:hint="eastAsia" w:ascii="宋体" w:hAnsi="宋体"/>
                <w:szCs w:val="21"/>
              </w:rPr>
              <w:t>详述变更内容（包括变更前、变更后以及变更理由）：</w:t>
            </w:r>
          </w:p>
          <w:p w14:paraId="3989E602">
            <w:pPr>
              <w:spacing w:line="276" w:lineRule="auto"/>
              <w:ind w:firstLine="420" w:firstLineChars="200"/>
              <w:jc w:val="left"/>
              <w:rPr>
                <w:rFonts w:ascii="宋体" w:hAnsi="宋体"/>
                <w:szCs w:val="21"/>
                <w:u w:val="single"/>
              </w:rPr>
            </w:pPr>
          </w:p>
          <w:p w14:paraId="014A0AF8">
            <w:pPr>
              <w:spacing w:line="276" w:lineRule="auto"/>
              <w:ind w:firstLine="632" w:firstLineChars="300"/>
              <w:jc w:val="left"/>
              <w:rPr>
                <w:rFonts w:ascii="宋体" w:hAnsi="宋体"/>
                <w:b/>
                <w:szCs w:val="21"/>
                <w:u w:val="single"/>
              </w:rPr>
            </w:pPr>
            <w:r>
              <w:rPr>
                <w:rFonts w:hint="eastAsia" w:ascii="宋体" w:hAnsi="宋体"/>
                <w:b/>
                <w:szCs w:val="21"/>
              </w:rPr>
              <w:t>以上变化部分，已与审核部项目负责人（审核任务下达人）沟通，并确认。   审核组长：</w:t>
            </w:r>
            <w:r>
              <w:rPr>
                <w:rFonts w:hint="eastAsia" w:ascii="宋体" w:hAnsi="宋体"/>
                <w:b/>
                <w:szCs w:val="21"/>
                <w:lang w:val="en-US" w:eastAsia="zh-CN"/>
              </w:rPr>
              <w:t>张磊</w:t>
            </w:r>
            <w:r>
              <w:rPr>
                <w:rFonts w:hint="eastAsia" w:ascii="宋体" w:hAnsi="宋体"/>
                <w:b/>
                <w:szCs w:val="21"/>
              </w:rPr>
              <w:t xml:space="preserve">    </w:t>
            </w:r>
            <w:r>
              <w:rPr>
                <w:rFonts w:hint="eastAsia" w:ascii="宋体" w:hAnsi="宋体"/>
                <w:b/>
                <w:szCs w:val="21"/>
                <w:lang w:val="en-US" w:eastAsia="zh-CN"/>
              </w:rPr>
              <w:t>2025</w:t>
            </w:r>
            <w:r>
              <w:rPr>
                <w:rFonts w:hint="eastAsia" w:ascii="宋体" w:hAnsi="宋体"/>
                <w:b/>
                <w:szCs w:val="21"/>
              </w:rPr>
              <w:t>年</w:t>
            </w:r>
            <w:r>
              <w:rPr>
                <w:rFonts w:hint="eastAsia" w:ascii="宋体" w:hAnsi="宋体"/>
                <w:b/>
                <w:szCs w:val="21"/>
                <w:lang w:val="en-US" w:eastAsia="zh-CN"/>
              </w:rPr>
              <w:t>6</w:t>
            </w:r>
            <w:r>
              <w:rPr>
                <w:rFonts w:hint="eastAsia" w:ascii="宋体" w:hAnsi="宋体"/>
                <w:b/>
                <w:szCs w:val="21"/>
              </w:rPr>
              <w:t>月</w:t>
            </w:r>
            <w:r>
              <w:rPr>
                <w:rFonts w:hint="eastAsia" w:ascii="宋体" w:hAnsi="宋体"/>
                <w:b/>
                <w:szCs w:val="21"/>
                <w:lang w:val="en-US" w:eastAsia="zh-CN"/>
              </w:rPr>
              <w:t>27</w:t>
            </w:r>
            <w:r>
              <w:rPr>
                <w:rFonts w:hint="eastAsia" w:ascii="宋体" w:hAnsi="宋体"/>
                <w:b/>
                <w:szCs w:val="21"/>
              </w:rPr>
              <w:t>日</w:t>
            </w:r>
          </w:p>
        </w:tc>
      </w:tr>
    </w:tbl>
    <w:p w14:paraId="48AAAADA">
      <w:pPr>
        <w:spacing w:line="276" w:lineRule="auto"/>
        <w:jc w:val="center"/>
        <w:rPr>
          <w:rFonts w:ascii="隶书" w:hAnsi="宋体" w:eastAsia="隶书"/>
          <w:bCs/>
          <w:color w:val="000000"/>
          <w:szCs w:val="21"/>
        </w:rPr>
      </w:pPr>
    </w:p>
    <w:p w14:paraId="55F6D072">
      <w:pPr>
        <w:spacing w:line="276" w:lineRule="auto"/>
        <w:jc w:val="center"/>
        <w:rPr>
          <w:rFonts w:ascii="隶书" w:hAnsi="宋体" w:eastAsia="隶书"/>
          <w:bCs/>
          <w:color w:val="000000"/>
          <w:szCs w:val="21"/>
        </w:rPr>
      </w:pPr>
    </w:p>
    <w:p w14:paraId="097981AA">
      <w:pPr>
        <w:spacing w:line="360" w:lineRule="auto"/>
        <w:jc w:val="center"/>
        <w:rPr>
          <w:rFonts w:hint="eastAsia" w:asciiTheme="minorEastAsia" w:hAnsiTheme="minorEastAsia" w:eastAsiaTheme="minorEastAsia"/>
          <w:b/>
          <w:color w:val="000000"/>
          <w:sz w:val="28"/>
          <w:szCs w:val="28"/>
        </w:rPr>
      </w:pPr>
    </w:p>
    <w:p w14:paraId="7A55255E">
      <w:pPr>
        <w:spacing w:line="360" w:lineRule="auto"/>
        <w:jc w:val="center"/>
        <w:rPr>
          <w:rFonts w:hint="eastAsia" w:asciiTheme="minorEastAsia" w:hAnsiTheme="minorEastAsia" w:eastAsiaTheme="minorEastAsia"/>
          <w:b/>
          <w:color w:val="000000"/>
          <w:sz w:val="28"/>
          <w:szCs w:val="28"/>
        </w:rPr>
      </w:pPr>
    </w:p>
    <w:p w14:paraId="11ED6468">
      <w:pPr>
        <w:spacing w:line="360" w:lineRule="auto"/>
        <w:jc w:val="center"/>
        <w:rPr>
          <w:rFonts w:hint="eastAsia" w:asciiTheme="minorEastAsia" w:hAnsiTheme="minorEastAsia" w:eastAsiaTheme="minorEastAsia"/>
          <w:b/>
          <w:color w:val="000000"/>
          <w:sz w:val="28"/>
          <w:szCs w:val="28"/>
        </w:rPr>
      </w:pPr>
    </w:p>
    <w:p w14:paraId="7A01E43D">
      <w:pPr>
        <w:spacing w:line="360" w:lineRule="auto"/>
        <w:jc w:val="center"/>
        <w:rPr>
          <w:rFonts w:hint="eastAsia" w:asciiTheme="minorEastAsia" w:hAnsiTheme="minorEastAsia" w:eastAsiaTheme="minorEastAsia"/>
          <w:b/>
          <w:color w:val="000000"/>
          <w:sz w:val="28"/>
          <w:szCs w:val="28"/>
        </w:rPr>
      </w:pPr>
    </w:p>
    <w:p w14:paraId="0865B1C7">
      <w:pPr>
        <w:spacing w:line="360" w:lineRule="auto"/>
        <w:jc w:val="center"/>
        <w:rPr>
          <w:rFonts w:hint="eastAsia" w:asciiTheme="minorEastAsia" w:hAnsiTheme="minorEastAsia" w:eastAsiaTheme="minorEastAsia"/>
          <w:b/>
          <w:color w:val="000000"/>
          <w:sz w:val="28"/>
          <w:szCs w:val="28"/>
        </w:rPr>
      </w:pPr>
    </w:p>
    <w:p w14:paraId="0E88A72B">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8"/>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1395"/>
        <w:gridCol w:w="10805"/>
        <w:gridCol w:w="709"/>
      </w:tblGrid>
      <w:tr w14:paraId="1004B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1800" w:type="dxa"/>
            <w:vMerge w:val="restart"/>
            <w:vAlign w:val="center"/>
          </w:tcPr>
          <w:p w14:paraId="3EE04F7A">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审核过程/区域/</w:t>
            </w:r>
          </w:p>
          <w:p w14:paraId="7B5925E0">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活动和内容</w:t>
            </w:r>
          </w:p>
        </w:tc>
        <w:tc>
          <w:tcPr>
            <w:tcW w:w="1395" w:type="dxa"/>
            <w:vMerge w:val="restart"/>
            <w:vAlign w:val="center"/>
          </w:tcPr>
          <w:p w14:paraId="74FF2AF6">
            <w:pPr>
              <w:spacing w:line="276"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涉及</w:t>
            </w:r>
          </w:p>
          <w:p w14:paraId="7E2F5CF4">
            <w:pPr>
              <w:spacing w:line="276"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条款</w:t>
            </w:r>
          </w:p>
        </w:tc>
        <w:tc>
          <w:tcPr>
            <w:tcW w:w="10805" w:type="dxa"/>
            <w:vAlign w:val="center"/>
          </w:tcPr>
          <w:p w14:paraId="0B181EB4">
            <w:pPr>
              <w:spacing w:line="276" w:lineRule="auto"/>
              <w:jc w:val="left"/>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受审核部门：</w:t>
            </w:r>
            <w:r>
              <w:rPr>
                <w:rFonts w:hint="eastAsia" w:ascii="华文细黑" w:hAnsi="华文细黑" w:eastAsia="华文细黑" w:cs="华文细黑"/>
                <w:szCs w:val="21"/>
                <w:lang w:val="en-US" w:eastAsia="zh-CN"/>
              </w:rPr>
              <w:t>综合部</w:t>
            </w:r>
            <w:r>
              <w:rPr>
                <w:rFonts w:hint="eastAsia" w:ascii="华文细黑" w:hAnsi="华文细黑" w:eastAsia="华文细黑" w:cs="华文细黑"/>
                <w:szCs w:val="21"/>
              </w:rPr>
              <w:t xml:space="preserve">                        审核员：</w:t>
            </w:r>
            <w:r>
              <w:rPr>
                <w:rFonts w:hint="eastAsia" w:ascii="华文细黑" w:hAnsi="华文细黑" w:eastAsia="华文细黑" w:cs="华文细黑"/>
                <w:szCs w:val="21"/>
                <w:lang w:val="en-US" w:eastAsia="zh-CN"/>
              </w:rPr>
              <w:t>张磊</w:t>
            </w:r>
            <w:r>
              <w:rPr>
                <w:rFonts w:hint="eastAsia" w:ascii="华文细黑" w:hAnsi="华文细黑" w:eastAsia="华文细黑" w:cs="华文细黑"/>
                <w:szCs w:val="21"/>
              </w:rPr>
              <w:t xml:space="preserve">                    向导：</w:t>
            </w:r>
            <w:r>
              <w:rPr>
                <w:rFonts w:hint="eastAsia" w:ascii="华文细黑" w:hAnsi="华文细黑" w:eastAsia="华文细黑" w:cs="华文细黑"/>
                <w:szCs w:val="21"/>
                <w:lang w:val="en-US" w:eastAsia="zh-CN"/>
              </w:rPr>
              <w:t>陆国胜</w:t>
            </w:r>
          </w:p>
        </w:tc>
        <w:tc>
          <w:tcPr>
            <w:tcW w:w="709" w:type="dxa"/>
            <w:vMerge w:val="restart"/>
            <w:vAlign w:val="center"/>
          </w:tcPr>
          <w:p w14:paraId="4C09D0D2">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判定</w:t>
            </w:r>
          </w:p>
        </w:tc>
      </w:tr>
      <w:tr w14:paraId="48924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1800" w:type="dxa"/>
            <w:vMerge w:val="continue"/>
            <w:vAlign w:val="center"/>
          </w:tcPr>
          <w:p w14:paraId="00FD673C">
            <w:pPr>
              <w:spacing w:line="276" w:lineRule="auto"/>
              <w:jc w:val="left"/>
              <w:rPr>
                <w:rFonts w:hint="eastAsia" w:ascii="华文细黑" w:hAnsi="华文细黑" w:eastAsia="华文细黑" w:cs="华文细黑"/>
                <w:szCs w:val="21"/>
              </w:rPr>
            </w:pPr>
          </w:p>
        </w:tc>
        <w:tc>
          <w:tcPr>
            <w:tcW w:w="1395" w:type="dxa"/>
            <w:vMerge w:val="continue"/>
            <w:vAlign w:val="center"/>
          </w:tcPr>
          <w:p w14:paraId="671A0CD6">
            <w:pPr>
              <w:spacing w:line="276" w:lineRule="auto"/>
              <w:jc w:val="center"/>
              <w:rPr>
                <w:rFonts w:hint="eastAsia" w:ascii="华文细黑" w:hAnsi="华文细黑" w:eastAsia="华文细黑" w:cs="华文细黑"/>
                <w:szCs w:val="21"/>
              </w:rPr>
            </w:pPr>
          </w:p>
        </w:tc>
        <w:tc>
          <w:tcPr>
            <w:tcW w:w="10805" w:type="dxa"/>
            <w:vAlign w:val="center"/>
          </w:tcPr>
          <w:p w14:paraId="7915F047">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审核条款：</w:t>
            </w:r>
          </w:p>
          <w:p w14:paraId="03E5B55D">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b w:val="0"/>
                <w:bCs w:val="0"/>
                <w:sz w:val="21"/>
                <w:szCs w:val="21"/>
                <w:u w:val="none"/>
                <w:lang w:val="en-US" w:eastAsia="zh-CN"/>
              </w:rPr>
              <w:t>EO：5.3、5.4、</w:t>
            </w:r>
            <w:r>
              <w:rPr>
                <w:rFonts w:hint="eastAsia" w:ascii="华文细黑" w:hAnsi="华文细黑" w:eastAsia="华文细黑" w:cs="华文细黑"/>
                <w:b w:val="0"/>
                <w:bCs w:val="0"/>
                <w:spacing w:val="10"/>
                <w:kern w:val="2"/>
                <w:sz w:val="21"/>
                <w:szCs w:val="21"/>
                <w:u w:val="none"/>
                <w:lang w:val="en-US" w:eastAsia="zh-CN" w:bidi="ar-SA"/>
              </w:rPr>
              <w:t>6.1.2、6.1.3/9.1.2、</w:t>
            </w:r>
            <w:r>
              <w:rPr>
                <w:rFonts w:hint="eastAsia" w:ascii="华文细黑" w:hAnsi="华文细黑" w:eastAsia="华文细黑" w:cs="华文细黑"/>
                <w:b w:val="0"/>
                <w:bCs w:val="0"/>
                <w:sz w:val="21"/>
                <w:szCs w:val="21"/>
                <w:u w:val="none"/>
                <w:lang w:val="en-US" w:eastAsia="zh-CN"/>
              </w:rPr>
              <w:t>6.2、</w:t>
            </w:r>
            <w:r>
              <w:rPr>
                <w:rFonts w:hint="eastAsia" w:ascii="华文细黑" w:hAnsi="华文细黑" w:eastAsia="华文细黑" w:cs="华文细黑"/>
                <w:b w:val="0"/>
                <w:bCs w:val="0"/>
                <w:color w:val="auto"/>
                <w:sz w:val="21"/>
                <w:szCs w:val="21"/>
                <w:u w:val="none"/>
                <w:lang w:val="en-US" w:eastAsia="zh-CN"/>
              </w:rPr>
              <w:t>7.2/7.3、7.4、7.5、</w:t>
            </w:r>
            <w:r>
              <w:rPr>
                <w:rFonts w:hint="eastAsia" w:ascii="华文细黑" w:hAnsi="华文细黑" w:eastAsia="华文细黑" w:cs="华文细黑"/>
                <w:b w:val="0"/>
                <w:bCs w:val="0"/>
                <w:spacing w:val="10"/>
                <w:kern w:val="2"/>
                <w:sz w:val="21"/>
                <w:szCs w:val="21"/>
                <w:u w:val="none"/>
                <w:lang w:val="en-US" w:eastAsia="zh-CN" w:bidi="ar-SA"/>
              </w:rPr>
              <w:t>8.1、8.2、9.2、10.2</w:t>
            </w:r>
          </w:p>
        </w:tc>
        <w:tc>
          <w:tcPr>
            <w:tcW w:w="709" w:type="dxa"/>
            <w:vMerge w:val="continue"/>
            <w:vAlign w:val="center"/>
          </w:tcPr>
          <w:p w14:paraId="3BAB2A05">
            <w:pPr>
              <w:spacing w:line="276" w:lineRule="auto"/>
              <w:jc w:val="left"/>
              <w:rPr>
                <w:rFonts w:hint="eastAsia" w:ascii="华文细黑" w:hAnsi="华文细黑" w:eastAsia="华文细黑" w:cs="华文细黑"/>
                <w:szCs w:val="21"/>
              </w:rPr>
            </w:pPr>
          </w:p>
        </w:tc>
      </w:tr>
      <w:tr w14:paraId="1FE92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1800" w:type="dxa"/>
            <w:vMerge w:val="continue"/>
            <w:vAlign w:val="center"/>
          </w:tcPr>
          <w:p w14:paraId="7339CDE9">
            <w:pPr>
              <w:spacing w:line="276" w:lineRule="auto"/>
              <w:rPr>
                <w:rFonts w:hint="eastAsia" w:ascii="华文细黑" w:hAnsi="华文细黑" w:eastAsia="华文细黑" w:cs="华文细黑"/>
                <w:szCs w:val="21"/>
              </w:rPr>
            </w:pPr>
          </w:p>
        </w:tc>
        <w:tc>
          <w:tcPr>
            <w:tcW w:w="1395" w:type="dxa"/>
            <w:vMerge w:val="continue"/>
            <w:vAlign w:val="center"/>
          </w:tcPr>
          <w:p w14:paraId="13012C51">
            <w:pPr>
              <w:spacing w:line="276" w:lineRule="auto"/>
              <w:rPr>
                <w:rFonts w:hint="eastAsia" w:ascii="华文细黑" w:hAnsi="华文细黑" w:eastAsia="华文细黑" w:cs="华文细黑"/>
                <w:szCs w:val="21"/>
              </w:rPr>
            </w:pPr>
          </w:p>
        </w:tc>
        <w:tc>
          <w:tcPr>
            <w:tcW w:w="10805" w:type="dxa"/>
            <w:vAlign w:val="center"/>
          </w:tcPr>
          <w:p w14:paraId="13D3C905">
            <w:pPr>
              <w:spacing w:line="276" w:lineRule="auto"/>
              <w:jc w:val="center"/>
              <w:rPr>
                <w:rFonts w:hint="eastAsia" w:ascii="华文细黑" w:hAnsi="华文细黑" w:eastAsia="华文细黑" w:cs="华文细黑"/>
                <w:szCs w:val="21"/>
              </w:rPr>
            </w:pPr>
            <w:r>
              <w:rPr>
                <w:rFonts w:hint="eastAsia" w:ascii="华文细黑" w:hAnsi="华文细黑" w:eastAsia="华文细黑" w:cs="华文细黑"/>
                <w:b/>
                <w:bCs/>
                <w:szCs w:val="21"/>
              </w:rPr>
              <w:t>审 核 记 录</w:t>
            </w:r>
          </w:p>
        </w:tc>
        <w:tc>
          <w:tcPr>
            <w:tcW w:w="709" w:type="dxa"/>
            <w:vMerge w:val="continue"/>
            <w:vAlign w:val="center"/>
          </w:tcPr>
          <w:p w14:paraId="24E13F63">
            <w:pPr>
              <w:spacing w:line="276" w:lineRule="auto"/>
              <w:rPr>
                <w:rFonts w:hint="eastAsia" w:ascii="华文细黑" w:hAnsi="华文细黑" w:eastAsia="华文细黑" w:cs="华文细黑"/>
                <w:szCs w:val="21"/>
              </w:rPr>
            </w:pPr>
          </w:p>
        </w:tc>
      </w:tr>
      <w:tr w14:paraId="23BCC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1522D69E">
            <w:pPr>
              <w:bidi w:val="0"/>
              <w:rPr>
                <w:rFonts w:hint="eastAsia"/>
                <w:lang w:val="en-US" w:eastAsia="zh-CN"/>
              </w:rPr>
            </w:pPr>
            <w:r>
              <w:rPr>
                <w:rFonts w:hint="eastAsia"/>
              </w:rPr>
              <w:t>公司的岗位、职责、和权限</w:t>
            </w:r>
          </w:p>
        </w:tc>
        <w:tc>
          <w:tcPr>
            <w:tcW w:w="1395" w:type="dxa"/>
            <w:vAlign w:val="top"/>
          </w:tcPr>
          <w:p w14:paraId="1F808E69">
            <w:pPr>
              <w:bidi w:val="0"/>
              <w:rPr>
                <w:rFonts w:hint="eastAsia"/>
                <w:lang w:val="en-US" w:eastAsia="zh-CN"/>
              </w:rPr>
            </w:pPr>
            <w:r>
              <w:rPr>
                <w:rFonts w:hint="eastAsia"/>
                <w:lang w:val="en-US" w:eastAsia="zh-CN"/>
              </w:rPr>
              <w:t>EO</w:t>
            </w:r>
            <w:r>
              <w:rPr>
                <w:rFonts w:hint="eastAsia"/>
              </w:rPr>
              <w:t xml:space="preserve">5.3  </w:t>
            </w:r>
          </w:p>
        </w:tc>
        <w:tc>
          <w:tcPr>
            <w:tcW w:w="10805" w:type="dxa"/>
            <w:vAlign w:val="center"/>
          </w:tcPr>
          <w:p w14:paraId="170964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组织在管理手册中明确规定综合部所涉及各项工作的职责和权限等要求。</w:t>
            </w:r>
          </w:p>
          <w:p w14:paraId="6F3313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审核了解到，部门负责人陈灵芝对其岗位职责与权限认知清晰。</w:t>
            </w:r>
          </w:p>
        </w:tc>
        <w:tc>
          <w:tcPr>
            <w:tcW w:w="709" w:type="dxa"/>
            <w:vAlign w:val="top"/>
          </w:tcPr>
          <w:p w14:paraId="1D9A85D9">
            <w:pPr>
              <w:bidi w:val="0"/>
              <w:rPr>
                <w:rFonts w:hint="eastAsia" w:ascii="华文细黑" w:hAnsi="华文细黑" w:eastAsia="华文细黑" w:cs="华文细黑"/>
                <w:kern w:val="2"/>
                <w:highlight w:val="none"/>
                <w:lang w:val="en-US" w:eastAsia="zh-CN" w:bidi="ar-SA"/>
              </w:rPr>
            </w:pPr>
            <w:r>
              <w:rPr>
                <w:rFonts w:hint="eastAsia"/>
                <w:lang w:val="en-US" w:eastAsia="zh-CN"/>
              </w:rPr>
              <w:t>Y</w:t>
            </w:r>
          </w:p>
        </w:tc>
      </w:tr>
      <w:tr w14:paraId="1DCB3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47D0A735">
            <w:pPr>
              <w:bidi w:val="0"/>
              <w:rPr>
                <w:rFonts w:hint="eastAsia"/>
                <w:lang w:val="en-US" w:eastAsia="zh-CN"/>
              </w:rPr>
            </w:pPr>
            <w:r>
              <w:rPr>
                <w:rFonts w:hint="eastAsia"/>
              </w:rPr>
              <w:t>目标</w:t>
            </w:r>
          </w:p>
        </w:tc>
        <w:tc>
          <w:tcPr>
            <w:tcW w:w="1395" w:type="dxa"/>
            <w:vAlign w:val="top"/>
          </w:tcPr>
          <w:p w14:paraId="5A4D1846">
            <w:pPr>
              <w:bidi w:val="0"/>
              <w:rPr>
                <w:rFonts w:hint="eastAsia"/>
              </w:rPr>
            </w:pPr>
            <w:r>
              <w:rPr>
                <w:rFonts w:hint="eastAsia"/>
                <w:lang w:val="en-US" w:eastAsia="zh-CN"/>
              </w:rPr>
              <w:t>EO</w:t>
            </w:r>
            <w:r>
              <w:rPr>
                <w:rFonts w:hint="eastAsia"/>
              </w:rPr>
              <w:t>6.2</w:t>
            </w:r>
          </w:p>
          <w:p w14:paraId="17A43162">
            <w:pPr>
              <w:bidi w:val="0"/>
              <w:rPr>
                <w:rFonts w:hint="eastAsia"/>
                <w:lang w:val="en-US" w:eastAsia="zh-CN"/>
              </w:rPr>
            </w:pPr>
          </w:p>
        </w:tc>
        <w:tc>
          <w:tcPr>
            <w:tcW w:w="10805" w:type="dxa"/>
            <w:vAlign w:val="center"/>
          </w:tcPr>
          <w:p w14:paraId="16AAD5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组织在相关职能、层次和过程上建立目标时考虑了适用的要求，均可测量，与方针基本保持一致。与综合部相关的目标如下：                    考核结果</w:t>
            </w:r>
          </w:p>
          <w:p w14:paraId="4B28FA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特种人员持证上岗率100%          100</w:t>
            </w:r>
          </w:p>
          <w:p w14:paraId="1C1E44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培训计划完成率90%               100</w:t>
            </w:r>
            <w:bookmarkStart w:id="3" w:name="_GoBack"/>
            <w:bookmarkEnd w:id="3"/>
          </w:p>
          <w:p w14:paraId="2F4B3B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火灾发生率为0                     0</w:t>
            </w:r>
          </w:p>
          <w:p w14:paraId="143694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各类废弃物按规定处置率100%      100</w:t>
            </w:r>
          </w:p>
          <w:p w14:paraId="2A43AB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法律法规每年更新1次             合格</w:t>
            </w:r>
          </w:p>
          <w:p w14:paraId="67E73F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全年无安全事故发生                0</w:t>
            </w:r>
          </w:p>
          <w:p w14:paraId="34CAA86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查截止审核期间的考核结果，目标均已达成。</w:t>
            </w:r>
          </w:p>
        </w:tc>
        <w:tc>
          <w:tcPr>
            <w:tcW w:w="709" w:type="dxa"/>
            <w:vAlign w:val="top"/>
          </w:tcPr>
          <w:p w14:paraId="6D981C08">
            <w:pPr>
              <w:bidi w:val="0"/>
              <w:rPr>
                <w:rFonts w:hint="eastAsia" w:ascii="华文细黑" w:hAnsi="华文细黑" w:eastAsia="华文细黑" w:cs="华文细黑"/>
                <w:kern w:val="2"/>
                <w:highlight w:val="none"/>
                <w:lang w:val="en-US" w:eastAsia="zh-CN" w:bidi="ar-SA"/>
              </w:rPr>
            </w:pPr>
            <w:r>
              <w:rPr>
                <w:rFonts w:hint="eastAsia"/>
                <w:lang w:val="en-US" w:eastAsia="zh-CN"/>
              </w:rPr>
              <w:t>Y</w:t>
            </w:r>
          </w:p>
        </w:tc>
      </w:tr>
      <w:tr w14:paraId="734B0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2D44D02B">
            <w:pPr>
              <w:bidi w:val="0"/>
              <w:rPr>
                <w:rFonts w:hint="default"/>
                <w:lang w:val="en-US" w:eastAsia="zh-CN"/>
              </w:rPr>
            </w:pPr>
            <w:r>
              <w:rPr>
                <w:rFonts w:hint="eastAsia" w:ascii="华文细黑" w:hAnsi="华文细黑" w:eastAsia="华文细黑" w:cs="华文细黑"/>
                <w:lang w:eastAsia="zh-CN"/>
              </w:rPr>
              <w:t>环境因素</w:t>
            </w:r>
            <w:r>
              <w:rPr>
                <w:rFonts w:hint="eastAsia" w:ascii="华文细黑" w:hAnsi="华文细黑" w:eastAsia="华文细黑" w:cs="华文细黑"/>
                <w:lang w:val="en-US" w:eastAsia="zh-CN"/>
              </w:rPr>
              <w:t>和危险源</w:t>
            </w:r>
          </w:p>
        </w:tc>
        <w:tc>
          <w:tcPr>
            <w:tcW w:w="1395" w:type="dxa"/>
            <w:vAlign w:val="top"/>
          </w:tcPr>
          <w:p w14:paraId="573D6014">
            <w:pPr>
              <w:bidi w:val="0"/>
              <w:rPr>
                <w:rFonts w:hint="eastAsia"/>
                <w:lang w:val="en-US" w:eastAsia="zh-CN"/>
              </w:rPr>
            </w:pPr>
            <w:r>
              <w:rPr>
                <w:rFonts w:hint="eastAsia"/>
                <w:lang w:val="en-US" w:eastAsia="zh-CN"/>
              </w:rPr>
              <w:t>EO</w:t>
            </w:r>
            <w:r>
              <w:rPr>
                <w:rFonts w:hint="eastAsia"/>
              </w:rPr>
              <w:t>6.1.2</w:t>
            </w:r>
          </w:p>
        </w:tc>
        <w:tc>
          <w:tcPr>
            <w:tcW w:w="10805" w:type="dxa"/>
            <w:vAlign w:val="center"/>
          </w:tcPr>
          <w:p w14:paraId="32B2F6A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根据手册第6.1.2条款、《危险源和环境因素识别、评价控制程序》要求，由综合部负责指导各部门环境因素的调查、评价、汇总、登记、审定及更新，各部门配合负责识别、评价所属范围的环境因素，有考虑产品生命周期的观点。</w:t>
            </w:r>
          </w:p>
          <w:p w14:paraId="0A11D2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抽查组织2025年1月15日确认的《重要环境因素清单》，组织识别的重要环境因素如下：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311"/>
              <w:gridCol w:w="1060"/>
              <w:gridCol w:w="1051"/>
              <w:gridCol w:w="983"/>
              <w:gridCol w:w="4294"/>
            </w:tblGrid>
            <w:tr w14:paraId="4E3B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noWrap w:val="0"/>
                  <w:vAlign w:val="center"/>
                </w:tcPr>
                <w:p w14:paraId="2C0103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序号</w:t>
                  </w:r>
                </w:p>
              </w:tc>
              <w:tc>
                <w:tcPr>
                  <w:tcW w:w="2311" w:type="dxa"/>
                  <w:noWrap w:val="0"/>
                  <w:vAlign w:val="center"/>
                </w:tcPr>
                <w:p w14:paraId="29A0C6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重要环境因素</w:t>
                  </w:r>
                </w:p>
              </w:tc>
              <w:tc>
                <w:tcPr>
                  <w:tcW w:w="1060" w:type="dxa"/>
                  <w:noWrap w:val="0"/>
                  <w:vAlign w:val="center"/>
                </w:tcPr>
                <w:p w14:paraId="5E733A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活动/产品/服务</w:t>
                  </w:r>
                </w:p>
              </w:tc>
              <w:tc>
                <w:tcPr>
                  <w:tcW w:w="0" w:type="auto"/>
                  <w:noWrap w:val="0"/>
                  <w:vAlign w:val="center"/>
                </w:tcPr>
                <w:p w14:paraId="59513E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所在部门</w:t>
                  </w:r>
                </w:p>
                <w:p w14:paraId="32B67ED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及工序</w:t>
                  </w:r>
                </w:p>
              </w:tc>
              <w:tc>
                <w:tcPr>
                  <w:tcW w:w="0" w:type="auto"/>
                  <w:noWrap w:val="0"/>
                  <w:vAlign w:val="center"/>
                </w:tcPr>
                <w:p w14:paraId="41462B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环境影响</w:t>
                  </w:r>
                </w:p>
              </w:tc>
              <w:tc>
                <w:tcPr>
                  <w:tcW w:w="0" w:type="auto"/>
                  <w:noWrap w:val="0"/>
                  <w:vAlign w:val="center"/>
                </w:tcPr>
                <w:p w14:paraId="2A3707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控制方法</w:t>
                  </w:r>
                </w:p>
              </w:tc>
            </w:tr>
            <w:tr w14:paraId="4EF5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0" w:type="auto"/>
                  <w:noWrap w:val="0"/>
                  <w:vAlign w:val="center"/>
                </w:tcPr>
                <w:p w14:paraId="33A617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2311" w:type="dxa"/>
                  <w:noWrap w:val="0"/>
                  <w:vAlign w:val="center"/>
                </w:tcPr>
                <w:p w14:paraId="622E5E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粉碎过程布袋除尘收集的粉尘、废包装材料、污水处理污泥和废活性炭的排放</w:t>
                  </w:r>
                </w:p>
              </w:tc>
              <w:tc>
                <w:tcPr>
                  <w:tcW w:w="1060" w:type="dxa"/>
                  <w:noWrap w:val="0"/>
                  <w:vAlign w:val="center"/>
                </w:tcPr>
                <w:p w14:paraId="67FFFF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0" w:type="auto"/>
                  <w:noWrap w:val="0"/>
                  <w:vAlign w:val="center"/>
                </w:tcPr>
                <w:p w14:paraId="1E9EF6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生产部</w:t>
                  </w:r>
                </w:p>
              </w:tc>
              <w:tc>
                <w:tcPr>
                  <w:tcW w:w="0" w:type="auto"/>
                  <w:noWrap w:val="0"/>
                  <w:vAlign w:val="center"/>
                </w:tcPr>
                <w:p w14:paraId="5D8DD6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土壤污染</w:t>
                  </w:r>
                </w:p>
              </w:tc>
              <w:tc>
                <w:tcPr>
                  <w:tcW w:w="0" w:type="auto"/>
                  <w:noWrap w:val="0"/>
                  <w:vAlign w:val="center"/>
                </w:tcPr>
                <w:p w14:paraId="6597DB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粉碎过程布袋除尘收集的粉尘和蔗糖脂肪酸酯反应废渣经处理后回用于生产，均回用于酯交换工序中：废包装材料、污水处理污泥和生活垃授委托杭州洁美昌盛保洁服务有限公司处置：废活性炭委托杭州沈达环境科技有限公司处置。</w:t>
                  </w:r>
                </w:p>
              </w:tc>
            </w:tr>
            <w:tr w14:paraId="1745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noWrap w:val="0"/>
                  <w:vAlign w:val="center"/>
                </w:tcPr>
                <w:p w14:paraId="55FF78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2311" w:type="dxa"/>
                  <w:noWrap w:val="0"/>
                  <w:vAlign w:val="center"/>
                </w:tcPr>
                <w:p w14:paraId="3F4B91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设备清洗废水、蒸汽冷凝废水、冷却废水、冷冻废水排放</w:t>
                  </w:r>
                </w:p>
              </w:tc>
              <w:tc>
                <w:tcPr>
                  <w:tcW w:w="1060" w:type="dxa"/>
                  <w:noWrap w:val="0"/>
                  <w:vAlign w:val="center"/>
                </w:tcPr>
                <w:p w14:paraId="7E560B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w:t>
                  </w:r>
                </w:p>
              </w:tc>
              <w:tc>
                <w:tcPr>
                  <w:tcW w:w="0" w:type="auto"/>
                  <w:noWrap w:val="0"/>
                  <w:vAlign w:val="center"/>
                </w:tcPr>
                <w:p w14:paraId="0CB4B5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各部门</w:t>
                  </w:r>
                </w:p>
              </w:tc>
              <w:tc>
                <w:tcPr>
                  <w:tcW w:w="0" w:type="auto"/>
                  <w:noWrap w:val="0"/>
                  <w:vAlign w:val="center"/>
                </w:tcPr>
                <w:p w14:paraId="73B0AE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 xml:space="preserve"> 水体污染</w:t>
                  </w:r>
                </w:p>
              </w:tc>
              <w:tc>
                <w:tcPr>
                  <w:tcW w:w="0" w:type="auto"/>
                  <w:noWrap w:val="0"/>
                  <w:vAlign w:val="center"/>
                </w:tcPr>
                <w:p w14:paraId="340F14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进入污水管道</w:t>
                  </w:r>
                </w:p>
              </w:tc>
            </w:tr>
            <w:tr w14:paraId="4779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noWrap w:val="0"/>
                  <w:vAlign w:val="center"/>
                </w:tcPr>
                <w:p w14:paraId="5091B7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2311" w:type="dxa"/>
                  <w:noWrap w:val="0"/>
                  <w:vAlign w:val="center"/>
                </w:tcPr>
                <w:p w14:paraId="5A76A1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乙醇气体的挥发；</w:t>
                  </w:r>
                </w:p>
                <w:p w14:paraId="644361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粉碎粉尘、污水站恶臭</w:t>
                  </w:r>
                </w:p>
                <w:p w14:paraId="57323A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蒸汽发生器燃烧废气排放</w:t>
                  </w:r>
                </w:p>
              </w:tc>
              <w:tc>
                <w:tcPr>
                  <w:tcW w:w="1060" w:type="dxa"/>
                  <w:noWrap w:val="0"/>
                  <w:vAlign w:val="center"/>
                </w:tcPr>
                <w:p w14:paraId="492774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 xml:space="preserve">生产过程、污水站 </w:t>
                  </w:r>
                </w:p>
              </w:tc>
              <w:tc>
                <w:tcPr>
                  <w:tcW w:w="0" w:type="auto"/>
                  <w:noWrap w:val="0"/>
                  <w:vAlign w:val="center"/>
                </w:tcPr>
                <w:p w14:paraId="1BAC22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w:t>
                  </w:r>
                </w:p>
              </w:tc>
              <w:tc>
                <w:tcPr>
                  <w:tcW w:w="0" w:type="auto"/>
                  <w:noWrap w:val="0"/>
                  <w:vAlign w:val="center"/>
                </w:tcPr>
                <w:p w14:paraId="4226ED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大气污染</w:t>
                  </w:r>
                </w:p>
              </w:tc>
              <w:tc>
                <w:tcPr>
                  <w:tcW w:w="0" w:type="auto"/>
                  <w:noWrap w:val="0"/>
                  <w:vAlign w:val="center"/>
                </w:tcPr>
                <w:p w14:paraId="2D3EC1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①乙醇气体经冷凝回收；②粉碎粉尘经布袋除尘器收集后在车间内无组织排放；③对污水处理构筑物加盖密封，污水站废气收集后经活性炭吸附处理后通过20米高排气筒排放；④天然气燃烧废气通过15米高排气筒高空排放</w:t>
                  </w:r>
                </w:p>
              </w:tc>
            </w:tr>
            <w:tr w14:paraId="090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0" w:type="auto"/>
                  <w:noWrap w:val="0"/>
                  <w:vAlign w:val="center"/>
                </w:tcPr>
                <w:p w14:paraId="4C4CB3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2311" w:type="dxa"/>
                  <w:noWrap w:val="0"/>
                  <w:vAlign w:val="center"/>
                </w:tcPr>
                <w:p w14:paraId="6CCB00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噪声的排放</w:t>
                  </w:r>
                </w:p>
              </w:tc>
              <w:tc>
                <w:tcPr>
                  <w:tcW w:w="1060" w:type="dxa"/>
                  <w:noWrap w:val="0"/>
                  <w:vAlign w:val="center"/>
                </w:tcPr>
                <w:p w14:paraId="64CE96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生产设备的运行</w:t>
                  </w:r>
                </w:p>
              </w:tc>
              <w:tc>
                <w:tcPr>
                  <w:tcW w:w="0" w:type="auto"/>
                  <w:noWrap w:val="0"/>
                  <w:vAlign w:val="center"/>
                </w:tcPr>
                <w:p w14:paraId="5B7438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生产部</w:t>
                  </w:r>
                </w:p>
              </w:tc>
              <w:tc>
                <w:tcPr>
                  <w:tcW w:w="0" w:type="auto"/>
                  <w:noWrap w:val="0"/>
                  <w:vAlign w:val="center"/>
                </w:tcPr>
                <w:p w14:paraId="0E360E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环境噪声</w:t>
                  </w:r>
                </w:p>
              </w:tc>
              <w:tc>
                <w:tcPr>
                  <w:tcW w:w="0" w:type="auto"/>
                  <w:noWrap w:val="0"/>
                  <w:vAlign w:val="center"/>
                </w:tcPr>
                <w:p w14:paraId="60F4AEA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加强对设备的维护保养，杜绝带病作业的设备；</w:t>
                  </w:r>
                </w:p>
                <w:p w14:paraId="06029B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在更新设备时考虑采用低噪音、低能耗的设备</w:t>
                  </w:r>
                </w:p>
              </w:tc>
            </w:tr>
            <w:tr w14:paraId="4315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0" w:type="auto"/>
                  <w:noWrap w:val="0"/>
                  <w:vAlign w:val="center"/>
                </w:tcPr>
                <w:p w14:paraId="702CD7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2311" w:type="dxa"/>
                  <w:noWrap w:val="0"/>
                  <w:vAlign w:val="center"/>
                </w:tcPr>
                <w:p w14:paraId="76FA34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化学品泄漏</w:t>
                  </w:r>
                </w:p>
              </w:tc>
              <w:tc>
                <w:tcPr>
                  <w:tcW w:w="1060" w:type="dxa"/>
                  <w:noWrap w:val="0"/>
                  <w:vAlign w:val="center"/>
                </w:tcPr>
                <w:p w14:paraId="7C585E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储存过程</w:t>
                  </w:r>
                </w:p>
              </w:tc>
              <w:tc>
                <w:tcPr>
                  <w:tcW w:w="0" w:type="auto"/>
                  <w:noWrap w:val="0"/>
                  <w:vAlign w:val="center"/>
                </w:tcPr>
                <w:p w14:paraId="0E86E6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仓库</w:t>
                  </w:r>
                </w:p>
              </w:tc>
              <w:tc>
                <w:tcPr>
                  <w:tcW w:w="0" w:type="auto"/>
                  <w:noWrap w:val="0"/>
                  <w:vAlign w:val="center"/>
                </w:tcPr>
                <w:p w14:paraId="1FF5EF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土壤污染</w:t>
                  </w:r>
                </w:p>
              </w:tc>
              <w:tc>
                <w:tcPr>
                  <w:tcW w:w="0" w:type="auto"/>
                  <w:noWrap w:val="0"/>
                  <w:vAlign w:val="center"/>
                </w:tcPr>
                <w:p w14:paraId="74260B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环境管理方案、</w:t>
                  </w:r>
                </w:p>
                <w:p w14:paraId="7B14B4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应急准备和响应程序</w:t>
                  </w:r>
                </w:p>
              </w:tc>
            </w:tr>
            <w:tr w14:paraId="6C89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0" w:type="auto"/>
                  <w:noWrap w:val="0"/>
                  <w:vAlign w:val="center"/>
                </w:tcPr>
                <w:p w14:paraId="380E53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2311" w:type="dxa"/>
                  <w:noWrap w:val="0"/>
                  <w:vAlign w:val="center"/>
                </w:tcPr>
                <w:p w14:paraId="2C282E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潜在火灾</w:t>
                  </w:r>
                </w:p>
              </w:tc>
              <w:tc>
                <w:tcPr>
                  <w:tcW w:w="1060" w:type="dxa"/>
                  <w:noWrap w:val="0"/>
                  <w:vAlign w:val="center"/>
                </w:tcPr>
                <w:p w14:paraId="4A63A0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易燃化学品、纸张、纸箱等材料遇明火</w:t>
                  </w:r>
                </w:p>
              </w:tc>
              <w:tc>
                <w:tcPr>
                  <w:tcW w:w="0" w:type="auto"/>
                  <w:noWrap w:val="0"/>
                  <w:vAlign w:val="center"/>
                </w:tcPr>
                <w:p w14:paraId="66BAE3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生产部、各部门</w:t>
                  </w:r>
                </w:p>
              </w:tc>
              <w:tc>
                <w:tcPr>
                  <w:tcW w:w="0" w:type="auto"/>
                  <w:noWrap w:val="0"/>
                  <w:vAlign w:val="center"/>
                </w:tcPr>
                <w:p w14:paraId="178DDB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大气、土壤</w:t>
                  </w:r>
                </w:p>
              </w:tc>
              <w:tc>
                <w:tcPr>
                  <w:tcW w:w="0" w:type="auto"/>
                  <w:noWrap w:val="0"/>
                  <w:vAlign w:val="center"/>
                </w:tcPr>
                <w:p w14:paraId="69BC4C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环境管理方案、</w:t>
                  </w:r>
                </w:p>
                <w:p w14:paraId="42044B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应急准备和响应程序</w:t>
                  </w:r>
                </w:p>
              </w:tc>
            </w:tr>
          </w:tbl>
          <w:p w14:paraId="794527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重要环境因素识别、评价均与实际吻合，运行控制措施基本能够满足控制要求。</w:t>
            </w:r>
          </w:p>
          <w:p w14:paraId="77E620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组织根据手册第6.1.2条款、《危险源和环境因素识别、评价控制程序》要求，由综合部负责指导各部门危险源的调查、评价、汇总、登记、审定及更新，各部门配合负责识别、评价所属范围的危险源。</w:t>
            </w:r>
          </w:p>
          <w:p w14:paraId="3751FB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抽查组织2025年1月15日《重要危险源清单》，组织识别的重要危险源如下：</w:t>
            </w:r>
          </w:p>
          <w:tbl>
            <w:tblPr>
              <w:tblStyle w:val="8"/>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398"/>
              <w:gridCol w:w="1706"/>
              <w:gridCol w:w="1174"/>
              <w:gridCol w:w="3088"/>
            </w:tblGrid>
            <w:tr w14:paraId="271A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213" w:type="dxa"/>
                  <w:noWrap w:val="0"/>
                  <w:vAlign w:val="center"/>
                </w:tcPr>
                <w:p w14:paraId="7FE81A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类 别</w:t>
                  </w:r>
                </w:p>
              </w:tc>
              <w:tc>
                <w:tcPr>
                  <w:tcW w:w="3398" w:type="dxa"/>
                  <w:noWrap w:val="0"/>
                  <w:vAlign w:val="center"/>
                </w:tcPr>
                <w:p w14:paraId="1B8A1D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  险  源</w:t>
                  </w:r>
                </w:p>
              </w:tc>
              <w:tc>
                <w:tcPr>
                  <w:tcW w:w="1706" w:type="dxa"/>
                  <w:noWrap w:val="0"/>
                  <w:vAlign w:val="center"/>
                </w:tcPr>
                <w:p w14:paraId="56EC7B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活动部位/阶段</w:t>
                  </w:r>
                </w:p>
              </w:tc>
              <w:tc>
                <w:tcPr>
                  <w:tcW w:w="1174" w:type="dxa"/>
                  <w:noWrap w:val="0"/>
                  <w:vAlign w:val="center"/>
                </w:tcPr>
                <w:p w14:paraId="5B790B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影响范围</w:t>
                  </w:r>
                </w:p>
                <w:p w14:paraId="02F690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/性质</w:t>
                  </w:r>
                </w:p>
              </w:tc>
              <w:tc>
                <w:tcPr>
                  <w:tcW w:w="3088" w:type="dxa"/>
                  <w:noWrap w:val="0"/>
                  <w:vAlign w:val="center"/>
                </w:tcPr>
                <w:p w14:paraId="17BD72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管理方式</w:t>
                  </w:r>
                </w:p>
              </w:tc>
            </w:tr>
            <w:tr w14:paraId="7E5B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213" w:type="dxa"/>
                  <w:vMerge w:val="restart"/>
                  <w:noWrap w:val="0"/>
                  <w:vAlign w:val="center"/>
                </w:tcPr>
                <w:p w14:paraId="5E8285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火灾</w:t>
                  </w:r>
                </w:p>
              </w:tc>
              <w:tc>
                <w:tcPr>
                  <w:tcW w:w="3398" w:type="dxa"/>
                  <w:noWrap w:val="0"/>
                  <w:vAlign w:val="center"/>
                </w:tcPr>
                <w:p w14:paraId="0D052C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现场违章操作、甲醇泄露用电、用火、纸箱等易燃物品的贮藏、使用不当</w:t>
                  </w:r>
                </w:p>
              </w:tc>
              <w:tc>
                <w:tcPr>
                  <w:tcW w:w="1706" w:type="dxa"/>
                  <w:noWrap w:val="0"/>
                  <w:vAlign w:val="center"/>
                </w:tcPr>
                <w:p w14:paraId="23C9ED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p w14:paraId="1A2D21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仓储过程</w:t>
                  </w:r>
                </w:p>
              </w:tc>
              <w:tc>
                <w:tcPr>
                  <w:tcW w:w="1174" w:type="dxa"/>
                  <w:noWrap w:val="0"/>
                  <w:vAlign w:val="center"/>
                </w:tcPr>
                <w:p w14:paraId="6BC3B2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vMerge w:val="restart"/>
                  <w:noWrap w:val="0"/>
                  <w:vAlign w:val="center"/>
                </w:tcPr>
                <w:p w14:paraId="0E6877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按《应急方案》执行</w:t>
                  </w:r>
                </w:p>
              </w:tc>
            </w:tr>
            <w:tr w14:paraId="6E33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3" w:type="dxa"/>
                  <w:vMerge w:val="continue"/>
                  <w:tcBorders>
                    <w:bottom w:val="single" w:color="auto" w:sz="4" w:space="0"/>
                  </w:tcBorders>
                  <w:noWrap w:val="0"/>
                  <w:vAlign w:val="top"/>
                </w:tcPr>
                <w:p w14:paraId="270922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3398" w:type="dxa"/>
                  <w:tcBorders>
                    <w:bottom w:val="single" w:color="auto" w:sz="4" w:space="0"/>
                  </w:tcBorders>
                  <w:noWrap w:val="0"/>
                  <w:vAlign w:val="center"/>
                </w:tcPr>
                <w:p w14:paraId="7A36BF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仓库点明火、物料堆场未分类</w:t>
                  </w:r>
                </w:p>
              </w:tc>
              <w:tc>
                <w:tcPr>
                  <w:tcW w:w="1706" w:type="dxa"/>
                  <w:tcBorders>
                    <w:bottom w:val="single" w:color="auto" w:sz="4" w:space="0"/>
                  </w:tcBorders>
                  <w:noWrap w:val="0"/>
                  <w:vAlign w:val="center"/>
                </w:tcPr>
                <w:p w14:paraId="231D2B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p w14:paraId="62127A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仓储过程</w:t>
                  </w:r>
                </w:p>
              </w:tc>
              <w:tc>
                <w:tcPr>
                  <w:tcW w:w="1174" w:type="dxa"/>
                  <w:tcBorders>
                    <w:bottom w:val="single" w:color="auto" w:sz="4" w:space="0"/>
                  </w:tcBorders>
                  <w:noWrap w:val="0"/>
                  <w:vAlign w:val="center"/>
                </w:tcPr>
                <w:p w14:paraId="110B70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vMerge w:val="continue"/>
                  <w:tcBorders>
                    <w:bottom w:val="single" w:color="auto" w:sz="4" w:space="0"/>
                  </w:tcBorders>
                  <w:noWrap w:val="0"/>
                  <w:vAlign w:val="center"/>
                </w:tcPr>
                <w:p w14:paraId="55AD22E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r>
            <w:tr w14:paraId="059A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213" w:type="dxa"/>
                  <w:vMerge w:val="restart"/>
                  <w:noWrap w:val="0"/>
                  <w:vAlign w:val="center"/>
                </w:tcPr>
                <w:p w14:paraId="4B66C2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触 电</w:t>
                  </w:r>
                </w:p>
              </w:tc>
              <w:tc>
                <w:tcPr>
                  <w:tcW w:w="3398" w:type="dxa"/>
                  <w:tcBorders>
                    <w:bottom w:val="single" w:color="auto" w:sz="4" w:space="0"/>
                  </w:tcBorders>
                  <w:noWrap w:val="0"/>
                  <w:vAlign w:val="center"/>
                </w:tcPr>
                <w:p w14:paraId="624B78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外电线路漏电、短路等</w:t>
                  </w:r>
                </w:p>
              </w:tc>
              <w:tc>
                <w:tcPr>
                  <w:tcW w:w="1706" w:type="dxa"/>
                  <w:noWrap w:val="0"/>
                  <w:vAlign w:val="center"/>
                </w:tcPr>
                <w:p w14:paraId="2E3104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tcBorders>
                    <w:bottom w:val="single" w:color="auto" w:sz="4" w:space="0"/>
                  </w:tcBorders>
                  <w:noWrap w:val="0"/>
                  <w:vAlign w:val="center"/>
                </w:tcPr>
                <w:p w14:paraId="1138E9F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vMerge w:val="restart"/>
                  <w:noWrap w:val="0"/>
                  <w:vAlign w:val="center"/>
                </w:tcPr>
                <w:p w14:paraId="5BD0A4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按《应急方案》执行</w:t>
                  </w:r>
                </w:p>
              </w:tc>
            </w:tr>
            <w:tr w14:paraId="3319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213" w:type="dxa"/>
                  <w:vMerge w:val="continue"/>
                  <w:tcBorders>
                    <w:bottom w:val="single" w:color="auto" w:sz="4" w:space="0"/>
                  </w:tcBorders>
                  <w:noWrap w:val="0"/>
                  <w:vAlign w:val="center"/>
                </w:tcPr>
                <w:p w14:paraId="3DB0D5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3398" w:type="dxa"/>
                  <w:tcBorders>
                    <w:bottom w:val="single" w:color="auto" w:sz="4" w:space="0"/>
                  </w:tcBorders>
                  <w:noWrap w:val="0"/>
                  <w:vAlign w:val="center"/>
                </w:tcPr>
                <w:p w14:paraId="27F069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加工设备的不当用电</w:t>
                  </w:r>
                </w:p>
              </w:tc>
              <w:tc>
                <w:tcPr>
                  <w:tcW w:w="1706" w:type="dxa"/>
                  <w:tcBorders>
                    <w:bottom w:val="single" w:color="auto" w:sz="4" w:space="0"/>
                  </w:tcBorders>
                  <w:noWrap w:val="0"/>
                  <w:vAlign w:val="center"/>
                </w:tcPr>
                <w:p w14:paraId="6DABFC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tcBorders>
                    <w:bottom w:val="single" w:color="auto" w:sz="4" w:space="0"/>
                  </w:tcBorders>
                  <w:noWrap w:val="0"/>
                  <w:vAlign w:val="center"/>
                </w:tcPr>
                <w:p w14:paraId="4233D5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vMerge w:val="continue"/>
                  <w:tcBorders>
                    <w:bottom w:val="single" w:color="auto" w:sz="4" w:space="0"/>
                  </w:tcBorders>
                  <w:noWrap w:val="0"/>
                  <w:vAlign w:val="center"/>
                </w:tcPr>
                <w:p w14:paraId="0A0E33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r>
            <w:tr w14:paraId="756F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13" w:type="dxa"/>
                  <w:noWrap w:val="0"/>
                  <w:vAlign w:val="center"/>
                </w:tcPr>
                <w:p w14:paraId="30EB4C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机械伤害</w:t>
                  </w:r>
                </w:p>
              </w:tc>
              <w:tc>
                <w:tcPr>
                  <w:tcW w:w="3398" w:type="dxa"/>
                  <w:noWrap w:val="0"/>
                  <w:vAlign w:val="center"/>
                </w:tcPr>
                <w:p w14:paraId="54D9A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机械设备的不当操作</w:t>
                  </w:r>
                </w:p>
              </w:tc>
              <w:tc>
                <w:tcPr>
                  <w:tcW w:w="1706" w:type="dxa"/>
                  <w:noWrap w:val="0"/>
                  <w:vAlign w:val="center"/>
                </w:tcPr>
                <w:p w14:paraId="767350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noWrap w:val="0"/>
                  <w:vAlign w:val="center"/>
                </w:tcPr>
                <w:p w14:paraId="371B5A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noWrap w:val="0"/>
                  <w:vAlign w:val="center"/>
                </w:tcPr>
                <w:p w14:paraId="4755C2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按《设备操作规程》执行</w:t>
                  </w:r>
                </w:p>
                <w:p w14:paraId="2DB0BB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w:t>
                  </w:r>
                </w:p>
              </w:tc>
            </w:tr>
            <w:tr w14:paraId="575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3" w:type="dxa"/>
                  <w:noWrap w:val="0"/>
                  <w:vAlign w:val="center"/>
                </w:tcPr>
                <w:p w14:paraId="6AE145A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噪声伤害</w:t>
                  </w:r>
                </w:p>
              </w:tc>
              <w:tc>
                <w:tcPr>
                  <w:tcW w:w="3398" w:type="dxa"/>
                  <w:noWrap w:val="0"/>
                  <w:vAlign w:val="center"/>
                </w:tcPr>
                <w:p w14:paraId="293A30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反应釜、粉碎机等设备运行</w:t>
                  </w:r>
                </w:p>
              </w:tc>
              <w:tc>
                <w:tcPr>
                  <w:tcW w:w="1706" w:type="dxa"/>
                  <w:noWrap w:val="0"/>
                  <w:vAlign w:val="center"/>
                </w:tcPr>
                <w:p w14:paraId="4CAA47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noWrap w:val="0"/>
                  <w:vAlign w:val="center"/>
                </w:tcPr>
                <w:p w14:paraId="6583CB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noWrap w:val="0"/>
                  <w:vAlign w:val="center"/>
                </w:tcPr>
                <w:p w14:paraId="61A504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做好个人防护</w:t>
                  </w:r>
                </w:p>
              </w:tc>
            </w:tr>
            <w:tr w14:paraId="44D4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213" w:type="dxa"/>
                  <w:noWrap w:val="0"/>
                  <w:vAlign w:val="center"/>
                </w:tcPr>
                <w:p w14:paraId="7BB169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化学品接触伤害</w:t>
                  </w:r>
                </w:p>
              </w:tc>
              <w:tc>
                <w:tcPr>
                  <w:tcW w:w="3398" w:type="dxa"/>
                  <w:noWrap w:val="0"/>
                  <w:vAlign w:val="center"/>
                </w:tcPr>
                <w:p w14:paraId="212A0D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化学品泄露、接触各种化学品</w:t>
                  </w:r>
                </w:p>
              </w:tc>
              <w:tc>
                <w:tcPr>
                  <w:tcW w:w="1706" w:type="dxa"/>
                  <w:noWrap w:val="0"/>
                  <w:vAlign w:val="center"/>
                </w:tcPr>
                <w:p w14:paraId="5F43EB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noWrap w:val="0"/>
                  <w:vAlign w:val="center"/>
                </w:tcPr>
                <w:p w14:paraId="5E7049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noWrap w:val="0"/>
                  <w:vAlign w:val="center"/>
                </w:tcPr>
                <w:p w14:paraId="42E46E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做好警示、应急预案</w:t>
                  </w:r>
                </w:p>
              </w:tc>
            </w:tr>
            <w:tr w14:paraId="500B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3" w:type="dxa"/>
                  <w:noWrap w:val="0"/>
                  <w:vAlign w:val="center"/>
                </w:tcPr>
                <w:p w14:paraId="59C62E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高温烫伤</w:t>
                  </w:r>
                </w:p>
              </w:tc>
              <w:tc>
                <w:tcPr>
                  <w:tcW w:w="3398" w:type="dxa"/>
                  <w:noWrap w:val="0"/>
                  <w:vAlign w:val="center"/>
                </w:tcPr>
                <w:p w14:paraId="359FC0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设备运行高温</w:t>
                  </w:r>
                </w:p>
              </w:tc>
              <w:tc>
                <w:tcPr>
                  <w:tcW w:w="1706" w:type="dxa"/>
                  <w:noWrap w:val="0"/>
                  <w:vAlign w:val="center"/>
                </w:tcPr>
                <w:p w14:paraId="0A80C5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noWrap w:val="0"/>
                  <w:vAlign w:val="center"/>
                </w:tcPr>
                <w:p w14:paraId="4A7EBD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人身伤亡</w:t>
                  </w:r>
                </w:p>
              </w:tc>
              <w:tc>
                <w:tcPr>
                  <w:tcW w:w="3088" w:type="dxa"/>
                  <w:noWrap w:val="0"/>
                  <w:vAlign w:val="center"/>
                </w:tcPr>
                <w:p w14:paraId="3D80526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做好警示、应急预案</w:t>
                  </w:r>
                </w:p>
              </w:tc>
            </w:tr>
            <w:tr w14:paraId="76AD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213" w:type="dxa"/>
                  <w:noWrap w:val="0"/>
                  <w:vAlign w:val="center"/>
                </w:tcPr>
                <w:p w14:paraId="2936DC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粉尘吸入</w:t>
                  </w:r>
                </w:p>
              </w:tc>
              <w:tc>
                <w:tcPr>
                  <w:tcW w:w="3398" w:type="dxa"/>
                  <w:noWrap w:val="0"/>
                  <w:vAlign w:val="center"/>
                </w:tcPr>
                <w:p w14:paraId="4A73E3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炒制粉尘产生、投料粉尘</w:t>
                  </w:r>
                </w:p>
              </w:tc>
              <w:tc>
                <w:tcPr>
                  <w:tcW w:w="1706" w:type="dxa"/>
                  <w:noWrap w:val="0"/>
                  <w:vAlign w:val="center"/>
                </w:tcPr>
                <w:p w14:paraId="5C1B1E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生产过程</w:t>
                  </w:r>
                </w:p>
              </w:tc>
              <w:tc>
                <w:tcPr>
                  <w:tcW w:w="1174" w:type="dxa"/>
                  <w:noWrap w:val="0"/>
                  <w:vAlign w:val="center"/>
                </w:tcPr>
                <w:p w14:paraId="7B739F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人身伤害</w:t>
                  </w:r>
                </w:p>
              </w:tc>
              <w:tc>
                <w:tcPr>
                  <w:tcW w:w="3088" w:type="dxa"/>
                  <w:noWrap w:val="0"/>
                  <w:vAlign w:val="center"/>
                </w:tcPr>
                <w:p w14:paraId="2309842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有毒有害物质管理规定</w:t>
                  </w:r>
                </w:p>
                <w:p w14:paraId="7AB65E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管理方案</w:t>
                  </w:r>
                </w:p>
              </w:tc>
            </w:tr>
            <w:tr w14:paraId="21F0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13" w:type="dxa"/>
                  <w:noWrap w:val="0"/>
                  <w:vAlign w:val="center"/>
                </w:tcPr>
                <w:p w14:paraId="532BAE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交通安全</w:t>
                  </w:r>
                </w:p>
              </w:tc>
              <w:tc>
                <w:tcPr>
                  <w:tcW w:w="3398" w:type="dxa"/>
                  <w:noWrap w:val="0"/>
                  <w:vAlign w:val="center"/>
                </w:tcPr>
                <w:p w14:paraId="6001F9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潜在交通事故</w:t>
                  </w:r>
                </w:p>
              </w:tc>
              <w:tc>
                <w:tcPr>
                  <w:tcW w:w="1706" w:type="dxa"/>
                  <w:noWrap w:val="0"/>
                  <w:vAlign w:val="center"/>
                </w:tcPr>
                <w:p w14:paraId="465F8D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上下班、出差</w:t>
                  </w:r>
                </w:p>
              </w:tc>
              <w:tc>
                <w:tcPr>
                  <w:tcW w:w="1174" w:type="dxa"/>
                  <w:noWrap w:val="0"/>
                  <w:vAlign w:val="center"/>
                </w:tcPr>
                <w:p w14:paraId="2D84DC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人身伤害</w:t>
                  </w:r>
                </w:p>
              </w:tc>
              <w:tc>
                <w:tcPr>
                  <w:tcW w:w="3088" w:type="dxa"/>
                  <w:noWrap w:val="0"/>
                  <w:vAlign w:val="center"/>
                </w:tcPr>
                <w:p w14:paraId="7C168A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制度、运行控制</w:t>
                  </w:r>
                </w:p>
              </w:tc>
            </w:tr>
            <w:tr w14:paraId="3B45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1213" w:type="dxa"/>
                  <w:tcBorders>
                    <w:bottom w:val="single" w:color="auto" w:sz="4" w:space="0"/>
                  </w:tcBorders>
                  <w:noWrap w:val="0"/>
                  <w:vAlign w:val="center"/>
                </w:tcPr>
                <w:p w14:paraId="1DF037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职业健康安全</w:t>
                  </w:r>
                </w:p>
              </w:tc>
              <w:tc>
                <w:tcPr>
                  <w:tcW w:w="3398" w:type="dxa"/>
                  <w:tcBorders>
                    <w:bottom w:val="single" w:color="auto" w:sz="4" w:space="0"/>
                  </w:tcBorders>
                  <w:noWrap w:val="0"/>
                  <w:vAlign w:val="center"/>
                </w:tcPr>
                <w:p w14:paraId="531B23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职业病的发生</w:t>
                  </w:r>
                </w:p>
                <w:p w14:paraId="4252A9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传染病的传播</w:t>
                  </w:r>
                </w:p>
              </w:tc>
              <w:tc>
                <w:tcPr>
                  <w:tcW w:w="1706" w:type="dxa"/>
                  <w:tcBorders>
                    <w:bottom w:val="single" w:color="auto" w:sz="4" w:space="0"/>
                  </w:tcBorders>
                  <w:noWrap w:val="0"/>
                  <w:vAlign w:val="center"/>
                </w:tcPr>
                <w:p w14:paraId="34277E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工作过程</w:t>
                  </w:r>
                </w:p>
              </w:tc>
              <w:tc>
                <w:tcPr>
                  <w:tcW w:w="1174" w:type="dxa"/>
                  <w:tcBorders>
                    <w:bottom w:val="single" w:color="auto" w:sz="4" w:space="0"/>
                  </w:tcBorders>
                  <w:noWrap w:val="0"/>
                  <w:vAlign w:val="center"/>
                </w:tcPr>
                <w:p w14:paraId="0E8A9C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职业健康安全</w:t>
                  </w:r>
                </w:p>
              </w:tc>
              <w:tc>
                <w:tcPr>
                  <w:tcW w:w="3088" w:type="dxa"/>
                  <w:tcBorders>
                    <w:bottom w:val="single" w:color="auto" w:sz="4" w:space="0"/>
                  </w:tcBorders>
                  <w:noWrap w:val="0"/>
                  <w:vAlign w:val="center"/>
                </w:tcPr>
                <w:p w14:paraId="63D6EC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1.规范操作，佩戴防护用具</w:t>
                  </w:r>
                </w:p>
                <w:p w14:paraId="565FA9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2.定期进行体检</w:t>
                  </w:r>
                </w:p>
                <w:p w14:paraId="3AFF51B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3.制定应急预案，全员进行安全知识培训，提高自我防护意识</w:t>
                  </w:r>
                </w:p>
              </w:tc>
            </w:tr>
          </w:tbl>
          <w:p w14:paraId="14E179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重要危险源识别、评价与实际吻合，运行控制措施基本能够满足控制要求。</w:t>
            </w:r>
          </w:p>
          <w:p w14:paraId="4BF2AB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重要环境因素和重要危险源的管理控制措施由综合部统筹监督，从提供的内部检查记录看，组织的重要环境因素和重要危险源的措施及其方案管理处于有效状态。</w:t>
            </w:r>
          </w:p>
        </w:tc>
        <w:tc>
          <w:tcPr>
            <w:tcW w:w="709" w:type="dxa"/>
            <w:vAlign w:val="top"/>
          </w:tcPr>
          <w:p w14:paraId="7EB87380">
            <w:pPr>
              <w:rPr>
                <w:rFonts w:hint="eastAsia" w:ascii="华文细黑" w:hAnsi="华文细黑" w:eastAsia="华文细黑" w:cs="华文细黑"/>
                <w:kern w:val="2"/>
                <w:sz w:val="21"/>
                <w:highlight w:val="none"/>
                <w:lang w:val="en-US" w:eastAsia="zh-CN" w:bidi="ar-SA"/>
              </w:rPr>
            </w:pPr>
            <w:r>
              <w:rPr>
                <w:rFonts w:hint="eastAsia" w:ascii="华文细黑" w:hAnsi="华文细黑" w:eastAsia="华文细黑" w:cs="华文细黑"/>
                <w:highlight w:val="none"/>
                <w:lang w:val="en-US" w:eastAsia="zh-CN"/>
              </w:rPr>
              <w:t>Y</w:t>
            </w:r>
          </w:p>
        </w:tc>
      </w:tr>
      <w:tr w14:paraId="704C0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7829FF64">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法律法规和其他要求和合规性评价</w:t>
            </w:r>
          </w:p>
        </w:tc>
        <w:tc>
          <w:tcPr>
            <w:tcW w:w="1395" w:type="dxa"/>
            <w:vAlign w:val="top"/>
          </w:tcPr>
          <w:p w14:paraId="70572812">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EO：6.1.3</w:t>
            </w:r>
          </w:p>
          <w:p w14:paraId="281EEF6D">
            <w:pPr>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EO：9.1.2</w:t>
            </w:r>
          </w:p>
          <w:p w14:paraId="21DCCA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p>
        </w:tc>
        <w:tc>
          <w:tcPr>
            <w:tcW w:w="10805" w:type="dxa"/>
            <w:vAlign w:val="top"/>
          </w:tcPr>
          <w:p w14:paraId="0A21C2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有《文件控制程序》、《合规性评价控制程序》等，</w:t>
            </w:r>
          </w:p>
          <w:p w14:paraId="0E8C69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提供公司适用的法律法规及要求清单，主要有《中华人民共和国环境保护法》、《中华人民共和国水污染防治法》、《中华人民共和国大气污染防治法》、《中华人民共和国固体废物污染环境防治法》、《国家危险废物名录》、《建设项目环境影响评价分类管理名录》、《排污许可管理条例》等；识别职业健康安全相关法律法规及其他要求包括：《中华人民共和国安全生产法》、《生产经营单位安全培训规定》、《建设项目职业病危害风险分类管理目录2021年版》、《中华人民共和国消防法（2019年修订）》、《工作场所职业病危害警示标识 》等。</w:t>
            </w:r>
          </w:p>
          <w:p w14:paraId="7B4CAA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获取方式：网上查录或购买，经查阅为现行有效版本，目前满足体系运行需要。</w:t>
            </w:r>
          </w:p>
          <w:p w14:paraId="3D7DC7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查2025年1月15日进行合规性评价，提供了《法律法规及其他要求评价表（环境）》《法律法规及其他要求评价表（职业健康安全）》，内容包括：活动场所/产品/服务、重要环境因素、不可接受风险、现有控制措施、适用的法律法规及其对应条款、符合性评价等。</w:t>
            </w:r>
          </w:p>
          <w:p w14:paraId="1010F76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评价了相关的法律法规，涉及火灾、固废排放、资源消耗、机械伤害、触电等</w:t>
            </w:r>
          </w:p>
          <w:p w14:paraId="10C4F3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价结果：公司能够按照有关法律法规、公司文件进行控制、检查，能够遵守国家、地方的法律法规，合规性评价符合要求。</w:t>
            </w:r>
          </w:p>
        </w:tc>
        <w:tc>
          <w:tcPr>
            <w:tcW w:w="709" w:type="dxa"/>
            <w:vAlign w:val="top"/>
          </w:tcPr>
          <w:p w14:paraId="03208255">
            <w:pPr>
              <w:bidi w:val="0"/>
              <w:rPr>
                <w:rFonts w:hint="eastAsia"/>
                <w:lang w:val="en-US" w:eastAsia="zh-CN"/>
              </w:rPr>
            </w:pPr>
          </w:p>
        </w:tc>
      </w:tr>
      <w:tr w14:paraId="1FF56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0E54B011">
            <w:pPr>
              <w:bidi w:val="0"/>
              <w:rPr>
                <w:rFonts w:hint="default"/>
                <w:lang w:val="en-US" w:eastAsia="zh-CN"/>
              </w:rPr>
            </w:pPr>
            <w:r>
              <w:rPr>
                <w:rFonts w:hint="eastAsia"/>
                <w:lang w:val="en-US" w:eastAsia="zh-CN"/>
              </w:rPr>
              <w:t>人力资源管理</w:t>
            </w:r>
          </w:p>
        </w:tc>
        <w:tc>
          <w:tcPr>
            <w:tcW w:w="1395" w:type="dxa"/>
            <w:vAlign w:val="top"/>
          </w:tcPr>
          <w:p w14:paraId="3DBFCCF0">
            <w:pPr>
              <w:bidi w:val="0"/>
              <w:rPr>
                <w:rFonts w:hint="default"/>
                <w:lang w:val="en-US" w:eastAsia="zh-CN"/>
              </w:rPr>
            </w:pPr>
            <w:r>
              <w:rPr>
                <w:rFonts w:hint="eastAsia"/>
                <w:lang w:val="en-US" w:eastAsia="zh-CN"/>
              </w:rPr>
              <w:t>EO7.2/7.3</w:t>
            </w:r>
          </w:p>
        </w:tc>
        <w:tc>
          <w:tcPr>
            <w:tcW w:w="10805" w:type="dxa"/>
            <w:vAlign w:val="center"/>
          </w:tcPr>
          <w:p w14:paraId="1D07A9E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编制执行《人力资源控制程序》，对人力资源配备、培训计划与实施，考核与认可等予以规定。</w:t>
            </w:r>
          </w:p>
          <w:p w14:paraId="090BB7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编制了岗位职责管理文件，对总经理、管代、各部门负责人、各岗位人员等规定了任职要求及岗位职责。</w:t>
            </w:r>
          </w:p>
          <w:p w14:paraId="766E55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每年底由综合部对各岗位人员进行能力考核，根据结果采取措施，通常是培训。</w:t>
            </w:r>
          </w:p>
          <w:p w14:paraId="7C1378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编制了2025年度培训计划，培训内容涉及：职业技能培训、三级安全教育、法律法规、环保及职业健康安全培训等。</w:t>
            </w:r>
          </w:p>
          <w:p w14:paraId="6EB2A9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查《培训记录》：</w:t>
            </w:r>
          </w:p>
          <w:p w14:paraId="69FAD93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2025年3月10日：分析天平、台式低速离心机操作规程培训，参加培训人员包品管人员等，通过现场提问口试对培训效果予以考核评价，考核合格。</w:t>
            </w:r>
          </w:p>
          <w:p w14:paraId="51AF07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 xml:space="preserve">2025年2月27日：年度质量回顾管理规程培训，参加综合管理部、质量部、生产部等，通过现场提问口试对培训效果予以考核评价，考核合格。 </w:t>
            </w:r>
          </w:p>
          <w:p w14:paraId="2692AE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楷体" w:hAnsi="楷体" w:eastAsia="楷体" w:cs="Times New Roman"/>
                <w:color w:val="auto"/>
                <w:lang w:val="en-US" w:eastAsia="zh-CN"/>
              </w:rPr>
            </w:pPr>
            <w:r>
              <w:rPr>
                <w:rFonts w:hint="eastAsia" w:ascii="楷体" w:hAnsi="楷体" w:eastAsia="楷体" w:cs="Times New Roman"/>
                <w:color w:val="auto"/>
                <w:lang w:val="en-US" w:eastAsia="zh-CN"/>
              </w:rPr>
              <w:t>另抽查2024年培训计划何培训记录</w:t>
            </w:r>
          </w:p>
          <w:p w14:paraId="564311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2024年12月23日酒萸肉工艺验证、敞开式烘箱、可倾式蒸煮锅设备确认及清洁验证，培训情况基本同上。</w:t>
            </w:r>
          </w:p>
          <w:p w14:paraId="6B8E1C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入厂后进行三级安全教育后才准许上岗，查到近一年新员工，詹江成等员工的三级安全教育培训表，查2025年3月24日对新进员工开展了三级教育，并进行笔试考核，基本符合。</w:t>
            </w:r>
          </w:p>
          <w:p w14:paraId="43DE3D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14:paraId="035498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特殊工种人员：高低压电工、焊接工、压力容器操作工、提取物操作工、化验员。</w:t>
            </w:r>
          </w:p>
          <w:p w14:paraId="44062E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抽查高低压电工董*红，有效期至2026.12.17；焊工张*仁，有效期至2026.6.16；压力容器操作工，有效期至2025年4月；提取物操作工共6人、中药饮片车间操作工5人，制剂车间操作工16人，化验员10人，均持有效健康证，</w:t>
            </w:r>
          </w:p>
          <w:p w14:paraId="7F1592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抽查：胡小娟，健康证号：PA2024110610652；有效期至2025年11月10日；陈安平，健康证号：PA2024110610656，有效期至2025年11月10日；曾曲梅，健康证号：PA2024110610685；有效期至2025年11月10日。</w:t>
            </w:r>
          </w:p>
          <w:p w14:paraId="54BC0D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安全生产负责人：殷之武；发证单位：金华市应急管理局；有效期至：2025.6.20。安全员：周光亮；发证单位：金华市安全生产监督管理局；有效期至：2025.7.21。</w:t>
            </w:r>
          </w:p>
          <w:p w14:paraId="6CAAC1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公司各部门人员稳定，较多为老员工，有丰富的工作经验，满足公司业务发展。</w:t>
            </w:r>
          </w:p>
        </w:tc>
        <w:tc>
          <w:tcPr>
            <w:tcW w:w="709" w:type="dxa"/>
            <w:vAlign w:val="top"/>
          </w:tcPr>
          <w:p w14:paraId="0089C4C6">
            <w:pPr>
              <w:bidi w:val="0"/>
              <w:rPr>
                <w:rFonts w:hint="default" w:ascii="华文细黑" w:hAnsi="华文细黑" w:eastAsia="华文细黑" w:cs="华文细黑"/>
                <w:highlight w:val="none"/>
                <w:lang w:val="en-US" w:eastAsia="zh-CN"/>
              </w:rPr>
            </w:pPr>
            <w:r>
              <w:rPr>
                <w:rFonts w:hint="eastAsia"/>
                <w:lang w:val="en-US" w:eastAsia="zh-CN"/>
              </w:rPr>
              <w:t>Y</w:t>
            </w:r>
          </w:p>
        </w:tc>
      </w:tr>
      <w:tr w14:paraId="1F78B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6C5DF7E1">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信息交流</w:t>
            </w:r>
          </w:p>
          <w:p w14:paraId="10B4FA81">
            <w:pPr>
              <w:rPr>
                <w:rFonts w:hint="eastAsia"/>
                <w:lang w:val="en-US" w:eastAsia="zh-CN"/>
              </w:rPr>
            </w:pPr>
            <w:r>
              <w:rPr>
                <w:rFonts w:hint="eastAsia" w:ascii="楷体" w:hAnsi="楷体" w:eastAsia="楷体" w:cs="Times New Roman"/>
                <w:color w:val="auto"/>
                <w:lang w:val="en-US" w:eastAsia="zh-CN"/>
              </w:rPr>
              <w:t>工作人员的协商和参与</w:t>
            </w:r>
          </w:p>
        </w:tc>
        <w:tc>
          <w:tcPr>
            <w:tcW w:w="1395" w:type="dxa"/>
            <w:vAlign w:val="top"/>
          </w:tcPr>
          <w:p w14:paraId="3095BDF0">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EO7.4</w:t>
            </w:r>
          </w:p>
          <w:p w14:paraId="36440C10">
            <w:pPr>
              <w:rPr>
                <w:rFonts w:hint="eastAsia"/>
                <w:lang w:val="en-US" w:eastAsia="zh-CN"/>
              </w:rPr>
            </w:pPr>
            <w:r>
              <w:rPr>
                <w:rFonts w:hint="eastAsia" w:ascii="楷体" w:hAnsi="楷体" w:eastAsia="楷体" w:cs="Times New Roman"/>
                <w:color w:val="auto"/>
                <w:lang w:val="en-US" w:eastAsia="zh-CN"/>
              </w:rPr>
              <w:t>O5.4</w:t>
            </w:r>
          </w:p>
        </w:tc>
        <w:tc>
          <w:tcPr>
            <w:tcW w:w="10805" w:type="dxa"/>
            <w:vAlign w:val="top"/>
          </w:tcPr>
          <w:p w14:paraId="672A76A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编制《信息交流控制程序》，规定公司环境内外部信息交流的管理。公司内部沟通的方式：会议、检查、培训 等方式，公司随时有需要传达的事情和问题，随时召开会议，总结布置工作的完成情况和需改进的方面，包括职业 健康安全、环境方面的内容。</w:t>
            </w:r>
          </w:p>
          <w:p w14:paraId="4E48CB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经交流，体系运行中，通过口头、电话、办公会议等方式进行内部沟通，外部信息进行沟通的情况：主要是通 过媒体、政府网站、上级环境及安全办公室门，了解环保及职业健康安全要求，及时采取应对措施。公司对内部、外部交流比较畅通。基本符合标准要求。</w:t>
            </w:r>
          </w:p>
          <w:p w14:paraId="676EF6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对外部相关方(顾客、供方、合同方、顾客、上级等)进行信息的交流方式：通过现场交流、合同协议、施加影响等方式沟通协商，目前主要是接收上级通知；与供方通过合同 就采购产品的环境、职业健康安全方面的要求进行沟通；同时将本公司环境及职业健康安全方面要求以及法律法规 通告相关方。</w:t>
            </w:r>
          </w:p>
          <w:p w14:paraId="44E360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最高管理者总经理任命并成立公司安全领导小组(安全健康委员会) ,由各部门负责人和班组长等人员组成。 包括监视员工健康人员：陆国胜。与其沟通了解，主要负责组织员工进行健康体检，监督员工缴纳工伤险执行情况； 负责职业健康安全运行检查情况，向最高管理者报告职业健康安全管理体系的绩效。抽查公司与员工签订了劳动合 同，并按规定缴纳了工伤险，遵守劳动法等相关法律法规。目前公司能执行国家劳动法律法规，执行合理休假制度及女职工权益保护制度，各种福利能充分保证落实到位。查公司为员工缴纳工伤险等，查相关证据，有效。</w:t>
            </w:r>
          </w:p>
          <w:p w14:paraId="233AF0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与员工代表陈灵芝沟通和了解参与和协商活动。其中协商活动主要包括：协商并确定了相关方的需求和期望、建 立和制定职业健康安全方针目标并为其实现进行了策划、识别和获取了职业健康安全法律法规要求和其他要求、制 定了采购管理制度，对外包、采购和承包方进行控制的要求。协商和制定了内部审核方案的策划，并按照审核方案进行实施，确保了职业健康安全管理体系的持续改进等。</w:t>
            </w:r>
          </w:p>
          <w:p w14:paraId="1004B5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其中参与的活动包括：参与编制了参与协商控制程序，确定了协商和参与机制；参与识别和评价了危险源的识别与评价和职业健康安全相关机遇以及不可接受风险的管控措施；参与和编制年度培训计划和按照计划进行有关 职业健康安全方面的培训，确定了职业健康安全方面的能力要求；通过口头、办公会议等方式进行内部沟通了解公司职业健康安全方面的内容；参与对员工反馈的各种安全问题积极与公司领导层协调解决并采取措施,防止事件和 不符合的发生等。</w:t>
            </w:r>
          </w:p>
          <w:p w14:paraId="55548D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与负有法律责任的最高管理者面谈：总经理作为公司职业健康安全第一责任人，与其交流和沟通获知熟悉安全 生产法的相关要求，合法经营，以员工的职业健康和安全为出发点，配备高效健康的管理资源，建立合理的劳动制 度和监管体系，同时任命管理者代表积极推行职业健康安全管理体系的实施。</w:t>
            </w:r>
          </w:p>
          <w:p w14:paraId="51C661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现场与生产人员沟通：目前公司能执行国家劳动法律法规，执行合理休假制度及女职工权益保护制度，各种福利能充分保证落实到位。查公司为员工缴纳保险。查相关证据有效。基本符合相关规定。</w:t>
            </w:r>
          </w:p>
          <w:p w14:paraId="0A2679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sym w:font="Wingdings 2" w:char="F098"/>
            </w:r>
            <w:r>
              <w:rPr>
                <w:rFonts w:hint="eastAsia" w:ascii="楷体" w:hAnsi="楷体" w:eastAsia="楷体" w:cs="Times New Roman"/>
                <w:color w:val="auto"/>
                <w:lang w:val="en-US" w:eastAsia="zh-CN"/>
              </w:rPr>
              <w:t>经沟通了解，自管理体系运行以来员工代表能够代表员工提出合理话建议，协商和参与提供了必要的机制、时 间、培训和资源，提供了职业健康安全管理体系信息的访问渠道，确定和消除了妨碍参与的障碍，能够持续改进职 业健康安全管理体系。</w:t>
            </w:r>
          </w:p>
        </w:tc>
        <w:tc>
          <w:tcPr>
            <w:tcW w:w="709" w:type="dxa"/>
            <w:vAlign w:val="top"/>
          </w:tcPr>
          <w:p w14:paraId="029BD0B6">
            <w:pPr>
              <w:rPr>
                <w:rFonts w:hint="eastAsia" w:ascii="华文细黑" w:hAnsi="华文细黑" w:eastAsia="华文细黑" w:cs="华文细黑"/>
                <w:highlight w:val="none"/>
                <w:lang w:val="en-US" w:eastAsia="zh-CN"/>
              </w:rPr>
            </w:pPr>
          </w:p>
        </w:tc>
      </w:tr>
      <w:tr w14:paraId="1B459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6EEB95CB">
            <w:pPr>
              <w:bidi w:val="0"/>
              <w:rPr>
                <w:rFonts w:hint="default"/>
                <w:lang w:val="en-US" w:eastAsia="zh-CN"/>
              </w:rPr>
            </w:pPr>
            <w:r>
              <w:rPr>
                <w:rFonts w:hint="eastAsia"/>
                <w:lang w:val="en-US" w:eastAsia="zh-CN"/>
              </w:rPr>
              <w:t>文件管理</w:t>
            </w:r>
          </w:p>
        </w:tc>
        <w:tc>
          <w:tcPr>
            <w:tcW w:w="1395" w:type="dxa"/>
            <w:vAlign w:val="top"/>
          </w:tcPr>
          <w:p w14:paraId="59E65AC8">
            <w:pPr>
              <w:bidi w:val="0"/>
              <w:rPr>
                <w:rFonts w:hint="default"/>
                <w:lang w:val="en-US" w:eastAsia="zh-CN"/>
              </w:rPr>
            </w:pPr>
            <w:r>
              <w:rPr>
                <w:rFonts w:hint="eastAsia"/>
                <w:lang w:val="en-US" w:eastAsia="zh-CN"/>
              </w:rPr>
              <w:t>EO7.5</w:t>
            </w:r>
          </w:p>
        </w:tc>
        <w:tc>
          <w:tcPr>
            <w:tcW w:w="10805" w:type="dxa"/>
            <w:vAlign w:val="center"/>
          </w:tcPr>
          <w:p w14:paraId="4F0926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公司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14:paraId="138086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一级文件：JF-EO-MC-2025《环境、职业健康安全管理体系管理手册》；版本号：B/0；编制：文编小组；审批：陆国胜；批准：殷之武。</w:t>
            </w:r>
          </w:p>
          <w:p w14:paraId="72B85C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二级文件：包括《文件控制程序》等共18个，覆盖了质量、环境、职业健康安全标准要求的所有文件化过程，其《文件控制程序》和《记录控制程序》对管理体系记录的标识、贮存、保护、检索、保存期限和处置等作了明确规定，符合要求。</w:t>
            </w:r>
          </w:p>
          <w:p w14:paraId="0D2570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三层次文件：管理制度，见组织SMP文件等。</w:t>
            </w:r>
          </w:p>
          <w:p w14:paraId="6B5E62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四级文件包括：内审记录、管理评审记录、危险源和环境因素识别评价记录等。明确了记录名称、编号、使用保存部门、保存期限等，并经审核后使用。组织各记录由各使用部门保存。</w:t>
            </w:r>
          </w:p>
          <w:p w14:paraId="2D4445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从综合部了解到，综合部已将文件进行了分类，按文件的名称、编号及时间进行归档，检索方便。抽查综合部保存的记录包括内部审核资料、管理评审资料等，均已装订成册，归档文件、记录存放于通风、干燥、防蛀的文件柜内，环境干燥、通风，符合文件归档及防护的要求。</w:t>
            </w:r>
          </w:p>
          <w:p w14:paraId="38EDDC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综合部负责人陈灵芝介绍：组织的记录原件原则上不外借，其它记录查阅时须有关部门同意后，方可查阅。</w:t>
            </w:r>
          </w:p>
          <w:p w14:paraId="36A986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查外来文件：组织识别了与产品要求和质量管理体系运行有关的国家法律法规及标准、行业、地方颁布的条例、标准、规范、规程、办法等，如《中华人民共和国环境保护法》、《中华人民共和国安全生产法》、《中华人民共和国劳动法》等，组织识别的适用法律法规和标准基本内容完整，其它见综合部EO6.1.3/9.1.2的评价审核情况。</w:t>
            </w:r>
          </w:p>
          <w:p w14:paraId="2D44CB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变更：暂无记录。</w:t>
            </w:r>
          </w:p>
          <w:p w14:paraId="592AC0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作废：暂无记录。</w:t>
            </w:r>
          </w:p>
          <w:p w14:paraId="7D38D2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综上，组织的文件、记录等的控制基本有效。</w:t>
            </w:r>
          </w:p>
        </w:tc>
        <w:tc>
          <w:tcPr>
            <w:tcW w:w="709" w:type="dxa"/>
            <w:vAlign w:val="top"/>
          </w:tcPr>
          <w:p w14:paraId="4AD003AC">
            <w:pPr>
              <w:rPr>
                <w:rFonts w:hint="eastAsia" w:ascii="华文细黑" w:hAnsi="华文细黑" w:eastAsia="华文细黑" w:cs="华文细黑"/>
                <w:highlight w:val="none"/>
                <w:lang w:val="en-US" w:eastAsia="zh-CN"/>
              </w:rPr>
            </w:pPr>
          </w:p>
        </w:tc>
      </w:tr>
      <w:tr w14:paraId="12158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3D61851B">
            <w:pPr>
              <w:bidi w:val="0"/>
              <w:rPr>
                <w:rFonts w:hint="eastAsia"/>
                <w:lang w:val="en-US" w:eastAsia="zh-CN"/>
              </w:rPr>
            </w:pPr>
            <w:r>
              <w:rPr>
                <w:rFonts w:hint="eastAsia"/>
                <w:lang w:eastAsia="zh-CN"/>
              </w:rPr>
              <w:t>运行控制</w:t>
            </w:r>
          </w:p>
        </w:tc>
        <w:tc>
          <w:tcPr>
            <w:tcW w:w="1395" w:type="dxa"/>
            <w:vAlign w:val="top"/>
          </w:tcPr>
          <w:p w14:paraId="7857C981">
            <w:pPr>
              <w:bidi w:val="0"/>
              <w:rPr>
                <w:rFonts w:hint="eastAsia"/>
                <w:lang w:val="en-US" w:eastAsia="zh-CN"/>
              </w:rPr>
            </w:pPr>
            <w:r>
              <w:rPr>
                <w:rFonts w:hint="eastAsia"/>
                <w:lang w:val="en-US" w:eastAsia="zh-CN"/>
              </w:rPr>
              <w:t>EO</w:t>
            </w:r>
            <w:r>
              <w:rPr>
                <w:rFonts w:hint="eastAsia"/>
                <w:lang w:eastAsia="zh-CN"/>
              </w:rPr>
              <w:t>8.1</w:t>
            </w:r>
          </w:p>
        </w:tc>
        <w:tc>
          <w:tcPr>
            <w:tcW w:w="10805" w:type="dxa"/>
            <w:vAlign w:val="center"/>
          </w:tcPr>
          <w:p w14:paraId="6B59D7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编制JF-P-10-2021《环境影响运行控制程序》和JF-P-11-2021《职业健康安全运行控制程序》，按生产工艺流程管理环境因素及危险源。具体运行控制情况如下：</w:t>
            </w:r>
          </w:p>
          <w:p w14:paraId="21318D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1.固废管控：</w:t>
            </w:r>
          </w:p>
          <w:p w14:paraId="2FD156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一般固废包括生活垃圾由开发区环卫统一处理；危险固废为：废药品、废包装物（试剂瓶），委托浙江综和固废收集科技有限公司，提供处置合同书，见附件；组织危废量较少</w:t>
            </w:r>
          </w:p>
          <w:p w14:paraId="3CED2C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现场查看危废仓库：仓库上锁，见安全警示标识和危废管理周知卡和危险废物信息上墙，未见不符合。</w:t>
            </w:r>
          </w:p>
          <w:p w14:paraId="6FD83B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2.废水管控：组织生活用水直接排入园区管网，工业废水控制见生产部EO8.1。</w:t>
            </w:r>
          </w:p>
          <w:p w14:paraId="3E7935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3.废气管控：</w:t>
            </w:r>
          </w:p>
          <w:p w14:paraId="09E65ED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 xml:space="preserve">   办公区域无废气产生，工业废气见生产部EO8.1。</w:t>
            </w:r>
          </w:p>
          <w:p w14:paraId="7F87EE6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4.噪声管控：</w:t>
            </w:r>
          </w:p>
          <w:p w14:paraId="1FDAC5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办公区域无噪声产生。</w:t>
            </w:r>
          </w:p>
          <w:p w14:paraId="4682C2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5.消防管控：</w:t>
            </w:r>
          </w:p>
          <w:p w14:paraId="780F13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办公区域内消防栓及灭火器均按要求进行维护检查，状态良好。</w:t>
            </w:r>
          </w:p>
          <w:p w14:paraId="04DF4C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6.配电管控：</w:t>
            </w:r>
          </w:p>
          <w:p w14:paraId="4B5893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组织无独立配电房，与同一集团旗下电缆厂共用。</w:t>
            </w:r>
          </w:p>
          <w:p w14:paraId="307E14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7.能资源管控：</w:t>
            </w:r>
          </w:p>
          <w:p w14:paraId="4B82C4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组织管理要求节约用电用水，办公现场未发现跑冒滴漏等现象。</w:t>
            </w:r>
          </w:p>
          <w:p w14:paraId="2AFA1F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8.其它健康安全：</w:t>
            </w:r>
          </w:p>
          <w:p w14:paraId="5C75A4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 xml:space="preserve">出健康证要求体检外，组织还组织职业病检出岗位员工做职业病体检，结果见附件。  </w:t>
            </w:r>
          </w:p>
          <w:p w14:paraId="0FD402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综合部总体环境策划和管控基本符合要求，其它策划、运行控制见各部门EO8.1记录。</w:t>
            </w:r>
          </w:p>
        </w:tc>
        <w:tc>
          <w:tcPr>
            <w:tcW w:w="709" w:type="dxa"/>
            <w:vAlign w:val="top"/>
          </w:tcPr>
          <w:p w14:paraId="034C713C">
            <w:pPr>
              <w:rPr>
                <w:rFonts w:hint="eastAsia" w:ascii="华文细黑" w:hAnsi="华文细黑" w:eastAsia="华文细黑" w:cs="华文细黑"/>
                <w:kern w:val="2"/>
                <w:sz w:val="21"/>
                <w:highlight w:val="none"/>
                <w:lang w:val="en-US" w:eastAsia="zh-CN" w:bidi="ar-SA"/>
              </w:rPr>
            </w:pPr>
            <w:r>
              <w:rPr>
                <w:rFonts w:hint="eastAsia" w:ascii="华文细黑" w:hAnsi="华文细黑" w:eastAsia="华文细黑" w:cs="华文细黑"/>
                <w:highlight w:val="none"/>
                <w:lang w:val="en-US" w:eastAsia="zh-CN"/>
              </w:rPr>
              <w:t>Y</w:t>
            </w:r>
          </w:p>
        </w:tc>
      </w:tr>
      <w:tr w14:paraId="3CC4A6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5D15744C">
            <w:pPr>
              <w:bidi w:val="0"/>
              <w:rPr>
                <w:rFonts w:hint="eastAsia"/>
                <w:color w:val="auto"/>
                <w:lang w:val="en-US" w:eastAsia="zh-CN"/>
              </w:rPr>
            </w:pPr>
            <w:r>
              <w:rPr>
                <w:rFonts w:hint="eastAsia"/>
                <w:color w:val="auto"/>
                <w:lang w:eastAsia="zh-CN"/>
              </w:rPr>
              <w:t>应急准备和响应</w:t>
            </w:r>
          </w:p>
        </w:tc>
        <w:tc>
          <w:tcPr>
            <w:tcW w:w="1395" w:type="dxa"/>
            <w:vAlign w:val="top"/>
          </w:tcPr>
          <w:p w14:paraId="30D08458">
            <w:pPr>
              <w:bidi w:val="0"/>
              <w:rPr>
                <w:rFonts w:hint="eastAsia"/>
                <w:color w:val="auto"/>
                <w:lang w:val="en-US" w:eastAsia="zh-CN"/>
              </w:rPr>
            </w:pPr>
            <w:r>
              <w:rPr>
                <w:rFonts w:hint="eastAsia"/>
                <w:color w:val="auto"/>
                <w:lang w:val="en-US" w:eastAsia="zh-CN"/>
              </w:rPr>
              <w:t>EO</w:t>
            </w:r>
            <w:r>
              <w:rPr>
                <w:rFonts w:hint="eastAsia"/>
                <w:color w:val="auto"/>
                <w:lang w:eastAsia="zh-CN"/>
              </w:rPr>
              <w:t>8.2</w:t>
            </w:r>
          </w:p>
        </w:tc>
        <w:tc>
          <w:tcPr>
            <w:tcW w:w="10805" w:type="dxa"/>
            <w:vAlign w:val="top"/>
          </w:tcPr>
          <w:p w14:paraId="447D12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公司制定了《生产安全事故应急预案》编号：JFJKYA2022001。总经理批准，当地应急局备案，一年评估一次，三年修订一次，提供的《应急预案》是2024年7月10日第一次修订。内容包含：专项应急预案：1、火灾（爆炸）事故专项应急预案；2、人身事故专项应急预案；3、特种设备事故专项应急预案；4、压力容器、压力管道事故专项应急预案等7项内容。现场处置方案：1、高出坠落事故现场处置方案；2、机械伤害事故现场处置方案；3、物体打击事故现场处置方案；4、触电事故现场处置方案等17项。符合要求。</w:t>
            </w:r>
          </w:p>
          <w:p w14:paraId="6B03D8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提供了《2025年度应急预案演练计划》：1、一季度组织突发事故应急疏散演练。2、二季度:组织雷击事故现场处置演练、受限空间事故应急预案演练。3、三季度:特种设备(电梯)事故专项应急预案演练。4、四季度:突发事故应急疏散演练。</w:t>
            </w:r>
          </w:p>
          <w:p w14:paraId="36796F3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抽查2025年2月6日应急书疏散演练方案及记录：时间：下午13：30分。总指挥：赵春全，参加人员：全体人员。提供演练记录、签到表、现场照片和现场口头总结，符合闭环要求；质量部金小凯、陈安平、方心怡、邵淑梅等8人参加。</w:t>
            </w:r>
          </w:p>
          <w:p w14:paraId="6298B5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 xml:space="preserve">抽查2025年5月22日《雷击事故现场处置方案》时间：下午13：30分。总指挥：曾曲梅，参加人员：中药饮片全体人员。提供演练记录、签到表、现场照片和现场口头总结，符合闭环要求；质量部无人参加。   </w:t>
            </w:r>
          </w:p>
          <w:p w14:paraId="5D44FE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管理建议：企业提供的资料中，现场处置方案有17个，提供的资料只有一个，加强现场处置方案的演练管理。</w:t>
            </w:r>
          </w:p>
          <w:p w14:paraId="3B97F3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自体系运行以来尚未发生紧急情况。综上，基本满足控制要求。</w:t>
            </w:r>
          </w:p>
        </w:tc>
        <w:tc>
          <w:tcPr>
            <w:tcW w:w="709" w:type="dxa"/>
            <w:vAlign w:val="top"/>
          </w:tcPr>
          <w:p w14:paraId="72A67A98">
            <w:pPr>
              <w:bidi w:val="0"/>
              <w:rPr>
                <w:rFonts w:hint="eastAsia"/>
                <w:lang w:val="en-US" w:eastAsia="zh-CN"/>
              </w:rPr>
            </w:pPr>
            <w:r>
              <w:rPr>
                <w:rFonts w:hint="eastAsia"/>
                <w:lang w:val="en-US" w:eastAsia="zh-CN"/>
              </w:rPr>
              <w:t>Y</w:t>
            </w:r>
          </w:p>
        </w:tc>
      </w:tr>
      <w:tr w14:paraId="70175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800" w:type="dxa"/>
            <w:vAlign w:val="top"/>
          </w:tcPr>
          <w:p w14:paraId="77E178A8">
            <w:pPr>
              <w:bidi w:val="0"/>
              <w:rPr>
                <w:rFonts w:hint="eastAsia" w:ascii="Times New Roman" w:hAnsi="Times New Roman" w:eastAsia="宋体" w:cs="Times New Roman"/>
                <w:kern w:val="2"/>
                <w:sz w:val="21"/>
                <w:lang w:val="en-US" w:eastAsia="zh-CN" w:bidi="ar-SA"/>
              </w:rPr>
            </w:pPr>
            <w:r>
              <w:rPr>
                <w:rFonts w:hint="eastAsia"/>
                <w:lang w:val="en-US" w:eastAsia="zh-CN"/>
              </w:rPr>
              <w:t>纠正措施</w:t>
            </w:r>
          </w:p>
        </w:tc>
        <w:tc>
          <w:tcPr>
            <w:tcW w:w="1395" w:type="dxa"/>
            <w:vAlign w:val="top"/>
          </w:tcPr>
          <w:p w14:paraId="38113E57">
            <w:pPr>
              <w:bidi w:val="0"/>
              <w:rPr>
                <w:rFonts w:hint="eastAsia" w:ascii="Times New Roman" w:hAnsi="Times New Roman" w:eastAsia="宋体" w:cs="Times New Roman"/>
                <w:kern w:val="2"/>
                <w:sz w:val="21"/>
                <w:lang w:val="en-US" w:eastAsia="zh-CN" w:bidi="ar-SA"/>
              </w:rPr>
            </w:pPr>
            <w:r>
              <w:rPr>
                <w:rFonts w:hint="eastAsia"/>
                <w:lang w:val="en-US" w:eastAsia="zh-CN"/>
              </w:rPr>
              <w:t>EO10.2</w:t>
            </w:r>
          </w:p>
        </w:tc>
        <w:tc>
          <w:tcPr>
            <w:tcW w:w="10805" w:type="dxa"/>
            <w:vAlign w:val="top"/>
          </w:tcPr>
          <w:p w14:paraId="723AC8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组织制定了JF-P-18-2021《改进措施控制程序》等相关文件化信息要求，并考虑了分析、评价结果，确定是否存在应关注的持续改进的需求和机遇，组织利用方针、目标、内审和外审、数据分析、纠正和预防措施以及管理评审，识别任何改进的机会，持续改进管理体系的适宜性、充分性和有效性。</w:t>
            </w:r>
          </w:p>
          <w:p w14:paraId="03C73E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从综管理层了解到，组织在运行过程中对发现的不合格（不符合）都会采取纠正措施，分析原因，举一反三地看待其他部门或类似过程，采取预防措施以防止发生不合格或不符合。不符合和纠正措施的相关条款主要见内审、管理评审等相关记录。</w:t>
            </w:r>
          </w:p>
        </w:tc>
        <w:tc>
          <w:tcPr>
            <w:tcW w:w="709" w:type="dxa"/>
            <w:vAlign w:val="top"/>
          </w:tcPr>
          <w:p w14:paraId="1766A314">
            <w:pPr>
              <w:bidi w:val="0"/>
              <w:rPr>
                <w:rFonts w:hint="eastAsia"/>
                <w:lang w:val="en-US" w:eastAsia="zh-CN"/>
              </w:rPr>
            </w:pPr>
            <w:r>
              <w:rPr>
                <w:rFonts w:hint="eastAsia"/>
                <w:lang w:val="en-US" w:eastAsia="zh-CN"/>
              </w:rPr>
              <w:t>Y</w:t>
            </w:r>
          </w:p>
        </w:tc>
      </w:tr>
    </w:tbl>
    <w:p w14:paraId="752EB01F">
      <w:pPr>
        <w:pStyle w:val="2"/>
        <w:sectPr>
          <w:headerReference r:id="rId3" w:type="default"/>
          <w:footerReference r:id="rId4" w:type="default"/>
          <w:pgSz w:w="16838" w:h="11906" w:orient="landscape"/>
          <w:pgMar w:top="1440" w:right="1080" w:bottom="1440" w:left="1080" w:header="340" w:footer="992" w:gutter="0"/>
          <w:cols w:space="425" w:num="1"/>
          <w:docGrid w:type="lines" w:linePitch="312" w:charSpace="0"/>
        </w:sectPr>
      </w:pPr>
    </w:p>
    <w:p w14:paraId="0087FAD8">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8"/>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14:paraId="5C3CB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14:paraId="18FD5517">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审核过程/区域/</w:t>
            </w:r>
          </w:p>
          <w:p w14:paraId="5F7F65CA">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活动和内容</w:t>
            </w:r>
          </w:p>
        </w:tc>
        <w:tc>
          <w:tcPr>
            <w:tcW w:w="990" w:type="dxa"/>
            <w:vMerge w:val="restart"/>
            <w:vAlign w:val="center"/>
          </w:tcPr>
          <w:p w14:paraId="43791FA7">
            <w:pPr>
              <w:spacing w:line="276"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涉及</w:t>
            </w:r>
          </w:p>
          <w:p w14:paraId="221E220F">
            <w:pPr>
              <w:spacing w:line="276" w:lineRule="auto"/>
              <w:jc w:val="center"/>
              <w:rPr>
                <w:rFonts w:hint="eastAsia" w:ascii="华文细黑" w:hAnsi="华文细黑" w:eastAsia="华文细黑" w:cs="华文细黑"/>
                <w:szCs w:val="21"/>
              </w:rPr>
            </w:pPr>
            <w:r>
              <w:rPr>
                <w:rFonts w:hint="eastAsia" w:ascii="华文细黑" w:hAnsi="华文细黑" w:eastAsia="华文细黑" w:cs="华文细黑"/>
                <w:szCs w:val="21"/>
              </w:rPr>
              <w:t>条款</w:t>
            </w:r>
          </w:p>
        </w:tc>
        <w:tc>
          <w:tcPr>
            <w:tcW w:w="10800" w:type="dxa"/>
            <w:vAlign w:val="center"/>
          </w:tcPr>
          <w:p w14:paraId="77DCE290">
            <w:pPr>
              <w:spacing w:line="276" w:lineRule="auto"/>
              <w:jc w:val="left"/>
              <w:rPr>
                <w:rFonts w:hint="eastAsia" w:ascii="华文细黑" w:hAnsi="华文细黑" w:eastAsia="华文细黑" w:cs="华文细黑"/>
                <w:szCs w:val="21"/>
                <w:lang w:val="en-US" w:eastAsia="zh-CN"/>
              </w:rPr>
            </w:pPr>
            <w:r>
              <w:rPr>
                <w:rFonts w:hint="eastAsia" w:ascii="华文细黑" w:hAnsi="华文细黑" w:eastAsia="华文细黑" w:cs="华文细黑"/>
                <w:szCs w:val="21"/>
              </w:rPr>
              <w:t>受审核部门：</w:t>
            </w:r>
            <w:r>
              <w:rPr>
                <w:rFonts w:hint="eastAsia" w:ascii="华文细黑" w:hAnsi="华文细黑" w:eastAsia="华文细黑" w:cs="华文细黑"/>
                <w:szCs w:val="21"/>
                <w:lang w:val="en-US" w:eastAsia="zh-CN"/>
              </w:rPr>
              <w:t>生产部</w:t>
            </w:r>
            <w:r>
              <w:rPr>
                <w:rFonts w:hint="eastAsia" w:ascii="华文细黑" w:hAnsi="华文细黑" w:eastAsia="华文细黑" w:cs="华文细黑"/>
                <w:szCs w:val="21"/>
              </w:rPr>
              <w:t xml:space="preserve">                      审核员：</w:t>
            </w:r>
            <w:r>
              <w:rPr>
                <w:rFonts w:hint="eastAsia" w:ascii="华文细黑" w:hAnsi="华文细黑" w:eastAsia="华文细黑" w:cs="华文细黑"/>
                <w:szCs w:val="21"/>
                <w:lang w:val="en-US" w:eastAsia="zh-CN"/>
              </w:rPr>
              <w:t>张磊</w:t>
            </w:r>
            <w:r>
              <w:rPr>
                <w:rFonts w:hint="eastAsia" w:ascii="华文细黑" w:hAnsi="华文细黑" w:eastAsia="华文细黑" w:cs="华文细黑"/>
                <w:szCs w:val="21"/>
              </w:rPr>
              <w:t xml:space="preserve">                    向导：</w:t>
            </w:r>
            <w:r>
              <w:rPr>
                <w:rFonts w:hint="eastAsia" w:ascii="华文细黑" w:hAnsi="华文细黑" w:eastAsia="华文细黑" w:cs="华文细黑"/>
                <w:szCs w:val="21"/>
                <w:lang w:val="en-US" w:eastAsia="zh-CN"/>
              </w:rPr>
              <w:t>陆国胜</w:t>
            </w:r>
          </w:p>
        </w:tc>
        <w:tc>
          <w:tcPr>
            <w:tcW w:w="789" w:type="dxa"/>
            <w:vMerge w:val="restart"/>
            <w:vAlign w:val="center"/>
          </w:tcPr>
          <w:p w14:paraId="36B8E674">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判定</w:t>
            </w:r>
          </w:p>
        </w:tc>
      </w:tr>
      <w:tr w14:paraId="5BD3B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14:paraId="659E93B1">
            <w:pPr>
              <w:spacing w:line="276" w:lineRule="auto"/>
              <w:jc w:val="left"/>
              <w:rPr>
                <w:rFonts w:hint="eastAsia" w:ascii="华文细黑" w:hAnsi="华文细黑" w:eastAsia="华文细黑" w:cs="华文细黑"/>
                <w:szCs w:val="21"/>
              </w:rPr>
            </w:pPr>
          </w:p>
        </w:tc>
        <w:tc>
          <w:tcPr>
            <w:tcW w:w="990" w:type="dxa"/>
            <w:vMerge w:val="continue"/>
            <w:vAlign w:val="center"/>
          </w:tcPr>
          <w:p w14:paraId="4D5A987F">
            <w:pPr>
              <w:spacing w:line="276" w:lineRule="auto"/>
              <w:jc w:val="center"/>
              <w:rPr>
                <w:rFonts w:hint="eastAsia" w:ascii="华文细黑" w:hAnsi="华文细黑" w:eastAsia="华文细黑" w:cs="华文细黑"/>
                <w:szCs w:val="21"/>
              </w:rPr>
            </w:pPr>
          </w:p>
        </w:tc>
        <w:tc>
          <w:tcPr>
            <w:tcW w:w="10800" w:type="dxa"/>
            <w:vAlign w:val="center"/>
          </w:tcPr>
          <w:p w14:paraId="4B1205D4">
            <w:pPr>
              <w:spacing w:line="276" w:lineRule="auto"/>
              <w:jc w:val="left"/>
              <w:rPr>
                <w:rFonts w:hint="eastAsia" w:ascii="华文细黑" w:hAnsi="华文细黑" w:eastAsia="华文细黑" w:cs="华文细黑"/>
                <w:szCs w:val="21"/>
              </w:rPr>
            </w:pPr>
            <w:r>
              <w:rPr>
                <w:rFonts w:hint="eastAsia" w:ascii="华文细黑" w:hAnsi="华文细黑" w:eastAsia="华文细黑" w:cs="华文细黑"/>
                <w:szCs w:val="21"/>
              </w:rPr>
              <w:t>审核条款：</w:t>
            </w:r>
            <w:r>
              <w:rPr>
                <w:rFonts w:hint="eastAsia" w:ascii="华文细黑" w:hAnsi="华文细黑" w:eastAsia="华文细黑" w:cs="华文细黑"/>
                <w:b w:val="0"/>
                <w:bCs w:val="0"/>
                <w:sz w:val="21"/>
                <w:szCs w:val="21"/>
                <w:u w:val="none"/>
                <w:lang w:val="en-US" w:eastAsia="zh-CN"/>
              </w:rPr>
              <w:t>EO</w:t>
            </w:r>
            <w:r>
              <w:rPr>
                <w:rFonts w:hint="eastAsia" w:ascii="华文细黑" w:hAnsi="华文细黑" w:eastAsia="华文细黑" w:cs="华文细黑"/>
                <w:b w:val="0"/>
                <w:bCs w:val="0"/>
                <w:sz w:val="21"/>
                <w:szCs w:val="21"/>
                <w:u w:val="none"/>
                <w:lang w:eastAsia="zh-CN"/>
              </w:rPr>
              <w:t>：</w:t>
            </w:r>
            <w:r>
              <w:rPr>
                <w:rFonts w:hint="eastAsia" w:ascii="华文细黑" w:hAnsi="华文细黑" w:eastAsia="华文细黑" w:cs="华文细黑"/>
                <w:b w:val="0"/>
                <w:bCs w:val="0"/>
                <w:sz w:val="21"/>
                <w:szCs w:val="21"/>
                <w:u w:val="none"/>
                <w:lang w:val="en-US" w:eastAsia="zh-CN"/>
              </w:rPr>
              <w:t>5.3、6.2、</w:t>
            </w:r>
            <w:r>
              <w:rPr>
                <w:rFonts w:hint="eastAsia" w:ascii="华文细黑" w:hAnsi="华文细黑" w:eastAsia="华文细黑" w:cs="华文细黑"/>
                <w:b w:val="0"/>
                <w:bCs w:val="0"/>
                <w:sz w:val="21"/>
                <w:szCs w:val="21"/>
                <w:u w:val="none"/>
              </w:rPr>
              <w:t>6.1.</w:t>
            </w:r>
            <w:r>
              <w:rPr>
                <w:rFonts w:hint="eastAsia" w:ascii="华文细黑" w:hAnsi="华文细黑" w:eastAsia="华文细黑" w:cs="华文细黑"/>
                <w:b w:val="0"/>
                <w:bCs w:val="0"/>
                <w:sz w:val="21"/>
                <w:szCs w:val="21"/>
                <w:u w:val="none"/>
                <w:lang w:val="en-US" w:eastAsia="zh-CN"/>
              </w:rPr>
              <w:t>2、</w:t>
            </w:r>
            <w:r>
              <w:rPr>
                <w:rFonts w:hint="eastAsia" w:ascii="华文细黑" w:hAnsi="华文细黑" w:eastAsia="华文细黑" w:cs="华文细黑"/>
                <w:b w:val="0"/>
                <w:bCs w:val="0"/>
                <w:sz w:val="21"/>
                <w:szCs w:val="21"/>
                <w:u w:val="none"/>
              </w:rPr>
              <w:t>8.1</w:t>
            </w:r>
            <w:r>
              <w:rPr>
                <w:rFonts w:hint="eastAsia" w:ascii="华文细黑" w:hAnsi="华文细黑" w:eastAsia="华文细黑" w:cs="华文细黑"/>
                <w:b w:val="0"/>
                <w:bCs w:val="0"/>
                <w:sz w:val="21"/>
                <w:szCs w:val="21"/>
                <w:u w:val="none"/>
                <w:lang w:eastAsia="zh-CN"/>
              </w:rPr>
              <w:t>、</w:t>
            </w:r>
            <w:r>
              <w:rPr>
                <w:rFonts w:hint="eastAsia" w:ascii="华文细黑" w:hAnsi="华文细黑" w:eastAsia="华文细黑" w:cs="华文细黑"/>
                <w:b w:val="0"/>
                <w:bCs w:val="0"/>
                <w:sz w:val="21"/>
                <w:szCs w:val="21"/>
                <w:u w:val="none"/>
                <w:lang w:val="en-US" w:eastAsia="zh-CN"/>
              </w:rPr>
              <w:t>8.2</w:t>
            </w:r>
          </w:p>
        </w:tc>
        <w:tc>
          <w:tcPr>
            <w:tcW w:w="789" w:type="dxa"/>
            <w:vMerge w:val="continue"/>
            <w:vAlign w:val="center"/>
          </w:tcPr>
          <w:p w14:paraId="3BED57C6">
            <w:pPr>
              <w:spacing w:line="276" w:lineRule="auto"/>
              <w:jc w:val="left"/>
              <w:rPr>
                <w:rFonts w:hint="eastAsia" w:ascii="华文细黑" w:hAnsi="华文细黑" w:eastAsia="华文细黑" w:cs="华文细黑"/>
                <w:szCs w:val="21"/>
              </w:rPr>
            </w:pPr>
          </w:p>
        </w:tc>
      </w:tr>
      <w:tr w14:paraId="24C17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14:paraId="796E500A">
            <w:pPr>
              <w:spacing w:line="276" w:lineRule="auto"/>
              <w:rPr>
                <w:rFonts w:hint="eastAsia" w:ascii="华文细黑" w:hAnsi="华文细黑" w:eastAsia="华文细黑" w:cs="华文细黑"/>
                <w:szCs w:val="21"/>
              </w:rPr>
            </w:pPr>
          </w:p>
        </w:tc>
        <w:tc>
          <w:tcPr>
            <w:tcW w:w="990" w:type="dxa"/>
            <w:vMerge w:val="continue"/>
            <w:vAlign w:val="center"/>
          </w:tcPr>
          <w:p w14:paraId="0CEC3962">
            <w:pPr>
              <w:spacing w:line="276" w:lineRule="auto"/>
              <w:rPr>
                <w:rFonts w:hint="eastAsia" w:ascii="华文细黑" w:hAnsi="华文细黑" w:eastAsia="华文细黑" w:cs="华文细黑"/>
                <w:szCs w:val="21"/>
              </w:rPr>
            </w:pPr>
          </w:p>
        </w:tc>
        <w:tc>
          <w:tcPr>
            <w:tcW w:w="10800" w:type="dxa"/>
            <w:vAlign w:val="center"/>
          </w:tcPr>
          <w:p w14:paraId="7630BD88">
            <w:pPr>
              <w:spacing w:line="276" w:lineRule="auto"/>
              <w:jc w:val="center"/>
              <w:rPr>
                <w:rFonts w:hint="eastAsia" w:ascii="华文细黑" w:hAnsi="华文细黑" w:eastAsia="华文细黑" w:cs="华文细黑"/>
                <w:szCs w:val="21"/>
              </w:rPr>
            </w:pPr>
            <w:r>
              <w:rPr>
                <w:rFonts w:hint="eastAsia" w:ascii="华文细黑" w:hAnsi="华文细黑" w:eastAsia="华文细黑" w:cs="华文细黑"/>
                <w:b/>
                <w:bCs/>
                <w:szCs w:val="21"/>
              </w:rPr>
              <w:t>审 核 记 录</w:t>
            </w:r>
          </w:p>
        </w:tc>
        <w:tc>
          <w:tcPr>
            <w:tcW w:w="789" w:type="dxa"/>
            <w:vMerge w:val="continue"/>
            <w:vAlign w:val="center"/>
          </w:tcPr>
          <w:p w14:paraId="279F7A19">
            <w:pPr>
              <w:spacing w:line="276" w:lineRule="auto"/>
              <w:rPr>
                <w:rFonts w:hint="eastAsia" w:ascii="华文细黑" w:hAnsi="华文细黑" w:eastAsia="华文细黑" w:cs="华文细黑"/>
                <w:szCs w:val="21"/>
              </w:rPr>
            </w:pPr>
          </w:p>
        </w:tc>
      </w:tr>
      <w:tr w14:paraId="71B24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14:paraId="6A4525A4">
            <w:pPr>
              <w:bidi w:val="0"/>
              <w:rPr>
                <w:rFonts w:hint="eastAsia"/>
                <w:lang w:val="en-US" w:eastAsia="zh-CN"/>
              </w:rPr>
            </w:pPr>
            <w:r>
              <w:rPr>
                <w:rFonts w:hint="eastAsia"/>
              </w:rPr>
              <w:t>组织的岗位、职责和权限</w:t>
            </w:r>
          </w:p>
        </w:tc>
        <w:tc>
          <w:tcPr>
            <w:tcW w:w="990" w:type="dxa"/>
            <w:vAlign w:val="top"/>
          </w:tcPr>
          <w:p w14:paraId="7B5F9E76">
            <w:pPr>
              <w:bidi w:val="0"/>
              <w:rPr>
                <w:rFonts w:hint="eastAsia"/>
                <w:lang w:val="en-US" w:eastAsia="zh-CN"/>
              </w:rPr>
            </w:pPr>
            <w:r>
              <w:rPr>
                <w:rFonts w:hint="eastAsia"/>
              </w:rPr>
              <w:t xml:space="preserve">EO5.3 </w:t>
            </w:r>
          </w:p>
        </w:tc>
        <w:tc>
          <w:tcPr>
            <w:tcW w:w="10800" w:type="dxa"/>
            <w:vAlign w:val="top"/>
          </w:tcPr>
          <w:p w14:paraId="6E9BA1E2">
            <w:pPr>
              <w:rPr>
                <w:rFonts w:hint="eastAsia" w:ascii="楷体" w:hAnsi="楷体" w:eastAsia="楷体" w:cs="Times New Roman"/>
                <w:lang w:val="en-US" w:eastAsia="zh-CN"/>
              </w:rPr>
            </w:pPr>
            <w:r>
              <w:rPr>
                <w:rFonts w:hint="eastAsia" w:ascii="楷体" w:hAnsi="楷体" w:eastAsia="楷体" w:cs="Times New Roman"/>
                <w:lang w:val="en-US" w:eastAsia="zh-CN"/>
              </w:rPr>
              <w:t>组织在管理手册中明确规定生产部所涉及各项工作的职责和权限等要求。</w:t>
            </w:r>
          </w:p>
          <w:p w14:paraId="438632C2">
            <w:pPr>
              <w:rPr>
                <w:rFonts w:hint="eastAsia" w:ascii="楷体" w:hAnsi="楷体" w:eastAsia="楷体" w:cs="Times New Roman"/>
                <w:lang w:val="en-US" w:eastAsia="zh-CN"/>
              </w:rPr>
            </w:pPr>
            <w:r>
              <w:rPr>
                <w:rFonts w:hint="eastAsia" w:ascii="楷体" w:hAnsi="楷体" w:eastAsia="楷体" w:cs="Times New Roman"/>
                <w:lang w:val="en-US" w:eastAsia="zh-CN"/>
              </w:rPr>
              <w:t>审核了解到，部门负责人赵春全对其岗位职责与权限认知清晰。</w:t>
            </w:r>
          </w:p>
        </w:tc>
        <w:tc>
          <w:tcPr>
            <w:tcW w:w="789" w:type="dxa"/>
            <w:vAlign w:val="top"/>
          </w:tcPr>
          <w:p w14:paraId="0454AA36">
            <w:pPr>
              <w:bidi w:val="0"/>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val="en-US" w:eastAsia="zh-CN"/>
              </w:rPr>
              <w:t>Y</w:t>
            </w:r>
          </w:p>
        </w:tc>
      </w:tr>
      <w:tr w14:paraId="69CD19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14:paraId="6DA257FA">
            <w:pPr>
              <w:bidi w:val="0"/>
              <w:rPr>
                <w:rFonts w:hint="eastAsia"/>
                <w:lang w:val="en-US" w:eastAsia="zh-CN"/>
              </w:rPr>
            </w:pPr>
            <w:r>
              <w:rPr>
                <w:rFonts w:hint="eastAsia"/>
              </w:rPr>
              <w:t>环境与职业健康安全目标</w:t>
            </w:r>
          </w:p>
        </w:tc>
        <w:tc>
          <w:tcPr>
            <w:tcW w:w="990" w:type="dxa"/>
            <w:vAlign w:val="top"/>
          </w:tcPr>
          <w:p w14:paraId="7BF70724">
            <w:pPr>
              <w:bidi w:val="0"/>
              <w:rPr>
                <w:rFonts w:hint="eastAsia"/>
                <w:lang w:val="en-US" w:eastAsia="zh-CN"/>
              </w:rPr>
            </w:pPr>
            <w:r>
              <w:rPr>
                <w:rFonts w:hint="eastAsia"/>
              </w:rPr>
              <w:t>EO6.2</w:t>
            </w:r>
          </w:p>
        </w:tc>
        <w:tc>
          <w:tcPr>
            <w:tcW w:w="10800" w:type="dxa"/>
            <w:vAlign w:val="top"/>
          </w:tcPr>
          <w:p w14:paraId="2BB7B654">
            <w:pPr>
              <w:rPr>
                <w:rFonts w:hint="eastAsia" w:ascii="楷体" w:hAnsi="楷体" w:eastAsia="楷体" w:cs="Times New Roman"/>
                <w:lang w:val="en-US" w:eastAsia="zh-CN"/>
              </w:rPr>
            </w:pPr>
            <w:r>
              <w:rPr>
                <w:rFonts w:hint="eastAsia" w:ascii="楷体" w:hAnsi="楷体" w:eastAsia="楷体" w:cs="Times New Roman"/>
                <w:lang w:val="en-US" w:eastAsia="zh-CN"/>
              </w:rPr>
              <w:t>涉及生产部的目标如下：</w:t>
            </w:r>
          </w:p>
          <w:p w14:paraId="55C66F1E">
            <w:pPr>
              <w:rPr>
                <w:rFonts w:hint="eastAsia" w:ascii="楷体" w:hAnsi="楷体" w:eastAsia="楷体" w:cs="Times New Roman"/>
                <w:lang w:val="en-US" w:eastAsia="zh-CN"/>
              </w:rPr>
            </w:pPr>
            <w:r>
              <w:rPr>
                <w:rFonts w:hint="eastAsia" w:ascii="楷体" w:hAnsi="楷体" w:eastAsia="楷体" w:cs="Times New Roman"/>
                <w:lang w:val="en-US" w:eastAsia="zh-CN"/>
              </w:rPr>
              <w:t>厂区噪声、废气、废水排放达标</w:t>
            </w:r>
          </w:p>
          <w:p w14:paraId="395A38DC">
            <w:pPr>
              <w:rPr>
                <w:rFonts w:hint="eastAsia" w:ascii="楷体" w:hAnsi="楷体" w:eastAsia="楷体" w:cs="Times New Roman"/>
                <w:lang w:val="en-US" w:eastAsia="zh-CN"/>
              </w:rPr>
            </w:pPr>
            <w:r>
              <w:rPr>
                <w:rFonts w:hint="eastAsia" w:ascii="楷体" w:hAnsi="楷体" w:eastAsia="楷体" w:cs="Times New Roman"/>
                <w:lang w:val="en-US" w:eastAsia="zh-CN"/>
              </w:rPr>
              <w:t>各类废弃物按规定处置率100%</w:t>
            </w:r>
          </w:p>
          <w:p w14:paraId="1B9BAA43">
            <w:pPr>
              <w:rPr>
                <w:rFonts w:hint="eastAsia" w:ascii="楷体" w:hAnsi="楷体" w:eastAsia="楷体" w:cs="Times New Roman"/>
                <w:lang w:val="en-US" w:eastAsia="zh-CN"/>
              </w:rPr>
            </w:pPr>
            <w:r>
              <w:rPr>
                <w:rFonts w:hint="eastAsia" w:ascii="楷体" w:hAnsi="楷体" w:eastAsia="楷体" w:cs="Times New Roman"/>
                <w:lang w:val="en-US" w:eastAsia="zh-CN"/>
              </w:rPr>
              <w:t>劳保用品穿戴准确率100%</w:t>
            </w:r>
          </w:p>
          <w:p w14:paraId="00BEA05C">
            <w:pPr>
              <w:rPr>
                <w:rFonts w:hint="eastAsia" w:ascii="楷体" w:hAnsi="楷体" w:eastAsia="楷体" w:cs="Times New Roman"/>
                <w:lang w:val="en-US" w:eastAsia="zh-CN"/>
              </w:rPr>
            </w:pPr>
            <w:r>
              <w:rPr>
                <w:rFonts w:hint="eastAsia" w:ascii="楷体" w:hAnsi="楷体" w:eastAsia="楷体" w:cs="Times New Roman"/>
                <w:lang w:val="en-US" w:eastAsia="zh-CN"/>
              </w:rPr>
              <w:t>全年无重大安全事故发生、无传染病发生</w:t>
            </w:r>
          </w:p>
          <w:p w14:paraId="7491EE97">
            <w:pPr>
              <w:rPr>
                <w:rFonts w:hint="eastAsia" w:ascii="楷体" w:hAnsi="楷体" w:eastAsia="楷体" w:cs="Times New Roman"/>
                <w:lang w:val="en-US" w:eastAsia="zh-CN"/>
              </w:rPr>
            </w:pPr>
            <w:r>
              <w:rPr>
                <w:rFonts w:hint="eastAsia" w:ascii="楷体" w:hAnsi="楷体" w:eastAsia="楷体" w:cs="Times New Roman"/>
                <w:lang w:val="en-US" w:eastAsia="zh-CN"/>
              </w:rPr>
              <w:t>设备维修保养计划完成率100%</w:t>
            </w:r>
          </w:p>
          <w:p w14:paraId="0D9399CE">
            <w:pPr>
              <w:rPr>
                <w:rFonts w:hint="eastAsia" w:ascii="楷体" w:hAnsi="楷体" w:eastAsia="楷体" w:cs="Times New Roman"/>
                <w:lang w:val="en-US" w:eastAsia="zh-CN"/>
              </w:rPr>
            </w:pPr>
            <w:r>
              <w:rPr>
                <w:rFonts w:hint="eastAsia" w:ascii="楷体" w:hAnsi="楷体" w:eastAsia="楷体" w:cs="Times New Roman"/>
                <w:lang w:val="en-US" w:eastAsia="zh-CN"/>
              </w:rPr>
              <w:t>目标可测量，与方针一致。根据提供的数据显示，截止审核期间，2023年度以上目标已全部完成。</w:t>
            </w:r>
          </w:p>
        </w:tc>
        <w:tc>
          <w:tcPr>
            <w:tcW w:w="789" w:type="dxa"/>
            <w:vAlign w:val="top"/>
          </w:tcPr>
          <w:p w14:paraId="29B3D505">
            <w:pPr>
              <w:bidi w:val="0"/>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val="en-US" w:eastAsia="zh-CN"/>
              </w:rPr>
              <w:t>Y</w:t>
            </w:r>
          </w:p>
        </w:tc>
      </w:tr>
      <w:tr w14:paraId="69E5B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9" w:hRule="atLeast"/>
        </w:trPr>
        <w:tc>
          <w:tcPr>
            <w:tcW w:w="2130" w:type="dxa"/>
            <w:vAlign w:val="top"/>
          </w:tcPr>
          <w:p w14:paraId="47FCFA19">
            <w:pPr>
              <w:rPr>
                <w:rFonts w:hint="eastAsia"/>
              </w:rPr>
            </w:pPr>
            <w:r>
              <w:rPr>
                <w:rFonts w:hint="eastAsia" w:ascii="楷体" w:hAnsi="楷体" w:eastAsia="楷体" w:cs="Times New Roman"/>
                <w:lang w:val="en-US" w:eastAsia="zh-CN"/>
              </w:rPr>
              <w:t>组织的环境因素、危险源辨识和职业安全风险评价</w:t>
            </w:r>
          </w:p>
        </w:tc>
        <w:tc>
          <w:tcPr>
            <w:tcW w:w="990" w:type="dxa"/>
            <w:vAlign w:val="top"/>
          </w:tcPr>
          <w:p w14:paraId="04942A68">
            <w:pPr>
              <w:rPr>
                <w:rFonts w:hint="eastAsia"/>
              </w:rPr>
            </w:pPr>
            <w:r>
              <w:rPr>
                <w:rFonts w:hint="eastAsia" w:ascii="楷体" w:hAnsi="楷体" w:eastAsia="楷体" w:cs="Times New Roman"/>
                <w:lang w:val="en-US" w:eastAsia="zh-CN"/>
              </w:rPr>
              <w:t>EO：6.1.2</w:t>
            </w:r>
          </w:p>
        </w:tc>
        <w:tc>
          <w:tcPr>
            <w:tcW w:w="10800" w:type="dxa"/>
            <w:vAlign w:val="center"/>
          </w:tcPr>
          <w:p w14:paraId="62BFA809">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组织根据手册第6.1.2条款、《危险源和环境因素识别、评价控制程序》要求，由办公室负责指导各部门环境因素和危险源的调查、评价、汇总、登记、审定及更新，各部门负责组织实施，办公室负责汇总整理。</w:t>
            </w:r>
          </w:p>
          <w:p w14:paraId="1EB16B58">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查看组织《环境因素调查表》，组织在办公区、厂区仓库、车间等场所，按照活动过程调查、识别和确定了环境因素及其环境影响，生产过程中能结合生命周期观点，从原材料的采购和生产、产品的加工制造、产品运输、产品分配与销售以及产品的最终处理的全部生命过程中可以涉及的环节进行识别；供方包括相关方影响等，各部门参与识别评价。对环境因素的正常、异常、紧急状态进行评价，对应责任部门明确，有相应的保存期限、责任人和制定日期，基本满足环境因素识别、确定和保持要求。</w:t>
            </w:r>
          </w:p>
          <w:p w14:paraId="576E32DC">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涉及的环境因素有外来人员的控制、生活污水排放、日光灯管废弃、电器设施漏电、水管破裂、火灾、设备噪声、 生产过程固废 、办公纸消耗、水电消耗、固体废弃物 、打印机硒鼓、墨盒废弃等。</w:t>
            </w:r>
          </w:p>
          <w:p w14:paraId="5E1022AE">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采取多因子评价法对整个公司的环境因素进行评价，查到2025年1月15日评审确认的《重要环境因素清单》，评价出固体废弃物排放、火灾事故的发生、废气排放、废水排放、危化品泄露、噪声排放等重要环境因素。</w:t>
            </w:r>
          </w:p>
          <w:p w14:paraId="2B88BA77">
            <w:pPr>
              <w:rPr>
                <w:rFonts w:hint="eastAsia" w:ascii="楷体" w:hAnsi="楷体" w:eastAsia="楷体" w:cs="Times New Roman"/>
                <w:lang w:val="en-US" w:eastAsia="zh-CN"/>
              </w:rPr>
            </w:pPr>
            <w:r>
              <w:rPr>
                <w:rFonts w:hint="eastAsia" w:ascii="楷体" w:hAnsi="楷体" w:eastAsia="楷体" w:cs="Times New Roman"/>
                <w:lang w:val="en-US" w:eastAsia="zh-CN"/>
              </w:rPr>
              <w:t>经评价生产部的重要环境因素为：均有涉及。</w:t>
            </w:r>
          </w:p>
          <w:p w14:paraId="6AB31563">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主要控制措施：生活垃圾分类存放、办公危废交耗材供应公司，垃圾由环卫部门拉走，加强日常培训，日常检查，配备消防器材等措施。</w:t>
            </w:r>
          </w:p>
          <w:p w14:paraId="0A1AB6C4">
            <w:pPr>
              <w:rPr>
                <w:rFonts w:hint="eastAsia" w:ascii="楷体" w:hAnsi="楷体" w:eastAsia="楷体" w:cs="Times New Roman"/>
                <w:lang w:val="en-US" w:eastAsia="zh-CN"/>
              </w:rPr>
            </w:pPr>
            <w:r>
              <w:rPr>
                <w:rFonts w:hint="eastAsia" w:ascii="楷体" w:hAnsi="楷体" w:eastAsia="楷体" w:cs="Times New Roman"/>
                <w:lang w:val="en-US" w:eastAsia="zh-CN"/>
              </w:rPr>
              <w:t>重要环境因素识别、评价与实际吻合，控制措施基本能够满足控制要求。</w:t>
            </w:r>
          </w:p>
          <w:p w14:paraId="71AF9A0E">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查《危险源辨识和风险评价表》，分办公、生产区域各种作业包括检验作业等，能考虑常规非常规各种活动、考虑各个作业活动过程，电器使用、文件复印、生产各工序、工作、驾驶、仓库产品堆放、运输、相关方、设备维修等。</w:t>
            </w:r>
          </w:p>
          <w:p w14:paraId="0A694616">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识别的危险源主要有：饮水具不卫生、复印机废粉的排放、地上有积水、电路老化、触电、火灾、电磁辐射、砸伤、交通工伤事故、传染病、未按规定穿戴劳保用品、未按设备安全操作规程操作、物料未固定好、电箱无门、非电工作业、未采取消音、吸音措施、机械无防护装置或防护装置有缺陷、消防器材过期、消防通道占用、职业病伤害、防护物资不足、人员防护距离不够、人员密切接触造成的传染病等。基本符合要求。</w:t>
            </w:r>
          </w:p>
          <w:p w14:paraId="4A7C409F">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对识别出的危险源采取D=LEC进行评价，查到“不可接受风险清单”，评价出重大危险源，包括：触 电、机械伤害、噪声伤害、化学品接触伤害、高温烫伤、粉尘吸入、交通安全、职业病伤害等。</w:t>
            </w:r>
          </w:p>
          <w:p w14:paraId="2ABB40CF">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涉及办公室的危险源有饮水具不卫生、复印机废粉的排放、擦窗、触电、地上有积水、电路老化、火 灾、电磁辐射，上下班交通事故等。</w:t>
            </w:r>
          </w:p>
          <w:p w14:paraId="7CB24851">
            <w:pPr>
              <w:rPr>
                <w:rFonts w:hint="eastAsia" w:ascii="楷体" w:hAnsi="楷体" w:eastAsia="楷体" w:cs="Times New Roman"/>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经评价生产部的重大危险源：均有涉及。</w:t>
            </w:r>
          </w:p>
          <w:p w14:paraId="261D0383">
            <w:pPr>
              <w:rPr>
                <w:rFonts w:hint="eastAsia" w:ascii="华文细黑" w:hAnsi="华文细黑" w:eastAsia="华文细黑" w:cs="华文细黑"/>
                <w:lang w:val="en-US" w:eastAsia="zh-CN"/>
              </w:rPr>
            </w:pPr>
            <w:r>
              <w:rPr>
                <w:rFonts w:hint="eastAsia" w:ascii="楷体" w:hAnsi="楷体" w:eastAsia="楷体" w:cs="Times New Roman"/>
                <w:lang w:val="en-US" w:eastAsia="zh-CN"/>
              </w:rPr>
              <w:sym w:font="Wingdings 2" w:char="F098"/>
            </w:r>
            <w:r>
              <w:rPr>
                <w:rFonts w:hint="eastAsia" w:ascii="楷体" w:hAnsi="楷体" w:eastAsia="楷体" w:cs="Times New Roman"/>
                <w:lang w:val="en-US" w:eastAsia="zh-CN"/>
              </w:rPr>
              <w:t>主要控制措施：危险源控制执行管理方案、配备消防器材、日常检查、日常培训教育等运行控制措施等。</w:t>
            </w:r>
          </w:p>
        </w:tc>
        <w:tc>
          <w:tcPr>
            <w:tcW w:w="789" w:type="dxa"/>
            <w:vAlign w:val="top"/>
          </w:tcPr>
          <w:p w14:paraId="0A0CD5F1">
            <w:pPr>
              <w:bidi w:val="0"/>
              <w:rPr>
                <w:rFonts w:hint="eastAsia" w:ascii="华文细黑" w:hAnsi="华文细黑" w:eastAsia="华文细黑" w:cs="华文细黑"/>
                <w:lang w:val="en-US" w:eastAsia="zh-CN"/>
              </w:rPr>
            </w:pPr>
          </w:p>
        </w:tc>
      </w:tr>
      <w:tr w14:paraId="13167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14:paraId="629F003C">
            <w:pPr>
              <w:bidi w:val="0"/>
              <w:rPr>
                <w:rFonts w:hint="eastAsia"/>
                <w:lang w:val="en-US" w:eastAsia="zh-CN"/>
              </w:rPr>
            </w:pPr>
            <w:r>
              <w:rPr>
                <w:rFonts w:hint="eastAsia"/>
                <w:lang w:val="en-US" w:eastAsia="zh-CN"/>
              </w:rPr>
              <w:t>运行控制</w:t>
            </w:r>
          </w:p>
        </w:tc>
        <w:tc>
          <w:tcPr>
            <w:tcW w:w="990" w:type="dxa"/>
            <w:vAlign w:val="top"/>
          </w:tcPr>
          <w:p w14:paraId="57C2E155">
            <w:pPr>
              <w:bidi w:val="0"/>
              <w:rPr>
                <w:rFonts w:hint="eastAsia"/>
                <w:lang w:val="en-US" w:eastAsia="zh-CN"/>
              </w:rPr>
            </w:pPr>
            <w:r>
              <w:rPr>
                <w:rFonts w:hint="eastAsia"/>
                <w:lang w:val="en-US" w:eastAsia="zh-CN"/>
              </w:rPr>
              <w:t>EO</w:t>
            </w:r>
            <w:r>
              <w:rPr>
                <w:rFonts w:hint="eastAsia"/>
              </w:rPr>
              <w:t>8.</w:t>
            </w:r>
            <w:r>
              <w:rPr>
                <w:rFonts w:hint="eastAsia"/>
                <w:lang w:val="en-US" w:eastAsia="zh-CN"/>
              </w:rPr>
              <w:t>1</w:t>
            </w:r>
          </w:p>
        </w:tc>
        <w:tc>
          <w:tcPr>
            <w:tcW w:w="10800" w:type="dxa"/>
            <w:vAlign w:val="top"/>
          </w:tcPr>
          <w:p w14:paraId="2C5CFD06">
            <w:pPr>
              <w:rPr>
                <w:rFonts w:hint="eastAsia" w:ascii="楷体" w:hAnsi="楷体" w:eastAsia="楷体" w:cs="Times New Roman"/>
                <w:lang w:val="en-US" w:eastAsia="zh-CN"/>
              </w:rPr>
            </w:pPr>
            <w:r>
              <w:rPr>
                <w:rFonts w:hint="eastAsia" w:ascii="楷体" w:hAnsi="楷体" w:eastAsia="楷体" w:cs="Times New Roman"/>
                <w:lang w:val="en-US" w:eastAsia="zh-CN"/>
              </w:rPr>
              <w:t>编制JF-P-10-2021《环境影响运行控制程序》和JF-P-11-2021《职业健康安全运行控制程序》，按生产工艺流程管理环境因素及危险源。具体运行控制情况如下：</w:t>
            </w:r>
          </w:p>
          <w:p w14:paraId="3BAC43A4">
            <w:pPr>
              <w:rPr>
                <w:rFonts w:hint="eastAsia" w:ascii="楷体" w:hAnsi="楷体" w:eastAsia="楷体" w:cs="Times New Roman"/>
                <w:lang w:val="en-US" w:eastAsia="zh-CN"/>
              </w:rPr>
            </w:pPr>
            <w:r>
              <w:rPr>
                <w:rFonts w:hint="eastAsia" w:ascii="楷体" w:hAnsi="楷体" w:eastAsia="楷体" w:cs="Times New Roman"/>
                <w:lang w:val="en-US" w:eastAsia="zh-CN"/>
              </w:rPr>
              <w:t>1.固废管控：</w:t>
            </w:r>
          </w:p>
          <w:p w14:paraId="386C6ED0">
            <w:pPr>
              <w:rPr>
                <w:rFonts w:hint="eastAsia" w:ascii="楷体" w:hAnsi="楷体" w:eastAsia="楷体" w:cs="Times New Roman"/>
                <w:lang w:val="en-US" w:eastAsia="zh-CN"/>
              </w:rPr>
            </w:pPr>
            <w:r>
              <w:rPr>
                <w:rFonts w:hint="eastAsia" w:ascii="楷体" w:hAnsi="楷体" w:eastAsia="楷体" w:cs="Times New Roman"/>
                <w:lang w:val="en-US" w:eastAsia="zh-CN"/>
              </w:rPr>
              <w:t>一般固废包括生活垃圾由开发区环卫统一处理；危险固废为：废药品、废包装物（试剂瓶），委托浙江综和固废收集科技有限公司，提供处置合同书及其处置记录，见附件。</w:t>
            </w:r>
          </w:p>
          <w:p w14:paraId="4850BD4A">
            <w:pPr>
              <w:rPr>
                <w:rFonts w:hint="eastAsia" w:ascii="楷体" w:hAnsi="楷体" w:eastAsia="楷体" w:cs="Times New Roman"/>
                <w:lang w:val="en-US" w:eastAsia="zh-CN"/>
              </w:rPr>
            </w:pPr>
            <w:r>
              <w:rPr>
                <w:rFonts w:hint="eastAsia" w:ascii="楷体" w:hAnsi="楷体" w:eastAsia="楷体" w:cs="Times New Roman"/>
                <w:lang w:val="en-US" w:eastAsia="zh-CN"/>
              </w:rPr>
              <w:t>现场查看危废仓库：仓库上锁，见安全警示标识和危废管理周知卡和危险废物信息上墙，门口灭火器有效且有按要求点检，专库内有通风管，未见其它不符合情况。</w:t>
            </w:r>
          </w:p>
          <w:p w14:paraId="5FA05A14">
            <w:pPr>
              <w:rPr>
                <w:rFonts w:hint="eastAsia" w:ascii="楷体" w:hAnsi="楷体" w:eastAsia="楷体" w:cs="Times New Roman"/>
                <w:lang w:val="en-US" w:eastAsia="zh-CN"/>
              </w:rPr>
            </w:pPr>
            <w:r>
              <w:rPr>
                <w:rFonts w:hint="eastAsia" w:ascii="楷体" w:hAnsi="楷体" w:eastAsia="楷体" w:cs="Times New Roman"/>
                <w:lang w:val="en-US" w:eastAsia="zh-CN"/>
              </w:rPr>
              <w:t>2.废水管控：组织生活用水直接排入园区管网；工业废水采用活性污泥生化处理法，达到三类排放标准后排入开发区园区污水管网，污水日常监测由第三方执行，协议见Z其它附件；此外组织有按排污许可要求进行检测，监测报告可见附件。</w:t>
            </w:r>
          </w:p>
          <w:p w14:paraId="3BD5BAEF">
            <w:pPr>
              <w:rPr>
                <w:rFonts w:hint="eastAsia" w:ascii="楷体" w:hAnsi="楷体" w:eastAsia="楷体" w:cs="Times New Roman"/>
                <w:lang w:val="en-US" w:eastAsia="zh-CN"/>
              </w:rPr>
            </w:pPr>
            <w:r>
              <w:rPr>
                <w:rFonts w:hint="eastAsia" w:ascii="楷体" w:hAnsi="楷体" w:eastAsia="楷体" w:cs="Times New Roman"/>
                <w:lang w:val="en-US" w:eastAsia="zh-CN"/>
              </w:rPr>
              <w:t>3.废气管控：</w:t>
            </w:r>
          </w:p>
          <w:p w14:paraId="3A6BB287">
            <w:pPr>
              <w:rPr>
                <w:rFonts w:hint="eastAsia" w:ascii="楷体" w:hAnsi="楷体" w:eastAsia="楷体" w:cs="Times New Roman"/>
                <w:lang w:val="en-US" w:eastAsia="zh-CN"/>
              </w:rPr>
            </w:pPr>
            <w:r>
              <w:rPr>
                <w:rFonts w:hint="eastAsia" w:ascii="楷体" w:hAnsi="楷体" w:eastAsia="楷体" w:cs="Times New Roman"/>
                <w:lang w:val="en-US" w:eastAsia="zh-CN"/>
              </w:rPr>
              <w:t xml:space="preserve">    组织粉碎等过程产生的粉尘经布袋除尘设备搜集后引至15m高空排放；乙醇废气经冷凝回收产生量极少，经排气筒引至室外高空排放；锅炉烟气经脉冲布袋除尘器除尘后经35m排气筒排出；炒药机燃油废气经双塔湿式废气处理器处理后高空排放。</w:t>
            </w:r>
          </w:p>
          <w:p w14:paraId="1CA54CF1">
            <w:pPr>
              <w:rPr>
                <w:rFonts w:hint="eastAsia" w:ascii="楷体" w:hAnsi="楷体" w:eastAsia="楷体" w:cs="Times New Roman"/>
                <w:lang w:val="en-US" w:eastAsia="zh-CN"/>
              </w:rPr>
            </w:pPr>
            <w:r>
              <w:rPr>
                <w:rFonts w:hint="eastAsia" w:ascii="楷体" w:hAnsi="楷体" w:eastAsia="楷体" w:cs="Times New Roman"/>
                <w:lang w:val="en-US" w:eastAsia="zh-CN"/>
              </w:rPr>
              <w:t>4.噪声管控：</w:t>
            </w:r>
          </w:p>
          <w:p w14:paraId="22A6097D">
            <w:pPr>
              <w:rPr>
                <w:rFonts w:hint="eastAsia" w:ascii="楷体" w:hAnsi="楷体" w:eastAsia="楷体" w:cs="Times New Roman"/>
                <w:lang w:val="en-US" w:eastAsia="zh-CN"/>
              </w:rPr>
            </w:pPr>
            <w:r>
              <w:rPr>
                <w:rFonts w:hint="eastAsia" w:ascii="楷体" w:hAnsi="楷体" w:eastAsia="楷体" w:cs="Times New Roman"/>
                <w:lang w:val="en-US" w:eastAsia="zh-CN"/>
              </w:rPr>
              <w:t>主要为车间设备产生，现场查看，除电缆厂的噪声外，厂界未听到设备明显的运行噪声。</w:t>
            </w:r>
          </w:p>
          <w:p w14:paraId="31D0561C">
            <w:pPr>
              <w:rPr>
                <w:rFonts w:hint="eastAsia" w:ascii="楷体" w:hAnsi="楷体" w:eastAsia="楷体" w:cs="Times New Roman"/>
                <w:lang w:val="en-US" w:eastAsia="zh-CN"/>
              </w:rPr>
            </w:pPr>
            <w:r>
              <w:rPr>
                <w:rFonts w:hint="eastAsia" w:ascii="楷体" w:hAnsi="楷体" w:eastAsia="楷体" w:cs="Times New Roman"/>
                <w:lang w:val="en-US" w:eastAsia="zh-CN"/>
              </w:rPr>
              <w:t>5.消防管控：</w:t>
            </w:r>
          </w:p>
          <w:p w14:paraId="7E57B92A">
            <w:pPr>
              <w:rPr>
                <w:rFonts w:hint="eastAsia" w:ascii="楷体" w:hAnsi="楷体" w:eastAsia="楷体" w:cs="Times New Roman"/>
                <w:lang w:val="en-US" w:eastAsia="zh-CN"/>
              </w:rPr>
            </w:pPr>
            <w:r>
              <w:rPr>
                <w:rFonts w:hint="eastAsia" w:ascii="楷体" w:hAnsi="楷体" w:eastAsia="楷体" w:cs="Times New Roman"/>
                <w:lang w:val="en-US" w:eastAsia="zh-CN"/>
              </w:rPr>
              <w:t>组织设置小型消防站，配有消防灭火器及设施；车间内消防栓及灭火器均按要求进行维护检查，状态良好。</w:t>
            </w:r>
          </w:p>
          <w:p w14:paraId="0770DA2A">
            <w:pPr>
              <w:rPr>
                <w:rFonts w:hint="eastAsia" w:ascii="楷体" w:hAnsi="楷体" w:eastAsia="楷体" w:cs="Times New Roman"/>
                <w:lang w:val="en-US" w:eastAsia="zh-CN"/>
              </w:rPr>
            </w:pPr>
            <w:r>
              <w:rPr>
                <w:rFonts w:hint="eastAsia" w:ascii="楷体" w:hAnsi="楷体" w:eastAsia="楷体" w:cs="Times New Roman"/>
                <w:lang w:val="en-US" w:eastAsia="zh-CN"/>
              </w:rPr>
              <w:t>6.配电管控：</w:t>
            </w:r>
          </w:p>
          <w:p w14:paraId="7575E89C">
            <w:pPr>
              <w:rPr>
                <w:rFonts w:hint="eastAsia" w:ascii="楷体" w:hAnsi="楷体" w:eastAsia="楷体" w:cs="Times New Roman"/>
                <w:lang w:val="en-US" w:eastAsia="zh-CN"/>
              </w:rPr>
            </w:pPr>
            <w:r>
              <w:rPr>
                <w:rFonts w:hint="eastAsia" w:ascii="楷体" w:hAnsi="楷体" w:eastAsia="楷体" w:cs="Times New Roman"/>
                <w:lang w:val="en-US" w:eastAsia="zh-CN"/>
              </w:rPr>
              <w:t>组织无独立配电房，与同一集团旗下电缆厂共用。</w:t>
            </w:r>
          </w:p>
          <w:p w14:paraId="569737A0">
            <w:pPr>
              <w:rPr>
                <w:rFonts w:hint="default" w:ascii="楷体" w:hAnsi="楷体" w:eastAsia="楷体" w:cs="Times New Roman"/>
                <w:lang w:val="en-US" w:eastAsia="zh-CN"/>
              </w:rPr>
            </w:pPr>
            <w:r>
              <w:rPr>
                <w:rFonts w:hint="eastAsia" w:ascii="楷体" w:hAnsi="楷体" w:eastAsia="楷体" w:cs="Times New Roman"/>
                <w:lang w:val="en-US" w:eastAsia="zh-CN"/>
              </w:rPr>
              <w:t>7.危化品管控</w:t>
            </w:r>
          </w:p>
          <w:p w14:paraId="52642B24">
            <w:pPr>
              <w:rPr>
                <w:rFonts w:hint="eastAsia" w:ascii="楷体" w:hAnsi="楷体" w:eastAsia="楷体" w:cs="Times New Roman"/>
                <w:color w:val="auto"/>
                <w:lang w:val="en-US" w:eastAsia="zh-CN"/>
              </w:rPr>
            </w:pPr>
            <w:r>
              <w:rPr>
                <w:rFonts w:hint="eastAsia" w:ascii="楷体" w:hAnsi="楷体" w:eastAsia="楷体" w:cs="Times New Roman"/>
                <w:color w:val="auto"/>
                <w:lang w:val="en-US" w:eastAsia="zh-CN"/>
              </w:rPr>
              <w:t>危险化学品主要为乙醇；乙醇存储于提取车间密闭系统容器内，循环蒸馏提取使用；该车间为防爆车间，设有消静电装置。</w:t>
            </w:r>
          </w:p>
          <w:p w14:paraId="497307EB">
            <w:pPr>
              <w:rPr>
                <w:rFonts w:hint="eastAsia" w:ascii="楷体" w:hAnsi="楷体" w:eastAsia="楷体" w:cs="Times New Roman"/>
                <w:lang w:val="en-US" w:eastAsia="zh-CN"/>
              </w:rPr>
            </w:pPr>
            <w:r>
              <w:rPr>
                <w:rFonts w:hint="eastAsia" w:ascii="楷体" w:hAnsi="楷体" w:eastAsia="楷体" w:cs="Times New Roman"/>
                <w:lang w:val="en-US" w:eastAsia="zh-CN"/>
              </w:rPr>
              <w:t>8.能资源管控：</w:t>
            </w:r>
          </w:p>
          <w:p w14:paraId="7FAA1DAD">
            <w:pPr>
              <w:rPr>
                <w:rFonts w:hint="eastAsia" w:ascii="楷体" w:hAnsi="楷体" w:eastAsia="楷体" w:cs="Times New Roman"/>
                <w:lang w:val="en-US" w:eastAsia="zh-CN"/>
              </w:rPr>
            </w:pPr>
            <w:r>
              <w:rPr>
                <w:rFonts w:hint="eastAsia" w:ascii="楷体" w:hAnsi="楷体" w:eastAsia="楷体" w:cs="Times New Roman"/>
                <w:lang w:val="en-US" w:eastAsia="zh-CN"/>
              </w:rPr>
              <w:t>组织管理要求节约用电用水； 现场未发现跑冒滴漏等现象。</w:t>
            </w:r>
          </w:p>
          <w:p w14:paraId="0EB0A2A4">
            <w:pPr>
              <w:rPr>
                <w:rFonts w:hint="eastAsia" w:ascii="楷体" w:hAnsi="楷体" w:eastAsia="楷体" w:cs="Times New Roman"/>
                <w:lang w:val="en-US" w:eastAsia="zh-CN"/>
              </w:rPr>
            </w:pPr>
            <w:r>
              <w:rPr>
                <w:rFonts w:hint="eastAsia" w:ascii="楷体" w:hAnsi="楷体" w:eastAsia="楷体" w:cs="Times New Roman"/>
                <w:lang w:val="en-US" w:eastAsia="zh-CN"/>
              </w:rPr>
              <w:t>9.特种设备管控：</w:t>
            </w:r>
          </w:p>
          <w:p w14:paraId="4F9C8676">
            <w:pPr>
              <w:rPr>
                <w:rFonts w:hint="eastAsia" w:ascii="楷体" w:hAnsi="楷体" w:eastAsia="楷体" w:cs="Times New Roman"/>
                <w:lang w:val="en-US" w:eastAsia="zh-CN"/>
              </w:rPr>
            </w:pPr>
            <w:r>
              <w:rPr>
                <w:rFonts w:hint="eastAsia" w:ascii="楷体" w:hAnsi="楷体" w:eastAsia="楷体" w:cs="Times New Roman"/>
                <w:lang w:val="en-US" w:eastAsia="zh-CN"/>
              </w:rPr>
              <w:t>查组织的压力容器等特种设备的检验情况：台账完整，所有特种设备均能够按照法律法规和标准要求及时检验，特种设备涉及的附件如安全阀和压力表等能够及时校验/准，具体信息可见附件抽样。</w:t>
            </w:r>
          </w:p>
          <w:p w14:paraId="470D292C">
            <w:pPr>
              <w:rPr>
                <w:rFonts w:hint="eastAsia" w:ascii="楷体" w:hAnsi="楷体" w:eastAsia="楷体" w:cs="Times New Roman"/>
                <w:lang w:val="en-US" w:eastAsia="zh-CN"/>
              </w:rPr>
            </w:pPr>
            <w:r>
              <w:rPr>
                <w:rFonts w:hint="eastAsia" w:ascii="楷体" w:hAnsi="楷体" w:eastAsia="楷体" w:cs="Times New Roman"/>
                <w:lang w:val="en-US" w:eastAsia="zh-CN"/>
              </w:rPr>
              <w:t>10.其它健康安全：</w:t>
            </w:r>
          </w:p>
          <w:p w14:paraId="7FA235CC">
            <w:pPr>
              <w:rPr>
                <w:rFonts w:hint="eastAsia" w:ascii="楷体" w:hAnsi="楷体" w:eastAsia="楷体" w:cs="Times New Roman"/>
                <w:lang w:val="en-US" w:eastAsia="zh-CN"/>
              </w:rPr>
            </w:pPr>
            <w:r>
              <w:rPr>
                <w:rFonts w:hint="eastAsia" w:ascii="楷体" w:hAnsi="楷体" w:eastAsia="楷体" w:cs="Times New Roman"/>
                <w:lang w:val="en-US" w:eastAsia="zh-CN"/>
              </w:rPr>
              <w:t>出健康证要求体检外，组织还组织职业病检出岗位员工做职业病体检，结果见附件。</w:t>
            </w:r>
          </w:p>
          <w:p w14:paraId="552ABFCC">
            <w:pPr>
              <w:pStyle w:val="2"/>
              <w:rPr>
                <w:rFonts w:hint="eastAsia" w:ascii="楷体" w:hAnsi="楷体" w:eastAsia="楷体" w:cs="Times New Roman"/>
                <w:color w:val="FF0000"/>
                <w:lang w:val="en-US" w:eastAsia="zh-CN"/>
              </w:rPr>
            </w:pPr>
          </w:p>
          <w:p w14:paraId="2342A1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sym w:font="Wingdings 2" w:char="F098"/>
            </w:r>
            <w:r>
              <w:rPr>
                <w:rFonts w:hint="eastAsia" w:ascii="楷体" w:hAnsi="楷体" w:eastAsia="楷体" w:cs="Times New Roman"/>
                <w:color w:val="FF0000"/>
                <w:lang w:val="en-US" w:eastAsia="zh-CN"/>
              </w:rPr>
              <w:t>提供：</w:t>
            </w:r>
          </w:p>
          <w:p w14:paraId="2EA086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提供《工作场所职业病危害因素定期检测报告》，编号：HYJC-JP2504016,查看检测报告单项结论：合格，监测日期：2025年4月30日</w:t>
            </w:r>
          </w:p>
          <w:p w14:paraId="0396D4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评价结论:本次共检测化学有害因素定点7个点、个体0个，检测结果均符合GBZ 2.1-2019 及第1号修改单的要求;共检测物理因素定点7个点、个体0个，检测结果均符合 GB2 2.2-2007的要求;</w:t>
            </w:r>
          </w:p>
          <w:p w14:paraId="2263D9EA">
            <w:pPr>
              <w:pStyle w:val="2"/>
              <w:ind w:firstLine="420" w:firstLineChars="200"/>
              <w:rPr>
                <w:rFonts w:hint="default" w:ascii="楷体" w:hAnsi="楷体" w:eastAsia="楷体" w:cs="Times New Roman"/>
                <w:bCs w:val="0"/>
                <w:color w:val="FF0000"/>
                <w:spacing w:val="0"/>
                <w:kern w:val="2"/>
                <w:sz w:val="21"/>
                <w:lang w:val="en-US" w:eastAsia="zh-CN" w:bidi="ar-SA"/>
              </w:rPr>
            </w:pPr>
            <w:r>
              <w:rPr>
                <w:rFonts w:hint="default" w:ascii="楷体" w:hAnsi="楷体" w:eastAsia="楷体" w:cs="Times New Roman"/>
                <w:bCs w:val="0"/>
                <w:color w:val="FF0000"/>
                <w:spacing w:val="0"/>
                <w:kern w:val="2"/>
                <w:sz w:val="21"/>
                <w:lang w:val="en-US" w:eastAsia="zh-CN" w:bidi="ar-SA"/>
              </w:rPr>
              <w:t>防护措施</w:t>
            </w:r>
            <w:r>
              <w:rPr>
                <w:rFonts w:hint="eastAsia" w:ascii="楷体" w:hAnsi="楷体" w:eastAsia="楷体" w:cs="Times New Roman"/>
                <w:bCs w:val="0"/>
                <w:color w:val="FF0000"/>
                <w:spacing w:val="0"/>
                <w:kern w:val="2"/>
                <w:sz w:val="21"/>
                <w:lang w:val="en-US" w:eastAsia="zh-CN" w:bidi="ar-SA"/>
              </w:rPr>
              <w:t>:</w:t>
            </w:r>
          </w:p>
          <w:p w14:paraId="730004BE">
            <w:pPr>
              <w:pStyle w:val="2"/>
              <w:rPr>
                <w:rFonts w:hint="default" w:ascii="楷体" w:hAnsi="楷体" w:eastAsia="楷体" w:cs="Times New Roman"/>
                <w:bCs w:val="0"/>
                <w:color w:val="FF0000"/>
                <w:spacing w:val="0"/>
                <w:kern w:val="2"/>
                <w:sz w:val="21"/>
                <w:lang w:val="en-US" w:eastAsia="zh-CN" w:bidi="ar-SA"/>
              </w:rPr>
            </w:pPr>
            <w:r>
              <w:rPr>
                <w:rFonts w:hint="default" w:ascii="楷体" w:hAnsi="楷体" w:eastAsia="楷体" w:cs="Times New Roman"/>
                <w:bCs w:val="0"/>
                <w:color w:val="FF0000"/>
                <w:spacing w:val="0"/>
                <w:kern w:val="2"/>
                <w:sz w:val="21"/>
                <w:lang w:val="en-US" w:eastAsia="zh-CN" w:bidi="ar-SA"/>
              </w:rPr>
              <w:t>(1) 建议企业针对各车间各岗位的机器设备增加保养维护次数,减轻设备的噪声产生，并增加生产车间各岗位作业人员 3M1110 防噪耳塞的更换次数，确保有效防护</w:t>
            </w:r>
          </w:p>
          <w:p w14:paraId="0B5617B9">
            <w:pPr>
              <w:pStyle w:val="2"/>
              <w:rPr>
                <w:rFonts w:hint="default" w:ascii="楷体" w:hAnsi="楷体" w:eastAsia="楷体" w:cs="Times New Roman"/>
                <w:bCs w:val="0"/>
                <w:color w:val="FF0000"/>
                <w:spacing w:val="0"/>
                <w:kern w:val="2"/>
                <w:sz w:val="21"/>
                <w:lang w:val="en-US" w:eastAsia="zh-CN" w:bidi="ar-SA"/>
              </w:rPr>
            </w:pPr>
            <w:r>
              <w:rPr>
                <w:rFonts w:hint="default" w:ascii="楷体" w:hAnsi="楷体" w:eastAsia="楷体" w:cs="Times New Roman"/>
                <w:bCs w:val="0"/>
                <w:color w:val="FF0000"/>
                <w:spacing w:val="0"/>
                <w:kern w:val="2"/>
                <w:sz w:val="21"/>
                <w:lang w:val="en-US" w:eastAsia="zh-CN" w:bidi="ar-SA"/>
              </w:rPr>
              <w:t>(2)建议企业增加各个岗位的防尘口罩更换次数,确保有效防护,(3)定期为接害人员培训个体防护用品的佩戴。</w:t>
            </w:r>
          </w:p>
          <w:p w14:paraId="41EE62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现场查看操作人员佩戴耳塞、口罩、加装排风扇，现场提供休息区域，有防暑降、温药品</w:t>
            </w:r>
          </w:p>
          <w:p w14:paraId="5CD09946">
            <w:pPr>
              <w:pStyle w:val="2"/>
              <w:rPr>
                <w:rFonts w:hint="default"/>
                <w:lang w:val="en-US" w:eastAsia="zh-CN"/>
              </w:rPr>
            </w:pPr>
          </w:p>
          <w:p w14:paraId="12785A7A">
            <w:pPr>
              <w:ind w:firstLine="420" w:firstLineChars="200"/>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提供《职业健康检查报告书》，编号：（金）职检字第2024-0814号，日期：2024年11月26日，应检8人，实检8人，需复查0人。</w:t>
            </w:r>
          </w:p>
          <w:p w14:paraId="4DA297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体检结论与处理意见/医学建议:本次职业健康检查发现:疑似职业病0人、职业禁忌证0人、需要复查人员0人。</w:t>
            </w:r>
          </w:p>
          <w:p w14:paraId="2D8E7A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针对其他与职业病无关的身体健康问题，给出合理性建议，详见提交证据。</w:t>
            </w:r>
          </w:p>
          <w:p w14:paraId="2E3E6C5D">
            <w:pPr>
              <w:pStyle w:val="2"/>
              <w:rPr>
                <w:rFonts w:hint="default"/>
                <w:lang w:val="en-US" w:eastAsia="zh-CN"/>
              </w:rPr>
            </w:pPr>
          </w:p>
          <w:p w14:paraId="3C9771CF">
            <w:pPr>
              <w:ind w:firstLine="420" w:firstLineChars="200"/>
              <w:rPr>
                <w:rFonts w:hint="default"/>
                <w:lang w:val="en-US" w:eastAsia="zh-CN"/>
              </w:rPr>
            </w:pPr>
            <w:r>
              <w:rPr>
                <w:rFonts w:hint="eastAsia" w:ascii="楷体" w:hAnsi="楷体" w:eastAsia="楷体" w:cs="Times New Roman"/>
                <w:color w:val="FF0000"/>
                <w:lang w:val="en-US" w:eastAsia="zh-CN"/>
              </w:rPr>
              <w:t>提供《环境监测报告》，编号：HYJC/HJ2503004，检测项目：废水、废气、噪声，依据检测报告检测结果和标准限值判断：未超出环境法规要求限值，检测日期：2025年3月17日，企业每季度进行环境监测，未超出排污许可证副本的排污限值。</w:t>
            </w:r>
          </w:p>
          <w:p w14:paraId="7B01BB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Times New Roman"/>
                <w:color w:val="FF0000"/>
                <w:lang w:val="en-US" w:eastAsia="zh-CN"/>
              </w:rPr>
            </w:pPr>
            <w:r>
              <w:rPr>
                <w:rFonts w:hint="eastAsia" w:ascii="楷体" w:hAnsi="楷体" w:eastAsia="楷体" w:cs="Times New Roman"/>
                <w:color w:val="FF0000"/>
                <w:lang w:val="en-US" w:eastAsia="zh-CN"/>
              </w:rPr>
              <w:t>检查现场提供有废气处理设备运行、维护保养记录，设备运行良好</w:t>
            </w:r>
          </w:p>
          <w:p w14:paraId="0FDC3EE6">
            <w:pPr>
              <w:pStyle w:val="2"/>
              <w:rPr>
                <w:rFonts w:hint="default" w:ascii="楷体" w:hAnsi="楷体" w:eastAsia="楷体" w:cs="Times New Roman"/>
                <w:color w:val="FF0000"/>
                <w:lang w:val="en-US" w:eastAsia="zh-CN"/>
              </w:rPr>
            </w:pPr>
            <w:r>
              <w:rPr>
                <w:rFonts w:hint="eastAsia" w:ascii="楷体" w:hAnsi="楷体" w:eastAsia="楷体" w:cs="Times New Roman"/>
                <w:color w:val="FF0000"/>
                <w:lang w:val="en-US" w:eastAsia="zh-CN"/>
              </w:rPr>
              <w:sym w:font="Wingdings 2" w:char="F098"/>
            </w:r>
            <w:r>
              <w:rPr>
                <w:rFonts w:hint="eastAsia" w:ascii="楷体" w:hAnsi="楷体" w:eastAsia="楷体" w:cs="Times New Roman"/>
                <w:color w:val="FF0000"/>
                <w:lang w:val="en-US" w:eastAsia="zh-CN"/>
              </w:rPr>
              <w:t xml:space="preserve">综上所述，基本符合标准要求。 </w:t>
            </w:r>
          </w:p>
        </w:tc>
        <w:tc>
          <w:tcPr>
            <w:tcW w:w="789" w:type="dxa"/>
            <w:vAlign w:val="top"/>
          </w:tcPr>
          <w:p w14:paraId="55623CF8">
            <w:pPr>
              <w:bidi w:val="0"/>
              <w:rPr>
                <w:rFonts w:hint="eastAsia" w:ascii="华文细黑" w:hAnsi="华文细黑" w:eastAsia="华文细黑" w:cs="华文细黑"/>
                <w:kern w:val="2"/>
                <w:sz w:val="21"/>
                <w:lang w:val="en-US" w:eastAsia="zh-CN" w:bidi="ar-SA"/>
              </w:rPr>
            </w:pPr>
            <w:r>
              <w:rPr>
                <w:rFonts w:hint="eastAsia" w:ascii="华文细黑" w:hAnsi="华文细黑" w:eastAsia="华文细黑" w:cs="华文细黑"/>
                <w:lang w:val="en-US" w:eastAsia="zh-CN"/>
              </w:rPr>
              <w:t>Y</w:t>
            </w:r>
          </w:p>
        </w:tc>
      </w:tr>
      <w:tr w14:paraId="135E6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14:paraId="4D5DFD3F">
            <w:pPr>
              <w:rPr>
                <w:rFonts w:hint="eastAsia" w:ascii="楷体" w:hAnsi="楷体" w:eastAsia="楷体" w:cs="Times New Roman"/>
                <w:lang w:val="en-US" w:eastAsia="zh-CN"/>
              </w:rPr>
            </w:pPr>
            <w:r>
              <w:rPr>
                <w:rFonts w:hint="eastAsia" w:ascii="楷体" w:hAnsi="楷体" w:eastAsia="楷体" w:cs="Times New Roman"/>
                <w:lang w:val="en-US" w:eastAsia="zh-CN"/>
              </w:rPr>
              <w:t>应急准备和响应</w:t>
            </w:r>
          </w:p>
        </w:tc>
        <w:tc>
          <w:tcPr>
            <w:tcW w:w="990" w:type="dxa"/>
            <w:vAlign w:val="top"/>
          </w:tcPr>
          <w:p w14:paraId="7E807B43">
            <w:pPr>
              <w:rPr>
                <w:rFonts w:hint="eastAsia" w:ascii="楷体" w:hAnsi="楷体" w:eastAsia="楷体" w:cs="Times New Roman"/>
                <w:lang w:val="en-US" w:eastAsia="zh-CN"/>
              </w:rPr>
            </w:pPr>
            <w:r>
              <w:rPr>
                <w:rFonts w:hint="eastAsia" w:ascii="楷体" w:hAnsi="楷体" w:eastAsia="楷体" w:cs="Times New Roman"/>
                <w:lang w:val="en-US" w:eastAsia="zh-CN"/>
              </w:rPr>
              <w:t>EO8.2</w:t>
            </w:r>
          </w:p>
        </w:tc>
        <w:tc>
          <w:tcPr>
            <w:tcW w:w="10800" w:type="dxa"/>
            <w:vAlign w:val="top"/>
          </w:tcPr>
          <w:p w14:paraId="7EF5A469">
            <w:pPr>
              <w:rPr>
                <w:rFonts w:hint="eastAsia" w:ascii="楷体" w:hAnsi="楷体" w:eastAsia="楷体" w:cs="Times New Roman"/>
                <w:lang w:val="en-US" w:eastAsia="zh-CN"/>
              </w:rPr>
            </w:pPr>
            <w:r>
              <w:rPr>
                <w:rFonts w:hint="eastAsia" w:ascii="楷体" w:hAnsi="楷体" w:eastAsia="楷体" w:cs="Times New Roman"/>
                <w:lang w:val="en-US" w:eastAsia="zh-CN"/>
              </w:rPr>
              <w:t>公司制定了《生产安全事故应急预案》编号：JFJKYA2022001。总经理批准，当地应急局备案，一年评估一次，三年修订一次，提供的《应急预案》是2024年7月10日第一次修订。内容包含：专项应急预案：1、火灾（爆炸）事故专项应急预案；2、人身事故专项应急预案；3、特种设备事故专项应急预案；4、压力容器、压力管道事故专项应急预案等7项内容。现场处置方案：1、高出坠落事故现场处置方案；2、机械伤害事故现场处置方案；3、物体打击事故现场处置方案；4、触电事故现场处置方案等17项。符合要求。</w:t>
            </w:r>
          </w:p>
          <w:p w14:paraId="72110E90">
            <w:pPr>
              <w:rPr>
                <w:rFonts w:hint="eastAsia" w:ascii="楷体" w:hAnsi="楷体" w:eastAsia="楷体" w:cs="Times New Roman"/>
                <w:lang w:val="en-US" w:eastAsia="zh-CN"/>
              </w:rPr>
            </w:pPr>
            <w:r>
              <w:rPr>
                <w:rFonts w:hint="eastAsia" w:ascii="楷体" w:hAnsi="楷体" w:eastAsia="楷体" w:cs="Times New Roman"/>
                <w:lang w:val="en-US" w:eastAsia="zh-CN"/>
              </w:rPr>
              <w:t>提供了《2025年度应急预案演练计划》：1、一季度组织突发事故应急疏散演练。2、二季度:组织雷击事故现场处置演练、受限空间事故应急预案演练。3、三季度:特种设备(电梯)事故专项应急预案演练。4、四季度:突发事故应急疏散演练。</w:t>
            </w:r>
          </w:p>
          <w:p w14:paraId="7562B504">
            <w:pPr>
              <w:rPr>
                <w:rFonts w:hint="eastAsia" w:ascii="楷体" w:hAnsi="楷体" w:eastAsia="楷体" w:cs="Times New Roman"/>
                <w:lang w:val="en-US" w:eastAsia="zh-CN"/>
              </w:rPr>
            </w:pPr>
            <w:r>
              <w:rPr>
                <w:rFonts w:hint="eastAsia" w:ascii="楷体" w:hAnsi="楷体" w:eastAsia="楷体" w:cs="Times New Roman"/>
                <w:lang w:val="en-US" w:eastAsia="zh-CN"/>
              </w:rPr>
              <w:t>抽查2025年2月6日应急书疏散演练方案及记录：时间：下午13：30分。总指挥：赵春全，参加人员：全体人员。提供演练记录、签到表、现场照片和现场口头总结，符合闭环要求；质量部金小凯、陈安平、方心怡、邵淑梅等8人参加。</w:t>
            </w:r>
          </w:p>
          <w:p w14:paraId="30E63459">
            <w:pPr>
              <w:rPr>
                <w:rFonts w:hint="eastAsia" w:ascii="楷体" w:hAnsi="楷体" w:eastAsia="楷体" w:cs="Times New Roman"/>
                <w:lang w:val="en-US" w:eastAsia="zh-CN"/>
              </w:rPr>
            </w:pPr>
            <w:r>
              <w:rPr>
                <w:rFonts w:hint="eastAsia" w:ascii="楷体" w:hAnsi="楷体" w:eastAsia="楷体" w:cs="Times New Roman"/>
                <w:lang w:val="en-US" w:eastAsia="zh-CN"/>
              </w:rPr>
              <w:t xml:space="preserve">抽查2025年5月22日《雷击事故现场处置方案》时间：下午13：30分。总指挥：曾曲梅，参加人员：中药饮片全体人员。提供演练记录、签到表、现场照片和现场口头总结，符合闭环要求；质量部无人参加。   </w:t>
            </w:r>
          </w:p>
          <w:p w14:paraId="5D90C645">
            <w:pPr>
              <w:rPr>
                <w:rFonts w:hint="eastAsia" w:ascii="楷体" w:hAnsi="楷体" w:eastAsia="楷体" w:cs="Times New Roman"/>
                <w:lang w:val="en-US" w:eastAsia="zh-CN"/>
              </w:rPr>
            </w:pPr>
            <w:r>
              <w:rPr>
                <w:rFonts w:hint="eastAsia" w:ascii="楷体" w:hAnsi="楷体" w:eastAsia="楷体" w:cs="Times New Roman"/>
                <w:lang w:val="en-US" w:eastAsia="zh-CN"/>
              </w:rPr>
              <w:t>管理建议：企业提供的资料中，现场处置方案有17个，提供的资料只有一个，加强现场处置方案的演练管理。</w:t>
            </w:r>
          </w:p>
          <w:p w14:paraId="6356D606">
            <w:pPr>
              <w:rPr>
                <w:rFonts w:hint="eastAsia" w:ascii="楷体" w:hAnsi="楷体" w:eastAsia="楷体" w:cs="Times New Roman"/>
                <w:lang w:val="en-US" w:eastAsia="zh-CN"/>
              </w:rPr>
            </w:pPr>
            <w:r>
              <w:rPr>
                <w:rFonts w:hint="eastAsia" w:ascii="楷体" w:hAnsi="楷体" w:eastAsia="楷体" w:cs="Times New Roman"/>
                <w:lang w:val="en-US" w:eastAsia="zh-CN"/>
              </w:rPr>
              <w:t>自体系运行以来尚未发生紧急情况。综上，基本满足控制要求。</w:t>
            </w:r>
          </w:p>
        </w:tc>
        <w:tc>
          <w:tcPr>
            <w:tcW w:w="789" w:type="dxa"/>
            <w:vAlign w:val="top"/>
          </w:tcPr>
          <w:p w14:paraId="7448EEA1">
            <w:pPr>
              <w:bidi w:val="0"/>
              <w:rPr>
                <w:rFonts w:hint="eastAsia" w:ascii="华文细黑" w:hAnsi="华文细黑" w:eastAsia="华文细黑" w:cs="华文细黑"/>
                <w:kern w:val="2"/>
                <w:lang w:val="en-US" w:eastAsia="zh-CN" w:bidi="ar-SA"/>
              </w:rPr>
            </w:pPr>
            <w:r>
              <w:rPr>
                <w:rFonts w:hint="eastAsia"/>
                <w:lang w:val="en-US" w:eastAsia="zh-CN"/>
              </w:rPr>
              <w:t>Y</w:t>
            </w:r>
          </w:p>
        </w:tc>
      </w:tr>
    </w:tbl>
    <w:p w14:paraId="7D50786C">
      <w:pPr>
        <w:pStyle w:val="2"/>
      </w:pPr>
    </w:p>
    <w:sectPr>
      <w:pgSz w:w="16838" w:h="11906" w:orient="landscape"/>
      <w:pgMar w:top="1440" w:right="1080" w:bottom="1440" w:left="108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14:paraId="1EF9B710">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14:paraId="6FE1CC0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D081">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-37465</wp:posOffset>
          </wp:positionH>
          <wp:positionV relativeFrom="paragraph">
            <wp:posOffset>-112395</wp:posOffset>
          </wp:positionV>
          <wp:extent cx="480695" cy="482600"/>
          <wp:effectExtent l="19050" t="0" r="0" b="0"/>
          <wp:wrapTopAndBottom/>
          <wp:docPr id="186808946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8946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7031355</wp:posOffset>
              </wp:positionH>
              <wp:positionV relativeFrom="paragraph">
                <wp:posOffset>173990</wp:posOffset>
              </wp:positionV>
              <wp:extent cx="2021840" cy="231140"/>
              <wp:effectExtent l="0" t="0" r="16510" b="16510"/>
              <wp:wrapNone/>
              <wp:docPr id="1" name="文本框 1025"/>
              <wp:cNvGraphicFramePr/>
              <a:graphic xmlns:a="http://schemas.openxmlformats.org/drawingml/2006/main">
                <a:graphicData uri="http://schemas.microsoft.com/office/word/2010/wordprocessingShape">
                  <wps:wsp>
                    <wps:cNvSpPr txBox="1"/>
                    <wps:spPr>
                      <a:xfrm>
                        <a:off x="0" y="0"/>
                        <a:ext cx="2021840" cy="231140"/>
                      </a:xfrm>
                      <a:prstGeom prst="rect">
                        <a:avLst/>
                      </a:prstGeom>
                      <a:solidFill>
                        <a:srgbClr val="FFFFFF"/>
                      </a:solidFill>
                      <a:ln>
                        <a:noFill/>
                      </a:ln>
                    </wps:spPr>
                    <wps:txbx>
                      <w:txbxContent>
                        <w:p w14:paraId="780721AD">
                          <w:pPr>
                            <w:rPr>
                              <w:sz w:val="18"/>
                              <w:szCs w:val="18"/>
                            </w:rPr>
                          </w:pPr>
                          <w:r>
                            <w:rPr>
                              <w:rFonts w:hint="eastAsia"/>
                              <w:sz w:val="18"/>
                              <w:szCs w:val="18"/>
                            </w:rPr>
                            <w:t>ISC-</w:t>
                          </w:r>
                          <w:r>
                            <w:rPr>
                              <w:sz w:val="18"/>
                              <w:szCs w:val="18"/>
                            </w:rPr>
                            <w:t>B</w:t>
                          </w:r>
                          <w:r>
                            <w:rPr>
                              <w:rFonts w:hint="eastAsia"/>
                              <w:sz w:val="18"/>
                              <w:szCs w:val="18"/>
                            </w:rPr>
                            <w:t>-</w:t>
                          </w:r>
                          <w:r>
                            <w:rPr>
                              <w:sz w:val="18"/>
                              <w:szCs w:val="18"/>
                            </w:rPr>
                            <w:t>08</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)现场审核记录表</w:t>
                          </w:r>
                        </w:p>
                        <w:p w14:paraId="22F8C677"/>
                      </w:txbxContent>
                    </wps:txbx>
                    <wps:bodyPr upright="1"/>
                  </wps:wsp>
                </a:graphicData>
              </a:graphic>
            </wp:anchor>
          </w:drawing>
        </mc:Choice>
        <mc:Fallback>
          <w:pict>
            <v:shape id="文本框 1025" o:spid="_x0000_s1026" o:spt="202" type="#_x0000_t202" style="position:absolute;left:0pt;margin-left:553.65pt;margin-top:13.7pt;height:18.2pt;width:159.2pt;z-index:251659264;mso-width-relative:page;mso-height-relative:page;" fillcolor="#FFFFFF" filled="t" stroked="f" coordsize="21600,21600" o:gfxdata="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yiJvrYAAAACwEAAA8AAAAAAAAAAQAgAAAAIgAAAGRycy9kb3ducmV2Lnht&#10;bFBLAQIUABQAAAAIAIdO4kBIu6bCwAEAAHoDAAAOAAAAAAAAAAEAIAAAACcBAABkcnMvZTJvRG9j&#10;LnhtbFBLBQYAAAAABgAGAFkBAABZBQAAAAA=&#10;">
              <v:fill on="t" focussize="0,0"/>
              <v:stroke on="f"/>
              <v:imagedata o:title=""/>
              <o:lock v:ext="edit" aspectratio="f"/>
              <v:textbox>
                <w:txbxContent>
                  <w:p w14:paraId="780721AD">
                    <w:pPr>
                      <w:rPr>
                        <w:sz w:val="18"/>
                        <w:szCs w:val="18"/>
                      </w:rPr>
                    </w:pPr>
                    <w:r>
                      <w:rPr>
                        <w:rFonts w:hint="eastAsia"/>
                        <w:sz w:val="18"/>
                        <w:szCs w:val="18"/>
                      </w:rPr>
                      <w:t>ISC-</w:t>
                    </w:r>
                    <w:r>
                      <w:rPr>
                        <w:sz w:val="18"/>
                        <w:szCs w:val="18"/>
                      </w:rPr>
                      <w:t>B</w:t>
                    </w:r>
                    <w:r>
                      <w:rPr>
                        <w:rFonts w:hint="eastAsia"/>
                        <w:sz w:val="18"/>
                        <w:szCs w:val="18"/>
                      </w:rPr>
                      <w:t>-</w:t>
                    </w:r>
                    <w:r>
                      <w:rPr>
                        <w:sz w:val="18"/>
                        <w:szCs w:val="18"/>
                      </w:rPr>
                      <w:t>08</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)现场审核记录表</w:t>
                    </w:r>
                  </w:p>
                  <w:p w14:paraId="22F8C677"/>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37F9ABC">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561E7"/>
    <w:multiLevelType w:val="multilevel"/>
    <w:tmpl w:val="00F561E7"/>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
    <w:nsid w:val="1CC44D6B"/>
    <w:multiLevelType w:val="multilevel"/>
    <w:tmpl w:val="1CC44D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46C0B8B"/>
    <w:multiLevelType w:val="multilevel"/>
    <w:tmpl w:val="246C0B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2E1656"/>
    <w:multiLevelType w:val="multilevel"/>
    <w:tmpl w:val="3F2E16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0E46AD2"/>
    <w:rsid w:val="012610EC"/>
    <w:rsid w:val="029F2E1F"/>
    <w:rsid w:val="030A0A72"/>
    <w:rsid w:val="034F0B7A"/>
    <w:rsid w:val="04402271"/>
    <w:rsid w:val="04730898"/>
    <w:rsid w:val="05F257ED"/>
    <w:rsid w:val="05F477B7"/>
    <w:rsid w:val="062505FA"/>
    <w:rsid w:val="07C84A57"/>
    <w:rsid w:val="089B03BE"/>
    <w:rsid w:val="08DD4532"/>
    <w:rsid w:val="091A7535"/>
    <w:rsid w:val="09894F85"/>
    <w:rsid w:val="09C40396"/>
    <w:rsid w:val="0CAF4438"/>
    <w:rsid w:val="0D1A3FA7"/>
    <w:rsid w:val="0D5D3E94"/>
    <w:rsid w:val="0E1327A4"/>
    <w:rsid w:val="0E1D6EA1"/>
    <w:rsid w:val="0ED463D8"/>
    <w:rsid w:val="0ED62150"/>
    <w:rsid w:val="0FB56209"/>
    <w:rsid w:val="0FED7751"/>
    <w:rsid w:val="11845B85"/>
    <w:rsid w:val="11B06C88"/>
    <w:rsid w:val="11BF3E72"/>
    <w:rsid w:val="11CC7C14"/>
    <w:rsid w:val="12195EB1"/>
    <w:rsid w:val="12B969E9"/>
    <w:rsid w:val="13165211"/>
    <w:rsid w:val="133E02C4"/>
    <w:rsid w:val="13F60B9E"/>
    <w:rsid w:val="14C447F8"/>
    <w:rsid w:val="14EA425F"/>
    <w:rsid w:val="15A22D8C"/>
    <w:rsid w:val="1820443C"/>
    <w:rsid w:val="18E461B2"/>
    <w:rsid w:val="190F698A"/>
    <w:rsid w:val="199B6470"/>
    <w:rsid w:val="1A0F6516"/>
    <w:rsid w:val="1AE23C2A"/>
    <w:rsid w:val="1B087B35"/>
    <w:rsid w:val="1B66485B"/>
    <w:rsid w:val="1B813443"/>
    <w:rsid w:val="1B8F3DB2"/>
    <w:rsid w:val="1BB76E65"/>
    <w:rsid w:val="1BF12377"/>
    <w:rsid w:val="1C2838BF"/>
    <w:rsid w:val="1D1F1144"/>
    <w:rsid w:val="1D9062BE"/>
    <w:rsid w:val="1E004AF3"/>
    <w:rsid w:val="1E74103D"/>
    <w:rsid w:val="201C5A4A"/>
    <w:rsid w:val="208A0FEC"/>
    <w:rsid w:val="23CE11F0"/>
    <w:rsid w:val="23EB1DA2"/>
    <w:rsid w:val="24FD1D8D"/>
    <w:rsid w:val="25B21D4E"/>
    <w:rsid w:val="25CF6E99"/>
    <w:rsid w:val="25D66AB7"/>
    <w:rsid w:val="26712A32"/>
    <w:rsid w:val="2685203A"/>
    <w:rsid w:val="27B70919"/>
    <w:rsid w:val="27F03E2A"/>
    <w:rsid w:val="28433CF3"/>
    <w:rsid w:val="288D78CB"/>
    <w:rsid w:val="294D2BB7"/>
    <w:rsid w:val="2A070FB7"/>
    <w:rsid w:val="2A3049B2"/>
    <w:rsid w:val="2B162338"/>
    <w:rsid w:val="2B4E31AB"/>
    <w:rsid w:val="2BCA04EF"/>
    <w:rsid w:val="2C01198A"/>
    <w:rsid w:val="2C267E1B"/>
    <w:rsid w:val="2C513408"/>
    <w:rsid w:val="2CA451E4"/>
    <w:rsid w:val="2EEB0EA8"/>
    <w:rsid w:val="2F2C3498"/>
    <w:rsid w:val="2FEE50F3"/>
    <w:rsid w:val="30E107B4"/>
    <w:rsid w:val="31BB7257"/>
    <w:rsid w:val="32FE389F"/>
    <w:rsid w:val="33C86F17"/>
    <w:rsid w:val="342F7A89"/>
    <w:rsid w:val="34741452"/>
    <w:rsid w:val="36853990"/>
    <w:rsid w:val="36D52B69"/>
    <w:rsid w:val="38A672A1"/>
    <w:rsid w:val="38C00CA5"/>
    <w:rsid w:val="39FE4185"/>
    <w:rsid w:val="3A1E65D5"/>
    <w:rsid w:val="3B871F58"/>
    <w:rsid w:val="3C0161AE"/>
    <w:rsid w:val="3C1B49F1"/>
    <w:rsid w:val="3DD516A1"/>
    <w:rsid w:val="3E2D5039"/>
    <w:rsid w:val="3E9055C8"/>
    <w:rsid w:val="406B3BF6"/>
    <w:rsid w:val="40EF2A79"/>
    <w:rsid w:val="41377F7D"/>
    <w:rsid w:val="414601C0"/>
    <w:rsid w:val="4148218A"/>
    <w:rsid w:val="41D43A1D"/>
    <w:rsid w:val="41D46BCA"/>
    <w:rsid w:val="421A1D78"/>
    <w:rsid w:val="42324F5C"/>
    <w:rsid w:val="42F26851"/>
    <w:rsid w:val="433949FF"/>
    <w:rsid w:val="43B86CB7"/>
    <w:rsid w:val="43BD0C0D"/>
    <w:rsid w:val="43E75C8A"/>
    <w:rsid w:val="44BD4C3D"/>
    <w:rsid w:val="44FF7003"/>
    <w:rsid w:val="45120AE5"/>
    <w:rsid w:val="458539AC"/>
    <w:rsid w:val="45E618D3"/>
    <w:rsid w:val="481A32B8"/>
    <w:rsid w:val="48B85E47"/>
    <w:rsid w:val="498521CD"/>
    <w:rsid w:val="49CA5E32"/>
    <w:rsid w:val="4A066E8B"/>
    <w:rsid w:val="4A7B715E"/>
    <w:rsid w:val="4B410375"/>
    <w:rsid w:val="4C172E84"/>
    <w:rsid w:val="4C526500"/>
    <w:rsid w:val="4F400944"/>
    <w:rsid w:val="4F493360"/>
    <w:rsid w:val="516813B7"/>
    <w:rsid w:val="53E72791"/>
    <w:rsid w:val="54261ED4"/>
    <w:rsid w:val="566D2D04"/>
    <w:rsid w:val="56D774FE"/>
    <w:rsid w:val="576D42A0"/>
    <w:rsid w:val="58E42340"/>
    <w:rsid w:val="59D37D86"/>
    <w:rsid w:val="5A0E1D6B"/>
    <w:rsid w:val="5A866761"/>
    <w:rsid w:val="5AA20705"/>
    <w:rsid w:val="5B123195"/>
    <w:rsid w:val="5B6D0D13"/>
    <w:rsid w:val="5C4557EC"/>
    <w:rsid w:val="5C837F16"/>
    <w:rsid w:val="5C9B540C"/>
    <w:rsid w:val="5D5375E2"/>
    <w:rsid w:val="5DF63241"/>
    <w:rsid w:val="5EE4309A"/>
    <w:rsid w:val="5F2B2A77"/>
    <w:rsid w:val="5F9F3465"/>
    <w:rsid w:val="5FBD1A4A"/>
    <w:rsid w:val="5FE5531C"/>
    <w:rsid w:val="61B50D1E"/>
    <w:rsid w:val="63827325"/>
    <w:rsid w:val="63D80CF3"/>
    <w:rsid w:val="64740A1C"/>
    <w:rsid w:val="65476131"/>
    <w:rsid w:val="66F35CB5"/>
    <w:rsid w:val="676C00D0"/>
    <w:rsid w:val="6853303E"/>
    <w:rsid w:val="688558EE"/>
    <w:rsid w:val="689254B2"/>
    <w:rsid w:val="68D0643D"/>
    <w:rsid w:val="69201173"/>
    <w:rsid w:val="69474951"/>
    <w:rsid w:val="699527B5"/>
    <w:rsid w:val="6A184540"/>
    <w:rsid w:val="6A266C5C"/>
    <w:rsid w:val="6A4B221F"/>
    <w:rsid w:val="6AB9362D"/>
    <w:rsid w:val="6AC975E8"/>
    <w:rsid w:val="6BB67058"/>
    <w:rsid w:val="6BD821D8"/>
    <w:rsid w:val="6C8B40D0"/>
    <w:rsid w:val="6C97799E"/>
    <w:rsid w:val="6CBA6439"/>
    <w:rsid w:val="6EBE56B6"/>
    <w:rsid w:val="6FC54822"/>
    <w:rsid w:val="702F613F"/>
    <w:rsid w:val="7046283D"/>
    <w:rsid w:val="705521D3"/>
    <w:rsid w:val="71D451F0"/>
    <w:rsid w:val="72691DDC"/>
    <w:rsid w:val="733221CE"/>
    <w:rsid w:val="738D38A8"/>
    <w:rsid w:val="7452521E"/>
    <w:rsid w:val="74B15375"/>
    <w:rsid w:val="75E55C1E"/>
    <w:rsid w:val="760342F6"/>
    <w:rsid w:val="763D1612"/>
    <w:rsid w:val="77B533CE"/>
    <w:rsid w:val="77C41863"/>
    <w:rsid w:val="77CD6969"/>
    <w:rsid w:val="79EB1329"/>
    <w:rsid w:val="7A4153ED"/>
    <w:rsid w:val="7ABD2CC5"/>
    <w:rsid w:val="7B0501C8"/>
    <w:rsid w:val="7B641393"/>
    <w:rsid w:val="7BB37C24"/>
    <w:rsid w:val="7BE73D72"/>
    <w:rsid w:val="7C0D71FB"/>
    <w:rsid w:val="7D474AC8"/>
    <w:rsid w:val="7DBA34EC"/>
    <w:rsid w:val="7E370FE0"/>
    <w:rsid w:val="7E4126EB"/>
    <w:rsid w:val="7EDC3936"/>
    <w:rsid w:val="7EE03426"/>
    <w:rsid w:val="7F5259A6"/>
    <w:rsid w:val="7FD665D7"/>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qFormat/>
    <w:uiPriority w:val="0"/>
    <w:pPr>
      <w:ind w:firstLine="420" w:firstLineChars="200"/>
    </w:pPr>
  </w:style>
  <w:style w:type="paragraph" w:styleId="4">
    <w:name w:val="Body Text"/>
    <w:basedOn w:val="1"/>
    <w:autoRedefine/>
    <w:qFormat/>
    <w:uiPriority w:val="0"/>
    <w:pPr>
      <w:spacing w:line="340" w:lineRule="exact"/>
    </w:pPr>
    <w:rPr>
      <w:rFonts w:ascii="宋体" w:hAnsi="宋体"/>
      <w:sz w:val="28"/>
    </w:rPr>
  </w:style>
  <w:style w:type="paragraph" w:styleId="5">
    <w:name w:val="Balloon Text"/>
    <w:basedOn w:val="1"/>
    <w:link w:val="12"/>
    <w:autoRedefine/>
    <w:semiHidden/>
    <w:unhideWhenUsed/>
    <w:qFormat/>
    <w:uiPriority w:val="99"/>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99"/>
    <w:rPr>
      <w:rFonts w:ascii="Times New Roman" w:hAnsi="Times New Roman" w:eastAsia="宋体" w:cs="Times New Roman"/>
      <w:sz w:val="18"/>
      <w:szCs w:val="18"/>
    </w:rPr>
  </w:style>
  <w:style w:type="character" w:customStyle="1" w:styleId="11">
    <w:name w:val="页脚 Char"/>
    <w:basedOn w:val="9"/>
    <w:link w:val="6"/>
    <w:autoRedefine/>
    <w:qFormat/>
    <w:uiPriority w:val="99"/>
    <w:rPr>
      <w:rFonts w:ascii="Times New Roman" w:hAnsi="Times New Roman" w:eastAsia="宋体" w:cs="Times New Roman"/>
      <w:sz w:val="18"/>
      <w:szCs w:val="18"/>
    </w:rPr>
  </w:style>
  <w:style w:type="character" w:customStyle="1" w:styleId="12">
    <w:name w:val="批注框文本 Char"/>
    <w:basedOn w:val="9"/>
    <w:link w:val="5"/>
    <w:autoRedefine/>
    <w:semiHidden/>
    <w:qFormat/>
    <w:uiPriority w:val="99"/>
    <w:rPr>
      <w:rFonts w:ascii="Times New Roman" w:hAnsi="Times New Roman" w:eastAsia="宋体" w:cs="Times New Roman"/>
      <w:sz w:val="18"/>
      <w:szCs w:val="18"/>
    </w:rPr>
  </w:style>
  <w:style w:type="character" w:customStyle="1" w:styleId="13">
    <w:name w:val="Char Char1"/>
    <w:autoRedefine/>
    <w:qFormat/>
    <w:locked/>
    <w:uiPriority w:val="0"/>
    <w:rPr>
      <w:rFonts w:hint="eastAsia" w:ascii="宋体" w:hAnsi="Courier New" w:eastAsia="宋体"/>
      <w:kern w:val="2"/>
      <w:sz w:val="21"/>
      <w:lang w:val="en-US" w:eastAsia="zh-CN" w:bidi="ar-SA"/>
    </w:rPr>
  </w:style>
  <w:style w:type="paragraph" w:customStyle="1" w:styleId="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17</Pages>
  <Words>757</Words>
  <Characters>829</Characters>
  <Lines>8</Lines>
  <Paragraphs>3</Paragraphs>
  <TotalTime>26</TotalTime>
  <ScaleCrop>false</ScaleCrop>
  <LinksUpToDate>false</LinksUpToDate>
  <CharactersWithSpaces>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cp:lastModifiedBy>
  <dcterms:modified xsi:type="dcterms:W3CDTF">2025-07-23T02:13:44Z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2A4037441A2A4702B456B6D1DC3AC603_13</vt:lpwstr>
  </property>
  <property fmtid="{D5CDD505-2E9C-101B-9397-08002B2CF9AE}" pid="3" name="KSOProductBuildVer">
    <vt:lpwstr>2052-12.1.0.21915</vt:lpwstr>
  </property>
  <property fmtid="{D5CDD505-2E9C-101B-9397-08002B2CF9AE}" pid="4" name="KSOTemplateDocerSaveRecord">
    <vt:lpwstr>eyJoZGlkIjoiMDc4ZWJiZGY2YjU2MmRhNjg4NDA1NWJhMzhhZTVmYzciLCJ1c2VySWQiOiIxMDExNjU1Nzc5In0=</vt:lpwstr>
  </property>
</Properties>
</file>