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0" w:name="合同编号"/>
            <w:r w:rsidRPr="008034A9">
              <w:rPr>
                <w:szCs w:val="21"/>
              </w:rPr>
              <w:t>11623-2024-R08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1" w:name="组织名称"/>
            <w:r w:rsidRPr="008034A9">
              <w:rPr>
                <w:szCs w:val="21"/>
              </w:rPr>
              <w:t>郑州百特家具有限公司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2" w:name="注册地址"/>
            <w:r w:rsidRPr="008034A9">
              <w:rPr>
                <w:szCs w:val="21"/>
              </w:rPr>
              <w:t>郑州市中牟县官渡镇仓狼路许村路口（建业足球俱乐部对面）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3" w:name="生产地址"/>
            <w:r w:rsidRPr="008034A9">
              <w:rPr>
                <w:szCs w:val="21"/>
              </w:rPr>
              <w:t>郑州市中牟县官渡镇仓狼路许村路口（建业足球俱乐部对面）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4" w:name="审核类别"/>
            <w:r w:rsidRPr="008034A9">
              <w:rPr>
                <w:rFonts w:hint="eastAsia"/>
                <w:szCs w:val="21"/>
              </w:rPr>
              <w:t>R08绿色供应链：初审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5B7D12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5B7D12" w:rsidRPr="008034A9">
            <w:pPr>
              <w:rPr>
                <w:szCs w:val="21"/>
              </w:rPr>
            </w:pPr>
            <w:bookmarkStart w:id="5" w:name="审核范围"/>
            <w:r w:rsidRPr="008034A9">
              <w:rPr>
                <w:szCs w:val="21"/>
              </w:rPr>
              <w:t>R08绿色供应链:家具（办公家具、校用家具、公寓家具、实验室家具、公共场所家具） 的生产和销售所涉及的绿色供应链相关管理活动（一级）</w:t>
            </w:r>
            <w:bookmarkEnd w:id="5"/>
          </w:p>
          <w:p w:rsidR="005B7D12" w:rsidRPr="008034A9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 w:hint="eastAsia"/>
                <w:szCs w:val="21"/>
              </w:rPr>
              <w:t>R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5B7D12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8034A9">
              <w:rPr>
                <w:rFonts w:hint="eastAsia"/>
                <w:szCs w:val="21"/>
              </w:rPr>
              <w:t>□</w:t>
            </w:r>
            <w:r w:rsidRPr="008034A9"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r>
              <w:rPr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  <w:p w:rsidR="005B7D12" w:rsidRPr="008034A9">
            <w:pPr>
              <w:pStyle w:val="NormalIndent"/>
              <w:ind w:firstLine="0" w:firstLineChars="0"/>
              <w:rPr>
                <w:szCs w:val="21"/>
              </w:rPr>
            </w:pPr>
          </w:p>
          <w:p w:rsidR="005B7D12" w:rsidRPr="008034A9">
            <w:pPr>
              <w:pStyle w:val="NormalIndent"/>
              <w:ind w:firstLine="0" w:firstLineChars="0"/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5B7D12" w:rsidRPr="008034A9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5B7D12" w:rsidRPr="008034A9">
            <w:pPr>
              <w:rPr>
                <w:szCs w:val="21"/>
              </w:rPr>
            </w:pPr>
          </w:p>
          <w:p w:rsidR="005B7D12" w:rsidRPr="008034A9" w:rsidP="008034A9">
            <w:pPr>
              <w:pStyle w:val="NormalIndent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 w:rsidR="005B7D12" w:rsidRPr="008034A9" w:rsidP="008034A9">
            <w:pPr>
              <w:pStyle w:val="NormalIndent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5B7D12" w:rsidRPr="008034A9">
            <w:pPr>
              <w:rPr>
                <w:szCs w:val="21"/>
              </w:rPr>
            </w:pPr>
            <w:bookmarkStart w:id="12" w:name="检查评定日期"/>
            <w:r w:rsidRPr="008034A9">
              <w:rPr>
                <w:szCs w:val="21"/>
              </w:rPr>
              <w:t>2025-01-14</w:t>
            </w:r>
            <w:bookmarkEnd w:id="1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5B7D12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5B7D1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B7D12">
    <w:pPr>
      <w:pStyle w:val="Header"/>
    </w:pPr>
  </w:p>
  <w:p w:rsidR="005B7D1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