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11013-2024</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广州东塑石油钻采专用设备有限公司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广州市番禺区沙湾镇大巷涌路107号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广州市番禺区沙湾镇大巷涌路107号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MMS：再认证</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MMS:石油钻采专用设备：包括地面防喷器控制装置系列、高压试压装置系列、节流管汇控制箱系列等石油天然气钻井专用设备研发生产销售和专业服务</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2024-10-14</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