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如通石油机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新区淮河路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新区淮河路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工具及配件的研发、设计、生产、销售、服务；通用机械销售；热处理加工；机械修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