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北京华弘化工科技有限公司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Q：三氧化二铋的进出口，许可范围内的危险化学品进出口（不贮存经营）；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E：三氧化二铋的进出口，许可范围内的危险化学品进出口（不贮存经营）所涉及场所的相关环境管理活动；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O：三氧化二铋的进出口，许可范围内的危险化学品进出口（不贮存经营）所涉及场所的相关职业健康安全管理活动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原评定专业：QE：29.11.05，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O：29.11.05A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29.11.05，O：29.11.05A、29.11.05B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经案卷复核，组内专业审核员贾海平具有O：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29.11.05B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日期：2024.05.20</w:t>
            </w:r>
            <w:bookmarkStart w:id="1" w:name="_GoBack"/>
            <w:bookmarkEnd w:id="1"/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7A10E21"/>
    <w:rsid w:val="198D355F"/>
    <w:rsid w:val="19BA75D4"/>
    <w:rsid w:val="1A05216B"/>
    <w:rsid w:val="1B4467A3"/>
    <w:rsid w:val="21AD7C4D"/>
    <w:rsid w:val="22823999"/>
    <w:rsid w:val="254C1174"/>
    <w:rsid w:val="283E4C16"/>
    <w:rsid w:val="33035197"/>
    <w:rsid w:val="330702CB"/>
    <w:rsid w:val="355F7EFA"/>
    <w:rsid w:val="3D561CE4"/>
    <w:rsid w:val="46FD60B9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4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2024-05-20T04:36:30Z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2052-12.1.0.16729</vt:lpwstr>
  </property>
</Properties>
</file>