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20" w:lineRule="exact"/>
        <w:ind w:firstLine="420" w:firstLineChars="200"/>
        <w:rPr>
          <w:rFonts w:ascii="宋体" w:hAnsi="宋体" w:cs="华文仿宋"/>
          <w:szCs w:val="21"/>
        </w:rPr>
      </w:pPr>
    </w:p>
    <w:p>
      <w:pPr>
        <w:jc w:val="center"/>
        <w:rPr>
          <w:rFonts w:hint="eastAsia"/>
          <w:b/>
          <w:bCs/>
          <w:sz w:val="32"/>
          <w:szCs w:val="40"/>
        </w:rPr>
      </w:pPr>
      <w:r>
        <w:rPr>
          <w:rFonts w:hint="eastAsia"/>
          <w:b/>
          <w:bCs/>
          <w:sz w:val="32"/>
          <w:szCs w:val="40"/>
          <w:lang w:val="en-US" w:eastAsia="zh-CN"/>
        </w:rPr>
        <w:t>认证</w:t>
      </w:r>
      <w:r>
        <w:rPr>
          <w:rFonts w:hint="eastAsia"/>
          <w:b/>
          <w:bCs/>
          <w:sz w:val="32"/>
          <w:szCs w:val="40"/>
        </w:rPr>
        <w:t>风险</w:t>
      </w:r>
      <w:r>
        <w:rPr>
          <w:rFonts w:hint="eastAsia"/>
          <w:b/>
          <w:bCs/>
          <w:sz w:val="32"/>
          <w:szCs w:val="40"/>
          <w:lang w:val="en-US" w:eastAsia="zh-CN"/>
        </w:rPr>
        <w:t>评估</w:t>
      </w:r>
      <w:r>
        <w:rPr>
          <w:rFonts w:hint="eastAsia"/>
          <w:b/>
          <w:bCs/>
          <w:sz w:val="32"/>
          <w:szCs w:val="40"/>
        </w:rPr>
        <w:t>报告</w:t>
      </w:r>
    </w:p>
    <w:p>
      <w:pPr>
        <w:pStyle w:val="11"/>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0"/>
            <w:vAlign w:val="top"/>
          </w:tcPr>
          <w:p>
            <w:pPr>
              <w:pStyle w:val="11"/>
              <w:ind w:left="0" w:leftChars="0" w:firstLine="0" w:firstLine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项目名称</w:t>
            </w:r>
          </w:p>
        </w:tc>
        <w:tc>
          <w:tcPr>
            <w:tcW w:w="7035" w:type="dxa"/>
            <w:noWrap w:val="0"/>
            <w:vAlign w:val="top"/>
          </w:tcPr>
          <w:p>
            <w:pPr>
              <w:pStyle w:val="11"/>
              <w:ind w:left="0" w:leftChars="0" w:firstLine="0" w:firstLineChars="0"/>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河北环通自动化科技有限公司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0"/>
            <w:vAlign w:val="top"/>
          </w:tcPr>
          <w:p>
            <w:pPr>
              <w:pStyle w:val="11"/>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目的</w:t>
            </w:r>
          </w:p>
        </w:tc>
        <w:tc>
          <w:tcPr>
            <w:tcW w:w="7035" w:type="dxa"/>
            <w:noWrap w:val="0"/>
            <w:vAlign w:val="top"/>
          </w:tcPr>
          <w:p>
            <w:pPr>
              <w:pStyle w:val="11"/>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因专业代码评定不准确其风险发生的严重性或可能性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0"/>
            <w:vAlign w:val="top"/>
          </w:tcPr>
          <w:p>
            <w:pPr>
              <w:pStyle w:val="11"/>
              <w:ind w:left="0" w:leftChars="0" w:firstLine="0" w:firstLine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原则</w:t>
            </w:r>
          </w:p>
        </w:tc>
        <w:tc>
          <w:tcPr>
            <w:tcW w:w="703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ISC-QP-18《认证风险辨识和控制程序》</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lang w:val="en-US" w:eastAsia="zh-CN"/>
              </w:rPr>
            </w:pPr>
            <w:r>
              <w:rPr>
                <w:rFonts w:hint="eastAsia" w:ascii="Calibri" w:hAnsi="Calibri" w:eastAsia="宋体" w:cs="Times New Roman"/>
                <w:b w:val="0"/>
                <w:bCs w:val="0"/>
                <w:spacing w:val="0"/>
                <w:kern w:val="2"/>
                <w:sz w:val="24"/>
                <w:szCs w:val="24"/>
                <w:lang w:val="en-US" w:eastAsia="zh-CN" w:bidi="ar-SA"/>
              </w:rPr>
              <w:t>ISC-ZY-17-01《认证风险管理和处置方法》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0"/>
            <w:vAlign w:val="top"/>
          </w:tcPr>
          <w:p>
            <w:pPr>
              <w:pStyle w:val="11"/>
              <w:ind w:left="0" w:leftChars="0" w:firstLine="0" w:firstLine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评估范围</w:t>
            </w:r>
          </w:p>
        </w:tc>
        <w:tc>
          <w:tcPr>
            <w:tcW w:w="7035" w:type="dxa"/>
            <w:noWrap w:val="0"/>
            <w:vAlign w:val="top"/>
          </w:tcPr>
          <w:p>
            <w:pPr>
              <w:pStyle w:val="11"/>
              <w:spacing w:line="240" w:lineRule="auto"/>
              <w:ind w:left="0" w:leftChars="0" w:firstLine="0" w:firstLineChars="0"/>
              <w:jc w:val="left"/>
              <w:rPr>
                <w:rFonts w:hint="default" w:ascii="Calibri" w:hAnsi="Calibri" w:eastAsia="宋体" w:cs="Times New Roman"/>
                <w:b w:val="0"/>
                <w:bCs w:val="0"/>
                <w:spacing w:val="0"/>
                <w:kern w:val="2"/>
                <w:sz w:val="21"/>
                <w:szCs w:val="21"/>
                <w:lang w:val="en-US" w:eastAsia="zh-CN" w:bidi="ar-SA"/>
              </w:rPr>
            </w:pPr>
            <w:r>
              <w:rPr>
                <w:rFonts w:hint="eastAsia" w:ascii="Calibri" w:hAnsi="Calibri" w:eastAsia="宋体" w:cs="Times New Roman"/>
                <w:b w:val="0"/>
                <w:bCs w:val="0"/>
                <w:spacing w:val="0"/>
                <w:kern w:val="2"/>
                <w:sz w:val="24"/>
                <w:szCs w:val="24"/>
                <w:lang w:val="en-US" w:eastAsia="zh-CN" w:bidi="ar-SA"/>
              </w:rPr>
              <w:t>审核类型</w:t>
            </w:r>
            <w:r>
              <w:rPr>
                <w:rFonts w:hint="eastAsia" w:ascii="Calibri" w:hAnsi="Calibri" w:eastAsia="宋体" w:cs="Times New Roman"/>
                <w:b w:val="0"/>
                <w:bCs w:val="0"/>
                <w:spacing w:val="0"/>
                <w:kern w:val="2"/>
                <w:sz w:val="21"/>
                <w:szCs w:val="21"/>
                <w:lang w:val="en-US" w:eastAsia="zh-CN" w:bidi="ar-SA"/>
              </w:rPr>
              <w:t>：QEO再认证</w:t>
            </w:r>
          </w:p>
          <w:p>
            <w:pPr>
              <w:pStyle w:val="11"/>
              <w:spacing w:line="240" w:lineRule="auto"/>
              <w:ind w:left="0" w:leftChars="0" w:firstLine="0" w:firstLineChars="0"/>
              <w:jc w:val="left"/>
              <w:rPr>
                <w:rFonts w:hint="eastAsia" w:ascii="Calibri" w:hAnsi="Calibri" w:eastAsia="宋体" w:cs="Times New Roman"/>
                <w:b w:val="0"/>
                <w:bCs w:val="0"/>
                <w:spacing w:val="0"/>
                <w:kern w:val="2"/>
                <w:sz w:val="21"/>
                <w:szCs w:val="21"/>
                <w:lang w:val="en-US" w:eastAsia="zh-CN" w:bidi="ar-SA"/>
              </w:rPr>
            </w:pPr>
            <w:r>
              <w:rPr>
                <w:rFonts w:hint="eastAsia" w:ascii="Calibri" w:hAnsi="Calibri" w:eastAsia="宋体" w:cs="Times New Roman"/>
                <w:b w:val="0"/>
                <w:bCs w:val="0"/>
                <w:spacing w:val="0"/>
                <w:kern w:val="2"/>
                <w:sz w:val="21"/>
                <w:szCs w:val="21"/>
                <w:lang w:val="en-US" w:eastAsia="zh-CN" w:bidi="ar-SA"/>
              </w:rPr>
              <w:t>企业认证范围：</w:t>
            </w:r>
            <w:bookmarkStart w:id="0" w:name="审核范围"/>
          </w:p>
          <w:bookmarkEnd w:id="0"/>
          <w:p>
            <w:pPr>
              <w:pStyle w:val="11"/>
              <w:spacing w:line="240" w:lineRule="auto"/>
              <w:ind w:left="0" w:leftChars="0" w:firstLine="0" w:firstLineChars="0"/>
              <w:jc w:val="left"/>
              <w:rPr>
                <w:rFonts w:hint="eastAsia" w:ascii="Calibri" w:hAnsi="Calibri" w:eastAsia="宋体" w:cs="Times New Roman"/>
                <w:b w:val="0"/>
                <w:bCs w:val="0"/>
                <w:spacing w:val="0"/>
                <w:kern w:val="2"/>
                <w:sz w:val="21"/>
                <w:szCs w:val="21"/>
                <w:lang w:val="en-US" w:eastAsia="zh-CN" w:bidi="ar-SA"/>
              </w:rPr>
            </w:pPr>
            <w:r>
              <w:rPr>
                <w:rFonts w:hint="eastAsia" w:ascii="Calibri" w:hAnsi="Calibri" w:eastAsia="宋体" w:cs="Times New Roman"/>
                <w:b w:val="0"/>
                <w:bCs w:val="0"/>
                <w:spacing w:val="0"/>
                <w:kern w:val="2"/>
                <w:sz w:val="21"/>
                <w:szCs w:val="21"/>
                <w:lang w:val="en-US" w:eastAsia="zh-CN" w:bidi="ar-SA"/>
              </w:rPr>
              <w:t>Q：自动化控制系统集成及其技术服务</w:t>
            </w:r>
          </w:p>
          <w:p>
            <w:pPr>
              <w:pStyle w:val="11"/>
              <w:spacing w:line="240" w:lineRule="auto"/>
              <w:ind w:left="0" w:leftChars="0" w:firstLine="0" w:firstLineChars="0"/>
              <w:jc w:val="left"/>
              <w:rPr>
                <w:rFonts w:hint="eastAsia" w:ascii="Calibri" w:hAnsi="Calibri" w:eastAsia="宋体" w:cs="Times New Roman"/>
                <w:b w:val="0"/>
                <w:bCs w:val="0"/>
                <w:spacing w:val="0"/>
                <w:kern w:val="2"/>
                <w:sz w:val="21"/>
                <w:szCs w:val="21"/>
                <w:lang w:val="en-US" w:eastAsia="zh-CN" w:bidi="ar-SA"/>
              </w:rPr>
            </w:pPr>
            <w:r>
              <w:rPr>
                <w:rFonts w:hint="eastAsia" w:ascii="Calibri" w:hAnsi="Calibri" w:eastAsia="宋体" w:cs="Times New Roman"/>
                <w:b w:val="0"/>
                <w:bCs w:val="0"/>
                <w:spacing w:val="0"/>
                <w:kern w:val="2"/>
                <w:sz w:val="21"/>
                <w:szCs w:val="21"/>
                <w:lang w:val="en-US" w:eastAsia="zh-CN" w:bidi="ar-SA"/>
              </w:rPr>
              <w:t>E：自动化控制系统集成及其技术服务所涉及场所的相关环境管理活动</w:t>
            </w:r>
          </w:p>
          <w:p>
            <w:pPr>
              <w:pStyle w:val="11"/>
              <w:spacing w:line="240" w:lineRule="auto"/>
              <w:ind w:left="0" w:leftChars="0" w:firstLine="0" w:firstLineChars="0"/>
              <w:jc w:val="left"/>
              <w:rPr>
                <w:rFonts w:hint="eastAsia" w:ascii="Calibri" w:hAnsi="Calibri" w:eastAsia="宋体" w:cs="Times New Roman"/>
                <w:b w:val="0"/>
                <w:bCs w:val="0"/>
                <w:spacing w:val="0"/>
                <w:kern w:val="2"/>
                <w:sz w:val="21"/>
                <w:szCs w:val="21"/>
                <w:lang w:val="en-US" w:eastAsia="zh-CN" w:bidi="ar-SA"/>
              </w:rPr>
            </w:pPr>
            <w:r>
              <w:rPr>
                <w:rFonts w:hint="eastAsia" w:ascii="Calibri" w:hAnsi="Calibri" w:eastAsia="宋体" w:cs="Times New Roman"/>
                <w:b w:val="0"/>
                <w:bCs w:val="0"/>
                <w:spacing w:val="0"/>
                <w:kern w:val="2"/>
                <w:sz w:val="21"/>
                <w:szCs w:val="21"/>
                <w:lang w:val="en-US" w:eastAsia="zh-CN" w:bidi="ar-SA"/>
              </w:rPr>
              <w:t>O：自动化控制系统集成及其技术服务所涉及场所的相关职业健康安全管理活动</w:t>
            </w:r>
          </w:p>
          <w:p>
            <w:pPr>
              <w:pStyle w:val="11"/>
              <w:spacing w:line="240" w:lineRule="auto"/>
              <w:ind w:left="0" w:leftChars="0" w:firstLine="0" w:firstLineChars="0"/>
              <w:jc w:val="left"/>
              <w:rPr>
                <w:rFonts w:hint="eastAsia" w:ascii="Calibri" w:hAnsi="Calibri" w:eastAsia="宋体" w:cs="Times New Roman"/>
                <w:b w:val="0"/>
                <w:bCs w:val="0"/>
                <w:spacing w:val="0"/>
                <w:kern w:val="2"/>
                <w:sz w:val="21"/>
                <w:szCs w:val="21"/>
                <w:lang w:val="en-US" w:eastAsia="zh-CN" w:bidi="ar-SA"/>
              </w:rPr>
            </w:pPr>
            <w:r>
              <w:rPr>
                <w:rFonts w:hint="eastAsia" w:ascii="Calibri" w:hAnsi="Calibri" w:eastAsia="宋体" w:cs="Times New Roman"/>
                <w:b w:val="0"/>
                <w:bCs w:val="0"/>
                <w:spacing w:val="0"/>
                <w:kern w:val="2"/>
                <w:sz w:val="21"/>
                <w:szCs w:val="21"/>
                <w:lang w:val="en-US" w:eastAsia="zh-CN" w:bidi="ar-SA"/>
              </w:rPr>
              <w:t>原评定专业：QEO：19.14.00</w:t>
            </w:r>
          </w:p>
          <w:p>
            <w:pPr>
              <w:pStyle w:val="11"/>
              <w:spacing w:line="240" w:lineRule="auto"/>
              <w:ind w:left="0" w:leftChars="0" w:firstLine="0" w:firstLine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1"/>
                <w:szCs w:val="21"/>
                <w:lang w:val="en-US" w:eastAsia="zh-CN" w:bidi="ar-SA"/>
              </w:rPr>
              <w:t>现修订专业：QEO：19.14.00，33.02.02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技术部对该企业管理体系文件及审核案卷进行复核；</w:t>
            </w:r>
          </w:p>
          <w:p>
            <w:pPr>
              <w:jc w:val="left"/>
              <w:rPr>
                <w:rFonts w:hint="default" w:ascii="Calibri" w:hAnsi="Calibri" w:eastAsia="宋体" w:cs="Times New Roman"/>
                <w:b w:val="0"/>
                <w:bCs w:val="0"/>
                <w:spacing w:val="0"/>
                <w:kern w:val="2"/>
                <w:sz w:val="24"/>
                <w:szCs w:val="24"/>
                <w:lang w:val="en-US" w:eastAsia="zh-CN" w:bidi="ar-SA"/>
              </w:rPr>
            </w:pPr>
          </w:p>
          <w:p>
            <w:pPr>
              <w:jc w:val="left"/>
              <w:rPr>
                <w:rFonts w:hint="eastAsia" w:ascii="Calibri" w:hAnsi="Calibri" w:eastAsia="宋体" w:cs="Times New Roman"/>
                <w:b w:val="0"/>
                <w:bCs w:val="0"/>
                <w:spacing w:val="0"/>
                <w:kern w:val="2"/>
                <w:sz w:val="24"/>
                <w:szCs w:val="24"/>
                <w:lang w:val="en-US" w:eastAsia="zh-CN" w:bidi="ar-SA"/>
              </w:rPr>
            </w:pPr>
          </w:p>
        </w:tc>
        <w:tc>
          <w:tcPr>
            <w:tcW w:w="7035"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复核结果：</w:t>
            </w:r>
          </w:p>
          <w:p>
            <w:pPr>
              <w:pStyle w:val="11"/>
              <w:rPr>
                <w:rFonts w:hint="default"/>
                <w:lang w:val="en-US" w:eastAsia="zh-CN"/>
              </w:rPr>
            </w:pPr>
            <w:r>
              <w:rPr>
                <w:rFonts w:hint="eastAsia" w:ascii="Calibri" w:hAnsi="Calibri" w:eastAsia="宋体" w:cs="Times New Roman"/>
                <w:b w:val="0"/>
                <w:bCs w:val="0"/>
                <w:spacing w:val="0"/>
                <w:kern w:val="2"/>
                <w:sz w:val="24"/>
                <w:szCs w:val="24"/>
                <w:lang w:val="en-US" w:eastAsia="zh-CN" w:bidi="ar-SA"/>
              </w:rPr>
              <w:t>经案卷复核，组内专业审核员夏爱俭具有QEO33.02.02专业，审核证据支撑认证范围，案卷符合要求。</w:t>
            </w:r>
          </w:p>
          <w:p>
            <w:pPr>
              <w:pStyle w:val="11"/>
              <w:ind w:left="0" w:leftChars="0" w:firstLine="0" w:firstLineChars="0"/>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风险等级：低风险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0"/>
            <w:vAlign w:val="top"/>
          </w:tcPr>
          <w:p>
            <w:pPr>
              <w:pStyle w:val="11"/>
              <w:numPr>
                <w:ilvl w:val="0"/>
                <w:numId w:val="0"/>
              </w:numPr>
              <w:ind w:left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措施</w:t>
            </w:r>
          </w:p>
        </w:tc>
        <w:tc>
          <w:tcPr>
            <w:tcW w:w="7035" w:type="dxa"/>
            <w:noWrap w:val="0"/>
            <w:vAlign w:val="top"/>
          </w:tcPr>
          <w:p>
            <w:pPr>
              <w:pStyle w:val="11"/>
              <w:numPr>
                <w:ilvl w:val="0"/>
                <w:numId w:val="0"/>
              </w:numPr>
              <w:ind w:left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1.方案策划记录变更过程；</w:t>
            </w:r>
          </w:p>
          <w:p>
            <w:pPr>
              <w:pStyle w:val="11"/>
              <w:numPr>
                <w:ilvl w:val="0"/>
                <w:numId w:val="0"/>
              </w:numPr>
              <w:ind w:leftChars="0"/>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2.认证决定修订小类，下次审核时按修改后小类安排审核员</w:t>
            </w:r>
          </w:p>
          <w:p>
            <w:pPr>
              <w:pStyle w:val="11"/>
              <w:numPr>
                <w:ilvl w:val="0"/>
                <w:numId w:val="0"/>
              </w:numPr>
              <w:ind w:leftChars="0"/>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3.加强培训和管理，定期组织合同评审人员培训。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0"/>
            <w:vAlign w:val="top"/>
          </w:tcPr>
          <w:p>
            <w:pPr>
              <w:jc w:val="left"/>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风险评估的结论</w:t>
            </w:r>
          </w:p>
          <w:p>
            <w:pPr>
              <w:jc w:val="left"/>
              <w:rPr>
                <w:rFonts w:hint="eastAsia" w:ascii="Calibri" w:hAnsi="Calibri" w:eastAsia="宋体" w:cs="Times New Roman"/>
                <w:b w:val="0"/>
                <w:bCs w:val="0"/>
                <w:spacing w:val="0"/>
                <w:kern w:val="2"/>
                <w:sz w:val="24"/>
                <w:szCs w:val="24"/>
                <w:lang w:val="en-US" w:eastAsia="zh-CN" w:bidi="ar-SA"/>
              </w:rPr>
            </w:pPr>
          </w:p>
        </w:tc>
        <w:tc>
          <w:tcPr>
            <w:tcW w:w="7035"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eastAsia="宋体" w:cs="Times New Roman"/>
                <w:b w:val="0"/>
                <w:bCs w:val="0"/>
                <w:spacing w:val="0"/>
                <w:kern w:val="2"/>
                <w:sz w:val="24"/>
                <w:szCs w:val="24"/>
                <w:lang w:val="en-US" w:eastAsia="zh-CN" w:bidi="ar-SA"/>
              </w:rPr>
              <w:t>对项目</w:t>
            </w:r>
            <w:r>
              <w:rPr>
                <w:rFonts w:hint="eastAsia" w:ascii="Calibri" w:hAnsi="Calibri" w:eastAsia="宋体" w:cs="Times New Roman"/>
                <w:b w:val="0"/>
                <w:bCs w:val="0"/>
                <w:spacing w:val="0"/>
                <w:kern w:val="2"/>
                <w:sz w:val="24"/>
                <w:szCs w:val="24"/>
                <w:lang w:val="en-US" w:eastAsia="zh-CN" w:bidi="ar-SA"/>
              </w:rPr>
              <w:t>对风险识别较为全面，风险等级评估基本正确，相应的控制措施基本合理，通过措施的实施，公司认证过程的风险控制基本有效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0"/>
            <w:vAlign w:val="top"/>
          </w:tcPr>
          <w:p>
            <w:pPr>
              <w:jc w:val="left"/>
              <w:rPr>
                <w:rFonts w:hint="eastAsia"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风险评估成员</w:t>
            </w:r>
          </w:p>
        </w:tc>
        <w:tc>
          <w:tcPr>
            <w:tcW w:w="7035" w:type="dxa"/>
            <w:noWrap w:val="0"/>
            <w:vAlign w:val="top"/>
          </w:tcPr>
          <w:p>
            <w:pPr>
              <w:pStyle w:val="11"/>
              <w:spacing w:line="240" w:lineRule="auto"/>
              <w:rPr>
                <w:rFonts w:hint="eastAsia" w:ascii="Calibri" w:hAnsi="Calibri" w:eastAsia="仿宋_GB2312" w:cs="Times New Roman"/>
                <w:b w:val="0"/>
                <w:bCs w:val="0"/>
                <w:spacing w:val="0"/>
                <w:kern w:val="2"/>
                <w:sz w:val="24"/>
                <w:szCs w:val="24"/>
                <w:lang w:val="en-US" w:eastAsia="zh-CN" w:bidi="ar-SA"/>
              </w:rPr>
            </w:pPr>
            <w:r>
              <w:drawing>
                <wp:inline distT="0" distB="0" distL="0" distR="0">
                  <wp:extent cx="657225" cy="360045"/>
                  <wp:effectExtent l="0" t="0" r="9525" b="1905"/>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657225" cy="360045"/>
                          </a:xfrm>
                          <a:prstGeom prst="rect">
                            <a:avLst/>
                          </a:prstGeom>
                          <a:noFill/>
                          <a:ln>
                            <a:noFill/>
                          </a:ln>
                        </pic:spPr>
                      </pic:pic>
                    </a:graphicData>
                  </a:graphic>
                </wp:inline>
              </w:drawing>
            </w:r>
            <w:r>
              <w:rPr>
                <w:rFonts w:hint="eastAsia"/>
                <w:lang w:val="en-US" w:eastAsia="zh-CN"/>
              </w:rPr>
              <w:t xml:space="preserve">      </w:t>
            </w:r>
            <w:r>
              <w:rPr>
                <w:rFonts w:hint="eastAsia" w:ascii="Calibri" w:hAnsi="Calibri" w:eastAsia="仿宋_GB2312" w:cs="Times New Roman"/>
                <w:b w:val="0"/>
                <w:bCs w:val="0"/>
                <w:spacing w:val="0"/>
                <w:kern w:val="2"/>
                <w:sz w:val="24"/>
                <w:szCs w:val="24"/>
                <w:lang w:val="en-US" w:eastAsia="zh-CN" w:bidi="ar-SA"/>
              </w:rPr>
              <w:drawing>
                <wp:inline distT="0" distB="0" distL="114300" distR="114300">
                  <wp:extent cx="1270000" cy="635000"/>
                  <wp:effectExtent l="0" t="0" r="0" b="13335"/>
                  <wp:docPr id="2" name="图片 2" descr="微信图片_20240228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228100037"/>
                          <pic:cNvPicPr>
                            <a:picLocks noChangeAspect="1"/>
                          </pic:cNvPicPr>
                        </pic:nvPicPr>
                        <pic:blipFill>
                          <a:blip r:embed="rId6"/>
                          <a:stretch>
                            <a:fillRect/>
                          </a:stretch>
                        </pic:blipFill>
                        <pic:spPr>
                          <a:xfrm>
                            <a:off x="0" y="0"/>
                            <a:ext cx="1270000" cy="635000"/>
                          </a:xfrm>
                          <a:prstGeom prst="rect">
                            <a:avLst/>
                          </a:prstGeom>
                        </pic:spPr>
                      </pic:pic>
                    </a:graphicData>
                  </a:graphic>
                </wp:inline>
              </w:drawing>
            </w:r>
          </w:p>
          <w:p>
            <w:pPr>
              <w:pStyle w:val="11"/>
              <w:ind w:left="0" w:leftChars="0" w:firstLine="0" w:firstLineChars="0"/>
              <w:rPr>
                <w:rFonts w:hint="default" w:ascii="Calibri" w:hAnsi="Calibri" w:eastAsia="宋体" w:cs="Times New Roman"/>
                <w:b w:val="0"/>
                <w:bCs w:val="0"/>
                <w:spacing w:val="0"/>
                <w:kern w:val="2"/>
                <w:sz w:val="24"/>
                <w:szCs w:val="24"/>
                <w:lang w:val="en-US" w:eastAsia="zh-CN" w:bidi="ar-SA"/>
              </w:rPr>
            </w:pPr>
            <w:r>
              <w:rPr>
                <w:rFonts w:hint="eastAsia" w:ascii="Calibri" w:hAnsi="Calibri" w:eastAsia="宋体" w:cs="Times New Roman"/>
                <w:b w:val="0"/>
                <w:bCs w:val="0"/>
                <w:spacing w:val="0"/>
                <w:kern w:val="2"/>
                <w:sz w:val="24"/>
                <w:szCs w:val="24"/>
                <w:lang w:val="en-US" w:eastAsia="zh-CN" w:bidi="ar-SA"/>
              </w:rPr>
              <w:t>日期：2024.04.25</w:t>
            </w:r>
          </w:p>
        </w:tc>
      </w:tr>
    </w:tbl>
    <w:p>
      <w:pPr>
        <w:spacing w:line="320" w:lineRule="exact"/>
        <w:rPr>
          <w:rFonts w:ascii="宋体" w:hAnsi="宋体" w:cs="华文仿宋"/>
          <w:szCs w:val="21"/>
        </w:rPr>
      </w:pPr>
    </w:p>
    <w:sectPr>
      <w:headerReference r:id="rId3" w:type="default"/>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rFonts w:ascii="宋体" w:hAnsi="Courier New"/>
        <w:sz w:val="18"/>
        <w:szCs w:val="18"/>
      </w:rPr>
      <w:pict>
        <v:shape id="图片 1" o:spid="_x0000_s4098" o:spt="75" alt="新LOGO.png" type="#_x0000_t75" style="position:absolute;left:0pt;margin-left:-1.1pt;margin-top:-8.6pt;height:38.2pt;width:37.95pt;mso-wrap-distance-bottom:0pt;mso-wrap-distance-top:0pt;z-index:251659264;mso-width-relative:page;mso-height-relative:page;" filled="f" o:preferrelative="t" stroked="f" coordsize="21600,21600">
          <v:path/>
          <v:fill on="f" focussize="0,0"/>
          <v:stroke on="f"/>
          <v:imagedata r:id="rId1" o:title="新LOGO"/>
          <o:lock v:ext="edit" aspectratio="t"/>
          <w10:wrap type="topAndBottom"/>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rFonts w:hint="default" w:ascii="宋体" w:hAnsi="宋体" w:eastAsia="宋体" w:cs="宋体"/>
        <w:sz w:val="18"/>
        <w:szCs w:val="18"/>
        <w:lang w:val="en-US" w:eastAsia="zh-CN"/>
      </w:rPr>
    </w:pPr>
    <w:r>
      <w:rPr>
        <w:rFonts w:ascii="宋体" w:hAnsi="Courier New"/>
        <w:w w:val="90"/>
        <w:sz w:val="18"/>
        <w:szCs w:val="18"/>
      </w:rPr>
      <w:t>Beijing International Standard united Certification Co.,Ltd.</w:t>
    </w:r>
    <w:r>
      <w:rPr>
        <w:rFonts w:hint="eastAsia" w:ascii="宋体" w:hAnsi="Courier New"/>
        <w:w w:val="90"/>
        <w:sz w:val="18"/>
        <w:szCs w:val="18"/>
      </w:rPr>
      <w:t xml:space="preserve">  </w:t>
    </w:r>
    <w:r>
      <w:rPr>
        <w:rFonts w:hint="eastAsia" w:ascii="宋体" w:hAnsi="Courier New"/>
        <w:w w:val="90"/>
        <w:sz w:val="18"/>
        <w:szCs w:val="18"/>
        <w:lang w:val="en-US" w:eastAsia="zh-CN"/>
      </w:rPr>
      <w:t xml:space="preserve"> </w:t>
    </w:r>
    <w:r>
      <w:rPr>
        <w:rFonts w:hint="eastAsia" w:ascii="宋体" w:hAnsi="宋体" w:cs="宋体"/>
        <w:w w:val="90"/>
        <w:sz w:val="18"/>
        <w:szCs w:val="18"/>
        <w:lang w:val="en-US" w:eastAsia="zh-CN"/>
      </w:rPr>
      <w:t>风险评估报告  文件编号：ISC-QR-T-10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mE0MDExODg0MWUxZmE2YjU0ZDZmOTdkODg5ZTE1NDYifQ=="/>
  </w:docVars>
  <w:rsids>
    <w:rsidRoot w:val="00000000"/>
    <w:rsid w:val="05CA368D"/>
    <w:rsid w:val="078D1C71"/>
    <w:rsid w:val="08726A43"/>
    <w:rsid w:val="0DD45131"/>
    <w:rsid w:val="0F964E83"/>
    <w:rsid w:val="0FF905B9"/>
    <w:rsid w:val="13644968"/>
    <w:rsid w:val="17A10E21"/>
    <w:rsid w:val="19BA75D4"/>
    <w:rsid w:val="1A05216B"/>
    <w:rsid w:val="1B4467A3"/>
    <w:rsid w:val="21AD7C4D"/>
    <w:rsid w:val="254C1174"/>
    <w:rsid w:val="283E4C16"/>
    <w:rsid w:val="33035197"/>
    <w:rsid w:val="330702CB"/>
    <w:rsid w:val="355F7EFA"/>
    <w:rsid w:val="3D561CE4"/>
    <w:rsid w:val="46FD60B9"/>
    <w:rsid w:val="58D17C72"/>
    <w:rsid w:val="5B440DCA"/>
    <w:rsid w:val="5BEC7E8A"/>
    <w:rsid w:val="5C4B1620"/>
    <w:rsid w:val="62441629"/>
    <w:rsid w:val="67C5389E"/>
    <w:rsid w:val="6ABA33C7"/>
    <w:rsid w:val="72691B3E"/>
    <w:rsid w:val="72DA3B10"/>
    <w:rsid w:val="76346D9F"/>
    <w:rsid w:val="77726B03"/>
    <w:rsid w:val="792E5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Body Text"/>
    <w:basedOn w:val="1"/>
    <w:autoRedefine/>
    <w:qFormat/>
    <w:uiPriority w:val="99"/>
    <w:pPr>
      <w:spacing w:after="120" w:afterLines="0"/>
    </w:pPr>
    <w:rPr>
      <w:kern w:val="2"/>
      <w:sz w:val="21"/>
    </w:rPr>
  </w:style>
  <w:style w:type="paragraph" w:styleId="4">
    <w:name w:val="Balloon Text"/>
    <w:basedOn w:val="1"/>
    <w:link w:val="12"/>
    <w:autoRedefine/>
    <w:unhideWhenUsed/>
    <w:qFormat/>
    <w:uiPriority w:val="99"/>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link w:val="13"/>
    <w:autoRedefine/>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table" w:styleId="8">
    <w:name w:val="Table Grid"/>
    <w:basedOn w:val="7"/>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autoRedefine/>
    <w:qFormat/>
    <w:uiPriority w:val="0"/>
  </w:style>
  <w:style w:type="paragraph" w:customStyle="1" w:styleId="11">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spacing w:val="8"/>
      <w:sz w:val="24"/>
      <w:szCs w:val="20"/>
    </w:rPr>
  </w:style>
  <w:style w:type="character" w:customStyle="1" w:styleId="12">
    <w:name w:val="批注框文本 字符"/>
    <w:link w:val="4"/>
    <w:autoRedefine/>
    <w:semiHidden/>
    <w:qFormat/>
    <w:uiPriority w:val="99"/>
    <w:rPr>
      <w:kern w:val="2"/>
      <w:sz w:val="18"/>
      <w:szCs w:val="18"/>
    </w:rPr>
  </w:style>
  <w:style w:type="character" w:customStyle="1" w:styleId="13">
    <w:name w:val="页眉 字符1"/>
    <w:link w:val="6"/>
    <w:autoRedefine/>
    <w:qFormat/>
    <w:uiPriority w:val="99"/>
    <w:rPr>
      <w:kern w:val="2"/>
      <w:sz w:val="18"/>
    </w:rPr>
  </w:style>
  <w:style w:type="paragraph" w:customStyle="1" w:styleId="14">
    <w:name w:val="Char Char"/>
    <w:basedOn w:val="1"/>
    <w:next w:val="1"/>
    <w:autoRedefine/>
    <w:qFormat/>
    <w:uiPriority w:val="0"/>
    <w:pPr>
      <w:widowControl/>
      <w:jc w:val="left"/>
    </w:pPr>
  </w:style>
  <w:style w:type="character" w:customStyle="1" w:styleId="15">
    <w:name w:val="页眉 字符"/>
    <w:autoRedefine/>
    <w:semiHidden/>
    <w:qFormat/>
    <w:uiPriority w:val="0"/>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291</Words>
  <Characters>1660</Characters>
  <Lines>13</Lines>
  <Paragraphs>3</Paragraphs>
  <TotalTime>0</TotalTime>
  <ScaleCrop>false</ScaleCrop>
  <LinksUpToDate>false</LinksUpToDate>
  <CharactersWithSpaces>1948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2021-09-29T02:51:00Z</dcterms:created>
  <dc:creator>端端</dc:creator>
  <cp:lastModifiedBy>admin</cp:lastModifiedBy>
  <dcterms:modified xsi:type="dcterms:W3CDTF">2024-04-25T06:49:04Z</dcterms:modified>
  <dc:title>审核方案策划表（一）</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308F615C89A24654A4E1154B67D02351</vt:lpwstr>
  </property>
  <property fmtid="{D5CDD505-2E9C-101B-9397-08002B2CF9AE}" pid="3" name="KSOProductBuildVer">
    <vt:lpwstr>2052-12.1.0.16729</vt:lpwstr>
  </property>
</Properties>
</file>