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 第 一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16"/>
      </w:pPr>
    </w:p>
    <w:p>
      <w:pPr>
        <w:pStyle w:val="16"/>
      </w:pPr>
    </w:p>
    <w:p>
      <w:pPr>
        <w:pStyle w:val="16"/>
      </w:pPr>
    </w:p>
    <w:p>
      <w:pPr>
        <w:pStyle w:val="16"/>
      </w:pPr>
    </w:p>
    <w:p>
      <w:pPr>
        <w:pStyle w:val="16"/>
      </w:pPr>
    </w:p>
    <w:p>
      <w:pPr>
        <w:pStyle w:val="16"/>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武安市煜鹏电力工程有限公司</w:t>
      </w:r>
      <w:bookmarkEnd w:id="0"/>
    </w:p>
    <w:p>
      <w:pPr>
        <w:spacing w:line="360" w:lineRule="auto"/>
        <w:ind w:firstLine="2037" w:firstLineChars="966"/>
        <w:rPr>
          <w:color w:val="000000"/>
        </w:rPr>
      </w:pPr>
      <w:r>
        <w:rPr>
          <w:rFonts w:hint="eastAsia"/>
          <w:b/>
          <w:bCs/>
          <w:color w:val="000000"/>
        </w:rPr>
        <w:t xml:space="preserve">审核体系: </w:t>
      </w:r>
      <w:r>
        <w:rPr>
          <w:rFonts w:hint="eastAsia"/>
          <w:color w:val="000000"/>
          <w:lang w:eastAsia="zh-CN"/>
        </w:rPr>
        <w:t>☑</w:t>
      </w:r>
      <w:r>
        <w:rPr>
          <w:rFonts w:hint="eastAsia"/>
          <w:color w:val="000000"/>
        </w:rPr>
        <w:t xml:space="preserve">质量管理体系（QMS） </w:t>
      </w:r>
      <w:r>
        <w:rPr>
          <w:rFonts w:hint="eastAsia"/>
          <w:color w:val="000000"/>
          <w:lang w:eastAsia="zh-CN"/>
        </w:rPr>
        <w:t>☑</w:t>
      </w:r>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1" w:name="E勾选"/>
      <w:r>
        <w:rPr>
          <w:rFonts w:hint="eastAsia"/>
          <w:color w:val="000000"/>
        </w:rPr>
        <w:t>□</w:t>
      </w:r>
      <w:bookmarkEnd w:id="1"/>
      <w:r>
        <w:rPr>
          <w:rFonts w:hint="eastAsia"/>
          <w:color w:val="000000"/>
        </w:rPr>
        <w:t>环境管理体系（EMS）</w:t>
      </w:r>
    </w:p>
    <w:p>
      <w:pPr>
        <w:spacing w:line="360" w:lineRule="auto"/>
        <w:ind w:firstLine="3118" w:firstLineChars="1485"/>
        <w:jc w:val="left"/>
        <w:rPr>
          <w:color w:val="000000"/>
        </w:rPr>
      </w:pPr>
      <w:bookmarkStart w:id="2" w:name="S勾选"/>
      <w:r>
        <w:rPr>
          <w:rFonts w:hint="eastAsia"/>
          <w:color w:val="000000"/>
        </w:rPr>
        <w:t>□</w:t>
      </w:r>
      <w:bookmarkEnd w:id="2"/>
      <w:r>
        <w:rPr>
          <w:rFonts w:hint="eastAsia"/>
          <w:color w:val="000000"/>
        </w:rPr>
        <w:t>职业健康安全管理体系（OHSMS）</w:t>
      </w:r>
    </w:p>
    <w:p>
      <w:pPr>
        <w:spacing w:line="360" w:lineRule="auto"/>
        <w:ind w:firstLine="3118" w:firstLineChars="1485"/>
        <w:jc w:val="left"/>
        <w:rPr>
          <w:color w:val="000000"/>
        </w:rPr>
      </w:pPr>
      <w:bookmarkStart w:id="3" w:name="EnMS勾选"/>
      <w:r>
        <w:rPr>
          <w:rFonts w:hint="eastAsia"/>
          <w:color w:val="000000"/>
        </w:rPr>
        <w:t>□</w:t>
      </w:r>
      <w:bookmarkEnd w:id="3"/>
      <w:r>
        <w:rPr>
          <w:rFonts w:hint="eastAsia"/>
          <w:color w:val="000000"/>
        </w:rPr>
        <w:t>能源管理体系（ENMS)</w:t>
      </w:r>
    </w:p>
    <w:p>
      <w:pPr>
        <w:pStyle w:val="16"/>
        <w:spacing w:line="360" w:lineRule="auto"/>
        <w:ind w:left="3403" w:leftChars="1486" w:hanging="282" w:hangingChars="123"/>
        <w:rPr>
          <w:color w:val="000000"/>
        </w:rPr>
      </w:pPr>
      <w:bookmarkStart w:id="4" w:name="F勾选"/>
      <w:r>
        <w:rPr>
          <w:rFonts w:hint="eastAsia"/>
          <w:color w:val="000000"/>
        </w:rPr>
        <w:t>□</w:t>
      </w:r>
      <w:bookmarkEnd w:id="4"/>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16"/>
        <w:spacing w:line="360" w:lineRule="auto"/>
        <w:ind w:left="3403" w:leftChars="1486" w:hanging="282" w:hangingChars="123"/>
      </w:pPr>
      <w:r>
        <w:rPr>
          <w:rFonts w:hint="eastAsia"/>
          <w:color w:val="000000"/>
        </w:rPr>
        <w:t>□其他</w:t>
      </w:r>
      <w:r>
        <w:rPr>
          <w:rFonts w:hint="eastAsia"/>
          <w:color w:val="000000"/>
          <w:u w:val="single"/>
        </w:rPr>
        <w:t xml:space="preserve"> </w:t>
      </w:r>
      <w:r>
        <w:rPr>
          <w:color w:val="000000"/>
          <w:u w:val="single"/>
        </w:rPr>
        <w:t xml:space="preserve">                </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16"/>
            </w:pPr>
            <w:r>
              <w:rPr>
                <w:rFonts w:hint="eastAsia"/>
                <w:b/>
                <w:bCs w:val="0"/>
              </w:rPr>
              <w:t>审核组长（签字）：</w:t>
            </w:r>
          </w:p>
        </w:tc>
        <w:tc>
          <w:tcPr>
            <w:tcW w:w="4077" w:type="dxa"/>
            <w:tcBorders>
              <w:top w:val="nil"/>
              <w:left w:val="nil"/>
              <w:bottom w:val="single" w:color="auto" w:sz="4" w:space="0"/>
              <w:right w:val="nil"/>
            </w:tcBorders>
            <w:vAlign w:val="center"/>
          </w:tcPr>
          <w:p>
            <w:pPr>
              <w:pStyle w:val="16"/>
            </w:pPr>
            <w:bookmarkStart w:id="5" w:name="总组长"/>
            <w:r>
              <w:t>张锐</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16"/>
            </w:pPr>
            <w:r>
              <w:rPr>
                <w:rFonts w:hint="eastAsia"/>
                <w:b/>
                <w:bCs w:val="0"/>
              </w:rPr>
              <w:t>审核组员（签字）：</w:t>
            </w:r>
          </w:p>
        </w:tc>
        <w:tc>
          <w:tcPr>
            <w:tcW w:w="4077" w:type="dxa"/>
            <w:tcBorders>
              <w:left w:val="nil"/>
              <w:bottom w:val="single" w:color="auto" w:sz="4" w:space="0"/>
              <w:right w:val="nil"/>
            </w:tcBorders>
            <w:vAlign w:val="center"/>
          </w:tcPr>
          <w:p>
            <w:pPr>
              <w:pStyle w:val="16"/>
            </w:pPr>
            <w:bookmarkStart w:id="6" w:name="审核组成员不含组长"/>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16"/>
            </w:pPr>
            <w:r>
              <w:rPr>
                <w:rFonts w:hint="eastAsia"/>
                <w:b/>
                <w:bCs w:val="0"/>
              </w:rPr>
              <w:t>报  告  日  期 ：</w:t>
            </w:r>
          </w:p>
        </w:tc>
        <w:tc>
          <w:tcPr>
            <w:tcW w:w="4077" w:type="dxa"/>
            <w:tcBorders>
              <w:left w:val="nil"/>
              <w:right w:val="nil"/>
            </w:tcBorders>
            <w:vAlign w:val="center"/>
          </w:tcPr>
          <w:p>
            <w:pPr>
              <w:pStyle w:val="16"/>
              <w:ind w:firstLine="566" w:firstLineChars="245"/>
              <w:jc w:val="center"/>
            </w:pPr>
            <w:r>
              <w:rPr>
                <w:rFonts w:hint="eastAsia"/>
                <w:b/>
                <w:bCs w:val="0"/>
                <w:lang w:val="en-US" w:eastAsia="zh-CN"/>
              </w:rPr>
              <w:t>2024</w:t>
            </w:r>
            <w:r>
              <w:rPr>
                <w:rFonts w:hint="eastAsia"/>
                <w:b/>
                <w:bCs w:val="0"/>
              </w:rPr>
              <w:t xml:space="preserve">年     </w:t>
            </w:r>
            <w:r>
              <w:rPr>
                <w:rFonts w:hint="eastAsia"/>
                <w:b/>
                <w:bCs w:val="0"/>
                <w:lang w:val="en-US" w:eastAsia="zh-CN"/>
              </w:rPr>
              <w:t>2</w:t>
            </w:r>
            <w:r>
              <w:rPr>
                <w:rFonts w:hint="eastAsia"/>
                <w:b/>
                <w:bCs w:val="0"/>
              </w:rPr>
              <w:t xml:space="preserve">月     </w:t>
            </w:r>
            <w:r>
              <w:rPr>
                <w:rFonts w:hint="eastAsia"/>
                <w:b/>
                <w:bCs w:val="0"/>
                <w:lang w:val="en-US" w:eastAsia="zh-CN"/>
              </w:rPr>
              <w:t>22</w:t>
            </w:r>
            <w:r>
              <w:rPr>
                <w:rFonts w:hint="eastAsia"/>
                <w:b/>
                <w:bCs w:val="0"/>
              </w:rPr>
              <w:t>日</w:t>
            </w:r>
          </w:p>
        </w:tc>
      </w:tr>
    </w:tbl>
    <w:p>
      <w:pPr>
        <w:pStyle w:val="16"/>
      </w:pPr>
    </w:p>
    <w:p>
      <w:pPr>
        <w:pStyle w:val="16"/>
      </w:pPr>
    </w:p>
    <w:p>
      <w:pPr>
        <w:pStyle w:val="16"/>
      </w:pPr>
    </w:p>
    <w:p>
      <w:pPr>
        <w:pStyle w:val="16"/>
      </w:pPr>
    </w:p>
    <w:p>
      <w:pPr>
        <w:pStyle w:val="16"/>
      </w:pPr>
    </w:p>
    <w:p>
      <w:pPr>
        <w:pStyle w:val="16"/>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16"/>
              <w:jc w:val="left"/>
            </w:pPr>
          </w:p>
          <w:p>
            <w:pPr>
              <w:pStyle w:val="16"/>
              <w:jc w:val="left"/>
            </w:pPr>
          </w:p>
          <w:p>
            <w:pPr>
              <w:pStyle w:val="16"/>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16"/>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16"/>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16"/>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16"/>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16"/>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16"/>
              <w:jc w:val="center"/>
            </w:pPr>
          </w:p>
        </w:tc>
      </w:tr>
    </w:tbl>
    <w:p>
      <w:pPr>
        <w:pStyle w:val="16"/>
      </w:pPr>
    </w:p>
    <w:p>
      <w:pPr>
        <w:pStyle w:val="16"/>
      </w:pPr>
    </w:p>
    <w:p>
      <w:pPr>
        <w:pStyle w:val="16"/>
      </w:pPr>
    </w:p>
    <w:p>
      <w:pPr>
        <w:pStyle w:val="16"/>
      </w:pP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rFonts w:hint="eastAsia" w:ascii="Times New Roman" w:hAnsi="Times New Roman" w:eastAsia="宋体" w:cs="Times New Roman"/>
                <w:b/>
                <w:kern w:val="2"/>
                <w:sz w:val="21"/>
                <w:szCs w:val="21"/>
                <w:lang w:val="en-US" w:eastAsia="zh-CN" w:bidi="ar-SA"/>
              </w:rPr>
            </w:pPr>
            <w:r>
              <w:rPr>
                <w:rFonts w:hint="eastAsia"/>
                <w:b/>
                <w:szCs w:val="21"/>
                <w:lang w:val="en-US" w:eastAsia="zh-CN"/>
              </w:rPr>
              <w:t>A</w:t>
            </w:r>
          </w:p>
        </w:tc>
        <w:tc>
          <w:tcPr>
            <w:tcW w:w="1247" w:type="dxa"/>
            <w:vAlign w:val="center"/>
          </w:tcPr>
          <w:p>
            <w:pPr>
              <w:spacing w:line="360" w:lineRule="exact"/>
              <w:jc w:val="center"/>
              <w:rPr>
                <w:rFonts w:ascii="Times New Roman" w:hAnsi="Times New Roman" w:eastAsia="宋体" w:cs="Times New Roman"/>
                <w:b/>
                <w:kern w:val="2"/>
                <w:sz w:val="21"/>
                <w:szCs w:val="21"/>
                <w:lang w:val="en-US" w:eastAsia="zh-CN" w:bidi="ar-SA"/>
              </w:rPr>
            </w:pPr>
            <w:r>
              <w:rPr>
                <w:b/>
                <w:szCs w:val="21"/>
              </w:rPr>
              <w:t>张锐</w:t>
            </w:r>
          </w:p>
        </w:tc>
        <w:tc>
          <w:tcPr>
            <w:tcW w:w="1051" w:type="dxa"/>
            <w:vAlign w:val="center"/>
          </w:tcPr>
          <w:p>
            <w:pPr>
              <w:spacing w:line="360" w:lineRule="exact"/>
              <w:jc w:val="center"/>
              <w:rPr>
                <w:rFonts w:ascii="Times New Roman" w:hAnsi="Times New Roman" w:eastAsia="宋体" w:cs="Times New Roman"/>
                <w:b/>
                <w:kern w:val="2"/>
                <w:sz w:val="21"/>
                <w:szCs w:val="21"/>
                <w:lang w:val="en-US" w:eastAsia="zh-CN" w:bidi="ar-SA"/>
              </w:rPr>
            </w:pPr>
            <w:r>
              <w:rPr>
                <w:b/>
                <w:szCs w:val="21"/>
              </w:rPr>
              <w:t>组长</w:t>
            </w:r>
          </w:p>
        </w:tc>
        <w:tc>
          <w:tcPr>
            <w:tcW w:w="1466" w:type="dxa"/>
            <w:vAlign w:val="center"/>
          </w:tcPr>
          <w:p>
            <w:pPr>
              <w:spacing w:line="360" w:lineRule="exact"/>
              <w:jc w:val="center"/>
              <w:rPr>
                <w:rFonts w:ascii="Times New Roman" w:hAnsi="Times New Roman" w:eastAsia="宋体" w:cs="Times New Roman"/>
                <w:b/>
                <w:kern w:val="2"/>
                <w:sz w:val="21"/>
                <w:szCs w:val="21"/>
                <w:lang w:val="en-US" w:eastAsia="zh-CN" w:bidi="ar-SA"/>
              </w:rPr>
            </w:pPr>
            <w:r>
              <w:rPr>
                <w:b/>
                <w:szCs w:val="21"/>
              </w:rPr>
              <w:t>审核员</w:t>
            </w:r>
          </w:p>
        </w:tc>
        <w:tc>
          <w:tcPr>
            <w:tcW w:w="2268" w:type="dxa"/>
            <w:vAlign w:val="center"/>
          </w:tcPr>
          <w:p>
            <w:pPr>
              <w:spacing w:line="360" w:lineRule="exact"/>
              <w:jc w:val="center"/>
              <w:rPr>
                <w:rFonts w:ascii="Times New Roman" w:hAnsi="Times New Roman" w:eastAsia="宋体" w:cs="Times New Roman"/>
                <w:b/>
                <w:kern w:val="2"/>
                <w:sz w:val="21"/>
                <w:szCs w:val="21"/>
                <w:lang w:val="en-US" w:eastAsia="zh-CN" w:bidi="ar-SA"/>
              </w:rPr>
            </w:pPr>
            <w:r>
              <w:rPr>
                <w:b/>
                <w:szCs w:val="21"/>
              </w:rPr>
              <w:t>2023-N1QMS-2251646</w:t>
            </w:r>
          </w:p>
        </w:tc>
        <w:tc>
          <w:tcPr>
            <w:tcW w:w="3145" w:type="dxa"/>
            <w:vAlign w:val="center"/>
          </w:tcPr>
          <w:p>
            <w:pPr>
              <w:spacing w:line="360" w:lineRule="exact"/>
              <w:jc w:val="center"/>
              <w:rPr>
                <w:rFonts w:ascii="Times New Roman" w:hAnsi="Times New Roman" w:eastAsia="宋体" w:cs="Times New Roman"/>
                <w:b/>
                <w:kern w:val="2"/>
                <w:sz w:val="21"/>
                <w:szCs w:val="21"/>
                <w:lang w:val="en-US" w:eastAsia="zh-CN" w:bidi="ar-SA"/>
              </w:rPr>
            </w:pPr>
            <w:r>
              <w:rPr>
                <w:b/>
                <w:szCs w:val="21"/>
              </w:rPr>
              <w:t>28.04.02</w:t>
            </w: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李红平</w:t>
            </w: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asciiTheme="minorEastAsia" w:hAnsiTheme="minorEastAsia" w:eastAsiaTheme="minorEastAsia"/>
          <w:b/>
          <w:szCs w:val="21"/>
        </w:rPr>
        <w:sym w:font="Wingdings 2" w:char="0052"/>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0052"/>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lang w:eastAsia="zh-CN"/>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9"/>
              <w:spacing w:line="360" w:lineRule="auto"/>
              <w:outlineLvl w:val="1"/>
              <w:rPr>
                <w:rFonts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lang w:val="de-DE" w:eastAsia="zh-CN"/>
              </w:rPr>
              <w:t>☑</w:t>
            </w:r>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9"/>
              <w:spacing w:line="360" w:lineRule="auto"/>
              <w:outlineLvl w:val="1"/>
              <w:rPr>
                <w:rFonts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lang w:eastAsia="zh-CN"/>
              </w:rPr>
              <w:t>☑</w:t>
            </w:r>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9"/>
              <w:spacing w:line="360" w:lineRule="auto"/>
              <w:outlineLvl w:val="1"/>
              <w:rPr>
                <w:rFonts w:asciiTheme="minorEastAsia" w:hAnsiTheme="minorEastAsia" w:eastAsiaTheme="minorEastAsia"/>
                <w:color w:val="auto"/>
                <w:kern w:val="2"/>
                <w:sz w:val="21"/>
                <w:szCs w:val="21"/>
              </w:rPr>
            </w:pPr>
            <w:bookmarkStart w:id="7" w:name="E勾选Add1"/>
            <w:r>
              <w:rPr>
                <w:rFonts w:hint="eastAsia" w:cs="宋体" w:asciiTheme="minorEastAsia" w:hAnsiTheme="minorEastAsia" w:eastAsiaTheme="minorEastAsia"/>
                <w:b/>
                <w:color w:val="auto"/>
                <w:sz w:val="21"/>
                <w:szCs w:val="21"/>
                <w:lang w:val="de-DE"/>
              </w:rPr>
              <w:t>□</w:t>
            </w:r>
            <w:bookmarkEnd w:id="7"/>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9"/>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9"/>
              <w:spacing w:line="360" w:lineRule="auto"/>
              <w:outlineLvl w:val="1"/>
              <w:rPr>
                <w:rFonts w:cs="宋体" w:asciiTheme="minorEastAsia" w:hAnsiTheme="minorEastAsia" w:eastAsiaTheme="minorEastAsia"/>
                <w:b/>
                <w:color w:val="auto"/>
                <w:sz w:val="21"/>
                <w:szCs w:val="21"/>
              </w:rPr>
            </w:pPr>
            <w:bookmarkStart w:id="8" w:name="S勾选Add1"/>
            <w:r>
              <w:rPr>
                <w:rFonts w:hint="eastAsia" w:cs="宋体" w:asciiTheme="minorEastAsia" w:hAnsiTheme="minorEastAsia" w:eastAsiaTheme="minorEastAsia"/>
                <w:b/>
                <w:color w:val="auto"/>
                <w:sz w:val="21"/>
                <w:szCs w:val="21"/>
              </w:rPr>
              <w:t>□</w:t>
            </w:r>
            <w:bookmarkEnd w:id="8"/>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9"/>
              <w:spacing w:line="360" w:lineRule="auto"/>
              <w:outlineLvl w:val="1"/>
              <w:rPr>
                <w:rFonts w:cs="宋体" w:asciiTheme="minorEastAsia" w:hAnsiTheme="minorEastAsia" w:eastAsiaTheme="minorEastAsia"/>
                <w:b/>
                <w:color w:val="auto"/>
                <w:sz w:val="21"/>
                <w:szCs w:val="21"/>
              </w:rPr>
            </w:pPr>
            <w:bookmarkStart w:id="9" w:name="F勾选Add1"/>
            <w:r>
              <w:rPr>
                <w:rFonts w:hint="eastAsia" w:cs="宋体" w:asciiTheme="minorEastAsia" w:hAnsiTheme="minorEastAsia" w:eastAsiaTheme="minorEastAsia"/>
                <w:b/>
                <w:color w:val="auto"/>
                <w:sz w:val="21"/>
                <w:szCs w:val="21"/>
              </w:rPr>
              <w:t>□</w:t>
            </w:r>
            <w:bookmarkEnd w:id="9"/>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9"/>
              <w:spacing w:line="360" w:lineRule="auto"/>
              <w:outlineLvl w:val="1"/>
              <w:rPr>
                <w:rFonts w:cs="宋体" w:asciiTheme="minorEastAsia" w:hAnsiTheme="minorEastAsia" w:eastAsiaTheme="minorEastAsia"/>
                <w:b/>
                <w:color w:val="auto"/>
                <w:sz w:val="21"/>
                <w:szCs w:val="21"/>
              </w:rPr>
            </w:pPr>
            <w:bookmarkStart w:id="10" w:name="H勾选Add1"/>
            <w:r>
              <w:rPr>
                <w:rFonts w:hint="eastAsia" w:cs="宋体" w:asciiTheme="minorEastAsia" w:hAnsiTheme="minorEastAsia" w:eastAsiaTheme="minorEastAsia"/>
                <w:b/>
                <w:color w:val="auto"/>
                <w:sz w:val="21"/>
                <w:szCs w:val="21"/>
              </w:rPr>
              <w:t>□</w:t>
            </w:r>
            <w:bookmarkEnd w:id="10"/>
            <w:r>
              <w:rPr>
                <w:rFonts w:cs="宋体" w:asciiTheme="minorEastAsia" w:hAnsiTheme="minorEastAsia" w:eastAsiaTheme="minorEastAsia"/>
                <w:bCs/>
                <w:color w:val="auto"/>
                <w:sz w:val="21"/>
                <w:szCs w:val="21"/>
              </w:rPr>
              <w:t>危害分析与关键控制点（HACCP）体系认证要求（V1.0）</w:t>
            </w:r>
          </w:p>
        </w:tc>
      </w:tr>
    </w:tbl>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lang w:eastAsia="zh-CN"/>
        </w:rPr>
        <w:t>☑</w:t>
      </w:r>
      <w:r>
        <w:rPr>
          <w:rFonts w:hint="eastAsia"/>
          <w:color w:val="auto"/>
          <w:kern w:val="2"/>
          <w:sz w:val="21"/>
          <w:szCs w:val="21"/>
          <w:lang w:val="en-US" w:eastAsia="zh-CN"/>
        </w:rPr>
        <w:t>质量管理体系</w:t>
      </w:r>
      <w:r>
        <w:rPr>
          <w:rFonts w:hint="eastAsia" w:asciiTheme="minorEastAsia" w:hAnsiTheme="minorEastAsia" w:eastAsiaTheme="minorEastAsia"/>
          <w:color w:val="auto"/>
          <w:kern w:val="2"/>
          <w:sz w:val="21"/>
          <w:szCs w:val="21"/>
        </w:rPr>
        <w:t>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r>
        <w:rPr>
          <w:rFonts w:hint="eastAsia"/>
          <w:color w:val="auto"/>
          <w:kern w:val="2"/>
          <w:sz w:val="21"/>
          <w:szCs w:val="21"/>
          <w:u w:val="none"/>
        </w:rPr>
        <w:t>中华人民共和国妇女权益保障法、中华人民共和国社会保险法</w:t>
      </w:r>
      <w:r>
        <w:rPr>
          <w:rFonts w:hint="eastAsia"/>
          <w:color w:val="auto"/>
          <w:kern w:val="2"/>
          <w:sz w:val="21"/>
          <w:szCs w:val="21"/>
          <w:u w:val="none"/>
          <w:lang w:eastAsia="zh-CN"/>
        </w:rPr>
        <w:t>、</w:t>
      </w:r>
      <w:r>
        <w:rPr>
          <w:rFonts w:hint="eastAsia"/>
          <w:color w:val="auto"/>
          <w:kern w:val="2"/>
          <w:sz w:val="21"/>
          <w:szCs w:val="21"/>
          <w:lang w:val="en-US" w:eastAsia="zh-CN"/>
        </w:rPr>
        <w:t>民法典等</w:t>
      </w:r>
    </w:p>
    <w:p>
      <w:pPr>
        <w:rPr>
          <w:rFonts w:hint="eastAsia"/>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asciiTheme="minorEastAsia" w:hAnsiTheme="minorEastAsia" w:eastAsiaTheme="minorEastAsia"/>
          <w:color w:val="auto"/>
          <w:kern w:val="2"/>
          <w:sz w:val="21"/>
          <w:szCs w:val="21"/>
        </w:rPr>
      </w:pPr>
      <w:r>
        <w:rPr>
          <w:rFonts w:hint="eastAsia"/>
        </w:rPr>
        <w:t>《电气装置安装工程电力设备施工及验收规程》GB50255-96;</w:t>
      </w:r>
    </w:p>
    <w:p>
      <w:pPr>
        <w:pStyle w:val="29"/>
        <w:spacing w:line="360" w:lineRule="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f) 其他有关要求（顾客、相关方要求）。</w:t>
      </w:r>
      <w:r>
        <w:rPr>
          <w:rFonts w:hint="eastAsia" w:asciiTheme="minorEastAsia" w:hAnsiTheme="minorEastAsia" w:eastAsiaTheme="minorEastAsia"/>
          <w:color w:val="auto"/>
          <w:kern w:val="2"/>
          <w:sz w:val="21"/>
          <w:szCs w:val="21"/>
          <w:lang w:val="en-US" w:eastAsia="zh-CN"/>
        </w:rPr>
        <w:t>无</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1" w:name="一阶段审核日期起始"/>
      <w:r>
        <w:rPr>
          <w:rFonts w:hint="eastAsia" w:asciiTheme="minorEastAsia" w:hAnsiTheme="minorEastAsia" w:eastAsiaTheme="minorEastAsia"/>
          <w:color w:val="auto"/>
          <w:kern w:val="2"/>
          <w:sz w:val="21"/>
          <w:szCs w:val="21"/>
        </w:rPr>
        <w:t xml:space="preserve">2024-02-22 </w:t>
      </w:r>
      <w:r>
        <w:rPr>
          <w:rFonts w:hint="eastAsia" w:asciiTheme="minorEastAsia" w:hAnsiTheme="minorEastAsia" w:eastAsiaTheme="minorEastAsia"/>
          <w:color w:val="auto"/>
          <w:kern w:val="2"/>
          <w:sz w:val="21"/>
          <w:szCs w:val="21"/>
          <w:lang w:val="en-US" w:eastAsia="zh-CN"/>
        </w:rPr>
        <w:t>上</w:t>
      </w:r>
      <w:r>
        <w:rPr>
          <w:rFonts w:hint="eastAsia" w:asciiTheme="minorEastAsia" w:hAnsiTheme="minorEastAsia" w:eastAsiaTheme="minorEastAsia"/>
          <w:color w:val="auto"/>
          <w:kern w:val="2"/>
          <w:sz w:val="21"/>
          <w:szCs w:val="21"/>
        </w:rPr>
        <w:t>午至2024-02-22 下午</w:t>
      </w:r>
      <w:bookmarkEnd w:id="11"/>
      <w:r>
        <w:rPr>
          <w:rFonts w:hint="eastAsia" w:asciiTheme="minorEastAsia" w:hAnsiTheme="minorEastAsia" w:eastAsiaTheme="minorEastAsia"/>
          <w:color w:val="auto"/>
          <w:kern w:val="2"/>
          <w:sz w:val="21"/>
          <w:szCs w:val="21"/>
        </w:rPr>
        <w:t>实施审核。</w:t>
      </w:r>
    </w:p>
    <w:p>
      <w:pPr>
        <w:pStyle w:val="29"/>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w:t>
      </w:r>
      <w:r>
        <w:rPr>
          <w:rFonts w:hint="eastAsia" w:asciiTheme="minorEastAsia" w:hAnsiTheme="minorEastAsia" w:eastAsiaTheme="minorEastAsia"/>
          <w:color w:val="auto"/>
          <w:kern w:val="2"/>
          <w:sz w:val="21"/>
          <w:szCs w:val="21"/>
          <w:lang w:val="en-US" w:eastAsia="zh-CN"/>
        </w:rPr>
        <w:t>2023</w:t>
      </w:r>
      <w:r>
        <w:rPr>
          <w:rFonts w:hint="eastAsia" w:asciiTheme="minorEastAsia" w:hAnsiTheme="minorEastAsia" w:eastAsiaTheme="minorEastAsia"/>
          <w:color w:val="auto"/>
          <w:kern w:val="2"/>
          <w:sz w:val="21"/>
          <w:szCs w:val="21"/>
        </w:rPr>
        <w:t xml:space="preserve">年  </w:t>
      </w:r>
      <w:r>
        <w:rPr>
          <w:rFonts w:hint="eastAsia" w:asciiTheme="minorEastAsia" w:hAnsiTheme="minorEastAsia" w:eastAsiaTheme="minorEastAsia"/>
          <w:color w:val="auto"/>
          <w:kern w:val="2"/>
          <w:sz w:val="21"/>
          <w:szCs w:val="21"/>
          <w:lang w:val="en-US" w:eastAsia="zh-CN"/>
        </w:rPr>
        <w:t>4</w:t>
      </w:r>
      <w:r>
        <w:rPr>
          <w:rFonts w:hint="eastAsia" w:asciiTheme="minorEastAsia" w:hAnsiTheme="minorEastAsia" w:eastAsiaTheme="minorEastAsia"/>
          <w:color w:val="auto"/>
          <w:kern w:val="2"/>
          <w:sz w:val="21"/>
          <w:szCs w:val="21"/>
        </w:rPr>
        <w:t xml:space="preserve">月   </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日至本次审核结束日。</w:t>
      </w:r>
    </w:p>
    <w:p>
      <w:pPr>
        <w:pStyle w:val="29"/>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2" w:name="现场审核勾选"/>
      <w:r>
        <w:rPr>
          <w:rFonts w:hint="eastAsia" w:cs="宋体" w:asciiTheme="minorEastAsia" w:hAnsiTheme="minorEastAsia" w:eastAsiaTheme="minorEastAsia"/>
          <w:sz w:val="21"/>
          <w:szCs w:val="21"/>
        </w:rPr>
        <w:t>■</w:t>
      </w:r>
      <w:bookmarkEnd w:id="12"/>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3" w:name="远程审核勾选"/>
      <w:r>
        <w:rPr>
          <w:rFonts w:hint="eastAsia" w:cs="宋体" w:asciiTheme="minorEastAsia" w:hAnsiTheme="minorEastAsia" w:eastAsiaTheme="minorEastAsia"/>
          <w:sz w:val="21"/>
          <w:szCs w:val="21"/>
        </w:rPr>
        <w:t>□</w:t>
      </w:r>
      <w:bookmarkEnd w:id="13"/>
      <w:r>
        <w:rPr>
          <w:rFonts w:hint="eastAsia" w:cs="宋体" w:asciiTheme="minorEastAsia" w:hAnsiTheme="minorEastAsia" w:eastAsiaTheme="minorEastAsia"/>
          <w:sz w:val="21"/>
          <w:szCs w:val="21"/>
        </w:rPr>
        <w:t xml:space="preserve">远程审核   </w:t>
      </w:r>
      <w:bookmarkStart w:id="14" w:name="现场与远程审核勾选"/>
      <w:r>
        <w:rPr>
          <w:rFonts w:hint="eastAsia" w:cs="宋体" w:asciiTheme="minorEastAsia" w:hAnsiTheme="minorEastAsia" w:eastAsiaTheme="minorEastAsia"/>
          <w:sz w:val="21"/>
          <w:szCs w:val="21"/>
        </w:rPr>
        <w:t>□</w:t>
      </w:r>
      <w:bookmarkEnd w:id="14"/>
      <w:r>
        <w:rPr>
          <w:rFonts w:hint="eastAsia" w:cs="宋体" w:asciiTheme="minorEastAsia" w:hAnsiTheme="minorEastAsia" w:eastAsiaTheme="minorEastAsia"/>
          <w:sz w:val="21"/>
          <w:szCs w:val="21"/>
        </w:rPr>
        <w:t xml:space="preserve">现场结合远程审核 </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9"/>
        <w:spacing w:line="360" w:lineRule="auto"/>
        <w:rPr>
          <w:rFonts w:hint="default"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EC：</w:t>
      </w:r>
      <w:bookmarkStart w:id="15" w:name="审核范围"/>
      <w:r>
        <w:rPr>
          <w:sz w:val="21"/>
          <w:szCs w:val="21"/>
        </w:rPr>
        <w:t>资质范围内输变电工程专业承包三级</w:t>
      </w:r>
      <w:bookmarkEnd w:id="15"/>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6" w:name="注册地址"/>
      <w:r>
        <w:rPr>
          <w:rFonts w:asciiTheme="minorEastAsia" w:hAnsiTheme="minorEastAsia" w:eastAsiaTheme="minorEastAsia"/>
        </w:rPr>
        <w:t>河北省邯郸市武安市中兴路与新华大街交叉口西北角</w:t>
      </w:r>
      <w:bookmarkEnd w:id="16"/>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r>
        <w:t>河北省邯郸市武安市中兴路与新华大街交叉口西北角</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17" w:name="生产地址"/>
      <w:r>
        <w:rPr>
          <w:rFonts w:asciiTheme="minorEastAsia" w:hAnsiTheme="minorEastAsia" w:eastAsiaTheme="minorEastAsia"/>
        </w:rPr>
        <w:t>河北省邯郸市武安市中兴路与新华大街交叉口西北角</w:t>
      </w:r>
      <w:bookmarkEnd w:id="17"/>
    </w:p>
    <w:p>
      <w:pPr>
        <w:pStyle w:val="29"/>
        <w:spacing w:line="360" w:lineRule="auto"/>
        <w:ind w:firstLine="420" w:firstLineChars="200"/>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临时场所（需注明其项目名称、工程性质、施工地址信息、开工和竣工时间）：</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5、工程内容：</w:t>
      </w:r>
      <w:r>
        <w:rPr>
          <w:rFonts w:hint="eastAsia"/>
        </w:rPr>
        <w:t>乙方负责小区用电申请、报装勘察、设计方案报审批复、图纸设计审查、供配电工程施工及材料设备(包括项目红线内变压器、高低压柜、直流屏、高低压桥架及电缆敷设、室外电井、井盖及排管、接头制作安装、穿墙套管及桥架洞口防水及防火泥包封堵、变配电室外墙表箱计量装置、门口挡鼠板、柜前后绝缘垫、高低压操作流程牌、验收安全工具、标识牌等附属材料设备)的采购、安装、系统调试实验、组织验收、产权移交直至送电运行;临电供应(从项目既有箱变至变配电室的主电缆供电;一期488户居民临时计量电表)包括在此范围内等</w:t>
      </w:r>
    </w:p>
    <w:p>
      <w:pPr>
        <w:pStyle w:val="29"/>
        <w:spacing w:line="360" w:lineRule="auto"/>
        <w:ind w:firstLine="420" w:firstLineChars="200"/>
        <w:rPr>
          <w:rFonts w:asciiTheme="minorEastAsia" w:hAnsiTheme="minorEastAsia" w:eastAsiaTheme="minorEastAsia"/>
          <w:color w:val="auto"/>
          <w:kern w:val="2"/>
          <w:sz w:val="21"/>
          <w:szCs w:val="21"/>
        </w:rPr>
      </w:pPr>
      <w:r>
        <w:rPr>
          <w:rFonts w:hint="eastAsia" w:ascii="宋体" w:hAnsi="宋体" w:eastAsia="宋体" w:cs="宋体"/>
          <w:sz w:val="21"/>
          <w:szCs w:val="21"/>
          <w:lang w:val="en-US" w:eastAsia="zh-CN"/>
        </w:rPr>
        <w:t>6、计划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r>
        <w:rPr>
          <w:rFonts w:hint="eastAsia" w:asciiTheme="minorEastAsia" w:hAnsiTheme="minorEastAsia" w:eastAsiaTheme="minorEastAsia"/>
          <w:color w:val="auto"/>
          <w:kern w:val="2"/>
          <w:sz w:val="21"/>
          <w:szCs w:val="21"/>
        </w:rPr>
        <w:t xml:space="preserve"> </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9"/>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9"/>
        <w:spacing w:line="360" w:lineRule="auto"/>
        <w:rPr>
          <w:rFonts w:cs="宋体" w:asciiTheme="minorEastAsia" w:hAnsiTheme="minorEastAsia" w:eastAsiaTheme="minorEastAsia"/>
          <w:color w:val="auto"/>
          <w:sz w:val="21"/>
          <w:szCs w:val="21"/>
        </w:rPr>
      </w:pPr>
    </w:p>
    <w:p>
      <w:pPr>
        <w:bidi w:val="0"/>
        <w:rPr>
          <w:rFonts w:hint="eastAsia"/>
          <w:lang w:val="en-US" w:eastAsia="zh-CN"/>
        </w:rPr>
      </w:pPr>
      <w:r>
        <w:rPr>
          <w:rFonts w:hint="eastAsia"/>
          <w:lang w:val="en-US" w:eastAsia="zh-CN"/>
        </w:rPr>
        <w:t>人员：公司涉及认证范围的员工35人。岗位人员主要包括：安全管理三类人员、工程师、技术负责人、项目经理、施工员、安全员、质量员、资料员等项目管理人员；均具有相应资质</w:t>
      </w:r>
    </w:p>
    <w:p>
      <w:pPr>
        <w:bidi w:val="0"/>
        <w:rPr>
          <w:rFonts w:hint="eastAsia"/>
          <w:lang w:val="en-US" w:eastAsia="zh-CN"/>
        </w:rPr>
      </w:pPr>
      <w:r>
        <w:rPr>
          <w:rFonts w:hint="eastAsia"/>
          <w:lang w:val="en-US" w:eastAsia="zh-CN"/>
        </w:rPr>
        <w:t>特种作业人员包括：电工等。公司现有人员的配置及能力充分，满足公司运作要求</w:t>
      </w:r>
    </w:p>
    <w:p>
      <w:pPr>
        <w:bidi w:val="0"/>
        <w:rPr>
          <w:rFonts w:hint="default"/>
          <w:lang w:val="en-US" w:eastAsia="zh-CN"/>
        </w:rPr>
      </w:pPr>
      <w:r>
        <w:rPr>
          <w:rFonts w:hint="eastAsia"/>
          <w:lang w:val="en-US" w:eastAsia="zh-CN"/>
        </w:rPr>
        <w:t>无倒班情况</w:t>
      </w:r>
    </w:p>
    <w:p>
      <w:pPr>
        <w:pStyle w:val="1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公司策划了产品实现过程：</w:t>
      </w:r>
    </w:p>
    <w:p>
      <w:pPr>
        <w:snapToGrid w:val="0"/>
        <w:spacing w:line="280" w:lineRule="exact"/>
        <w:rPr>
          <w:rFonts w:hint="eastAsia" w:ascii="宋体" w:hAnsi="宋体" w:eastAsia="宋体" w:cs="宋体"/>
          <w:b w:val="0"/>
          <w:bCs/>
          <w:sz w:val="21"/>
          <w:szCs w:val="21"/>
        </w:rPr>
      </w:pPr>
      <w:r>
        <w:rPr>
          <w:rFonts w:hint="eastAsia"/>
          <w:sz w:val="21"/>
          <w:szCs w:val="21"/>
          <w:lang w:val="en-US" w:eastAsia="zh-CN"/>
        </w:rPr>
        <w:t>输变电</w:t>
      </w:r>
      <w:r>
        <w:rPr>
          <w:rFonts w:hint="eastAsia"/>
          <w:b w:val="0"/>
          <w:bCs/>
          <w:sz w:val="21"/>
          <w:szCs w:val="21"/>
        </w:rPr>
        <w:t>工程流程：签订合同—组建项目部—编制施工组织设计—组织施工—过程检验—分部分项验收—竣工验收—交付及交付后的活动。</w:t>
      </w:r>
    </w:p>
    <w:p>
      <w:pPr>
        <w:pStyle w:val="29"/>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需确认过程：</w:t>
      </w:r>
      <w:r>
        <w:rPr>
          <w:rFonts w:hint="eastAsia"/>
          <w:sz w:val="21"/>
          <w:szCs w:val="21"/>
          <w:lang w:eastAsia="zh-CN"/>
        </w:rPr>
        <w:t>基础浇制、基础回填和导地线压接工作过程</w:t>
      </w:r>
    </w:p>
    <w:p>
      <w:pPr>
        <w:pStyle w:val="29"/>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外包：</w:t>
      </w:r>
      <w:r>
        <w:rPr>
          <w:rFonts w:hint="eastAsia" w:ascii="Times New Roman" w:hAnsi="Times New Roman" w:eastAsia="宋体" w:cs="Times New Roman"/>
          <w:sz w:val="21"/>
          <w:szCs w:val="21"/>
          <w:lang w:val="en-US" w:eastAsia="zh-CN"/>
        </w:rPr>
        <w:t>部分电缆敷设过程</w:t>
      </w:r>
    </w:p>
    <w:p>
      <w:pPr>
        <w:tabs>
          <w:tab w:val="left" w:pos="1825"/>
        </w:tabs>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企业保留GB/T19001-2016标准第8.3条款和GB/T50430-2017标准10.3条款，是为了工程施工过程中施工工艺的改进、新型建筑材料的应用及先进施工技术开发等方面，目前，公司的主要业务是</w:t>
      </w:r>
      <w:r>
        <w:rPr>
          <w:sz w:val="21"/>
          <w:szCs w:val="21"/>
        </w:rPr>
        <w:t>资质范围内输变电工程</w:t>
      </w:r>
      <w:r>
        <w:rPr>
          <w:rFonts w:hint="eastAsia" w:ascii="宋体" w:hAnsi="宋体" w:eastAsia="宋体" w:cs="宋体"/>
          <w:sz w:val="21"/>
          <w:szCs w:val="21"/>
          <w:lang w:val="en-US" w:eastAsia="zh-CN"/>
        </w:rPr>
        <w:t>，公司目前尚无工程设计资质，根据该项目施工特点，公司依据国家标准规定组织施工，在服务和施工过程中只负责施工方案的策划，没有深化设计的需求，故目前尚无施工工艺的改进、新型建筑材料的应用及先进施工技术开发等方面的控制需求。</w:t>
      </w:r>
    </w:p>
    <w:p>
      <w:pPr>
        <w:keepNext w:val="0"/>
        <w:keepLines w:val="0"/>
        <w:widowControl/>
        <w:suppressLineNumbers w:val="0"/>
        <w:jc w:val="left"/>
        <w:rPr>
          <w:rFonts w:hint="eastAsia" w:ascii="宋体" w:hAnsi="宋体" w:cs="宋体"/>
          <w:szCs w:val="21"/>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cs="宋体" w:asciiTheme="minorEastAsia" w:hAnsiTheme="minorEastAsia" w:eastAsiaTheme="minorEastAsia"/>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Times New Roman"/>
          <w:sz w:val="20"/>
          <w:lang w:val="en-US" w:eastAsia="zh-CN"/>
        </w:rPr>
      </w:pPr>
      <w:r>
        <w:rPr>
          <w:rFonts w:hint="eastAsia" w:cs="宋体" w:asciiTheme="minorEastAsia" w:hAnsiTheme="minorEastAsia" w:eastAsiaTheme="minorEastAsia"/>
          <w:color w:val="auto"/>
          <w:sz w:val="21"/>
          <w:szCs w:val="21"/>
          <w:lang w:val="en-US" w:eastAsia="zh-CN"/>
        </w:rPr>
        <w:t>抽查在建项目：</w:t>
      </w:r>
      <w:r>
        <w:rPr>
          <w:rFonts w:hint="eastAsia"/>
        </w:rPr>
        <w:t>旭坤澜山悦府项目内线配电工程</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5、工程内容：</w:t>
      </w:r>
      <w:r>
        <w:rPr>
          <w:rFonts w:hint="eastAsia"/>
        </w:rPr>
        <w:t>乙方负责小区用电申请、报装勘察、设计方案报审批复、图纸设计审查、供配电工程施工及材料设备(包括项目红线内变压器、高低压柜、直流屏、高低压桥架及电缆敷设、室外电井、井盖及排管、接头制作安装、穿墙套管及桥架洞口防水及防火泥包封堵、变配电室外墙表箱计量装置、门口挡鼠板、柜前后绝缘垫、高低压操作流程牌、验收安全工具、标识牌等附属材料设备)的采购、安装、系统调试实验、组织验收、产权移交直至送电运行;临电供应(从项目既有箱变至变配电室的主电缆供电;一期488户居民临时计量电表)包括在此范围内等</w:t>
      </w:r>
    </w:p>
    <w:p>
      <w:pPr>
        <w:pStyle w:val="29"/>
        <w:spacing w:before="156" w:beforeLines="50" w:after="156" w:afterLines="50" w:line="360" w:lineRule="auto"/>
        <w:rPr>
          <w:rFonts w:hint="eastAsia" w:asciiTheme="minorEastAsia" w:hAnsiTheme="minorEastAsia" w:eastAsiaTheme="minorEastAsia"/>
          <w:b/>
          <w:color w:val="auto"/>
          <w:kern w:val="2"/>
          <w:sz w:val="21"/>
          <w:szCs w:val="21"/>
        </w:rPr>
      </w:pPr>
      <w:r>
        <w:rPr>
          <w:rFonts w:hint="eastAsia" w:ascii="宋体" w:hAnsi="宋体" w:eastAsia="宋体" w:cs="宋体"/>
          <w:sz w:val="21"/>
          <w:szCs w:val="21"/>
          <w:lang w:val="en-US" w:eastAsia="zh-CN"/>
        </w:rPr>
        <w:t>6、计划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p>
    <w:p>
      <w:pPr>
        <w:rPr>
          <w:rFonts w:hint="eastAsia" w:ascii="宋体" w:hAnsi="宋体" w:eastAsia="宋体" w:cs="宋体"/>
          <w:color w:val="000000"/>
          <w:sz w:val="21"/>
          <w:szCs w:val="21"/>
          <w:lang w:val="en-US" w:eastAsia="zh-CN"/>
        </w:rPr>
      </w:pPr>
      <w:r>
        <w:rPr>
          <w:rFonts w:hint="eastAsia" w:cs="宋体" w:asciiTheme="minorEastAsia" w:hAnsiTheme="minorEastAsia" w:eastAsiaTheme="minorEastAsia"/>
          <w:b w:val="0"/>
          <w:bCs w:val="0"/>
          <w:color w:val="auto"/>
          <w:sz w:val="21"/>
          <w:szCs w:val="21"/>
          <w:lang w:val="en-US" w:eastAsia="zh-CN"/>
        </w:rPr>
        <w:t>抽查完工项目：</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查东城家园配电及供电线路工程施工方案</w:t>
      </w:r>
      <w:r>
        <w:rPr>
          <w:rFonts w:hint="eastAsia" w:eastAsia="宋体"/>
          <w:sz w:val="21"/>
          <w:szCs w:val="21"/>
          <w:lang w:eastAsia="zh-CN"/>
        </w:rPr>
        <w:t>（</w:t>
      </w:r>
      <w:r>
        <w:rPr>
          <w:sz w:val="21"/>
          <w:szCs w:val="21"/>
        </w:rPr>
        <w:t>资质范围内输变电工程</w:t>
      </w:r>
      <w:r>
        <w:rPr>
          <w:rFonts w:hint="eastAsia" w:eastAsia="宋体"/>
          <w:sz w:val="21"/>
          <w:szCs w:val="21"/>
          <w:lang w:eastAsia="zh-CN"/>
        </w:rPr>
        <w:t>）</w:t>
      </w:r>
    </w:p>
    <w:p>
      <w:pPr>
        <w:numPr>
          <w:ilvl w:val="0"/>
          <w:numId w:val="0"/>
        </w:numPr>
        <w:rPr>
          <w:sz w:val="21"/>
          <w:szCs w:val="21"/>
        </w:rPr>
      </w:pPr>
      <w:r>
        <w:rPr>
          <w:rFonts w:hint="eastAsia" w:ascii="宋体" w:hAnsi="宋体" w:eastAsia="宋体" w:cs="宋体"/>
          <w:color w:val="000000"/>
          <w:sz w:val="21"/>
          <w:szCs w:val="21"/>
          <w:lang w:val="en-US" w:eastAsia="zh-CN"/>
        </w:rPr>
        <w:t>项目内容：</w:t>
      </w:r>
      <w:r>
        <w:rPr>
          <w:rFonts w:hint="eastAsia"/>
          <w:lang w:eastAsia="zh-CN"/>
        </w:rPr>
        <w:t>工程内容:图纸范围内从室外10KV电杆引到配电室的电缆敷设及电缆井制作，变配电室变压器、高低压开关柜、母线槽、物业电表箱、各单元电业配电柜、充电桩电表箱等设备安装，新箱变基础建设，原箱变及基础拆除，箱变搬移安装、调试，部分高低压桥架、动力和商业电缆、电业电缆、预分支电缆安装敷设，住户地下室及户内电表安装。包括挖填土、电缆设、电缆井建造、新箱变基础及地上建筑建设、管路敷设、各类电气试验、调试，施工洞口、套管封堵、验收及售后服务等全部工作等,负责通过相关部门验收并顺利送电，负责办理相关产权资料及施工资料移交，办理供电管理等各类手续，建设单位给予积极配合。(建筑图内已经包含的桥架救设由总包方负责，电力图与建筑图相较增加的桥架、从电力电表箱至各建筑图配电箱的供电电源属于本工程范围)。</w:t>
      </w:r>
    </w:p>
    <w:p>
      <w:pPr>
        <w:pStyle w:val="29"/>
        <w:spacing w:line="360" w:lineRule="auto"/>
        <w:rPr>
          <w:rFonts w:cs="宋体" w:asciiTheme="minorEastAsia" w:hAnsiTheme="minorEastAsia" w:eastAsiaTheme="minorEastAsia"/>
          <w:color w:val="auto"/>
          <w:sz w:val="21"/>
          <w:szCs w:val="21"/>
        </w:rPr>
      </w:pPr>
      <w:r>
        <w:rPr>
          <w:rFonts w:hint="eastAsia"/>
          <w:sz w:val="21"/>
          <w:szCs w:val="21"/>
          <w:lang w:val="en-US" w:eastAsia="zh-CN"/>
        </w:rPr>
        <w:t>在建及完工项目支持二阶段审核。</w:t>
      </w:r>
    </w:p>
    <w:p>
      <w:pPr>
        <w:pStyle w:val="29"/>
        <w:spacing w:line="360" w:lineRule="auto"/>
        <w:rPr>
          <w:rFonts w:cs="宋体" w:asciiTheme="minorEastAsia" w:hAnsiTheme="minorEastAsia" w:eastAsiaTheme="minorEastAsia"/>
          <w:color w:val="auto"/>
          <w:sz w:val="21"/>
          <w:szCs w:val="21"/>
        </w:rPr>
      </w:pPr>
    </w:p>
    <w:p>
      <w:pPr>
        <w:pStyle w:val="29"/>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9"/>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keepNext w:val="0"/>
        <w:keepLines w:val="0"/>
        <w:widowControl/>
        <w:suppressLineNumbers w:val="0"/>
        <w:jc w:val="left"/>
        <w:rPr>
          <w:rFonts w:hint="eastAsia" w:ascii="宋体" w:hAnsi="宋体" w:eastAsia="宋体" w:cs="宋体"/>
          <w:lang w:val="en-US"/>
        </w:rPr>
      </w:pPr>
      <w:r>
        <w:rPr>
          <w:rFonts w:hint="eastAsia" w:ascii="宋体" w:hAnsi="宋体" w:eastAsia="宋体" w:cs="宋体"/>
          <w:color w:val="000000"/>
          <w:kern w:val="0"/>
          <w:sz w:val="21"/>
          <w:szCs w:val="21"/>
          <w:lang w:val="en-US" w:eastAsia="zh-CN" w:bidi="ar"/>
        </w:rPr>
        <w:t>组织结构分为：</w:t>
      </w:r>
      <w:r>
        <w:rPr>
          <w:rFonts w:hint="eastAsia" w:ascii="宋体" w:hAnsi="宋体" w:cs="宋体"/>
          <w:color w:val="auto"/>
          <w:szCs w:val="21"/>
          <w:lang w:val="zh-CN"/>
        </w:rPr>
        <w:t>管理层、</w:t>
      </w:r>
      <w:r>
        <w:rPr>
          <w:rFonts w:hint="eastAsia" w:ascii="宋体" w:hAnsi="宋体" w:cs="宋体"/>
          <w:color w:val="auto"/>
          <w:sz w:val="21"/>
          <w:szCs w:val="21"/>
          <w:lang w:val="en-US" w:eastAsia="zh-CN"/>
        </w:rPr>
        <w:t>行政部、财务部、工程部、项目部</w:t>
      </w:r>
      <w:r>
        <w:rPr>
          <w:rFonts w:hint="eastAsia" w:ascii="宋体" w:hAnsi="宋体" w:eastAsia="宋体" w:cs="宋体"/>
          <w:sz w:val="21"/>
          <w:szCs w:val="21"/>
          <w:lang w:val="en-US" w:eastAsia="zh-CN"/>
        </w:rPr>
        <w:t>等</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手册对</w:t>
      </w:r>
      <w:r>
        <w:rPr>
          <w:rFonts w:hint="eastAsia" w:ascii="宋体" w:hAnsi="宋体" w:eastAsia="宋体" w:cs="宋体"/>
          <w:color w:val="000000"/>
          <w:kern w:val="0"/>
          <w:sz w:val="21"/>
          <w:szCs w:val="21"/>
          <w:lang w:val="en-US" w:eastAsia="zh-CN" w:bidi="ar"/>
        </w:rPr>
        <w:t>职责和权限情况进行了规定；</w:t>
      </w:r>
    </w:p>
    <w:p>
      <w:pPr>
        <w:spacing w:line="360" w:lineRule="auto"/>
        <w:jc w:val="left"/>
        <w:rPr>
          <w:rFonts w:asciiTheme="minorEastAsia" w:hAnsiTheme="minorEastAsia" w:eastAsiaTheme="minorEastAsia"/>
          <w:szCs w:val="21"/>
        </w:rPr>
      </w:pPr>
      <w:r>
        <w:rPr>
          <w:rFonts w:hint="eastAsia" w:ascii="宋体" w:hAnsi="宋体" w:cs="宋体"/>
          <w:color w:val="000000"/>
          <w:kern w:val="0"/>
          <w:sz w:val="21"/>
          <w:szCs w:val="21"/>
          <w:lang w:val="en-US" w:eastAsia="zh-CN" w:bidi="ar"/>
        </w:rPr>
        <w:t>内外部沟通：</w:t>
      </w:r>
      <w:r>
        <w:rPr>
          <w:rFonts w:hint="eastAsia" w:ascii="宋体" w:hAnsi="宋体" w:eastAsia="宋体" w:cs="宋体"/>
          <w:color w:val="000000"/>
          <w:kern w:val="0"/>
          <w:sz w:val="21"/>
          <w:szCs w:val="21"/>
          <w:lang w:val="en-US" w:eastAsia="zh-CN" w:bidi="ar"/>
        </w:rPr>
        <w:t>会议、学习、培训</w:t>
      </w:r>
      <w:r>
        <w:rPr>
          <w:rFonts w:hint="eastAsia" w:ascii="宋体" w:hAnsi="宋体" w:cs="宋体"/>
          <w:color w:val="000000"/>
          <w:kern w:val="0"/>
          <w:sz w:val="21"/>
          <w:szCs w:val="21"/>
          <w:lang w:val="en-US" w:eastAsia="zh-CN" w:bidi="ar"/>
        </w:rPr>
        <w:t>及通过</w:t>
      </w:r>
      <w:r>
        <w:rPr>
          <w:rFonts w:hint="eastAsia" w:ascii="宋体" w:hAnsi="宋体" w:eastAsia="宋体" w:cs="宋体"/>
          <w:sz w:val="21"/>
          <w:szCs w:val="21"/>
          <w:lang w:val="en-US" w:eastAsia="zh-CN"/>
        </w:rPr>
        <w:t>E-MAIL、QQ、微信、电话</w:t>
      </w:r>
      <w:r>
        <w:rPr>
          <w:rFonts w:hint="eastAsia" w:ascii="宋体" w:hAnsi="宋体" w:eastAsia="宋体" w:cs="宋体"/>
          <w:color w:val="000000"/>
          <w:kern w:val="0"/>
          <w:sz w:val="21"/>
          <w:szCs w:val="21"/>
          <w:lang w:val="en-US" w:eastAsia="zh-CN" w:bidi="ar"/>
        </w:rPr>
        <w:t>等各种形式进行了内沟通，</w:t>
      </w:r>
      <w:r>
        <w:rPr>
          <w:rFonts w:hint="eastAsia" w:ascii="宋体" w:hAnsi="宋体" w:cs="宋体"/>
          <w:color w:val="000000"/>
          <w:kern w:val="0"/>
          <w:sz w:val="21"/>
          <w:szCs w:val="21"/>
          <w:lang w:val="en-US" w:eastAsia="zh-CN" w:bidi="ar"/>
        </w:rPr>
        <w:t>目前沟通顺畅</w:t>
      </w: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20" w:lineRule="exact"/>
        <w:rPr>
          <w:rFonts w:hint="eastAsia" w:ascii="宋体" w:hAnsi="宋体" w:eastAsia="宋体" w:cs="宋体"/>
          <w:sz w:val="21"/>
          <w:szCs w:val="21"/>
        </w:rPr>
      </w:pPr>
      <w:r>
        <w:rPr>
          <w:rFonts w:hint="eastAsia"/>
        </w:rPr>
        <w:t>1.管理手册</w:t>
      </w:r>
      <w:r>
        <w:rPr>
          <w:rFonts w:hint="eastAsia" w:ascii="宋体" w:hAnsi="宋体" w:eastAsia="宋体" w:cs="宋体"/>
          <w:sz w:val="21"/>
          <w:szCs w:val="21"/>
          <w:lang w:val="en-US" w:eastAsia="zh-CN"/>
        </w:rPr>
        <w:t>YP/SC-2023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A/0</w:t>
      </w:r>
      <w:r>
        <w:rPr>
          <w:rFonts w:hint="eastAsia" w:ascii="宋体" w:hAnsi="宋体" w:eastAsia="宋体" w:cs="宋体"/>
          <w:sz w:val="21"/>
          <w:szCs w:val="21"/>
        </w:rPr>
        <w:t>版，2023年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日发表实施（含管理方针、目标）</w:t>
      </w:r>
    </w:p>
    <w:p>
      <w:pPr>
        <w:spacing w:line="320" w:lineRule="exact"/>
        <w:rPr>
          <w:rFonts w:hint="eastAsia" w:ascii="宋体" w:hAnsi="宋体" w:eastAsia="宋体" w:cs="宋体"/>
          <w:sz w:val="21"/>
          <w:szCs w:val="21"/>
        </w:rPr>
      </w:pPr>
      <w:r>
        <w:rPr>
          <w:rFonts w:hint="eastAsia" w:ascii="宋体" w:hAnsi="宋体" w:eastAsia="宋体" w:cs="宋体"/>
          <w:sz w:val="21"/>
          <w:szCs w:val="21"/>
        </w:rPr>
        <w:t>2.程序文件</w:t>
      </w:r>
      <w:r>
        <w:rPr>
          <w:rFonts w:hint="eastAsia" w:ascii="宋体" w:hAnsi="宋体" w:eastAsia="宋体" w:cs="宋体"/>
          <w:sz w:val="21"/>
          <w:szCs w:val="21"/>
          <w:lang w:val="en-US" w:eastAsia="zh-CN"/>
        </w:rPr>
        <w:t>YP/CX-2023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A/0</w:t>
      </w:r>
      <w:r>
        <w:rPr>
          <w:rFonts w:hint="eastAsia" w:ascii="宋体" w:hAnsi="宋体" w:eastAsia="宋体" w:cs="宋体"/>
          <w:sz w:val="21"/>
          <w:szCs w:val="21"/>
        </w:rPr>
        <w:t>包括标准要求的程序</w:t>
      </w:r>
    </w:p>
    <w:p>
      <w:pPr>
        <w:spacing w:line="320" w:lineRule="exact"/>
      </w:pPr>
      <w:r>
        <w:rPr>
          <w:rFonts w:hint="eastAsia"/>
        </w:rPr>
        <w:t>3.管理制度：包括</w:t>
      </w:r>
      <w:r>
        <w:rPr>
          <w:rFonts w:hint="eastAsia"/>
          <w:lang w:val="en-US" w:eastAsia="zh-CN"/>
        </w:rPr>
        <w:t>施工机具安全操作规程、施工安全生产管理制度、施工质量管理规范制度汇编</w:t>
      </w:r>
      <w:r>
        <w:rPr>
          <w:rFonts w:hint="eastAsia"/>
        </w:rPr>
        <w:t>等。</w:t>
      </w:r>
    </w:p>
    <w:p>
      <w:pPr>
        <w:spacing w:line="320" w:lineRule="exact"/>
      </w:pPr>
      <w:r>
        <w:rPr>
          <w:rFonts w:hint="eastAsia"/>
        </w:rPr>
        <w:t>4.体系运行所需要的记录。</w:t>
      </w:r>
    </w:p>
    <w:p>
      <w:pPr>
        <w:spacing w:line="360" w:lineRule="auto"/>
        <w:jc w:val="left"/>
        <w:rPr>
          <w:rFonts w:hint="eastAsia" w:eastAsia="宋体"/>
          <w:sz w:val="21"/>
          <w:szCs w:val="21"/>
          <w:lang w:eastAsia="zh-CN"/>
        </w:rPr>
      </w:pPr>
      <w:r>
        <w:rPr>
          <w:rFonts w:hint="eastAsia"/>
          <w:sz w:val="21"/>
          <w:szCs w:val="21"/>
        </w:rPr>
        <w:t>经文件审核，该组织所编制的质量管理手册和 程 序 文 件基 本 符 合 标准及相关法规要求</w:t>
      </w:r>
      <w:r>
        <w:rPr>
          <w:rFonts w:hint="eastAsia"/>
          <w:sz w:val="21"/>
          <w:szCs w:val="21"/>
          <w:lang w:eastAsia="zh-CN"/>
        </w:rPr>
        <w:t>。</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策划有</w:t>
      </w:r>
      <w:r>
        <w:rPr>
          <w:rFonts w:hint="eastAsia" w:ascii="宋体" w:hAnsi="宋体" w:cs="宋体"/>
          <w:color w:val="000000" w:themeColor="text1"/>
          <w:szCs w:val="21"/>
        </w:rPr>
        <w:t>《</w:t>
      </w:r>
      <w:r>
        <w:rPr>
          <w:rFonts w:hint="eastAsia"/>
        </w:rPr>
        <w:t>合规性义务（法律、法规及其它要求）控制程序</w:t>
      </w:r>
      <w:r>
        <w:rPr>
          <w:rFonts w:hint="eastAsia" w:ascii="宋体" w:hAnsi="宋体" w:cs="宋体"/>
          <w:color w:val="000000" w:themeColor="text1"/>
          <w:szCs w:val="21"/>
        </w:rPr>
        <w:t>》</w:t>
      </w:r>
      <w:r>
        <w:rPr>
          <w:rFonts w:hint="eastAsia" w:asciiTheme="minorEastAsia" w:hAnsiTheme="minorEastAsia" w:eastAsiaTheme="minorEastAsia"/>
          <w:szCs w:val="21"/>
        </w:rPr>
        <w:t>，基本符合要求。组织建立了适用法律法规和其他要求获取的渠道，获取途径均为网上查询下载。收集了企业适用的法律法规和其他要求文件，并识别了适用性，同时落实到相关部门贯彻实施。基本符合要求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color w:val="auto"/>
          <w:highlight w:val="none"/>
        </w:rPr>
      </w:pPr>
      <w:r>
        <w:rPr>
          <w:rFonts w:hint="default"/>
          <w:highlight w:val="none"/>
        </w:rPr>
        <w:t>现场</w:t>
      </w:r>
      <w:r>
        <w:rPr>
          <w:rFonts w:hint="eastAsia"/>
          <w:highlight w:val="none"/>
          <w:lang w:val="en-US" w:eastAsia="zh-CN"/>
        </w:rPr>
        <w:t>核对</w:t>
      </w:r>
      <w:r>
        <w:rPr>
          <w:rFonts w:hint="default"/>
          <w:highlight w:val="none"/>
        </w:rPr>
        <w:t>，</w:t>
      </w:r>
      <w:r>
        <w:rPr>
          <w:rFonts w:hint="eastAsia"/>
          <w:highlight w:val="none"/>
          <w:lang w:val="en-US" w:eastAsia="zh-CN"/>
        </w:rPr>
        <w:t>公司</w:t>
      </w:r>
      <w:r>
        <w:rPr>
          <w:rFonts w:hint="default"/>
          <w:highlight w:val="none"/>
        </w:rPr>
        <w:t>现有人员</w:t>
      </w:r>
      <w:r>
        <w:rPr>
          <w:rFonts w:hint="eastAsia"/>
          <w:highlight w:val="none"/>
          <w:lang w:val="en-US" w:eastAsia="zh-CN"/>
        </w:rPr>
        <w:t>35</w:t>
      </w:r>
      <w:r>
        <w:rPr>
          <w:rFonts w:hint="default"/>
          <w:highlight w:val="none"/>
        </w:rPr>
        <w:t>人。</w:t>
      </w:r>
      <w:r>
        <w:rPr>
          <w:rFonts w:hint="eastAsia"/>
          <w:highlight w:val="none"/>
          <w:lang w:val="en-US" w:eastAsia="zh-CN"/>
        </w:rPr>
        <w:t>办公场所面积100</w:t>
      </w:r>
      <w:r>
        <w:rPr>
          <w:rFonts w:hint="eastAsia"/>
          <w:color w:val="auto"/>
          <w:highlight w:val="none"/>
          <w:lang w:val="en-US" w:eastAsia="zh-CN"/>
        </w:rPr>
        <w:t>平方米，无库房</w:t>
      </w:r>
      <w:r>
        <w:rPr>
          <w:rFonts w:hint="default"/>
          <w:color w:val="auto"/>
          <w:highlight w:val="none"/>
        </w:rPr>
        <w:t>。</w:t>
      </w:r>
    </w:p>
    <w:p>
      <w:pPr>
        <w:pStyle w:val="16"/>
        <w:rPr>
          <w:rFonts w:hint="default" w:eastAsia="宋体"/>
          <w:highlight w:val="none"/>
          <w:lang w:val="en-US" w:eastAsia="zh-CN"/>
        </w:rPr>
      </w:pPr>
      <w:r>
        <w:rPr>
          <w:rFonts w:hint="eastAsia"/>
          <w:color w:val="auto"/>
          <w:highlight w:val="none"/>
          <w:lang w:val="en-US" w:eastAsia="zh-CN"/>
        </w:rPr>
        <w:t>施工设备主要有：</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w:t>
      </w:r>
      <w:r>
        <w:rPr>
          <w:rFonts w:hint="eastAsia"/>
          <w:szCs w:val="21"/>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highlight w:val="none"/>
        </w:rPr>
      </w:pPr>
      <w:r>
        <w:rPr>
          <w:rFonts w:hint="default"/>
          <w:highlight w:val="none"/>
        </w:rPr>
        <w:t>办公通信设备：电脑、</w:t>
      </w:r>
      <w:r>
        <w:rPr>
          <w:rFonts w:hint="eastAsia"/>
          <w:highlight w:val="none"/>
          <w:lang w:val="en-US" w:eastAsia="zh-CN"/>
        </w:rPr>
        <w:t>打印机、空调及办公桌椅</w:t>
      </w:r>
      <w:r>
        <w:rPr>
          <w:rFonts w:hint="default"/>
          <w:highlight w:val="none"/>
        </w:rPr>
        <w:t>等。</w:t>
      </w:r>
    </w:p>
    <w:p>
      <w:pPr>
        <w:keepNext w:val="0"/>
        <w:keepLines w:val="0"/>
        <w:widowControl/>
        <w:suppressLineNumbers w:val="0"/>
        <w:jc w:val="left"/>
        <w:rPr>
          <w:rFonts w:hint="default"/>
          <w:highlight w:val="none"/>
        </w:rPr>
      </w:pPr>
      <w:r>
        <w:rPr>
          <w:rFonts w:hint="default"/>
          <w:highlight w:val="none"/>
        </w:rPr>
        <w:t>监视和测量设备：</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r>
        <w:rPr>
          <w:rFonts w:hint="eastAsia" w:ascii="宋体" w:hAnsi="宋体" w:cs="宋体"/>
          <w:color w:val="auto"/>
          <w:szCs w:val="21"/>
          <w:highlight w:val="none"/>
        </w:rPr>
        <w:t>。</w:t>
      </w:r>
    </w:p>
    <w:p>
      <w:pPr>
        <w:spacing w:line="360" w:lineRule="auto"/>
        <w:jc w:val="left"/>
        <w:rPr>
          <w:rFonts w:asciiTheme="minorEastAsia" w:hAnsiTheme="minorEastAsia" w:eastAsiaTheme="minorEastAsia"/>
          <w:szCs w:val="21"/>
        </w:rPr>
      </w:pPr>
      <w:r>
        <w:rPr>
          <w:rFonts w:hint="default"/>
          <w:highlight w:val="none"/>
        </w:rPr>
        <w:t>特种设备</w:t>
      </w:r>
      <w:r>
        <w:rPr>
          <w:rFonts w:hint="eastAsia"/>
          <w:highlight w:val="none"/>
          <w:lang w:eastAsia="zh-CN"/>
        </w:rPr>
        <w:t>：</w:t>
      </w:r>
      <w:r>
        <w:rPr>
          <w:rFonts w:hint="eastAsia"/>
          <w:highlight w:val="none"/>
          <w:lang w:val="en-US" w:eastAsia="zh-CN"/>
        </w:rPr>
        <w:t>无</w:t>
      </w:r>
      <w:r>
        <w:rPr>
          <w:rFonts w:hint="default"/>
          <w:highlight w:val="none"/>
        </w:rPr>
        <w:t>。</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rPr>
          <w:rFonts w:ascii="宋体" w:hAnsi="宋体" w:cs="宋体"/>
          <w:szCs w:val="21"/>
        </w:rPr>
      </w:pPr>
      <w:r>
        <w:rPr>
          <w:rFonts w:hint="eastAsia" w:ascii="宋体" w:hAnsi="宋体" w:cs="宋体"/>
          <w:szCs w:val="21"/>
        </w:rPr>
        <w:t>●查《管理手册》收录了公司的管理目标：</w:t>
      </w:r>
    </w:p>
    <w:p>
      <w:pPr>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目标：</w:t>
      </w:r>
    </w:p>
    <w:p>
      <w:pPr>
        <w:rPr>
          <w:rFonts w:hint="eastAsia"/>
        </w:rPr>
      </w:pPr>
      <w:r>
        <w:rPr>
          <w:rFonts w:hint="eastAsia"/>
        </w:rPr>
        <w:t>1、顾客满意度≥90%；</w:t>
      </w:r>
    </w:p>
    <w:p>
      <w:pPr>
        <w:rPr>
          <w:rFonts w:hint="eastAsia"/>
        </w:rPr>
      </w:pPr>
      <w:r>
        <w:rPr>
          <w:rFonts w:hint="eastAsia"/>
        </w:rPr>
        <w:t>2、工程质量验收一次性合格率≥90%；</w:t>
      </w:r>
    </w:p>
    <w:p>
      <w:pPr>
        <w:rPr>
          <w:rFonts w:hint="eastAsia"/>
        </w:rPr>
      </w:pPr>
      <w:r>
        <w:rPr>
          <w:rFonts w:hint="eastAsia"/>
        </w:rPr>
        <w:t>3、工程合同履约率100%；</w:t>
      </w:r>
    </w:p>
    <w:p>
      <w:pPr>
        <w:rPr>
          <w:rFonts w:hint="eastAsia"/>
        </w:rPr>
      </w:pPr>
      <w:r>
        <w:rPr>
          <w:rFonts w:hint="eastAsia"/>
        </w:rPr>
        <w:t>4、风险应急举措实施率100%；</w:t>
      </w:r>
    </w:p>
    <w:p>
      <w:pPr>
        <w:rPr>
          <w:rFonts w:ascii="宋体" w:hAnsi="宋体" w:cs="宋体"/>
          <w:szCs w:val="21"/>
        </w:rPr>
      </w:pPr>
      <w:r>
        <w:rPr>
          <w:rFonts w:hint="eastAsia" w:ascii="宋体" w:hAnsi="宋体" w:cs="宋体"/>
          <w:szCs w:val="21"/>
        </w:rPr>
        <w:t>目标与管理方针和持续改进的承诺相一致；具有可测量性；考虑了公司内外部及相关的要求，产品和服务的符合性，以及增强顾客满意的相关内容；基本符合标准要求。</w:t>
      </w:r>
    </w:p>
    <w:p>
      <w:pPr>
        <w:rPr>
          <w:rFonts w:ascii="宋体" w:hAnsi="宋体" w:cs="宋体"/>
          <w:szCs w:val="21"/>
        </w:rPr>
      </w:pPr>
      <w:r>
        <w:rPr>
          <w:rFonts w:hint="eastAsia" w:ascii="宋体" w:hAnsi="宋体" w:cs="宋体"/>
          <w:szCs w:val="21"/>
        </w:rPr>
        <w:t>●公司在各个部门及在建工程服务部建立目标，并确保目标与总目标及过程分配的职责基本一致。</w:t>
      </w:r>
    </w:p>
    <w:p>
      <w:pPr>
        <w:rPr>
          <w:rFonts w:ascii="宋体" w:hAnsi="宋体" w:cs="宋体"/>
          <w:szCs w:val="21"/>
        </w:rPr>
      </w:pPr>
      <w:r>
        <w:rPr>
          <w:rFonts w:hint="eastAsia" w:ascii="宋体" w:hAnsi="宋体" w:cs="宋体"/>
          <w:szCs w:val="21"/>
        </w:rPr>
        <w:t>●对目标实施情况的考核，由体系的归口管理部门来完成，目前来看，目标基本实现，详见体系归口管理部门及各相关部门的审核证据。</w:t>
      </w:r>
    </w:p>
    <w:p>
      <w:pPr>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质量</w:t>
      </w:r>
      <w:r>
        <w:rPr>
          <w:rFonts w:hint="eastAsia" w:ascii="宋体" w:hAnsi="宋体" w:cs="宋体"/>
          <w:szCs w:val="21"/>
        </w:rPr>
        <w:t>目标</w:t>
      </w:r>
      <w:r>
        <w:rPr>
          <w:rFonts w:hint="eastAsia" w:ascii="宋体" w:hAnsi="宋体" w:cs="宋体"/>
          <w:szCs w:val="21"/>
          <w:lang w:val="en-US" w:eastAsia="zh-CN"/>
        </w:rPr>
        <w:t>分解记录表</w:t>
      </w:r>
      <w:r>
        <w:rPr>
          <w:rFonts w:hint="eastAsia" w:ascii="宋体" w:hAnsi="宋体" w:cs="宋体"/>
          <w:szCs w:val="21"/>
        </w:rPr>
        <w:t>》收录了公司及各部门目标、考核评率及完成情况。</w:t>
      </w:r>
    </w:p>
    <w:p>
      <w:pPr>
        <w:spacing w:line="360" w:lineRule="auto"/>
        <w:jc w:val="left"/>
        <w:rPr>
          <w:rFonts w:asciiTheme="minorEastAsia" w:hAnsiTheme="minorEastAsia" w:eastAsiaTheme="minorEastAsia"/>
          <w:szCs w:val="21"/>
        </w:rPr>
      </w:pPr>
      <w:r>
        <w:rPr>
          <w:rFonts w:hint="eastAsia" w:ascii="宋体" w:hAnsi="宋体" w:cs="宋体"/>
          <w:szCs w:val="21"/>
        </w:rPr>
        <w:t>●基本符合要求。</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276" w:lineRule="auto"/>
        <w:jc w:val="left"/>
        <w:rPr>
          <w:rFonts w:hint="eastAsia" w:asciiTheme="minorEastAsia" w:hAnsiTheme="minorEastAsia" w:eastAsiaTheme="minorEastAsia"/>
        </w:rPr>
      </w:pPr>
      <w:r>
        <w:rPr>
          <w:rFonts w:hint="eastAsia"/>
          <w:sz w:val="21"/>
          <w:szCs w:val="21"/>
        </w:rPr>
        <w:t>建立有《</w:t>
      </w:r>
      <w:r>
        <w:rPr>
          <w:rFonts w:hint="eastAsia" w:cs="宋体"/>
          <w:color w:val="000000"/>
          <w:szCs w:val="21"/>
        </w:rPr>
        <w:t>内部审核控制程序</w:t>
      </w:r>
      <w:r>
        <w:rPr>
          <w:rFonts w:hint="eastAsia"/>
          <w:sz w:val="21"/>
          <w:szCs w:val="21"/>
        </w:rPr>
        <w:t>》，规定了内审频次一年一次，</w:t>
      </w:r>
      <w:r>
        <w:rPr>
          <w:rFonts w:hint="eastAsia"/>
          <w:sz w:val="21"/>
          <w:szCs w:val="21"/>
          <w:lang w:val="en-US" w:eastAsia="zh-CN"/>
        </w:rPr>
        <w:t>本次</w:t>
      </w:r>
      <w:r>
        <w:rPr>
          <w:rFonts w:hint="eastAsia"/>
          <w:sz w:val="21"/>
          <w:szCs w:val="21"/>
        </w:rPr>
        <w:t>内审时间：</w:t>
      </w:r>
      <w:r>
        <w:rPr>
          <w:rFonts w:hint="eastAsia"/>
          <w:sz w:val="21"/>
          <w:szCs w:val="21"/>
          <w:lang w:val="en-US" w:eastAsia="zh-CN"/>
        </w:rPr>
        <w:t>2023年12月13-14日</w:t>
      </w:r>
      <w:r>
        <w:rPr>
          <w:rFonts w:hint="eastAsia"/>
          <w:sz w:val="21"/>
          <w:szCs w:val="21"/>
        </w:rPr>
        <w:t>，拟定了审核实施表，明确了内审范围，内审人员经培训合格上岗，能力满足要求，未出现审核本部门情况，</w:t>
      </w:r>
      <w:r>
        <w:rPr>
          <w:rFonts w:hint="eastAsia" w:asciiTheme="minorEastAsia" w:hAnsiTheme="minorEastAsia" w:eastAsiaTheme="minorEastAsia"/>
        </w:rPr>
        <w:t>内审发现</w:t>
      </w:r>
      <w:r>
        <w:rPr>
          <w:rFonts w:hint="eastAsia" w:ascii="宋体" w:hAnsi="宋体" w:cs="宋体"/>
          <w:szCs w:val="24"/>
          <w:highlight w:val="none"/>
          <w:lang w:val="en-US" w:eastAsia="zh-CN"/>
        </w:rPr>
        <w:t>涉及质量管理体系</w:t>
      </w:r>
      <w:r>
        <w:rPr>
          <w:rFonts w:hint="eastAsia" w:ascii="宋体" w:hAnsi="宋体" w:cs="宋体"/>
          <w:szCs w:val="24"/>
          <w:highlight w:val="none"/>
        </w:rPr>
        <w:t>不合格项</w:t>
      </w:r>
      <w:r>
        <w:rPr>
          <w:rFonts w:hint="eastAsia" w:ascii="宋体" w:hAnsi="宋体" w:cs="宋体"/>
          <w:szCs w:val="24"/>
          <w:highlight w:val="none"/>
          <w:lang w:val="en-US" w:eastAsia="zh-CN"/>
        </w:rPr>
        <w:t>1</w:t>
      </w:r>
      <w:r>
        <w:rPr>
          <w:rFonts w:hint="eastAsia" w:ascii="宋体" w:hAnsi="宋体" w:cs="宋体"/>
          <w:szCs w:val="24"/>
          <w:highlight w:val="none"/>
        </w:rPr>
        <w:t>个</w:t>
      </w:r>
      <w:r>
        <w:rPr>
          <w:rFonts w:hint="eastAsia" w:ascii="宋体" w:hAnsi="宋体" w:cs="宋体"/>
          <w:szCs w:val="24"/>
          <w:highlight w:val="none"/>
          <w:lang w:eastAsia="zh-CN"/>
        </w:rPr>
        <w:t>，</w:t>
      </w:r>
      <w:r>
        <w:rPr>
          <w:rFonts w:hint="eastAsia" w:asciiTheme="minorEastAsia" w:hAnsiTheme="minorEastAsia" w:eastAsiaTheme="minorEastAsia"/>
        </w:rPr>
        <w:t>不符合</w:t>
      </w:r>
      <w:r>
        <w:rPr>
          <w:rFonts w:hint="eastAsia" w:asciiTheme="minorEastAsia" w:hAnsiTheme="minorEastAsia" w:eastAsiaTheme="minorEastAsia"/>
          <w:lang w:val="en-US" w:eastAsia="zh-CN"/>
        </w:rPr>
        <w:t>项</w:t>
      </w:r>
      <w:r>
        <w:rPr>
          <w:rFonts w:hint="eastAsia" w:asciiTheme="minorEastAsia" w:hAnsiTheme="minorEastAsia" w:eastAsiaTheme="minorEastAsia"/>
        </w:rPr>
        <w:t>在本次审核前已完成整改。</w:t>
      </w:r>
    </w:p>
    <w:p>
      <w:pPr>
        <w:spacing w:line="360" w:lineRule="auto"/>
        <w:jc w:val="left"/>
        <w:rPr>
          <w:rFonts w:asciiTheme="minorEastAsia" w:hAnsiTheme="minorEastAsia" w:eastAsiaTheme="minorEastAsia"/>
          <w:szCs w:val="21"/>
        </w:rPr>
      </w:pPr>
      <w:r>
        <w:rPr>
          <w:rFonts w:hint="default" w:ascii="宋体" w:hAnsi="宋体" w:eastAsia="宋体" w:cs="宋体"/>
          <w:color w:val="auto"/>
          <w:sz w:val="21"/>
          <w:szCs w:val="21"/>
          <w:highlight w:val="none"/>
        </w:rPr>
        <w:t>编制了《管理评审控制程序》等，符合标准和企业实际，经调阅相关记录确认，企业已经在</w:t>
      </w:r>
      <w:r>
        <w:rPr>
          <w:rFonts w:hint="eastAsia" w:ascii="宋体" w:hAnsi="宋体" w:eastAsia="宋体" w:cs="宋体"/>
          <w:color w:val="auto"/>
          <w:sz w:val="21"/>
          <w:szCs w:val="21"/>
          <w:highlight w:val="none"/>
        </w:rPr>
        <w:t>2023年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default" w:ascii="宋体" w:hAnsi="宋体" w:eastAsia="宋体" w:cs="宋体"/>
          <w:color w:val="auto"/>
          <w:sz w:val="21"/>
          <w:szCs w:val="21"/>
          <w:highlight w:val="none"/>
        </w:rPr>
        <w:t>实施了管理评审</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管理评审提出改进措施，</w:t>
      </w:r>
      <w:r>
        <w:rPr>
          <w:rFonts w:hint="eastAsia" w:ascii="宋体" w:hAnsi="宋体" w:eastAsia="宋体" w:cs="宋体"/>
          <w:color w:val="auto"/>
          <w:sz w:val="21"/>
          <w:szCs w:val="21"/>
          <w:highlight w:val="none"/>
          <w:lang w:val="en-US" w:eastAsia="zh-CN"/>
        </w:rPr>
        <w:t>已</w:t>
      </w:r>
      <w:r>
        <w:rPr>
          <w:rFonts w:hint="eastAsia" w:ascii="宋体" w:hAnsi="宋体" w:cs="宋体"/>
          <w:color w:val="auto"/>
          <w:sz w:val="21"/>
          <w:szCs w:val="21"/>
          <w:highlight w:val="none"/>
          <w:lang w:val="en-US" w:eastAsia="zh-CN"/>
        </w:rPr>
        <w:t>实施完成，效果良好</w:t>
      </w:r>
      <w:r>
        <w:rPr>
          <w:rFonts w:hint="default" w:ascii="宋体" w:hAnsi="宋体" w:eastAsia="宋体" w:cs="宋体"/>
          <w:color w:val="auto"/>
          <w:sz w:val="21"/>
          <w:szCs w:val="21"/>
          <w:highlight w:val="none"/>
        </w:rPr>
        <w:t>。</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经过现场交流：</w:t>
      </w:r>
      <w:r>
        <w:rPr>
          <w:rFonts w:hint="eastAsia" w:asciiTheme="minorEastAsia" w:hAnsiTheme="minorEastAsia" w:eastAsiaTheme="minorEastAsia"/>
          <w:szCs w:val="21"/>
          <w:lang w:val="en-US" w:eastAsia="zh-CN"/>
        </w:rPr>
        <w:t>总经理</w:t>
      </w:r>
      <w:r>
        <w:rPr>
          <w:rFonts w:hint="eastAsia" w:asciiTheme="minorEastAsia" w:hAnsiTheme="minorEastAsia" w:eastAsiaTheme="minorEastAsia"/>
          <w:szCs w:val="21"/>
        </w:rPr>
        <w:t>、管理人员及主要负责体系运行人员均参加了管理体系文件的培训，基本了解</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和掌握</w:t>
      </w:r>
      <w:r>
        <w:rPr>
          <w:rFonts w:hint="eastAsia" w:asciiTheme="minorEastAsia" w:hAnsiTheme="minorEastAsia" w:eastAsiaTheme="minorEastAsia"/>
          <w:szCs w:val="21"/>
          <w:lang w:val="en-US" w:eastAsia="zh-CN"/>
        </w:rPr>
        <w:t>管理体系</w:t>
      </w:r>
      <w:r>
        <w:rPr>
          <w:rFonts w:hint="eastAsia" w:asciiTheme="minorEastAsia" w:hAnsiTheme="minorEastAsia" w:eastAsiaTheme="minorEastAsia"/>
          <w:szCs w:val="21"/>
        </w:rPr>
        <w:t>标准要求，策划符合企业实际，按照策划进行实施</w:t>
      </w:r>
    </w:p>
    <w:p>
      <w:pPr>
        <w:pStyle w:val="29"/>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9"/>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rPr>
          <w:rFonts w:ascii="宋体" w:hAnsi="宋体" w:cs="宋体"/>
          <w:color w:val="auto"/>
          <w:szCs w:val="21"/>
        </w:rPr>
      </w:pPr>
      <w:r>
        <w:rPr>
          <w:rFonts w:hint="eastAsia" w:ascii="宋体" w:hAnsi="宋体" w:cs="宋体"/>
          <w:color w:val="auto"/>
          <w:szCs w:val="21"/>
        </w:rPr>
        <w:t>营业执照副本编号：91130481MA09RN3P95</w:t>
      </w:r>
    </w:p>
    <w:p>
      <w:pPr>
        <w:rPr>
          <w:rFonts w:hint="eastAsia" w:ascii="宋体" w:hAnsi="宋体" w:cs="宋体"/>
          <w:color w:val="auto"/>
          <w:szCs w:val="21"/>
        </w:rPr>
      </w:pPr>
      <w:r>
        <w:rPr>
          <w:rFonts w:hint="eastAsia" w:ascii="宋体" w:hAnsi="宋体" w:cs="宋体"/>
          <w:color w:val="auto"/>
          <w:szCs w:val="21"/>
          <w:lang w:val="en-US" w:eastAsia="zh-CN"/>
        </w:rPr>
        <w:t>安全生产许可证：</w:t>
      </w:r>
      <w:r>
        <w:rPr>
          <w:rFonts w:hint="eastAsia" w:ascii="宋体" w:hAnsi="宋体" w:cs="宋体"/>
          <w:color w:val="auto"/>
          <w:szCs w:val="21"/>
        </w:rPr>
        <w:t>91130481MA09RN3P95</w:t>
      </w:r>
      <w:r>
        <w:rPr>
          <w:rFonts w:hint="eastAsia" w:ascii="宋体" w:hAnsi="宋体" w:cs="宋体"/>
          <w:color w:val="auto"/>
          <w:szCs w:val="21"/>
          <w:lang w:val="en-US" w:eastAsia="zh-CN"/>
        </w:rPr>
        <w:t xml:space="preserve">  有效期: 2024年02月04日至 2027年02月03日</w:t>
      </w:r>
    </w:p>
    <w:p>
      <w:pPr>
        <w:rPr>
          <w:rFonts w:ascii="宋体" w:hAnsi="宋体" w:cs="宋体"/>
          <w:color w:val="auto"/>
          <w:szCs w:val="21"/>
        </w:rPr>
      </w:pPr>
      <w:r>
        <w:rPr>
          <w:rFonts w:hint="eastAsia" w:ascii="宋体" w:hAnsi="宋体" w:cs="宋体"/>
          <w:color w:val="auto"/>
          <w:szCs w:val="21"/>
        </w:rPr>
        <w:t>建筑业企业资质证书:</w:t>
      </w:r>
      <w:r>
        <w:rPr>
          <w:rFonts w:ascii="宋体" w:hAnsi="宋体" w:cs="宋体"/>
          <w:color w:val="auto"/>
          <w:szCs w:val="21"/>
        </w:rPr>
        <w:t xml:space="preserve"> </w:t>
      </w:r>
      <w:r>
        <w:rPr>
          <w:rFonts w:hint="eastAsia" w:ascii="宋体" w:hAnsi="宋体" w:cs="宋体"/>
          <w:color w:val="auto"/>
          <w:szCs w:val="21"/>
        </w:rPr>
        <w:t>D313172348，资质类型和等级：</w:t>
      </w: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输变电工程专业承包叁级</w:t>
      </w:r>
    </w:p>
    <w:p>
      <w:pPr>
        <w:rPr>
          <w:rFonts w:ascii="宋体" w:hAnsi="宋体" w:cs="宋体"/>
          <w:color w:val="auto"/>
          <w:szCs w:val="21"/>
        </w:rPr>
      </w:pPr>
      <w:r>
        <w:rPr>
          <w:rFonts w:hint="eastAsia" w:ascii="宋体" w:hAnsi="宋体" w:cs="宋体"/>
          <w:color w:val="auto"/>
          <w:szCs w:val="21"/>
        </w:rPr>
        <w:t>有效期至：202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 xml:space="preserve">日 </w:t>
      </w:r>
    </w:p>
    <w:p>
      <w:pPr>
        <w:rPr>
          <w:rFonts w:hint="eastAsia" w:ascii="宋体" w:hAnsi="宋体" w:cs="宋体"/>
          <w:color w:val="auto"/>
          <w:sz w:val="21"/>
          <w:szCs w:val="21"/>
        </w:rPr>
      </w:pPr>
      <w:r>
        <w:rPr>
          <w:rFonts w:hint="eastAsia" w:ascii="宋体" w:hAnsi="宋体" w:cs="宋体"/>
          <w:color w:val="auto"/>
          <w:szCs w:val="21"/>
        </w:rPr>
        <w:t>承装(修、试)电力设施许可证</w:t>
      </w:r>
      <w:r>
        <w:rPr>
          <w:rFonts w:hint="eastAsia" w:ascii="宋体" w:hAnsi="宋体" w:cs="宋体"/>
          <w:color w:val="auto"/>
          <w:szCs w:val="21"/>
          <w:lang w:eastAsia="zh-CN"/>
        </w:rPr>
        <w:t>：1-3-00445-2020</w:t>
      </w:r>
      <w:r>
        <w:rPr>
          <w:rFonts w:hint="eastAsia" w:ascii="宋体" w:hAnsi="宋体" w:cs="宋体"/>
          <w:color w:val="auto"/>
          <w:szCs w:val="21"/>
          <w:lang w:val="en-US" w:eastAsia="zh-CN"/>
        </w:rPr>
        <w:t>有效期至2026年10 月21日止</w:t>
      </w:r>
      <w:bookmarkStart w:id="19" w:name="_GoBack"/>
      <w:bookmarkEnd w:id="19"/>
    </w:p>
    <w:p>
      <w:pPr>
        <w:pStyle w:val="29"/>
        <w:spacing w:line="360" w:lineRule="auto"/>
        <w:rPr>
          <w:rFonts w:asciiTheme="minorEastAsia" w:hAnsiTheme="minorEastAsia" w:eastAsiaTheme="minorEastAsia"/>
          <w:color w:val="auto"/>
          <w:kern w:val="2"/>
          <w:sz w:val="21"/>
          <w:szCs w:val="21"/>
        </w:rPr>
      </w:pPr>
      <w:r>
        <w:rPr>
          <w:rFonts w:hint="eastAsia" w:ascii="宋体" w:hAnsi="宋体" w:cs="宋体"/>
          <w:color w:val="auto"/>
          <w:sz w:val="21"/>
          <w:szCs w:val="21"/>
        </w:rPr>
        <w:t>以上资质，经查看现行有效</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9"/>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经现场交流沟通，主要管理和操作岗位人员能够对法律法规和标准了解和理解，均进行了相关培训，</w:t>
      </w:r>
    </w:p>
    <w:p>
      <w:pPr>
        <w:pStyle w:val="29"/>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领导者每年定期组织管理层进行合规性评价，制定了相关的</w:t>
      </w:r>
      <w:r>
        <w:rPr>
          <w:rFonts w:hint="eastAsia" w:asciiTheme="minorEastAsia" w:hAnsiTheme="minorEastAsia" w:eastAsiaTheme="minorEastAsia"/>
          <w:color w:val="auto"/>
          <w:kern w:val="2"/>
          <w:sz w:val="21"/>
          <w:szCs w:val="21"/>
          <w:lang w:val="en-US" w:eastAsia="zh-CN"/>
        </w:rPr>
        <w:t>施工</w:t>
      </w:r>
      <w:r>
        <w:rPr>
          <w:rFonts w:hint="eastAsia" w:asciiTheme="minorEastAsia" w:hAnsiTheme="minorEastAsia" w:eastAsiaTheme="minorEastAsia"/>
          <w:color w:val="auto"/>
          <w:kern w:val="2"/>
          <w:sz w:val="21"/>
          <w:szCs w:val="21"/>
        </w:rPr>
        <w:t>制度和规程；各岗位人员严格按照相关法规法规进行操作，</w:t>
      </w:r>
      <w:r>
        <w:rPr>
          <w:rFonts w:hint="eastAsia" w:asciiTheme="minorEastAsia" w:hAnsiTheme="minorEastAsia" w:eastAsiaTheme="minorEastAsia"/>
          <w:color w:val="auto"/>
          <w:kern w:val="2"/>
          <w:sz w:val="21"/>
          <w:szCs w:val="21"/>
          <w:lang w:val="en-US" w:eastAsia="zh-CN"/>
        </w:rPr>
        <w:t>施工</w:t>
      </w:r>
      <w:r>
        <w:rPr>
          <w:rFonts w:hint="eastAsia" w:asciiTheme="minorEastAsia" w:hAnsiTheme="minorEastAsia" w:eastAsiaTheme="minorEastAsia"/>
          <w:color w:val="auto"/>
          <w:kern w:val="2"/>
          <w:sz w:val="21"/>
          <w:szCs w:val="21"/>
        </w:rPr>
        <w:t>过程中严格佩戴防护物品，严格按照各设备的操作规程进行操作</w:t>
      </w:r>
    </w:p>
    <w:p>
      <w:pPr>
        <w:pStyle w:val="29"/>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7"/>
        <w:spacing w:line="360" w:lineRule="auto"/>
        <w:ind w:left="0" w:leftChars="0" w:firstLine="0" w:firstLineChars="0"/>
        <w:jc w:val="left"/>
        <w:rPr>
          <w:rFonts w:asciiTheme="minorEastAsia" w:hAnsiTheme="minorEastAsia" w:eastAsiaTheme="minorEastAsia"/>
          <w:szCs w:val="21"/>
          <w:lang w:val="en-GB"/>
        </w:rPr>
      </w:pPr>
      <w:r>
        <w:rPr>
          <w:rFonts w:hint="eastAsia" w:asciiTheme="minorEastAsia" w:hAnsiTheme="minorEastAsia" w:eastAsiaTheme="minorEastAsia"/>
          <w:color w:val="auto"/>
          <w:kern w:val="2"/>
          <w:sz w:val="21"/>
          <w:szCs w:val="21"/>
          <w:lang w:val="en-US" w:eastAsia="zh-CN"/>
        </w:rPr>
        <w:t>企业官网显示</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经营状态正常，经与经理沟通了解，</w:t>
      </w:r>
      <w:r>
        <w:rPr>
          <w:rFonts w:hint="eastAsia" w:asciiTheme="minorEastAsia" w:hAnsiTheme="minorEastAsia" w:eastAsiaTheme="minorEastAsia"/>
          <w:color w:val="auto"/>
          <w:kern w:val="2"/>
          <w:sz w:val="21"/>
          <w:szCs w:val="21"/>
        </w:rPr>
        <w:t>公司遵守国家相关的法律法规无违法情况发生。</w:t>
      </w:r>
    </w:p>
    <w:p>
      <w:pPr>
        <w:pStyle w:val="29"/>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9"/>
        <w:spacing w:line="360" w:lineRule="auto"/>
        <w:rPr>
          <w:rFonts w:hint="default" w:asciiTheme="minorEastAsia" w:hAnsiTheme="minorEastAsia" w:eastAsiaTheme="minorEastAsia"/>
          <w:b w:val="0"/>
          <w:bCs/>
          <w:color w:val="auto"/>
          <w:kern w:val="2"/>
          <w:sz w:val="21"/>
          <w:szCs w:val="21"/>
          <w:lang w:val="en-US" w:eastAsia="zh-CN"/>
        </w:rPr>
      </w:pPr>
      <w:r>
        <w:rPr>
          <w:rFonts w:hint="eastAsia" w:asciiTheme="minorEastAsia" w:hAnsiTheme="minorEastAsia" w:eastAsiaTheme="minorEastAsia"/>
          <w:b w:val="0"/>
          <w:bCs/>
          <w:color w:val="auto"/>
          <w:kern w:val="2"/>
          <w:sz w:val="21"/>
          <w:szCs w:val="21"/>
          <w:lang w:val="en-US" w:eastAsia="zh-CN"/>
        </w:rPr>
        <w:t>无</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9"/>
        <w:spacing w:line="360" w:lineRule="auto"/>
        <w:rPr>
          <w:rFonts w:asciiTheme="minorEastAsia" w:hAnsiTheme="minorEastAsia" w:eastAsiaTheme="minorEastAsia"/>
          <w:b/>
          <w:color w:val="auto"/>
          <w:kern w:val="2"/>
          <w:lang w:val="en-GB"/>
        </w:rPr>
      </w:pPr>
      <w:r>
        <w:rPr>
          <w:rFonts w:hint="eastAsia" w:ascii="宋体" w:hAnsi="宋体" w:eastAsia="宋体" w:cs="宋体"/>
          <w:b w:val="0"/>
          <w:bCs/>
          <w:color w:val="auto"/>
          <w:kern w:val="2"/>
          <w:sz w:val="21"/>
          <w:szCs w:val="21"/>
          <w:lang w:val="en-GB"/>
        </w:rPr>
        <w:t>目标完成情况；内审、管理评审有效性；施工过程控制； 及绩效监测的实施情况；应对机遇和风险的措施情况等</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9"/>
        <w:spacing w:before="156" w:beforeLines="50" w:after="156" w:afterLines="50" w:line="360" w:lineRule="auto"/>
        <w:rPr>
          <w:rFonts w:asciiTheme="minorEastAsia" w:hAnsiTheme="minorEastAsia" w:eastAsiaTheme="minorEastAsia"/>
          <w:b/>
          <w:color w:val="auto"/>
          <w:kern w:val="2"/>
        </w:rPr>
      </w:pPr>
      <w:r>
        <w:rPr>
          <w:rFonts w:hint="eastAsia" w:asciiTheme="minorEastAsia" w:hAnsiTheme="minorEastAsia" w:eastAsiaTheme="minorEastAsia"/>
          <w:b w:val="0"/>
          <w:bCs/>
          <w:color w:val="auto"/>
          <w:kern w:val="2"/>
          <w:sz w:val="21"/>
          <w:szCs w:val="21"/>
          <w:lang w:val="en-US" w:eastAsia="zh-CN"/>
        </w:rPr>
        <w:t>EC:</w:t>
      </w:r>
      <w:r>
        <w:rPr>
          <w:sz w:val="21"/>
          <w:szCs w:val="21"/>
        </w:rPr>
        <w:t>资质范围内输变电工程专业承包三级</w:t>
      </w:r>
    </w:p>
    <w:p>
      <w:pPr>
        <w:pStyle w:val="29"/>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9"/>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lang w:eastAsia="zh-CN"/>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18" w:name="审核日期"/>
      <w:r>
        <w:rPr>
          <w:rFonts w:hint="eastAsia" w:cs="宋体" w:asciiTheme="minorEastAsia" w:hAnsiTheme="minorEastAsia" w:eastAsiaTheme="minorEastAsia"/>
          <w:color w:val="auto"/>
          <w:kern w:val="2"/>
          <w:sz w:val="21"/>
          <w:szCs w:val="21"/>
        </w:rPr>
        <w:t>2024年02月23日 下午至2024年02月25日 下午</w:t>
      </w:r>
      <w:bookmarkEnd w:id="18"/>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hint="eastAsia" w:cs="宋体" w:asciiTheme="minorEastAsia" w:hAnsiTheme="minorEastAsia" w:eastAsiaTheme="minorEastAsia"/>
                <w:color w:val="auto"/>
                <w:kern w:val="2"/>
                <w:sz w:val="21"/>
                <w:szCs w:val="21"/>
                <w:lang w:val="en-US" w:eastAsia="zh-CN"/>
              </w:rPr>
            </w:pPr>
            <w:r>
              <w:rPr>
                <w:rFonts w:hint="eastAsia" w:cs="宋体" w:asciiTheme="minorEastAsia" w:hAnsiTheme="minorEastAsia" w:eastAsiaTheme="minorEastAsia"/>
                <w:color w:val="auto"/>
                <w:kern w:val="2"/>
                <w:sz w:val="21"/>
                <w:szCs w:val="21"/>
                <w:lang w:val="en-US" w:eastAsia="zh-CN"/>
              </w:rPr>
              <w:t>1</w:t>
            </w:r>
          </w:p>
        </w:tc>
        <w:tc>
          <w:tcPr>
            <w:tcW w:w="8895" w:type="dxa"/>
            <w:shd w:val="clear" w:color="auto" w:fill="auto"/>
          </w:tcPr>
          <w:p>
            <w:pPr>
              <w:pStyle w:val="29"/>
              <w:spacing w:line="360" w:lineRule="auto"/>
              <w:rPr>
                <w:rFonts w:hint="eastAsia" w:cs="宋体" w:asciiTheme="minorEastAsia" w:hAnsiTheme="minorEastAsia" w:eastAsiaTheme="minorEastAsia"/>
                <w:color w:val="auto"/>
                <w:kern w:val="2"/>
                <w:sz w:val="21"/>
                <w:szCs w:val="21"/>
                <w:lang w:val="en-US" w:eastAsia="zh-CN"/>
              </w:rPr>
            </w:pPr>
            <w:r>
              <w:rPr>
                <w:rFonts w:hint="eastAsia" w:cs="宋体" w:asciiTheme="minorEastAsia" w:hAnsiTheme="minorEastAsia" w:eastAsiaTheme="minorEastAsia"/>
                <w:color w:val="auto"/>
                <w:kern w:val="2"/>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p>
        </w:tc>
      </w:tr>
    </w:tbl>
    <w:p>
      <w:pPr>
        <w:pStyle w:val="29"/>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9"/>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9"/>
        <w:shd w:val="clear" w:color="auto" w:fill="FFFFFF"/>
        <w:spacing w:line="360" w:lineRule="auto"/>
        <w:rPr>
          <w:rFonts w:cs="宋体" w:asciiTheme="minorEastAsia" w:hAnsiTheme="minorEastAsia" w:eastAsiaTheme="minorEastAsia"/>
          <w:color w:val="auto"/>
          <w:kern w:val="2"/>
          <w:sz w:val="21"/>
          <w:szCs w:val="21"/>
        </w:rPr>
      </w:pPr>
    </w:p>
    <w:p>
      <w:pPr>
        <w:pStyle w:val="29"/>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9"/>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9"/>
              <w:spacing w:line="360" w:lineRule="auto"/>
              <w:rPr>
                <w:rFonts w:cs="宋体" w:asciiTheme="minorEastAsia" w:hAnsiTheme="minorEastAsia" w:eastAsiaTheme="minorEastAsia"/>
                <w:color w:val="auto"/>
                <w:kern w:val="2"/>
                <w:sz w:val="21"/>
                <w:szCs w:val="21"/>
              </w:rPr>
            </w:pPr>
          </w:p>
        </w:tc>
      </w:tr>
    </w:tbl>
    <w:p>
      <w:pPr>
        <w:pStyle w:val="29"/>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16"/>
        <w:spacing w:line="360" w:lineRule="auto"/>
        <w:jc w:val="left"/>
      </w:pPr>
    </w:p>
    <w:p>
      <w:pPr>
        <w:pStyle w:val="29"/>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9"/>
        <w:spacing w:before="156" w:beforeLines="50" w:after="156" w:afterLines="50" w:line="360" w:lineRule="auto"/>
        <w:ind w:firstLine="5692" w:firstLineChars="2700"/>
        <w:rPr>
          <w:rFonts w:hint="eastAsia" w:eastAsia="宋体"/>
          <w:b/>
          <w:color w:val="auto"/>
          <w:kern w:val="2"/>
          <w:sz w:val="21"/>
          <w:u w:val="single"/>
          <w:lang w:val="en-GB" w:eastAsia="zh-CN"/>
        </w:rPr>
      </w:pPr>
      <w:r>
        <w:rPr>
          <w:rFonts w:hint="eastAsia"/>
          <w:b/>
          <w:color w:val="auto"/>
          <w:kern w:val="2"/>
          <w:sz w:val="21"/>
          <w:lang w:val="en-GB"/>
        </w:rPr>
        <w:t>审核组:</w:t>
      </w:r>
      <w:r>
        <w:rPr>
          <w:rFonts w:hint="eastAsia"/>
          <w:b/>
          <w:color w:val="auto"/>
          <w:kern w:val="2"/>
          <w:sz w:val="21"/>
          <w:u w:val="single"/>
          <w:lang w:val="en-US" w:eastAsia="zh-CN"/>
        </w:rPr>
        <w:t>张锐</w:t>
      </w:r>
    </w:p>
    <w:p>
      <w:pPr>
        <w:pStyle w:val="16"/>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5"/>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I4YjJlNjMzYzdkOWI1N2E3MTE4YmRjMjhiYmE3YmYifQ=="/>
  </w:docVars>
  <w:rsids>
    <w:rsidRoot w:val="00000000"/>
    <w:rsid w:val="0C781ECD"/>
    <w:rsid w:val="1B616B43"/>
    <w:rsid w:val="27F62BAB"/>
    <w:rsid w:val="374D3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Tms Rmn" w:hAnsi="Tms Rmn"/>
    </w:rPr>
  </w:style>
  <w:style w:type="paragraph" w:styleId="3">
    <w:name w:val="Plain Text"/>
    <w:basedOn w:val="1"/>
    <w:autoRedefine/>
    <w:qFormat/>
    <w:uiPriority w:val="0"/>
    <w:rPr>
      <w:rFonts w:ascii="宋体" w:hAnsi="Courier New"/>
      <w:szCs w:val="20"/>
    </w:rPr>
  </w:style>
  <w:style w:type="paragraph" w:styleId="4">
    <w:name w:val="Balloon Text"/>
    <w:basedOn w:val="1"/>
    <w:link w:val="20"/>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autoRedefine/>
    <w:qFormat/>
    <w:uiPriority w:val="11"/>
    <w:pPr>
      <w:spacing w:after="60"/>
      <w:jc w:val="center"/>
      <w:outlineLvl w:val="1"/>
    </w:pPr>
    <w:rPr>
      <w:rFonts w:ascii="Cambria" w:hAnsi="Cambria"/>
    </w:rPr>
  </w:style>
  <w:style w:type="paragraph" w:styleId="8">
    <w:name w:val="Body Text 2"/>
    <w:basedOn w:val="1"/>
    <w:link w:val="32"/>
    <w:autoRedefine/>
    <w:qFormat/>
    <w:uiPriority w:val="0"/>
    <w:pPr>
      <w:ind w:right="-334" w:rightChars="-159"/>
    </w:pPr>
    <w:rPr>
      <w:rFonts w:ascii="隶书" w:hAnsi="宋体" w:eastAsia="隶书"/>
      <w:color w:val="000000"/>
    </w:rPr>
  </w:style>
  <w:style w:type="paragraph" w:styleId="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semiHidden/>
    <w:unhideWhenUsed/>
    <w:qFormat/>
    <w:uiPriority w:val="99"/>
    <w:rPr>
      <w:color w:val="0000FF"/>
      <w:u w:val="single"/>
    </w:rPr>
  </w:style>
  <w:style w:type="paragraph" w:customStyle="1" w:styleId="15">
    <w:name w:val="无间隔1"/>
    <w:autoRedefine/>
    <w:qFormat/>
    <w:uiPriority w:val="0"/>
    <w:rPr>
      <w:rFonts w:ascii="Times New Roman" w:hAnsi="Times New Roman" w:eastAsia="宋体" w:cs="Times New Roman"/>
      <w:sz w:val="22"/>
      <w:szCs w:val="22"/>
      <w:lang w:val="en-US" w:eastAsia="zh-CN" w:bidi="ar-SA"/>
    </w:rPr>
  </w:style>
  <w:style w:type="paragraph" w:customStyle="1" w:styleId="16">
    <w:name w:val="表格文字"/>
    <w:basedOn w:val="1"/>
    <w:autoRedefine/>
    <w:qFormat/>
    <w:uiPriority w:val="0"/>
    <w:pPr>
      <w:spacing w:before="25" w:after="25"/>
    </w:pPr>
    <w:rPr>
      <w:bCs/>
      <w:spacing w:val="10"/>
    </w:rPr>
  </w:style>
  <w:style w:type="paragraph" w:styleId="17">
    <w:name w:val="List Paragraph"/>
    <w:basedOn w:val="1"/>
    <w:autoRedefine/>
    <w:qFormat/>
    <w:uiPriority w:val="34"/>
    <w:pPr>
      <w:ind w:firstLine="420" w:firstLineChars="200"/>
    </w:pPr>
  </w:style>
  <w:style w:type="character" w:customStyle="1" w:styleId="18">
    <w:name w:val="页眉 字符"/>
    <w:basedOn w:val="13"/>
    <w:link w:val="6"/>
    <w:autoRedefine/>
    <w:qFormat/>
    <w:uiPriority w:val="99"/>
    <w:rPr>
      <w:rFonts w:ascii="Times New Roman" w:hAnsi="Times New Roman" w:eastAsia="宋体" w:cs="Times New Roman"/>
      <w:sz w:val="18"/>
      <w:szCs w:val="18"/>
    </w:rPr>
  </w:style>
  <w:style w:type="character" w:customStyle="1" w:styleId="19">
    <w:name w:val="页脚 字符"/>
    <w:basedOn w:val="13"/>
    <w:link w:val="5"/>
    <w:autoRedefine/>
    <w:qFormat/>
    <w:uiPriority w:val="99"/>
    <w:rPr>
      <w:rFonts w:ascii="Times New Roman" w:hAnsi="Times New Roman" w:eastAsia="宋体" w:cs="Times New Roman"/>
      <w:sz w:val="18"/>
      <w:szCs w:val="18"/>
    </w:rPr>
  </w:style>
  <w:style w:type="character" w:customStyle="1" w:styleId="20">
    <w:name w:val="批注框文本 字符"/>
    <w:basedOn w:val="13"/>
    <w:link w:val="4"/>
    <w:autoRedefine/>
    <w:semiHidden/>
    <w:qFormat/>
    <w:uiPriority w:val="99"/>
    <w:rPr>
      <w:rFonts w:ascii="Times New Roman" w:hAnsi="Times New Roman" w:eastAsia="宋体" w:cs="Times New Roman"/>
      <w:sz w:val="18"/>
      <w:szCs w:val="18"/>
    </w:rPr>
  </w:style>
  <w:style w:type="character" w:customStyle="1" w:styleId="21">
    <w:name w:val="页眉 Char"/>
    <w:autoRedefine/>
    <w:qFormat/>
    <w:uiPriority w:val="0"/>
    <w:rPr>
      <w:kern w:val="2"/>
      <w:sz w:val="18"/>
      <w:szCs w:val="18"/>
    </w:rPr>
  </w:style>
  <w:style w:type="character" w:customStyle="1" w:styleId="22">
    <w:name w:val="Char Char1"/>
    <w:autoRedefine/>
    <w:qFormat/>
    <w:locked/>
    <w:uiPriority w:val="0"/>
    <w:rPr>
      <w:rFonts w:hint="eastAsia" w:ascii="宋体" w:hAnsi="Courier New" w:eastAsia="宋体"/>
      <w:kern w:val="2"/>
      <w:sz w:val="21"/>
      <w:lang w:val="en-US" w:eastAsia="zh-CN" w:bidi="ar-SA"/>
    </w:rPr>
  </w:style>
  <w:style w:type="paragraph" w:customStyle="1" w:styleId="23">
    <w:name w:val="Body 6pt"/>
    <w:basedOn w:val="1"/>
    <w:autoRedefine/>
    <w:qFormat/>
    <w:uiPriority w:val="0"/>
    <w:pPr>
      <w:spacing w:before="40" w:after="40"/>
    </w:pPr>
    <w:rPr>
      <w:rFonts w:eastAsia="Times New Roman"/>
      <w:sz w:val="12"/>
      <w:szCs w:val="20"/>
      <w:lang w:val="de-DE" w:eastAsia="de-DE"/>
    </w:rPr>
  </w:style>
  <w:style w:type="paragraph" w:customStyle="1" w:styleId="24">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5">
    <w:name w:val="TM_accreditation"/>
    <w:basedOn w:val="1"/>
    <w:autoRedefine/>
    <w:qFormat/>
    <w:uiPriority w:val="0"/>
    <w:pPr>
      <w:spacing w:before="40" w:after="40"/>
    </w:pPr>
    <w:rPr>
      <w:rFonts w:eastAsia="Times New Roman"/>
      <w:sz w:val="20"/>
      <w:szCs w:val="20"/>
      <w:lang w:val="en-GB" w:eastAsia="de-DE"/>
    </w:rPr>
  </w:style>
  <w:style w:type="paragraph" w:customStyle="1" w:styleId="26">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Default"/>
    <w:link w:val="3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apple-converted-space"/>
    <w:basedOn w:val="13"/>
    <w:autoRedefine/>
    <w:qFormat/>
    <w:uiPriority w:val="0"/>
  </w:style>
  <w:style w:type="character" w:customStyle="1" w:styleId="31">
    <w:name w:val="页脚 Char2"/>
    <w:autoRedefine/>
    <w:qFormat/>
    <w:uiPriority w:val="99"/>
    <w:rPr>
      <w:sz w:val="18"/>
      <w:szCs w:val="18"/>
    </w:rPr>
  </w:style>
  <w:style w:type="character" w:customStyle="1" w:styleId="32">
    <w:name w:val="正文文本 2 字符"/>
    <w:basedOn w:val="13"/>
    <w:link w:val="8"/>
    <w:autoRedefine/>
    <w:qFormat/>
    <w:uiPriority w:val="0"/>
    <w:rPr>
      <w:rFonts w:ascii="隶书" w:hAnsi="宋体" w:eastAsia="隶书"/>
      <w:color w:val="000000"/>
      <w:kern w:val="2"/>
      <w:sz w:val="21"/>
      <w:szCs w:val="24"/>
    </w:rPr>
  </w:style>
  <w:style w:type="character" w:customStyle="1" w:styleId="33">
    <w:name w:val="Default Char"/>
    <w:link w:val="29"/>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352</Words>
  <Characters>2013</Characters>
  <Lines>16</Lines>
  <Paragraphs>4</Paragraphs>
  <TotalTime>0</TotalTime>
  <ScaleCrop>false</ScaleCrop>
  <LinksUpToDate>false</LinksUpToDate>
  <CharactersWithSpaces>2361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WPS_1644993326</cp:lastModifiedBy>
  <cp:lastPrinted>2019-05-13T03:19:00Z</cp:lastPrinted>
  <dcterms:modified xsi:type="dcterms:W3CDTF">2024-03-01T05:28:38Z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