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靖江市强林石油钻采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靖城街道光明村15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靖江市靖城街道光明村15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下钻采设备配件的机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