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1003-2021</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芜湖金牛电气股份有限公司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安徽省芜湖市南陵经济开发区古亭路</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安徽省芜湖市南陵经济开发区古亭路</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MMS：监督第2次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MMS:油浸式变压器、干式变压器、预装式变电站、高压成套开关设备和强制性产品认证范围内低压成套开关设备的设计、生产和销售。</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2023-10-15</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