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0062-2023-QEO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拓普瑞格（北京）生物科技有限公司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北京市丰台区菜户营58号1405室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北京市丰台区菜户营58号1405室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Q:资质范围内的医疗器械销售及售后服务</w:t>
            </w:r>
          </w:p>
          <w:p>
            <w:pPr>
              <w:rPr>
                <w:szCs w:val="21"/>
              </w:rPr>
            </w:pPr>
            <w:r>
              <w:rPr>
                <w:szCs w:val="21"/>
              </w:rPr>
              <w:t>E:资质范围内的医疗器械销售及售后服务所涉及场所的相关环境管理活动</w:t>
            </w:r>
          </w:p>
          <w:p>
            <w:pPr>
              <w:rPr>
                <w:szCs w:val="21"/>
              </w:rPr>
            </w:pPr>
            <w:r>
              <w:rPr>
                <w:szCs w:val="21"/>
              </w:rPr>
              <w:t>O:资质范围内的医疗器械销售及售后服务所涉及场所的相关职业健康安全管理活动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5.上次审核的不符合项进行了跟踪验证,是否有效可关闭（适用于监督和再认证）：符合 □    不符合□  不适用</w:t>
            </w:r>
            <w:bookmarkStart w:id="13" w:name="_GoBack"/>
            <w:bookmarkEnd w:id="13"/>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6"/>
            <w:bookmarkEnd w:id="6"/>
            <w:bookmarkStart w:id="7"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4"/>
            <w:bookmarkEnd w:id="8"/>
            <w:bookmarkStart w:id="9" w:name="阅卷人员签名5"/>
            <w:bookmarkEnd w:id="9"/>
            <w:bookmarkStart w:id="10"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10"/>
            <w:bookmarkStart w:id="11" w:name="阅卷人员签名3"/>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2023-02-27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55A55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739</Words>
  <Characters>778</Characters>
  <Lines>5</Lines>
  <Paragraphs>1</Paragraphs>
  <TotalTime>2</TotalTime>
  <ScaleCrop>false</ScaleCrop>
  <LinksUpToDate>false</LinksUpToDate>
  <CharactersWithSpaces>919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admin</cp:lastModifiedBy>
  <cp:lastPrinted>2022-06-09T08:35:00Z</cp:lastPrinted>
  <dcterms:modified xsi:type="dcterms:W3CDTF">2023-02-27T07:39:29Z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