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69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高特控股集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南安市溪美街道成功开发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南安市溪美街道成功开发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资质许可范围内阀门（蝶阀，闸阀，球阀，功能阀，止回阀，排气阀，截止阀，水力控制阀，补偿接头，调节阀，低阻力倒流防止器，调流调压阀等）的研发、生产及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