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1199-2022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四川启邦正业科技有限公司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崇州经济开发区同心路639号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崇州经济开发区同心路639号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MMS：初审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办公桌、学习桌、职员桌、幼儿桌、会议桌、课桌、边桌、阅览桌、电脑桌、审判桌、书记员桌、诉讼桌、双面办公桌、餐桌、电动餐桌、升降课桌椅、条桌、医用办公桌、绘图桌、讨论桌、办公椅、会议椅、公寓椅、阅览椅、礼堂椅、实木椅、班椅、幼儿椅、钢木椅、等候椅、书画桌椅、餐椅、机场椅、审判椅、课椅、诊断椅、输液椅、病人椅、转椅、伸缩座椅、主席椅、固定课桌椅、阶梯课桌椅、学习椅、弓形椅、木架椅、多功能折叠椅、雾化桌椅、公共区域座椅、吧凳、实验凳、卡座、定制工位、配药台、吧台、班台、护士站台、主席台、实验台、中央台、高温台、接待台、演讲台、茶几、书架、重型货架、期刊架、药架、货架、钢木书架、图书架、展示架、防磁柜、智能密集架、密集架、毛巾架、器械柜、鞋柜、矮柜、垃圾柜、储物柜、备餐柜、仪器柜、通风柜、衣柜、电视柜、玩具柜、壁柜、茶水柜、床头柜、行李柜、定制柜、不锈钢器械柜、保险柜、电子保密柜、文件柜、金属箱柜、区角柜、组合柜、通风橱、人脸识别柜、医用床头柜、药品柜、诊断床、公寓床、上下床、床、单人床、学生公寓床、战士床、弧形沙发、布艺沙发、真皮沙发、仿真皮沙发、高隔、屏风围栏、警用装备用具、隔断、板式家具、实木家具、钢木家具、办公家具、酒店家具、教学家具、实验室家具、公共区域家具、软体家具、金属家具、定制家具、公寓家具、幼儿家具、医疗家具、医用家具、警用家具、民用家具、玻璃家具、玻钢家具、户外家具、养老家具、图书馆家具、食堂家具、银行系统家具、法院系统家具、制式营具、军队营具、营产营具、康养家具、餐厅家具、智能家具、钢塑家具、场馆家具、活动家具的设计、生产、销售服务（配送安装、维修服务）。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2022-12-06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