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1226-2022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大庆宏测技术服务有限公司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黑龙江省大庆市让胡路区龙岗北村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黑龙江省大庆市让胡路区民营科技园区新贤路4号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研发、制造、维修：石油机械设备及配件（含智能井架底座安装移动平台）、电气设备、泵及配件、电子元件（电路板）、仪器仪表（含石油专用仪器仪表、工业自动化仪器仪表、化工专用仪器仪表、测井数据采集辅助系统装置）、环保水处理设备、机电设备、液压和气压动力机械及元件、化工机械设备及配件、石油钻采专用设备及配件、井下工具、石油钻井工具、石油测井仪器设备、井下测试设备及配件、石油专用工程车辆设备、压力管道【B级元件组合装置（井口装置、采油树）】；一般机械加工；维修：发动机、发电机（组）、制冷设备、工程机械、防爆电器、防爆电机、防爆设备、电子产品（有许可要求时在许可证范围内）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2022-11-21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