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A1E8A">
      <w:pPr>
        <w:spacing w:line="360" w:lineRule="auto"/>
        <w:jc w:val="center"/>
        <w:rPr>
          <w:rFonts w:ascii="宋体" w:hAnsi="宋体" w:cs="宋体"/>
          <w:b/>
          <w:kern w:val="0"/>
          <w:sz w:val="56"/>
          <w:szCs w:val="48"/>
        </w:rPr>
      </w:pPr>
    </w:p>
    <w:p w14:paraId="5FF76B3F">
      <w:pPr>
        <w:spacing w:line="360" w:lineRule="auto"/>
        <w:ind w:firstLine="1325" w:firstLineChars="300"/>
        <w:rPr>
          <w:rFonts w:ascii="宋体" w:hAnsi="宋体"/>
          <w:b/>
          <w:bCs/>
          <w:sz w:val="44"/>
          <w:szCs w:val="44"/>
        </w:rPr>
      </w:pPr>
      <w:r>
        <w:rPr>
          <w:rFonts w:hint="eastAsia" w:ascii="宋体" w:hAnsi="宋体" w:cs="宋体"/>
          <w:b/>
          <w:kern w:val="0"/>
          <w:sz w:val="44"/>
          <w:szCs w:val="44"/>
          <w:lang w:eastAsia="zh-CN"/>
        </w:rPr>
        <w:t>武汉硚运供应链管理有限责任公司</w:t>
      </w:r>
      <w:r>
        <w:rPr>
          <w:rFonts w:hint="eastAsia" w:ascii="宋体" w:hAnsi="宋体"/>
          <w:b/>
          <w:bCs/>
          <w:sz w:val="44"/>
          <w:szCs w:val="44"/>
        </w:rPr>
        <w:t xml:space="preserve"> </w:t>
      </w:r>
    </w:p>
    <w:p w14:paraId="61AFA6DB">
      <w:pPr>
        <w:spacing w:line="36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管理手册</w:t>
      </w:r>
    </w:p>
    <w:p w14:paraId="69652831">
      <w:pPr>
        <w:spacing w:line="360" w:lineRule="auto"/>
        <w:rPr>
          <w:rFonts w:ascii="宋体" w:hAnsi="宋体"/>
          <w:b/>
          <w:bCs/>
          <w:sz w:val="56"/>
          <w:szCs w:val="56"/>
        </w:rPr>
      </w:pPr>
    </w:p>
    <w:p w14:paraId="7273AAEC">
      <w:pPr>
        <w:jc w:val="center"/>
        <w:rPr>
          <w:rFonts w:ascii="宋体" w:hAnsi="宋体"/>
          <w:b/>
          <w:sz w:val="32"/>
          <w:szCs w:val="32"/>
        </w:rPr>
      </w:pPr>
      <w:r>
        <w:rPr>
          <w:rFonts w:hint="eastAsia" w:ascii="宋体" w:hAnsi="宋体"/>
          <w:b/>
          <w:sz w:val="32"/>
          <w:szCs w:val="32"/>
        </w:rPr>
        <w:t>依据ISO9001:2015\ISO14001:2015\ISO45001:2018\</w:t>
      </w:r>
      <w:r>
        <w:rPr>
          <w:rFonts w:ascii="宋体" w:hAnsi="宋体"/>
          <w:b/>
          <w:sz w:val="32"/>
          <w:szCs w:val="32"/>
        </w:rPr>
        <w:t>ISO 22000:2018</w:t>
      </w:r>
      <w:r>
        <w:rPr>
          <w:rFonts w:hint="eastAsia" w:ascii="宋体" w:hAnsi="宋体"/>
          <w:b/>
          <w:sz w:val="32"/>
          <w:szCs w:val="32"/>
        </w:rPr>
        <w:t>\危害分析与关键控制点（HACCP）体系认证要求（V1.0)标准编制</w:t>
      </w:r>
    </w:p>
    <w:p w14:paraId="6AB24299">
      <w:pPr>
        <w:jc w:val="center"/>
        <w:rPr>
          <w:rFonts w:ascii="宋体" w:hAnsi="宋体"/>
          <w:sz w:val="32"/>
          <w:szCs w:val="32"/>
        </w:rPr>
      </w:pPr>
    </w:p>
    <w:p w14:paraId="131CCFB5">
      <w:pPr>
        <w:spacing w:line="360" w:lineRule="auto"/>
        <w:ind w:firstLine="2891" w:firstLineChars="900"/>
        <w:rPr>
          <w:rFonts w:ascii="宋体" w:hAnsi="宋体"/>
          <w:b/>
          <w:sz w:val="32"/>
          <w:szCs w:val="32"/>
        </w:rPr>
      </w:pPr>
      <w:r>
        <w:rPr>
          <w:rFonts w:hint="eastAsia" w:ascii="宋体" w:hAnsi="宋体"/>
          <w:b/>
          <w:sz w:val="32"/>
          <w:szCs w:val="32"/>
        </w:rPr>
        <w:t>文件编号：QESFH-A-01</w:t>
      </w:r>
    </w:p>
    <w:p w14:paraId="3DBFE7B4">
      <w:pPr>
        <w:spacing w:line="360" w:lineRule="auto"/>
        <w:ind w:firstLine="2891" w:firstLineChars="900"/>
        <w:rPr>
          <w:rFonts w:hint="eastAsia" w:ascii="宋体" w:hAnsi="宋体" w:eastAsia="宋体"/>
          <w:b/>
          <w:sz w:val="32"/>
          <w:szCs w:val="32"/>
          <w:lang w:val="en-US" w:eastAsia="zh-CN"/>
        </w:rPr>
      </w:pPr>
      <w:bookmarkStart w:id="73" w:name="_GoBack"/>
      <w:r>
        <w:rPr>
          <w:rFonts w:hint="eastAsia" w:ascii="宋体" w:hAnsi="宋体"/>
          <w:b/>
          <w:sz w:val="32"/>
          <w:szCs w:val="32"/>
        </w:rPr>
        <w:t>版本号：A/</w:t>
      </w:r>
      <w:r>
        <w:rPr>
          <w:rFonts w:hint="eastAsia" w:ascii="宋体" w:hAnsi="宋体"/>
          <w:b/>
          <w:sz w:val="32"/>
          <w:szCs w:val="32"/>
          <w:lang w:val="en-US" w:eastAsia="zh-CN"/>
        </w:rPr>
        <w:t>0</w:t>
      </w:r>
    </w:p>
    <w:p w14:paraId="5665C854">
      <w:pPr>
        <w:spacing w:line="360" w:lineRule="auto"/>
        <w:jc w:val="center"/>
        <w:rPr>
          <w:rFonts w:ascii="宋体" w:hAnsi="宋体"/>
          <w:b/>
          <w:sz w:val="32"/>
          <w:szCs w:val="32"/>
        </w:rPr>
      </w:pPr>
      <w:r>
        <w:rPr>
          <w:rFonts w:hint="eastAsia" w:ascii="宋体" w:hAnsi="宋体"/>
          <w:b/>
          <w:sz w:val="32"/>
          <w:szCs w:val="32"/>
        </w:rPr>
        <w:t xml:space="preserve">  编制：食品安全小组</w:t>
      </w:r>
    </w:p>
    <w:p w14:paraId="166ECCE4">
      <w:pPr>
        <w:spacing w:line="360" w:lineRule="auto"/>
        <w:ind w:firstLine="2891" w:firstLineChars="900"/>
        <w:rPr>
          <w:rFonts w:hint="eastAsia" w:ascii="宋体" w:hAnsi="宋体" w:eastAsia="宋体"/>
          <w:b/>
          <w:sz w:val="32"/>
          <w:szCs w:val="32"/>
          <w:lang w:eastAsia="zh-CN"/>
        </w:rPr>
      </w:pPr>
      <w:r>
        <w:rPr>
          <w:rFonts w:hint="eastAsia" w:ascii="宋体" w:hAnsi="宋体"/>
          <w:b/>
          <w:sz w:val="32"/>
          <w:szCs w:val="32"/>
        </w:rPr>
        <w:t>审核：</w:t>
      </w:r>
      <w:r>
        <w:rPr>
          <w:rFonts w:hint="eastAsia" w:ascii="宋体" w:hAnsi="宋体"/>
          <w:b/>
          <w:sz w:val="32"/>
          <w:szCs w:val="32"/>
          <w:lang w:eastAsia="zh-CN"/>
        </w:rPr>
        <w:t>张为方</w:t>
      </w:r>
    </w:p>
    <w:p w14:paraId="58C7E510">
      <w:pPr>
        <w:spacing w:line="360" w:lineRule="auto"/>
        <w:ind w:firstLine="2891" w:firstLineChars="900"/>
        <w:rPr>
          <w:rFonts w:hint="eastAsia" w:ascii="宋体" w:hAnsi="宋体" w:eastAsia="宋体"/>
          <w:b/>
          <w:sz w:val="32"/>
          <w:szCs w:val="32"/>
          <w:lang w:eastAsia="zh-CN"/>
        </w:rPr>
      </w:pPr>
      <w:r>
        <w:rPr>
          <w:rFonts w:hint="eastAsia" w:ascii="宋体" w:hAnsi="宋体"/>
          <w:b/>
          <w:sz w:val="32"/>
          <w:szCs w:val="32"/>
        </w:rPr>
        <w:t>批准：</w:t>
      </w:r>
      <w:r>
        <w:rPr>
          <w:rFonts w:hint="eastAsia" w:ascii="宋体" w:hAnsi="宋体"/>
          <w:b/>
          <w:sz w:val="32"/>
          <w:szCs w:val="32"/>
          <w:lang w:eastAsia="zh-CN"/>
        </w:rPr>
        <w:t>韩乐</w:t>
      </w:r>
    </w:p>
    <w:p w14:paraId="312D3293">
      <w:pPr>
        <w:spacing w:line="360" w:lineRule="auto"/>
        <w:ind w:firstLine="3693" w:firstLineChars="1000"/>
        <w:rPr>
          <w:rFonts w:ascii="宋体" w:hAnsi="宋体"/>
          <w:b/>
          <w:sz w:val="32"/>
          <w:szCs w:val="32"/>
        </w:rPr>
      </w:pPr>
      <w:r>
        <w:rPr>
          <w:rFonts w:ascii="宋体" w:hAnsi="宋体"/>
          <w:b/>
          <w:spacing w:val="40"/>
          <w:w w:val="90"/>
          <w:sz w:val="32"/>
          <w:szCs w:val="32"/>
        </w:rPr>
        <w:drawing>
          <wp:anchor distT="0" distB="0" distL="114300" distR="114300" simplePos="0" relativeHeight="251659264" behindDoc="0" locked="0" layoutInCell="1" allowOverlap="1">
            <wp:simplePos x="0" y="0"/>
            <wp:positionH relativeFrom="column">
              <wp:posOffset>2137410</wp:posOffset>
            </wp:positionH>
            <wp:positionV relativeFrom="page">
              <wp:posOffset>7620635</wp:posOffset>
            </wp:positionV>
            <wp:extent cx="1551305" cy="489585"/>
            <wp:effectExtent l="0" t="0" r="0" b="6350"/>
            <wp:wrapNone/>
            <wp:docPr id="7" name="图片 2" descr="受控文件图章"/>
            <wp:cNvGraphicFramePr/>
            <a:graphic xmlns:a="http://schemas.openxmlformats.org/drawingml/2006/main">
              <a:graphicData uri="http://schemas.openxmlformats.org/drawingml/2006/picture">
                <pic:pic xmlns:pic="http://schemas.openxmlformats.org/drawingml/2006/picture">
                  <pic:nvPicPr>
                    <pic:cNvPr id="7" name="图片 2" descr="受控文件图章"/>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1305" cy="489507"/>
                    </a:xfrm>
                    <a:prstGeom prst="rect">
                      <a:avLst/>
                    </a:prstGeom>
                    <a:noFill/>
                    <a:ln>
                      <a:noFill/>
                    </a:ln>
                  </pic:spPr>
                </pic:pic>
              </a:graphicData>
            </a:graphic>
          </wp:anchor>
        </w:drawing>
      </w:r>
      <w:r>
        <w:rPr>
          <w:rFonts w:hint="eastAsia" w:ascii="宋体" w:hAnsi="宋体"/>
          <w:b/>
          <w:sz w:val="32"/>
          <w:szCs w:val="32"/>
        </w:rPr>
        <w:t>受控状态：</w:t>
      </w:r>
    </w:p>
    <w:p w14:paraId="26BDD48C">
      <w:pPr>
        <w:spacing w:line="600" w:lineRule="auto"/>
        <w:rPr>
          <w:rFonts w:ascii="宋体" w:hAnsi="宋体" w:cs="宋体"/>
          <w:b/>
          <w:kern w:val="0"/>
          <w:sz w:val="48"/>
          <w:szCs w:val="48"/>
        </w:rPr>
      </w:pPr>
    </w:p>
    <w:p w14:paraId="496055A8">
      <w:pPr>
        <w:spacing w:line="360" w:lineRule="auto"/>
        <w:jc w:val="center"/>
        <w:rPr>
          <w:rFonts w:ascii="宋体" w:hAnsi="宋体" w:cs="宋体"/>
          <w:b/>
          <w:sz w:val="28"/>
          <w:szCs w:val="28"/>
        </w:rPr>
      </w:pPr>
      <w:r>
        <w:rPr>
          <w:rFonts w:hint="eastAsia" w:ascii="宋体" w:hAnsi="宋体"/>
          <w:sz w:val="28"/>
          <w:szCs w:val="24"/>
        </w:rPr>
        <w:t>发布日期：</w:t>
      </w:r>
      <w:r>
        <w:rPr>
          <w:rFonts w:hint="eastAsia" w:ascii="宋体" w:hAnsi="宋体"/>
          <w:sz w:val="28"/>
          <w:szCs w:val="24"/>
          <w:lang w:eastAsia="zh-CN"/>
        </w:rPr>
        <w:t>202</w:t>
      </w:r>
      <w:r>
        <w:rPr>
          <w:rFonts w:hint="eastAsia" w:ascii="宋体" w:hAnsi="宋体"/>
          <w:sz w:val="28"/>
          <w:szCs w:val="24"/>
          <w:lang w:val="en-US" w:eastAsia="zh-CN"/>
        </w:rPr>
        <w:t>5</w:t>
      </w:r>
      <w:r>
        <w:rPr>
          <w:rFonts w:hint="eastAsia" w:ascii="宋体" w:hAnsi="宋体"/>
          <w:sz w:val="28"/>
          <w:szCs w:val="24"/>
          <w:lang w:eastAsia="zh-CN"/>
        </w:rPr>
        <w:t>.</w:t>
      </w:r>
      <w:r>
        <w:rPr>
          <w:rFonts w:hint="eastAsia" w:ascii="宋体" w:hAnsi="宋体"/>
          <w:sz w:val="28"/>
          <w:szCs w:val="24"/>
          <w:lang w:val="en-US" w:eastAsia="zh-CN"/>
        </w:rPr>
        <w:t>2</w:t>
      </w:r>
      <w:r>
        <w:rPr>
          <w:rFonts w:hint="eastAsia" w:ascii="宋体" w:hAnsi="宋体"/>
          <w:sz w:val="28"/>
          <w:szCs w:val="24"/>
          <w:lang w:eastAsia="zh-CN"/>
        </w:rPr>
        <w:t>.1</w:t>
      </w:r>
      <w:r>
        <w:rPr>
          <w:rFonts w:hint="eastAsia" w:ascii="宋体" w:hAnsi="宋体"/>
          <w:sz w:val="28"/>
          <w:szCs w:val="24"/>
          <w:lang w:val="en-US" w:eastAsia="zh-CN"/>
        </w:rPr>
        <w:t>2</w:t>
      </w:r>
      <w:r>
        <w:rPr>
          <w:rFonts w:hint="eastAsia" w:ascii="宋体" w:hAnsi="宋体"/>
          <w:sz w:val="28"/>
          <w:szCs w:val="24"/>
        </w:rPr>
        <w:t xml:space="preserve">               实施日期：</w:t>
      </w:r>
      <w:r>
        <w:rPr>
          <w:rFonts w:hint="eastAsia" w:ascii="宋体" w:hAnsi="宋体"/>
          <w:sz w:val="28"/>
          <w:szCs w:val="24"/>
          <w:lang w:eastAsia="zh-CN"/>
        </w:rPr>
        <w:t>2025.2.12</w:t>
      </w:r>
      <w:bookmarkEnd w:id="73"/>
      <w:r>
        <w:rPr>
          <w:rFonts w:ascii="宋体" w:hAnsi="宋体"/>
        </w:rPr>
        <w:br w:type="column"/>
      </w:r>
      <w:r>
        <w:rPr>
          <w:rFonts w:hint="eastAsia" w:ascii="宋体" w:hAnsi="宋体" w:cs="宋体"/>
          <w:b/>
          <w:sz w:val="28"/>
          <w:szCs w:val="28"/>
        </w:rPr>
        <w:t>文  件  修  订  页</w:t>
      </w:r>
    </w:p>
    <w:tbl>
      <w:tblPr>
        <w:tblStyle w:val="23"/>
        <w:tblpPr w:leftFromText="180" w:rightFromText="180" w:vertAnchor="text" w:horzAnchor="page" w:tblpXSpec="center" w:tblpY="207"/>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9"/>
        <w:gridCol w:w="1481"/>
        <w:gridCol w:w="3973"/>
        <w:gridCol w:w="1167"/>
        <w:gridCol w:w="1166"/>
      </w:tblGrid>
      <w:tr w14:paraId="78C9415A">
        <w:tblPrEx>
          <w:tblCellMar>
            <w:top w:w="0" w:type="dxa"/>
            <w:left w:w="108" w:type="dxa"/>
            <w:bottom w:w="0" w:type="dxa"/>
            <w:right w:w="108" w:type="dxa"/>
          </w:tblCellMar>
        </w:tblPrEx>
        <w:trPr>
          <w:cantSplit/>
          <w:trHeight w:val="1102" w:hRule="atLeast"/>
        </w:trPr>
        <w:tc>
          <w:tcPr>
            <w:tcW w:w="781" w:type="dxa"/>
            <w:vAlign w:val="center"/>
          </w:tcPr>
          <w:p w14:paraId="09AEA1DA">
            <w:pPr>
              <w:spacing w:line="360" w:lineRule="auto"/>
              <w:jc w:val="center"/>
              <w:rPr>
                <w:rFonts w:ascii="宋体" w:hAnsi="宋体" w:cs="宋体"/>
                <w:sz w:val="28"/>
                <w:szCs w:val="28"/>
              </w:rPr>
            </w:pPr>
            <w:r>
              <w:rPr>
                <w:rFonts w:hint="eastAsia" w:ascii="宋体" w:hAnsi="宋体" w:cs="宋体"/>
                <w:sz w:val="28"/>
                <w:szCs w:val="28"/>
              </w:rPr>
              <w:t>序号</w:t>
            </w:r>
          </w:p>
        </w:tc>
        <w:tc>
          <w:tcPr>
            <w:tcW w:w="789" w:type="dxa"/>
            <w:vAlign w:val="center"/>
          </w:tcPr>
          <w:p w14:paraId="397773FE">
            <w:pPr>
              <w:spacing w:line="360" w:lineRule="auto"/>
              <w:jc w:val="center"/>
              <w:rPr>
                <w:rFonts w:ascii="宋体" w:hAnsi="宋体" w:cs="宋体"/>
                <w:sz w:val="28"/>
                <w:szCs w:val="28"/>
              </w:rPr>
            </w:pPr>
            <w:r>
              <w:rPr>
                <w:rFonts w:hint="eastAsia" w:ascii="宋体" w:hAnsi="宋体" w:cs="宋体"/>
                <w:sz w:val="28"/>
                <w:szCs w:val="28"/>
              </w:rPr>
              <w:t>版本</w:t>
            </w:r>
          </w:p>
        </w:tc>
        <w:tc>
          <w:tcPr>
            <w:tcW w:w="1481" w:type="dxa"/>
            <w:vAlign w:val="center"/>
          </w:tcPr>
          <w:p w14:paraId="1AD64A4C">
            <w:pPr>
              <w:spacing w:line="360" w:lineRule="auto"/>
              <w:jc w:val="center"/>
              <w:rPr>
                <w:rFonts w:ascii="宋体" w:hAnsi="宋体" w:cs="宋体"/>
                <w:sz w:val="28"/>
                <w:szCs w:val="28"/>
              </w:rPr>
            </w:pPr>
            <w:r>
              <w:rPr>
                <w:rFonts w:hint="eastAsia" w:ascii="宋体" w:hAnsi="宋体" w:cs="宋体"/>
                <w:sz w:val="28"/>
                <w:szCs w:val="28"/>
              </w:rPr>
              <w:t>修订日期</w:t>
            </w:r>
          </w:p>
        </w:tc>
        <w:tc>
          <w:tcPr>
            <w:tcW w:w="3973" w:type="dxa"/>
            <w:vAlign w:val="center"/>
          </w:tcPr>
          <w:p w14:paraId="033ECCFE">
            <w:pPr>
              <w:spacing w:line="360" w:lineRule="auto"/>
              <w:ind w:right="-317" w:rightChars="-151" w:firstLine="1120" w:firstLineChars="400"/>
              <w:rPr>
                <w:rFonts w:ascii="宋体" w:hAnsi="宋体" w:cs="宋体"/>
                <w:sz w:val="28"/>
                <w:szCs w:val="28"/>
              </w:rPr>
            </w:pPr>
            <w:r>
              <w:rPr>
                <w:rFonts w:hint="eastAsia" w:ascii="宋体" w:hAnsi="宋体" w:cs="宋体"/>
                <w:sz w:val="28"/>
                <w:szCs w:val="28"/>
              </w:rPr>
              <w:t>修订简要</w:t>
            </w:r>
          </w:p>
        </w:tc>
        <w:tc>
          <w:tcPr>
            <w:tcW w:w="1167" w:type="dxa"/>
            <w:vAlign w:val="center"/>
          </w:tcPr>
          <w:p w14:paraId="196C0EB8">
            <w:pPr>
              <w:spacing w:line="360" w:lineRule="auto"/>
              <w:jc w:val="center"/>
              <w:rPr>
                <w:rFonts w:ascii="宋体" w:hAnsi="宋体" w:cs="宋体"/>
                <w:sz w:val="28"/>
                <w:szCs w:val="28"/>
              </w:rPr>
            </w:pPr>
            <w:r>
              <w:rPr>
                <w:rFonts w:hint="eastAsia" w:ascii="宋体" w:hAnsi="宋体" w:cs="宋体"/>
                <w:sz w:val="28"/>
                <w:szCs w:val="28"/>
              </w:rPr>
              <w:t>修订人</w:t>
            </w:r>
          </w:p>
        </w:tc>
        <w:tc>
          <w:tcPr>
            <w:tcW w:w="1166" w:type="dxa"/>
            <w:vAlign w:val="center"/>
          </w:tcPr>
          <w:p w14:paraId="32717D13">
            <w:pPr>
              <w:spacing w:line="360" w:lineRule="auto"/>
              <w:jc w:val="center"/>
              <w:rPr>
                <w:rFonts w:ascii="宋体" w:hAnsi="宋体" w:cs="宋体"/>
                <w:sz w:val="28"/>
                <w:szCs w:val="28"/>
              </w:rPr>
            </w:pPr>
            <w:r>
              <w:rPr>
                <w:rFonts w:hint="eastAsia" w:ascii="宋体" w:hAnsi="宋体" w:cs="宋体"/>
                <w:sz w:val="28"/>
                <w:szCs w:val="28"/>
              </w:rPr>
              <w:t>审批人</w:t>
            </w:r>
          </w:p>
        </w:tc>
      </w:tr>
      <w:tr w14:paraId="401F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781" w:type="dxa"/>
            <w:vAlign w:val="center"/>
          </w:tcPr>
          <w:p w14:paraId="403C99BE">
            <w:pPr>
              <w:spacing w:line="360" w:lineRule="auto"/>
              <w:jc w:val="center"/>
              <w:rPr>
                <w:rFonts w:ascii="宋体" w:hAnsi="宋体" w:cs="宋体"/>
                <w:szCs w:val="21"/>
              </w:rPr>
            </w:pPr>
            <w:r>
              <w:rPr>
                <w:rFonts w:hint="eastAsia" w:ascii="宋体" w:hAnsi="宋体" w:cs="宋体"/>
                <w:szCs w:val="21"/>
              </w:rPr>
              <w:t xml:space="preserve"> 1</w:t>
            </w:r>
          </w:p>
        </w:tc>
        <w:tc>
          <w:tcPr>
            <w:tcW w:w="789" w:type="dxa"/>
            <w:vAlign w:val="center"/>
          </w:tcPr>
          <w:p w14:paraId="53A700A3">
            <w:pPr>
              <w:spacing w:line="360" w:lineRule="auto"/>
              <w:jc w:val="center"/>
              <w:rPr>
                <w:rFonts w:ascii="宋体" w:hAnsi="宋体" w:cs="宋体"/>
                <w:szCs w:val="21"/>
              </w:rPr>
            </w:pPr>
            <w:r>
              <w:rPr>
                <w:rFonts w:hint="eastAsia" w:ascii="宋体" w:hAnsi="宋体" w:cs="宋体"/>
                <w:szCs w:val="21"/>
              </w:rPr>
              <w:t>A/0</w:t>
            </w:r>
          </w:p>
        </w:tc>
        <w:tc>
          <w:tcPr>
            <w:tcW w:w="1481" w:type="dxa"/>
            <w:vAlign w:val="center"/>
          </w:tcPr>
          <w:p w14:paraId="2BA4956C">
            <w:pPr>
              <w:spacing w:line="360" w:lineRule="auto"/>
              <w:jc w:val="center"/>
              <w:rPr>
                <w:rFonts w:hint="eastAsia" w:ascii="宋体" w:hAnsi="宋体" w:eastAsia="宋体" w:cs="宋体"/>
                <w:szCs w:val="21"/>
                <w:lang w:eastAsia="zh-CN"/>
              </w:rPr>
            </w:pPr>
            <w:r>
              <w:rPr>
                <w:rFonts w:hint="eastAsia" w:ascii="宋体" w:hAnsi="宋体" w:cs="宋体"/>
                <w:szCs w:val="21"/>
                <w:lang w:eastAsia="zh-CN"/>
              </w:rPr>
              <w:t>2025.2.12</w:t>
            </w:r>
          </w:p>
        </w:tc>
        <w:tc>
          <w:tcPr>
            <w:tcW w:w="3973" w:type="dxa"/>
            <w:vAlign w:val="center"/>
          </w:tcPr>
          <w:p w14:paraId="4D1A6BCA">
            <w:pPr>
              <w:spacing w:line="360" w:lineRule="auto"/>
              <w:jc w:val="center"/>
              <w:rPr>
                <w:rFonts w:ascii="宋体" w:hAnsi="宋体" w:cs="宋体"/>
                <w:szCs w:val="21"/>
              </w:rPr>
            </w:pPr>
            <w:r>
              <w:rPr>
                <w:rFonts w:hint="eastAsia" w:ascii="宋体" w:hAnsi="宋体" w:cs="宋体"/>
                <w:szCs w:val="21"/>
              </w:rPr>
              <w:t>首次颁布</w:t>
            </w:r>
          </w:p>
        </w:tc>
        <w:tc>
          <w:tcPr>
            <w:tcW w:w="1167" w:type="dxa"/>
            <w:vAlign w:val="center"/>
          </w:tcPr>
          <w:p w14:paraId="3AF06294">
            <w:pPr>
              <w:spacing w:line="360" w:lineRule="auto"/>
              <w:jc w:val="center"/>
              <w:rPr>
                <w:rFonts w:ascii="宋体" w:hAnsi="宋体" w:cs="宋体"/>
                <w:szCs w:val="21"/>
              </w:rPr>
            </w:pPr>
            <w:r>
              <w:rPr>
                <w:rFonts w:hint="eastAsia" w:ascii="宋体" w:hAnsi="宋体" w:cs="宋体"/>
                <w:szCs w:val="21"/>
                <w:lang w:eastAsia="zh-CN"/>
              </w:rPr>
              <w:t>张为方</w:t>
            </w:r>
            <w:r>
              <w:rPr>
                <w:rFonts w:hint="eastAsia" w:ascii="宋体" w:hAnsi="宋体" w:cs="宋体"/>
                <w:szCs w:val="21"/>
              </w:rPr>
              <w:t xml:space="preserve"> </w:t>
            </w:r>
          </w:p>
        </w:tc>
        <w:tc>
          <w:tcPr>
            <w:tcW w:w="1166" w:type="dxa"/>
            <w:vAlign w:val="center"/>
          </w:tcPr>
          <w:p w14:paraId="1B50E022">
            <w:pPr>
              <w:spacing w:line="360" w:lineRule="auto"/>
              <w:rPr>
                <w:rFonts w:hint="eastAsia" w:ascii="宋体" w:hAnsi="宋体" w:eastAsia="宋体" w:cs="宋体"/>
                <w:szCs w:val="21"/>
                <w:lang w:eastAsia="zh-CN"/>
              </w:rPr>
            </w:pPr>
            <w:r>
              <w:rPr>
                <w:rFonts w:hint="eastAsia" w:ascii="宋体" w:hAnsi="宋体" w:cs="宋体"/>
                <w:szCs w:val="21"/>
                <w:lang w:eastAsia="zh-CN"/>
              </w:rPr>
              <w:t>韩乐</w:t>
            </w:r>
          </w:p>
        </w:tc>
      </w:tr>
      <w:tr w14:paraId="0845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781" w:type="dxa"/>
            <w:vAlign w:val="center"/>
          </w:tcPr>
          <w:p w14:paraId="0CE25BC3">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789" w:type="dxa"/>
            <w:vAlign w:val="center"/>
          </w:tcPr>
          <w:p w14:paraId="2E6C7D05">
            <w:pPr>
              <w:spacing w:line="360" w:lineRule="auto"/>
              <w:jc w:val="center"/>
              <w:rPr>
                <w:rFonts w:hint="eastAsia" w:ascii="宋体" w:hAnsi="宋体" w:eastAsia="宋体" w:cs="宋体"/>
                <w:szCs w:val="21"/>
                <w:lang w:val="en-US" w:eastAsia="zh-CN"/>
              </w:rPr>
            </w:pPr>
          </w:p>
        </w:tc>
        <w:tc>
          <w:tcPr>
            <w:tcW w:w="1481" w:type="dxa"/>
            <w:vAlign w:val="center"/>
          </w:tcPr>
          <w:p w14:paraId="36A7323A">
            <w:pPr>
              <w:spacing w:line="360" w:lineRule="auto"/>
              <w:jc w:val="center"/>
              <w:rPr>
                <w:rFonts w:hint="default" w:ascii="宋体" w:hAnsi="宋体" w:eastAsia="宋体" w:cs="宋体"/>
                <w:szCs w:val="21"/>
                <w:lang w:val="en-US" w:eastAsia="zh-CN"/>
              </w:rPr>
            </w:pPr>
          </w:p>
        </w:tc>
        <w:tc>
          <w:tcPr>
            <w:tcW w:w="3973" w:type="dxa"/>
            <w:vAlign w:val="center"/>
          </w:tcPr>
          <w:p w14:paraId="1F334896">
            <w:pPr>
              <w:spacing w:line="360" w:lineRule="auto"/>
              <w:jc w:val="center"/>
              <w:rPr>
                <w:rFonts w:hint="default" w:ascii="宋体" w:hAnsi="宋体" w:eastAsia="宋体" w:cs="宋体"/>
                <w:szCs w:val="21"/>
                <w:lang w:val="en-US" w:eastAsia="zh-CN"/>
              </w:rPr>
            </w:pPr>
          </w:p>
        </w:tc>
        <w:tc>
          <w:tcPr>
            <w:tcW w:w="1167" w:type="dxa"/>
            <w:vAlign w:val="center"/>
          </w:tcPr>
          <w:p w14:paraId="4CF95C81">
            <w:pPr>
              <w:spacing w:line="360" w:lineRule="auto"/>
              <w:jc w:val="center"/>
              <w:rPr>
                <w:rFonts w:ascii="宋体" w:hAnsi="宋体" w:cs="宋体"/>
                <w:szCs w:val="21"/>
              </w:rPr>
            </w:pPr>
          </w:p>
        </w:tc>
        <w:tc>
          <w:tcPr>
            <w:tcW w:w="1166" w:type="dxa"/>
            <w:vAlign w:val="center"/>
          </w:tcPr>
          <w:p w14:paraId="5DB46A8B">
            <w:pPr>
              <w:spacing w:line="360" w:lineRule="auto"/>
              <w:rPr>
                <w:rFonts w:ascii="宋体" w:hAnsi="宋体" w:cs="宋体"/>
                <w:szCs w:val="21"/>
              </w:rPr>
            </w:pPr>
          </w:p>
        </w:tc>
      </w:tr>
      <w:tr w14:paraId="6B24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781" w:type="dxa"/>
            <w:vAlign w:val="center"/>
          </w:tcPr>
          <w:p w14:paraId="3A84246F">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789" w:type="dxa"/>
            <w:vAlign w:val="center"/>
          </w:tcPr>
          <w:p w14:paraId="5FF90E73">
            <w:pPr>
              <w:spacing w:line="360" w:lineRule="auto"/>
              <w:jc w:val="center"/>
              <w:rPr>
                <w:rFonts w:ascii="宋体" w:hAnsi="宋体" w:cs="宋体"/>
                <w:szCs w:val="21"/>
              </w:rPr>
            </w:pPr>
          </w:p>
        </w:tc>
        <w:tc>
          <w:tcPr>
            <w:tcW w:w="1481" w:type="dxa"/>
            <w:vAlign w:val="center"/>
          </w:tcPr>
          <w:p w14:paraId="452C9E3D">
            <w:pPr>
              <w:spacing w:line="360" w:lineRule="auto"/>
              <w:jc w:val="center"/>
              <w:rPr>
                <w:rFonts w:ascii="宋体" w:hAnsi="宋体" w:cs="宋体"/>
                <w:szCs w:val="21"/>
              </w:rPr>
            </w:pPr>
          </w:p>
        </w:tc>
        <w:tc>
          <w:tcPr>
            <w:tcW w:w="3973" w:type="dxa"/>
            <w:vAlign w:val="center"/>
          </w:tcPr>
          <w:p w14:paraId="045868BE">
            <w:pPr>
              <w:spacing w:line="360" w:lineRule="auto"/>
              <w:jc w:val="center"/>
              <w:rPr>
                <w:rFonts w:ascii="宋体" w:hAnsi="宋体" w:cs="宋体"/>
                <w:szCs w:val="21"/>
              </w:rPr>
            </w:pPr>
          </w:p>
        </w:tc>
        <w:tc>
          <w:tcPr>
            <w:tcW w:w="1167" w:type="dxa"/>
            <w:vAlign w:val="center"/>
          </w:tcPr>
          <w:p w14:paraId="59FC0D41">
            <w:pPr>
              <w:spacing w:line="360" w:lineRule="auto"/>
              <w:jc w:val="center"/>
              <w:rPr>
                <w:rFonts w:ascii="宋体" w:hAnsi="宋体" w:cs="宋体"/>
                <w:szCs w:val="21"/>
              </w:rPr>
            </w:pPr>
            <w:r>
              <w:rPr>
                <w:rFonts w:hint="eastAsia" w:ascii="宋体" w:hAnsi="宋体" w:cs="宋体"/>
                <w:szCs w:val="21"/>
              </w:rPr>
              <w:t xml:space="preserve"> </w:t>
            </w:r>
          </w:p>
        </w:tc>
        <w:tc>
          <w:tcPr>
            <w:tcW w:w="1166" w:type="dxa"/>
            <w:vAlign w:val="center"/>
          </w:tcPr>
          <w:p w14:paraId="0B961E23">
            <w:pPr>
              <w:spacing w:line="360" w:lineRule="auto"/>
              <w:rPr>
                <w:rFonts w:ascii="宋体" w:hAnsi="宋体" w:cs="宋体"/>
                <w:szCs w:val="21"/>
              </w:rPr>
            </w:pPr>
          </w:p>
        </w:tc>
      </w:tr>
      <w:tr w14:paraId="4B76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781" w:type="dxa"/>
            <w:vAlign w:val="center"/>
          </w:tcPr>
          <w:p w14:paraId="16DBFE8A">
            <w:pPr>
              <w:spacing w:line="360" w:lineRule="auto"/>
              <w:jc w:val="center"/>
              <w:rPr>
                <w:rFonts w:ascii="宋体" w:hAnsi="宋体" w:cs="宋体"/>
                <w:sz w:val="28"/>
                <w:szCs w:val="28"/>
              </w:rPr>
            </w:pPr>
          </w:p>
        </w:tc>
        <w:tc>
          <w:tcPr>
            <w:tcW w:w="789" w:type="dxa"/>
            <w:vAlign w:val="center"/>
          </w:tcPr>
          <w:p w14:paraId="0795E71D">
            <w:pPr>
              <w:spacing w:line="360" w:lineRule="auto"/>
              <w:jc w:val="center"/>
              <w:rPr>
                <w:rFonts w:ascii="宋体" w:hAnsi="宋体" w:cs="宋体"/>
                <w:sz w:val="28"/>
                <w:szCs w:val="28"/>
              </w:rPr>
            </w:pPr>
          </w:p>
        </w:tc>
        <w:tc>
          <w:tcPr>
            <w:tcW w:w="1481" w:type="dxa"/>
            <w:vAlign w:val="center"/>
          </w:tcPr>
          <w:p w14:paraId="01073D9B">
            <w:pPr>
              <w:spacing w:line="360" w:lineRule="auto"/>
              <w:jc w:val="center"/>
              <w:rPr>
                <w:rFonts w:ascii="宋体" w:hAnsi="宋体" w:cs="宋体"/>
                <w:sz w:val="28"/>
                <w:szCs w:val="28"/>
              </w:rPr>
            </w:pPr>
          </w:p>
        </w:tc>
        <w:tc>
          <w:tcPr>
            <w:tcW w:w="3973" w:type="dxa"/>
            <w:vAlign w:val="center"/>
          </w:tcPr>
          <w:p w14:paraId="77A7902B">
            <w:pPr>
              <w:spacing w:line="360" w:lineRule="auto"/>
              <w:rPr>
                <w:rFonts w:ascii="宋体" w:hAnsi="宋体" w:cs="宋体"/>
                <w:sz w:val="28"/>
                <w:szCs w:val="28"/>
              </w:rPr>
            </w:pPr>
          </w:p>
        </w:tc>
        <w:tc>
          <w:tcPr>
            <w:tcW w:w="1167" w:type="dxa"/>
            <w:vAlign w:val="center"/>
          </w:tcPr>
          <w:p w14:paraId="51D86A18">
            <w:pPr>
              <w:spacing w:line="360" w:lineRule="auto"/>
              <w:jc w:val="center"/>
              <w:rPr>
                <w:rFonts w:ascii="宋体" w:hAnsi="宋体" w:cs="宋体"/>
                <w:sz w:val="28"/>
                <w:szCs w:val="28"/>
              </w:rPr>
            </w:pPr>
          </w:p>
        </w:tc>
        <w:tc>
          <w:tcPr>
            <w:tcW w:w="1166" w:type="dxa"/>
            <w:vAlign w:val="center"/>
          </w:tcPr>
          <w:p w14:paraId="3D973E33">
            <w:pPr>
              <w:spacing w:line="360" w:lineRule="auto"/>
              <w:jc w:val="center"/>
              <w:rPr>
                <w:rFonts w:ascii="宋体" w:hAnsi="宋体" w:cs="宋体"/>
                <w:sz w:val="28"/>
                <w:szCs w:val="28"/>
              </w:rPr>
            </w:pPr>
          </w:p>
        </w:tc>
      </w:tr>
      <w:tr w14:paraId="0114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781" w:type="dxa"/>
            <w:vAlign w:val="center"/>
          </w:tcPr>
          <w:p w14:paraId="0A354B48">
            <w:pPr>
              <w:spacing w:line="360" w:lineRule="auto"/>
              <w:jc w:val="center"/>
              <w:rPr>
                <w:rFonts w:ascii="宋体" w:hAnsi="宋体" w:cs="宋体"/>
                <w:sz w:val="28"/>
                <w:szCs w:val="28"/>
              </w:rPr>
            </w:pPr>
          </w:p>
        </w:tc>
        <w:tc>
          <w:tcPr>
            <w:tcW w:w="789" w:type="dxa"/>
            <w:vAlign w:val="center"/>
          </w:tcPr>
          <w:p w14:paraId="6E30A4EF">
            <w:pPr>
              <w:spacing w:line="360" w:lineRule="auto"/>
              <w:jc w:val="center"/>
              <w:rPr>
                <w:rFonts w:ascii="宋体" w:hAnsi="宋体" w:cs="宋体"/>
                <w:sz w:val="28"/>
                <w:szCs w:val="28"/>
              </w:rPr>
            </w:pPr>
          </w:p>
        </w:tc>
        <w:tc>
          <w:tcPr>
            <w:tcW w:w="1481" w:type="dxa"/>
            <w:vAlign w:val="center"/>
          </w:tcPr>
          <w:p w14:paraId="34DED2AC">
            <w:pPr>
              <w:spacing w:line="360" w:lineRule="auto"/>
              <w:jc w:val="center"/>
              <w:rPr>
                <w:rFonts w:ascii="宋体" w:hAnsi="宋体" w:cs="宋体"/>
                <w:sz w:val="28"/>
                <w:szCs w:val="28"/>
              </w:rPr>
            </w:pPr>
          </w:p>
        </w:tc>
        <w:tc>
          <w:tcPr>
            <w:tcW w:w="3973" w:type="dxa"/>
            <w:vAlign w:val="center"/>
          </w:tcPr>
          <w:p w14:paraId="76BE2341">
            <w:pPr>
              <w:spacing w:line="360" w:lineRule="auto"/>
              <w:rPr>
                <w:rFonts w:ascii="宋体" w:hAnsi="宋体" w:cs="宋体"/>
                <w:sz w:val="28"/>
                <w:szCs w:val="28"/>
              </w:rPr>
            </w:pPr>
          </w:p>
        </w:tc>
        <w:tc>
          <w:tcPr>
            <w:tcW w:w="1167" w:type="dxa"/>
            <w:vAlign w:val="center"/>
          </w:tcPr>
          <w:p w14:paraId="65B4686D">
            <w:pPr>
              <w:spacing w:line="360" w:lineRule="auto"/>
              <w:jc w:val="center"/>
              <w:rPr>
                <w:rFonts w:ascii="宋体" w:hAnsi="宋体" w:cs="宋体"/>
                <w:sz w:val="28"/>
                <w:szCs w:val="28"/>
              </w:rPr>
            </w:pPr>
          </w:p>
        </w:tc>
        <w:tc>
          <w:tcPr>
            <w:tcW w:w="1166" w:type="dxa"/>
            <w:vAlign w:val="center"/>
          </w:tcPr>
          <w:p w14:paraId="775FAC56">
            <w:pPr>
              <w:spacing w:line="360" w:lineRule="auto"/>
              <w:jc w:val="center"/>
              <w:rPr>
                <w:rFonts w:ascii="宋体" w:hAnsi="宋体" w:cs="宋体"/>
                <w:sz w:val="28"/>
                <w:szCs w:val="28"/>
              </w:rPr>
            </w:pPr>
          </w:p>
        </w:tc>
      </w:tr>
      <w:tr w14:paraId="24AF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781" w:type="dxa"/>
            <w:vAlign w:val="center"/>
          </w:tcPr>
          <w:p w14:paraId="79CE1C3B">
            <w:pPr>
              <w:spacing w:line="360" w:lineRule="auto"/>
              <w:jc w:val="center"/>
              <w:rPr>
                <w:rFonts w:ascii="宋体" w:hAnsi="宋体" w:cs="宋体"/>
                <w:sz w:val="28"/>
                <w:szCs w:val="28"/>
              </w:rPr>
            </w:pPr>
          </w:p>
        </w:tc>
        <w:tc>
          <w:tcPr>
            <w:tcW w:w="789" w:type="dxa"/>
            <w:vAlign w:val="center"/>
          </w:tcPr>
          <w:p w14:paraId="2F81BD9F">
            <w:pPr>
              <w:spacing w:line="360" w:lineRule="auto"/>
              <w:jc w:val="center"/>
              <w:rPr>
                <w:rFonts w:ascii="宋体" w:hAnsi="宋体" w:cs="宋体"/>
                <w:sz w:val="28"/>
                <w:szCs w:val="28"/>
              </w:rPr>
            </w:pPr>
          </w:p>
        </w:tc>
        <w:tc>
          <w:tcPr>
            <w:tcW w:w="1481" w:type="dxa"/>
            <w:vAlign w:val="center"/>
          </w:tcPr>
          <w:p w14:paraId="0F9D8E19">
            <w:pPr>
              <w:spacing w:line="360" w:lineRule="auto"/>
              <w:jc w:val="center"/>
              <w:rPr>
                <w:rFonts w:ascii="宋体" w:hAnsi="宋体" w:cs="宋体"/>
                <w:sz w:val="28"/>
                <w:szCs w:val="28"/>
              </w:rPr>
            </w:pPr>
          </w:p>
        </w:tc>
        <w:tc>
          <w:tcPr>
            <w:tcW w:w="3973" w:type="dxa"/>
            <w:vAlign w:val="center"/>
          </w:tcPr>
          <w:p w14:paraId="5648D0E1">
            <w:pPr>
              <w:spacing w:line="360" w:lineRule="auto"/>
              <w:rPr>
                <w:rFonts w:ascii="宋体" w:hAnsi="宋体" w:cs="宋体"/>
                <w:sz w:val="28"/>
                <w:szCs w:val="28"/>
              </w:rPr>
            </w:pPr>
          </w:p>
        </w:tc>
        <w:tc>
          <w:tcPr>
            <w:tcW w:w="1167" w:type="dxa"/>
            <w:vAlign w:val="center"/>
          </w:tcPr>
          <w:p w14:paraId="21D31EC2">
            <w:pPr>
              <w:spacing w:line="360" w:lineRule="auto"/>
              <w:jc w:val="center"/>
              <w:rPr>
                <w:rFonts w:ascii="宋体" w:hAnsi="宋体" w:cs="宋体"/>
                <w:sz w:val="28"/>
                <w:szCs w:val="28"/>
              </w:rPr>
            </w:pPr>
          </w:p>
        </w:tc>
        <w:tc>
          <w:tcPr>
            <w:tcW w:w="1166" w:type="dxa"/>
            <w:vAlign w:val="center"/>
          </w:tcPr>
          <w:p w14:paraId="08E4EC32">
            <w:pPr>
              <w:spacing w:line="360" w:lineRule="auto"/>
              <w:jc w:val="center"/>
              <w:rPr>
                <w:rFonts w:ascii="宋体" w:hAnsi="宋体" w:cs="宋体"/>
                <w:sz w:val="28"/>
                <w:szCs w:val="28"/>
              </w:rPr>
            </w:pPr>
          </w:p>
        </w:tc>
      </w:tr>
      <w:tr w14:paraId="5EAB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781" w:type="dxa"/>
            <w:vAlign w:val="center"/>
          </w:tcPr>
          <w:p w14:paraId="37D5F5DF">
            <w:pPr>
              <w:spacing w:line="360" w:lineRule="auto"/>
              <w:jc w:val="center"/>
              <w:rPr>
                <w:rFonts w:ascii="宋体" w:hAnsi="宋体" w:cs="宋体"/>
                <w:sz w:val="28"/>
                <w:szCs w:val="28"/>
              </w:rPr>
            </w:pPr>
          </w:p>
        </w:tc>
        <w:tc>
          <w:tcPr>
            <w:tcW w:w="789" w:type="dxa"/>
            <w:vAlign w:val="center"/>
          </w:tcPr>
          <w:p w14:paraId="140E2785">
            <w:pPr>
              <w:spacing w:line="360" w:lineRule="auto"/>
              <w:jc w:val="center"/>
              <w:rPr>
                <w:rFonts w:ascii="宋体" w:hAnsi="宋体" w:cs="宋体"/>
                <w:sz w:val="28"/>
                <w:szCs w:val="28"/>
              </w:rPr>
            </w:pPr>
          </w:p>
        </w:tc>
        <w:tc>
          <w:tcPr>
            <w:tcW w:w="1481" w:type="dxa"/>
            <w:vAlign w:val="center"/>
          </w:tcPr>
          <w:p w14:paraId="41EC0C73">
            <w:pPr>
              <w:spacing w:line="360" w:lineRule="auto"/>
              <w:jc w:val="center"/>
              <w:rPr>
                <w:rFonts w:ascii="宋体" w:hAnsi="宋体" w:cs="宋体"/>
                <w:sz w:val="28"/>
                <w:szCs w:val="28"/>
              </w:rPr>
            </w:pPr>
          </w:p>
        </w:tc>
        <w:tc>
          <w:tcPr>
            <w:tcW w:w="3973" w:type="dxa"/>
            <w:vAlign w:val="center"/>
          </w:tcPr>
          <w:p w14:paraId="654C48E8">
            <w:pPr>
              <w:spacing w:line="360" w:lineRule="auto"/>
              <w:rPr>
                <w:rFonts w:ascii="宋体" w:hAnsi="宋体" w:cs="宋体"/>
                <w:sz w:val="28"/>
                <w:szCs w:val="28"/>
              </w:rPr>
            </w:pPr>
          </w:p>
        </w:tc>
        <w:tc>
          <w:tcPr>
            <w:tcW w:w="1167" w:type="dxa"/>
            <w:vAlign w:val="center"/>
          </w:tcPr>
          <w:p w14:paraId="577609DD">
            <w:pPr>
              <w:spacing w:line="360" w:lineRule="auto"/>
              <w:jc w:val="center"/>
              <w:rPr>
                <w:rFonts w:ascii="宋体" w:hAnsi="宋体" w:cs="宋体"/>
                <w:sz w:val="28"/>
                <w:szCs w:val="28"/>
              </w:rPr>
            </w:pPr>
          </w:p>
        </w:tc>
        <w:tc>
          <w:tcPr>
            <w:tcW w:w="1166" w:type="dxa"/>
            <w:vAlign w:val="center"/>
          </w:tcPr>
          <w:p w14:paraId="4C2DFC64">
            <w:pPr>
              <w:spacing w:line="360" w:lineRule="auto"/>
              <w:jc w:val="center"/>
              <w:rPr>
                <w:rFonts w:ascii="宋体" w:hAnsi="宋体" w:cs="宋体"/>
                <w:sz w:val="28"/>
                <w:szCs w:val="28"/>
              </w:rPr>
            </w:pPr>
          </w:p>
        </w:tc>
      </w:tr>
      <w:tr w14:paraId="31EB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781" w:type="dxa"/>
            <w:vAlign w:val="center"/>
          </w:tcPr>
          <w:p w14:paraId="2262CB19">
            <w:pPr>
              <w:spacing w:line="360" w:lineRule="auto"/>
              <w:jc w:val="center"/>
              <w:rPr>
                <w:rFonts w:ascii="宋体" w:hAnsi="宋体" w:cs="宋体"/>
                <w:sz w:val="28"/>
                <w:szCs w:val="28"/>
              </w:rPr>
            </w:pPr>
          </w:p>
        </w:tc>
        <w:tc>
          <w:tcPr>
            <w:tcW w:w="789" w:type="dxa"/>
            <w:vAlign w:val="center"/>
          </w:tcPr>
          <w:p w14:paraId="4206B142">
            <w:pPr>
              <w:spacing w:line="360" w:lineRule="auto"/>
              <w:jc w:val="center"/>
              <w:rPr>
                <w:rFonts w:ascii="宋体" w:hAnsi="宋体" w:cs="宋体"/>
                <w:sz w:val="28"/>
                <w:szCs w:val="28"/>
              </w:rPr>
            </w:pPr>
          </w:p>
        </w:tc>
        <w:tc>
          <w:tcPr>
            <w:tcW w:w="1481" w:type="dxa"/>
            <w:vAlign w:val="center"/>
          </w:tcPr>
          <w:p w14:paraId="77489692">
            <w:pPr>
              <w:spacing w:line="360" w:lineRule="auto"/>
              <w:jc w:val="center"/>
              <w:rPr>
                <w:rFonts w:ascii="宋体" w:hAnsi="宋体" w:cs="宋体"/>
                <w:sz w:val="28"/>
                <w:szCs w:val="28"/>
              </w:rPr>
            </w:pPr>
          </w:p>
        </w:tc>
        <w:tc>
          <w:tcPr>
            <w:tcW w:w="3973" w:type="dxa"/>
            <w:vAlign w:val="center"/>
          </w:tcPr>
          <w:p w14:paraId="0B80013F">
            <w:pPr>
              <w:spacing w:line="360" w:lineRule="auto"/>
              <w:rPr>
                <w:rFonts w:ascii="宋体" w:hAnsi="宋体" w:cs="宋体"/>
                <w:sz w:val="28"/>
                <w:szCs w:val="28"/>
              </w:rPr>
            </w:pPr>
          </w:p>
        </w:tc>
        <w:tc>
          <w:tcPr>
            <w:tcW w:w="1167" w:type="dxa"/>
            <w:vAlign w:val="center"/>
          </w:tcPr>
          <w:p w14:paraId="12DB2178">
            <w:pPr>
              <w:spacing w:line="360" w:lineRule="auto"/>
              <w:jc w:val="center"/>
              <w:rPr>
                <w:rFonts w:ascii="宋体" w:hAnsi="宋体" w:cs="宋体"/>
                <w:sz w:val="28"/>
                <w:szCs w:val="28"/>
              </w:rPr>
            </w:pPr>
          </w:p>
        </w:tc>
        <w:tc>
          <w:tcPr>
            <w:tcW w:w="1166" w:type="dxa"/>
            <w:vAlign w:val="center"/>
          </w:tcPr>
          <w:p w14:paraId="0521E7B2">
            <w:pPr>
              <w:spacing w:line="360" w:lineRule="auto"/>
              <w:jc w:val="center"/>
              <w:rPr>
                <w:rFonts w:ascii="宋体" w:hAnsi="宋体" w:cs="宋体"/>
                <w:sz w:val="28"/>
                <w:szCs w:val="28"/>
              </w:rPr>
            </w:pPr>
          </w:p>
        </w:tc>
      </w:tr>
    </w:tbl>
    <w:p w14:paraId="55D6D965">
      <w:pPr>
        <w:tabs>
          <w:tab w:val="left" w:pos="8820"/>
        </w:tabs>
        <w:spacing w:line="460" w:lineRule="exact"/>
        <w:ind w:firstLine="420" w:firstLineChars="200"/>
        <w:rPr>
          <w:rFonts w:ascii="宋体" w:hAnsi="宋体"/>
          <w:szCs w:val="21"/>
        </w:rPr>
      </w:pPr>
      <w:r>
        <w:rPr>
          <w:rFonts w:ascii="宋体" w:hAnsi="宋体"/>
        </w:rPr>
        <w:br w:type="page"/>
      </w:r>
    </w:p>
    <w:p w14:paraId="27949799">
      <w:pPr>
        <w:pStyle w:val="46"/>
        <w:jc w:val="center"/>
        <w:rPr>
          <w:rFonts w:ascii="宋体" w:hAnsi="宋体"/>
        </w:rPr>
      </w:pPr>
      <w:r>
        <w:rPr>
          <w:rFonts w:ascii="宋体" w:hAnsi="宋体"/>
          <w:lang w:val="zh-CN"/>
        </w:rPr>
        <w:t>目录</w:t>
      </w:r>
    </w:p>
    <w:p w14:paraId="797A7156">
      <w:pPr>
        <w:pStyle w:val="17"/>
        <w:tabs>
          <w:tab w:val="right" w:leader="dot" w:pos="8296"/>
        </w:tabs>
        <w:rPr>
          <w:rFonts w:asciiTheme="minorHAnsi" w:hAnsiTheme="minorHAnsi" w:eastAsiaTheme="minorEastAsia" w:cstheme="minorBidi"/>
          <w:b w:val="0"/>
          <w:bCs w:val="0"/>
          <w:caps w:val="0"/>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"_Toc110460530" </w:instrText>
      </w:r>
      <w:r>
        <w:fldChar w:fldCharType="separate"/>
      </w:r>
      <w:r>
        <w:rPr>
          <w:rStyle w:val="27"/>
          <w:rFonts w:ascii="宋体" w:hAnsi="宋体"/>
          <w:color w:val="auto"/>
        </w:rPr>
        <w:t>0.1.</w:t>
      </w:r>
      <w:r>
        <w:rPr>
          <w:rStyle w:val="27"/>
          <w:rFonts w:hint="eastAsia" w:ascii="宋体" w:hAnsi="宋体"/>
          <w:color w:val="auto"/>
        </w:rPr>
        <w:t>前</w:t>
      </w:r>
      <w:r>
        <w:rPr>
          <w:rStyle w:val="27"/>
          <w:rFonts w:ascii="宋体" w:hAnsi="宋体"/>
          <w:color w:val="auto"/>
        </w:rPr>
        <w:t xml:space="preserve">    </w:t>
      </w:r>
      <w:r>
        <w:rPr>
          <w:rStyle w:val="27"/>
          <w:rFonts w:hint="eastAsia" w:ascii="宋体" w:hAnsi="宋体"/>
          <w:color w:val="auto"/>
        </w:rPr>
        <w:t>言</w:t>
      </w:r>
      <w:r>
        <w:tab/>
      </w:r>
      <w:r>
        <w:fldChar w:fldCharType="begin"/>
      </w:r>
      <w:r>
        <w:instrText xml:space="preserve"> PAGEREF _Toc110460530 \h </w:instrText>
      </w:r>
      <w:r>
        <w:fldChar w:fldCharType="separate"/>
      </w:r>
      <w:r>
        <w:t>5</w:t>
      </w:r>
      <w:r>
        <w:fldChar w:fldCharType="end"/>
      </w:r>
      <w:r>
        <w:fldChar w:fldCharType="end"/>
      </w:r>
    </w:p>
    <w:p w14:paraId="4684CBA6">
      <w:pPr>
        <w:pStyle w:val="17"/>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"_Toc110460531" </w:instrText>
      </w:r>
      <w:r>
        <w:fldChar w:fldCharType="separate"/>
      </w:r>
      <w:r>
        <w:rPr>
          <w:rStyle w:val="27"/>
          <w:rFonts w:ascii="宋体" w:hAnsi="宋体"/>
          <w:color w:val="auto"/>
        </w:rPr>
        <w:t>0.2.</w:t>
      </w:r>
      <w:r>
        <w:rPr>
          <w:rStyle w:val="27"/>
          <w:rFonts w:hint="eastAsia" w:ascii="宋体" w:hAnsi="宋体"/>
          <w:color w:val="auto"/>
        </w:rPr>
        <w:t>本公司的组织机构如下图所示：</w:t>
      </w:r>
      <w:r>
        <w:tab/>
      </w:r>
      <w:r>
        <w:fldChar w:fldCharType="begin"/>
      </w:r>
      <w:r>
        <w:instrText xml:space="preserve"> PAGEREF _Toc110460531 \h </w:instrText>
      </w:r>
      <w:r>
        <w:fldChar w:fldCharType="separate"/>
      </w:r>
      <w:r>
        <w:t>6</w:t>
      </w:r>
      <w:r>
        <w:fldChar w:fldCharType="end"/>
      </w:r>
      <w:r>
        <w:fldChar w:fldCharType="end"/>
      </w:r>
    </w:p>
    <w:p w14:paraId="1927B4E0">
      <w:pPr>
        <w:pStyle w:val="17"/>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"_Toc110460600" </w:instrText>
      </w:r>
      <w:r>
        <w:fldChar w:fldCharType="separate"/>
      </w:r>
      <w:r>
        <w:rPr>
          <w:rStyle w:val="27"/>
          <w:rFonts w:ascii="宋体" w:hAnsi="宋体"/>
          <w:color w:val="auto"/>
        </w:rPr>
        <w:t xml:space="preserve">0.3 </w:t>
      </w:r>
      <w:r>
        <w:rPr>
          <w:rStyle w:val="27"/>
          <w:rFonts w:hint="eastAsia" w:ascii="宋体" w:hAnsi="宋体"/>
          <w:color w:val="auto"/>
        </w:rPr>
        <w:t>体系文件发布令</w:t>
      </w:r>
      <w:r>
        <w:tab/>
      </w:r>
      <w:r>
        <w:fldChar w:fldCharType="begin"/>
      </w:r>
      <w:r>
        <w:instrText xml:space="preserve"> PAGEREF _Toc110460600 \h </w:instrText>
      </w:r>
      <w:r>
        <w:fldChar w:fldCharType="separate"/>
      </w:r>
      <w:r>
        <w:t>7</w:t>
      </w:r>
      <w:r>
        <w:fldChar w:fldCharType="end"/>
      </w:r>
      <w:r>
        <w:fldChar w:fldCharType="end"/>
      </w:r>
    </w:p>
    <w:p w14:paraId="6A53A0A6">
      <w:pPr>
        <w:pStyle w:val="17"/>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"_Toc110460601" </w:instrText>
      </w:r>
      <w:r>
        <w:fldChar w:fldCharType="separate"/>
      </w:r>
      <w:r>
        <w:rPr>
          <w:rStyle w:val="27"/>
          <w:rFonts w:ascii="宋体" w:hAnsi="宋体"/>
          <w:color w:val="auto"/>
        </w:rPr>
        <w:t>0.4.</w:t>
      </w:r>
      <w:r>
        <w:rPr>
          <w:rStyle w:val="27"/>
          <w:rFonts w:hint="eastAsia" w:ascii="宋体" w:hAnsi="宋体"/>
          <w:color w:val="auto"/>
        </w:rPr>
        <w:t>食品安全方针和目标发布令</w:t>
      </w:r>
      <w:r>
        <w:tab/>
      </w:r>
      <w:r>
        <w:fldChar w:fldCharType="begin"/>
      </w:r>
      <w:r>
        <w:instrText xml:space="preserve"> PAGEREF _Toc110460601 \h </w:instrText>
      </w:r>
      <w:r>
        <w:fldChar w:fldCharType="separate"/>
      </w:r>
      <w:r>
        <w:t>7</w:t>
      </w:r>
      <w:r>
        <w:fldChar w:fldCharType="end"/>
      </w:r>
      <w:r>
        <w:fldChar w:fldCharType="end"/>
      </w:r>
    </w:p>
    <w:p w14:paraId="63DB350C">
      <w:pPr>
        <w:pStyle w:val="17"/>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"_Toc110460602" </w:instrText>
      </w:r>
      <w:r>
        <w:fldChar w:fldCharType="separate"/>
      </w:r>
      <w:r>
        <w:rPr>
          <w:rStyle w:val="27"/>
          <w:rFonts w:ascii="宋体" w:hAnsi="宋体"/>
          <w:color w:val="auto"/>
        </w:rPr>
        <w:t>0.5.</w:t>
      </w:r>
      <w:r>
        <w:rPr>
          <w:rStyle w:val="27"/>
          <w:rFonts w:hint="eastAsia" w:ascii="宋体" w:hAnsi="宋体"/>
          <w:color w:val="auto"/>
        </w:rPr>
        <w:t>任命书</w:t>
      </w:r>
      <w:r>
        <w:tab/>
      </w:r>
      <w:r>
        <w:fldChar w:fldCharType="begin"/>
      </w:r>
      <w:r>
        <w:instrText xml:space="preserve"> PAGEREF _Toc110460602 \h </w:instrText>
      </w:r>
      <w:r>
        <w:fldChar w:fldCharType="separate"/>
      </w:r>
      <w:r>
        <w:t>9</w:t>
      </w:r>
      <w:r>
        <w:fldChar w:fldCharType="end"/>
      </w:r>
      <w:r>
        <w:fldChar w:fldCharType="end"/>
      </w:r>
    </w:p>
    <w:p w14:paraId="785592AB">
      <w:pPr>
        <w:pStyle w:val="17"/>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"_Toc110460603" </w:instrText>
      </w:r>
      <w:r>
        <w:fldChar w:fldCharType="separate"/>
      </w:r>
      <w:r>
        <w:rPr>
          <w:rStyle w:val="27"/>
          <w:rFonts w:ascii="宋体" w:hAnsi="宋体"/>
          <w:color w:val="auto"/>
        </w:rPr>
        <w:t xml:space="preserve">0.6 </w:t>
      </w:r>
      <w:r>
        <w:rPr>
          <w:rStyle w:val="27"/>
          <w:rFonts w:hint="eastAsia" w:ascii="宋体" w:hAnsi="宋体"/>
          <w:color w:val="auto"/>
        </w:rPr>
        <w:t>食品安全小组成员名单及相关职责</w:t>
      </w:r>
      <w:r>
        <w:tab/>
      </w:r>
      <w:r>
        <w:fldChar w:fldCharType="begin"/>
      </w:r>
      <w:r>
        <w:instrText xml:space="preserve"> PAGEREF _Toc110460603 \h </w:instrText>
      </w:r>
      <w:r>
        <w:fldChar w:fldCharType="separate"/>
      </w:r>
      <w:r>
        <w:t>10</w:t>
      </w:r>
      <w:r>
        <w:fldChar w:fldCharType="end"/>
      </w:r>
      <w:r>
        <w:fldChar w:fldCharType="end"/>
      </w:r>
    </w:p>
    <w:p w14:paraId="49244CB9">
      <w:pPr>
        <w:pStyle w:val="17"/>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"_Toc110460604" </w:instrText>
      </w:r>
      <w:r>
        <w:fldChar w:fldCharType="separate"/>
      </w:r>
      <w:r>
        <w:rPr>
          <w:rStyle w:val="27"/>
          <w:color w:val="auto"/>
        </w:rPr>
        <w:t>1.</w:t>
      </w:r>
      <w:r>
        <w:rPr>
          <w:rStyle w:val="27"/>
          <w:rFonts w:hint="eastAsia"/>
          <w:color w:val="auto"/>
        </w:rPr>
        <w:t>范围</w:t>
      </w:r>
      <w:r>
        <w:tab/>
      </w:r>
      <w:r>
        <w:fldChar w:fldCharType="begin"/>
      </w:r>
      <w:r>
        <w:instrText xml:space="preserve"> PAGEREF _Toc110460604 \h </w:instrText>
      </w:r>
      <w:r>
        <w:fldChar w:fldCharType="separate"/>
      </w:r>
      <w:r>
        <w:t>11</w:t>
      </w:r>
      <w:r>
        <w:fldChar w:fldCharType="end"/>
      </w:r>
      <w:r>
        <w:fldChar w:fldCharType="end"/>
      </w:r>
    </w:p>
    <w:p w14:paraId="16E90231">
      <w:pPr>
        <w:pStyle w:val="17"/>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"_Toc110460605" </w:instrText>
      </w:r>
      <w:r>
        <w:fldChar w:fldCharType="separate"/>
      </w:r>
      <w:r>
        <w:rPr>
          <w:rStyle w:val="27"/>
          <w:rFonts w:ascii="宋体" w:hAnsi="宋体"/>
          <w:color w:val="auto"/>
        </w:rPr>
        <w:t>2.</w:t>
      </w:r>
      <w:r>
        <w:rPr>
          <w:rStyle w:val="27"/>
          <w:rFonts w:hint="eastAsia" w:ascii="宋体" w:hAnsi="宋体"/>
          <w:color w:val="auto"/>
        </w:rPr>
        <w:t>规范性引用文件</w:t>
      </w:r>
      <w:r>
        <w:tab/>
      </w:r>
      <w:r>
        <w:fldChar w:fldCharType="begin"/>
      </w:r>
      <w:r>
        <w:instrText xml:space="preserve"> PAGEREF _Toc110460605 \h </w:instrText>
      </w:r>
      <w:r>
        <w:fldChar w:fldCharType="separate"/>
      </w:r>
      <w:r>
        <w:t>11</w:t>
      </w:r>
      <w:r>
        <w:fldChar w:fldCharType="end"/>
      </w:r>
      <w:r>
        <w:fldChar w:fldCharType="end"/>
      </w:r>
    </w:p>
    <w:p w14:paraId="08E7A1EF">
      <w:pPr>
        <w:pStyle w:val="17"/>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"_Toc110460606" </w:instrText>
      </w:r>
      <w:r>
        <w:fldChar w:fldCharType="separate"/>
      </w:r>
      <w:r>
        <w:rPr>
          <w:rStyle w:val="27"/>
          <w:rFonts w:ascii="宋体" w:hAnsi="宋体"/>
          <w:color w:val="auto"/>
        </w:rPr>
        <w:t>3.</w:t>
      </w:r>
      <w:r>
        <w:rPr>
          <w:rStyle w:val="27"/>
          <w:rFonts w:hint="eastAsia" w:ascii="宋体" w:hAnsi="宋体"/>
          <w:color w:val="auto"/>
        </w:rPr>
        <w:t>术语、定义和缩写</w:t>
      </w:r>
      <w:r>
        <w:tab/>
      </w:r>
      <w:r>
        <w:fldChar w:fldCharType="begin"/>
      </w:r>
      <w:r>
        <w:instrText xml:space="preserve"> PAGEREF _Toc110460606 \h </w:instrText>
      </w:r>
      <w:r>
        <w:fldChar w:fldCharType="separate"/>
      </w:r>
      <w:r>
        <w:t>12</w:t>
      </w:r>
      <w:r>
        <w:fldChar w:fldCharType="end"/>
      </w:r>
      <w:r>
        <w:fldChar w:fldCharType="end"/>
      </w:r>
    </w:p>
    <w:p w14:paraId="7EBA3AFA">
      <w:pPr>
        <w:pStyle w:val="17"/>
        <w:tabs>
          <w:tab w:val="left" w:pos="42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"_Toc110460607" </w:instrText>
      </w:r>
      <w:r>
        <w:fldChar w:fldCharType="separate"/>
      </w:r>
      <w:r>
        <w:rPr>
          <w:rStyle w:val="27"/>
          <w:rFonts w:ascii="宋体" w:hAnsi="宋体"/>
          <w:color w:val="auto"/>
        </w:rPr>
        <w:t xml:space="preserve">4 </w:t>
      </w:r>
      <w:r>
        <w:rPr>
          <w:rFonts w:asciiTheme="minorHAnsi" w:hAnsiTheme="minorHAnsi" w:eastAsiaTheme="minorEastAsia" w:cstheme="minorBidi"/>
          <w:b w:val="0"/>
          <w:bCs w:val="0"/>
          <w:caps w:val="0"/>
          <w:sz w:val="21"/>
          <w:szCs w:val="22"/>
        </w:rPr>
        <w:tab/>
      </w:r>
      <w:r>
        <w:rPr>
          <w:rStyle w:val="27"/>
          <w:rFonts w:hint="eastAsia" w:ascii="宋体" w:hAnsi="宋体"/>
          <w:color w:val="auto"/>
        </w:rPr>
        <w:t>组织环境</w:t>
      </w:r>
      <w:r>
        <w:tab/>
      </w:r>
      <w:r>
        <w:fldChar w:fldCharType="begin"/>
      </w:r>
      <w:r>
        <w:instrText xml:space="preserve"> PAGEREF _Toc110460607 \h </w:instrText>
      </w:r>
      <w:r>
        <w:fldChar w:fldCharType="separate"/>
      </w:r>
      <w:r>
        <w:t>12</w:t>
      </w:r>
      <w:r>
        <w:fldChar w:fldCharType="end"/>
      </w:r>
      <w:r>
        <w:fldChar w:fldCharType="end"/>
      </w:r>
    </w:p>
    <w:p w14:paraId="38E0DE0C">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"_Toc110460608" </w:instrText>
      </w:r>
      <w:r>
        <w:fldChar w:fldCharType="separate"/>
      </w:r>
      <w:r>
        <w:rPr>
          <w:rStyle w:val="27"/>
          <w:rFonts w:ascii="宋体" w:hAnsi="宋体"/>
          <w:color w:val="auto"/>
        </w:rPr>
        <w:t>4.1</w:t>
      </w:r>
      <w:r>
        <w:rPr>
          <w:rFonts w:asciiTheme="minorHAnsi" w:hAnsiTheme="minorHAnsi" w:eastAsiaTheme="minorEastAsia" w:cstheme="minorBidi"/>
        </w:rPr>
        <w:tab/>
      </w:r>
      <w:r>
        <w:rPr>
          <w:rStyle w:val="27"/>
          <w:rFonts w:hint="eastAsia" w:ascii="宋体" w:hAnsi="宋体"/>
          <w:color w:val="auto"/>
        </w:rPr>
        <w:t>理解组织及其环境</w:t>
      </w:r>
      <w:r>
        <w:tab/>
      </w:r>
      <w:r>
        <w:fldChar w:fldCharType="begin"/>
      </w:r>
      <w:r>
        <w:instrText xml:space="preserve"> PAGEREF _Toc110460608 \h </w:instrText>
      </w:r>
      <w:r>
        <w:fldChar w:fldCharType="separate"/>
      </w:r>
      <w:r>
        <w:t>12</w:t>
      </w:r>
      <w:r>
        <w:fldChar w:fldCharType="end"/>
      </w:r>
      <w:r>
        <w:fldChar w:fldCharType="end"/>
      </w:r>
    </w:p>
    <w:p w14:paraId="40BD7870">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"_Toc110460609" </w:instrText>
      </w:r>
      <w:r>
        <w:fldChar w:fldCharType="separate"/>
      </w:r>
      <w:r>
        <w:rPr>
          <w:rStyle w:val="27"/>
          <w:rFonts w:ascii="宋体" w:hAnsi="宋体"/>
          <w:color w:val="auto"/>
        </w:rPr>
        <w:t>4.2</w:t>
      </w:r>
      <w:r>
        <w:rPr>
          <w:rFonts w:asciiTheme="minorHAnsi" w:hAnsiTheme="minorHAnsi" w:eastAsiaTheme="minorEastAsia" w:cstheme="minorBidi"/>
        </w:rPr>
        <w:tab/>
      </w:r>
      <w:r>
        <w:rPr>
          <w:rStyle w:val="27"/>
          <w:rFonts w:hint="eastAsia" w:ascii="宋体" w:hAnsi="宋体"/>
          <w:color w:val="auto"/>
        </w:rPr>
        <w:t>理解相关方的需求和期望</w:t>
      </w:r>
      <w:r>
        <w:tab/>
      </w:r>
      <w:r>
        <w:fldChar w:fldCharType="begin"/>
      </w:r>
      <w:r>
        <w:instrText xml:space="preserve"> PAGEREF _Toc110460609 \h </w:instrText>
      </w:r>
      <w:r>
        <w:fldChar w:fldCharType="separate"/>
      </w:r>
      <w:r>
        <w:t>13</w:t>
      </w:r>
      <w:r>
        <w:fldChar w:fldCharType="end"/>
      </w:r>
      <w:r>
        <w:fldChar w:fldCharType="end"/>
      </w:r>
    </w:p>
    <w:p w14:paraId="6A4B53BB">
      <w:pPr>
        <w:pStyle w:val="20"/>
        <w:tabs>
          <w:tab w:val="left" w:pos="1050"/>
          <w:tab w:val="right" w:leader="dot" w:pos="8296"/>
        </w:tabs>
      </w:pPr>
      <w:r>
        <w:fldChar w:fldCharType="begin"/>
      </w:r>
      <w:r>
        <w:instrText xml:space="preserve"> HYPERLINK \l "_Toc110460610" </w:instrText>
      </w:r>
      <w:r>
        <w:fldChar w:fldCharType="separate"/>
      </w:r>
      <w:r>
        <w:rPr>
          <w:rStyle w:val="27"/>
          <w:rFonts w:ascii="宋体" w:hAnsi="宋体"/>
          <w:color w:val="auto"/>
        </w:rPr>
        <w:t>4.3</w:t>
      </w:r>
      <w:r>
        <w:rPr>
          <w:rFonts w:asciiTheme="minorHAnsi" w:hAnsiTheme="minorHAnsi" w:eastAsiaTheme="minorEastAsia" w:cstheme="minorBidi"/>
        </w:rPr>
        <w:tab/>
      </w:r>
      <w:r>
        <w:rPr>
          <w:rStyle w:val="27"/>
          <w:rFonts w:hint="eastAsia" w:ascii="宋体" w:hAnsi="宋体"/>
          <w:color w:val="auto"/>
        </w:rPr>
        <w:t>确定食品安全管理体系、</w:t>
      </w:r>
      <w:r>
        <w:rPr>
          <w:rStyle w:val="27"/>
          <w:rFonts w:ascii="宋体" w:hAnsi="宋体"/>
          <w:color w:val="auto"/>
        </w:rPr>
        <w:t>HACCP</w:t>
      </w:r>
      <w:r>
        <w:rPr>
          <w:rStyle w:val="27"/>
          <w:rFonts w:hint="eastAsia" w:ascii="宋体" w:hAnsi="宋体"/>
          <w:color w:val="auto"/>
        </w:rPr>
        <w:t>体系的范围</w:t>
      </w:r>
      <w:r>
        <w:tab/>
      </w:r>
      <w:r>
        <w:fldChar w:fldCharType="begin"/>
      </w:r>
      <w:r>
        <w:instrText xml:space="preserve"> PAGEREF _Toc110460610 \h </w:instrText>
      </w:r>
      <w:r>
        <w:fldChar w:fldCharType="separate"/>
      </w:r>
      <w:r>
        <w:t>14</w:t>
      </w:r>
      <w:r>
        <w:fldChar w:fldCharType="end"/>
      </w:r>
      <w:r>
        <w:fldChar w:fldCharType="end"/>
      </w:r>
    </w:p>
    <w:p w14:paraId="76612BF5">
      <w:r>
        <w:rPr>
          <w:rFonts w:hint="eastAsia"/>
        </w:rPr>
        <w:t xml:space="preserve">    4.4   合规义务.....................................................................................................................14</w:t>
      </w:r>
    </w:p>
    <w:p w14:paraId="600479DC">
      <w:pPr>
        <w:pStyle w:val="2"/>
      </w:pPr>
      <w:r>
        <w:rPr>
          <w:rFonts w:hint="eastAsia"/>
        </w:rPr>
        <w:t xml:space="preserve">    4.5   食品安全文件.............................................................................................................14</w:t>
      </w:r>
    </w:p>
    <w:p w14:paraId="71896348">
      <w:pPr>
        <w:pStyle w:val="17"/>
        <w:tabs>
          <w:tab w:val="left" w:pos="420"/>
          <w:tab w:val="right" w:leader="dot" w:pos="8296"/>
        </w:tabs>
        <w:rPr>
          <w:rFonts w:asciiTheme="minorHAnsi" w:hAnsiTheme="minorHAnsi" w:cstheme="minorBidi"/>
          <w:b w:val="0"/>
          <w:bCs w:val="0"/>
          <w:caps w:val="0"/>
          <w:sz w:val="21"/>
          <w:szCs w:val="22"/>
        </w:rPr>
      </w:pPr>
      <w:r>
        <w:fldChar w:fldCharType="begin"/>
      </w:r>
      <w:r>
        <w:instrText xml:space="preserve"> HYPERLINK \l "_Toc110460611" </w:instrText>
      </w:r>
      <w:r>
        <w:fldChar w:fldCharType="separate"/>
      </w:r>
      <w:r>
        <w:rPr>
          <w:rStyle w:val="27"/>
          <w:rFonts w:ascii="宋体" w:hAnsi="宋体"/>
          <w:color w:val="auto"/>
        </w:rPr>
        <w:t>5</w:t>
      </w:r>
      <w:r>
        <w:rPr>
          <w:rFonts w:asciiTheme="minorHAnsi" w:hAnsiTheme="minorHAnsi" w:eastAsiaTheme="minorEastAsia" w:cstheme="minorBidi"/>
          <w:b w:val="0"/>
          <w:bCs w:val="0"/>
          <w:caps w:val="0"/>
          <w:sz w:val="21"/>
          <w:szCs w:val="22"/>
        </w:rPr>
        <w:tab/>
      </w:r>
      <w:r>
        <w:rPr>
          <w:rStyle w:val="27"/>
          <w:rFonts w:hint="eastAsia" w:ascii="宋体" w:hAnsi="宋体"/>
          <w:color w:val="auto"/>
        </w:rPr>
        <w:t>领导作用</w:t>
      </w:r>
      <w:r>
        <w:tab/>
      </w:r>
      <w:r>
        <w:rPr>
          <w:rFonts w:hint="eastAsia"/>
        </w:rPr>
        <w:t>1</w:t>
      </w:r>
      <w:r>
        <w:rPr>
          <w:rFonts w:hint="eastAsia"/>
        </w:rPr>
        <w:fldChar w:fldCharType="end"/>
      </w:r>
      <w:r>
        <w:rPr>
          <w:rFonts w:hint="eastAsia"/>
        </w:rPr>
        <w:t>5</w:t>
      </w:r>
    </w:p>
    <w:p w14:paraId="48C7B119">
      <w:pPr>
        <w:pStyle w:val="20"/>
        <w:tabs>
          <w:tab w:val="right" w:leader="dot" w:pos="8296"/>
        </w:tabs>
        <w:rPr>
          <w:rFonts w:asciiTheme="minorHAnsi" w:hAnsiTheme="minorHAnsi" w:cstheme="minorBidi"/>
        </w:rPr>
      </w:pPr>
      <w:r>
        <w:fldChar w:fldCharType="begin"/>
      </w:r>
      <w:r>
        <w:instrText xml:space="preserve"> HYPERLINK \l "_Toc110460612" </w:instrText>
      </w:r>
      <w:r>
        <w:fldChar w:fldCharType="separate"/>
      </w:r>
      <w:r>
        <w:rPr>
          <w:rStyle w:val="27"/>
          <w:rFonts w:ascii="宋体" w:hAnsi="宋体"/>
          <w:color w:val="auto"/>
        </w:rPr>
        <w:t xml:space="preserve">5.1 </w:t>
      </w:r>
      <w:r>
        <w:rPr>
          <w:rStyle w:val="27"/>
          <w:rFonts w:hint="eastAsia" w:ascii="宋体" w:hAnsi="宋体"/>
          <w:color w:val="auto"/>
        </w:rPr>
        <w:t>领导作用和承诺</w:t>
      </w:r>
      <w:r>
        <w:tab/>
      </w:r>
      <w:r>
        <w:rPr>
          <w:rFonts w:hint="eastAsia"/>
        </w:rPr>
        <w:t>1</w:t>
      </w:r>
      <w:r>
        <w:rPr>
          <w:rFonts w:hint="eastAsia"/>
        </w:rPr>
        <w:fldChar w:fldCharType="end"/>
      </w:r>
      <w:r>
        <w:rPr>
          <w:rFonts w:hint="eastAsia"/>
        </w:rPr>
        <w:t>5</w:t>
      </w:r>
    </w:p>
    <w:p w14:paraId="1C3AB4B0">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"_Toc110460613" </w:instrText>
      </w:r>
      <w:r>
        <w:fldChar w:fldCharType="separate"/>
      </w:r>
      <w:r>
        <w:rPr>
          <w:rStyle w:val="27"/>
          <w:rFonts w:ascii="宋体" w:hAnsi="宋体"/>
          <w:color w:val="auto"/>
        </w:rPr>
        <w:t>5.2</w:t>
      </w:r>
      <w:r>
        <w:rPr>
          <w:rFonts w:asciiTheme="minorHAnsi" w:hAnsiTheme="minorHAnsi" w:eastAsiaTheme="minorEastAsia" w:cstheme="minorBidi"/>
        </w:rPr>
        <w:tab/>
      </w:r>
      <w:r>
        <w:rPr>
          <w:rStyle w:val="27"/>
          <w:rFonts w:hint="eastAsia" w:ascii="宋体" w:hAnsi="宋体"/>
          <w:color w:val="auto"/>
        </w:rPr>
        <w:t>方针</w:t>
      </w:r>
      <w:r>
        <w:tab/>
      </w:r>
      <w:r>
        <w:fldChar w:fldCharType="begin"/>
      </w:r>
      <w:r>
        <w:instrText xml:space="preserve"> PAGEREF _Toc110460613 \h </w:instrText>
      </w:r>
      <w:r>
        <w:fldChar w:fldCharType="separate"/>
      </w:r>
      <w:r>
        <w:t>15</w:t>
      </w:r>
      <w:r>
        <w:fldChar w:fldCharType="end"/>
      </w:r>
      <w:r>
        <w:fldChar w:fldCharType="end"/>
      </w:r>
    </w:p>
    <w:p w14:paraId="7B59E589">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"_Toc110460614" </w:instrText>
      </w:r>
      <w:r>
        <w:fldChar w:fldCharType="separate"/>
      </w:r>
      <w:r>
        <w:rPr>
          <w:rStyle w:val="27"/>
          <w:rFonts w:ascii="宋体" w:hAnsi="宋体"/>
          <w:color w:val="auto"/>
        </w:rPr>
        <w:t>5.3</w:t>
      </w:r>
      <w:r>
        <w:rPr>
          <w:rFonts w:asciiTheme="minorHAnsi" w:hAnsiTheme="minorHAnsi" w:eastAsiaTheme="minorEastAsia" w:cstheme="minorBidi"/>
        </w:rPr>
        <w:tab/>
      </w:r>
      <w:r>
        <w:rPr>
          <w:rStyle w:val="27"/>
          <w:rFonts w:hint="eastAsia" w:ascii="宋体" w:hAnsi="宋体"/>
          <w:color w:val="auto"/>
        </w:rPr>
        <w:t>组织的岗位、职责和权限</w:t>
      </w:r>
      <w:r>
        <w:tab/>
      </w:r>
      <w:r>
        <w:fldChar w:fldCharType="begin"/>
      </w:r>
      <w:r>
        <w:instrText xml:space="preserve"> PAGEREF _Toc110460614 \h </w:instrText>
      </w:r>
      <w:r>
        <w:fldChar w:fldCharType="separate"/>
      </w:r>
      <w:r>
        <w:t>16</w:t>
      </w:r>
      <w:r>
        <w:fldChar w:fldCharType="end"/>
      </w:r>
      <w:r>
        <w:fldChar w:fldCharType="end"/>
      </w:r>
    </w:p>
    <w:p w14:paraId="3BC772E8">
      <w:pPr>
        <w:pStyle w:val="20"/>
        <w:tabs>
          <w:tab w:val="right" w:leader="dot" w:pos="8296"/>
        </w:tabs>
        <w:rPr>
          <w:rFonts w:asciiTheme="minorHAnsi" w:hAnsiTheme="minorHAnsi" w:eastAsiaTheme="minorEastAsia" w:cstheme="minorBidi"/>
        </w:rPr>
      </w:pPr>
      <w:r>
        <w:fldChar w:fldCharType="begin"/>
      </w:r>
      <w:r>
        <w:instrText xml:space="preserve"> HYPERLINK \l "_Toc110460615" </w:instrText>
      </w:r>
      <w:r>
        <w:fldChar w:fldCharType="separate"/>
      </w:r>
      <w:r>
        <w:rPr>
          <w:rStyle w:val="27"/>
          <w:color w:val="auto"/>
        </w:rPr>
        <w:t>5.4</w:t>
      </w:r>
      <w:r>
        <w:rPr>
          <w:rStyle w:val="27"/>
          <w:rFonts w:hint="eastAsia"/>
          <w:color w:val="auto"/>
        </w:rPr>
        <w:t>　工作人员的协商和参与</w:t>
      </w:r>
      <w:r>
        <w:tab/>
      </w:r>
      <w:r>
        <w:fldChar w:fldCharType="begin"/>
      </w:r>
      <w:r>
        <w:instrText xml:space="preserve"> PAGEREF _Toc110460615 \h </w:instrText>
      </w:r>
      <w:r>
        <w:fldChar w:fldCharType="separate"/>
      </w:r>
      <w:r>
        <w:t>21</w:t>
      </w:r>
      <w:r>
        <w:fldChar w:fldCharType="end"/>
      </w:r>
      <w:r>
        <w:fldChar w:fldCharType="end"/>
      </w:r>
    </w:p>
    <w:p w14:paraId="20861912">
      <w:pPr>
        <w:pStyle w:val="17"/>
        <w:tabs>
          <w:tab w:val="left" w:pos="42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"_Toc110460616" </w:instrText>
      </w:r>
      <w:r>
        <w:fldChar w:fldCharType="separate"/>
      </w:r>
      <w:r>
        <w:rPr>
          <w:rStyle w:val="27"/>
          <w:rFonts w:ascii="宋体" w:hAnsi="宋体"/>
          <w:color w:val="auto"/>
        </w:rPr>
        <w:t>6</w:t>
      </w:r>
      <w:r>
        <w:rPr>
          <w:rFonts w:asciiTheme="minorHAnsi" w:hAnsiTheme="minorHAnsi" w:eastAsiaTheme="minorEastAsia" w:cstheme="minorBidi"/>
          <w:b w:val="0"/>
          <w:bCs w:val="0"/>
          <w:caps w:val="0"/>
          <w:sz w:val="21"/>
          <w:szCs w:val="22"/>
        </w:rPr>
        <w:tab/>
      </w:r>
      <w:r>
        <w:rPr>
          <w:rStyle w:val="27"/>
          <w:rFonts w:hint="eastAsia" w:ascii="宋体" w:hAnsi="宋体"/>
          <w:color w:val="auto"/>
        </w:rPr>
        <w:t>策划</w:t>
      </w:r>
      <w:r>
        <w:tab/>
      </w:r>
      <w:r>
        <w:fldChar w:fldCharType="begin"/>
      </w:r>
      <w:r>
        <w:instrText xml:space="preserve"> PAGEREF _Toc110460616 \h </w:instrText>
      </w:r>
      <w:r>
        <w:fldChar w:fldCharType="separate"/>
      </w:r>
      <w:r>
        <w:t>22</w:t>
      </w:r>
      <w:r>
        <w:fldChar w:fldCharType="end"/>
      </w:r>
      <w:r>
        <w:fldChar w:fldCharType="end"/>
      </w:r>
    </w:p>
    <w:p w14:paraId="391C5533">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"_Toc110460617" </w:instrText>
      </w:r>
      <w:r>
        <w:fldChar w:fldCharType="separate"/>
      </w:r>
      <w:r>
        <w:rPr>
          <w:rStyle w:val="27"/>
          <w:rFonts w:ascii="宋体" w:hAnsi="宋体"/>
          <w:color w:val="auto"/>
        </w:rPr>
        <w:t>6.1</w:t>
      </w:r>
      <w:r>
        <w:rPr>
          <w:rFonts w:asciiTheme="minorHAnsi" w:hAnsiTheme="minorHAnsi" w:eastAsiaTheme="minorEastAsia" w:cstheme="minorBidi"/>
        </w:rPr>
        <w:tab/>
      </w:r>
      <w:r>
        <w:rPr>
          <w:rStyle w:val="27"/>
          <w:rFonts w:hint="eastAsia" w:ascii="宋体" w:hAnsi="宋体"/>
          <w:color w:val="auto"/>
        </w:rPr>
        <w:t>应对风险和机遇的措施</w:t>
      </w:r>
      <w:r>
        <w:tab/>
      </w:r>
      <w:r>
        <w:fldChar w:fldCharType="begin"/>
      </w:r>
      <w:r>
        <w:instrText xml:space="preserve"> PAGEREF _Toc110460617 \h </w:instrText>
      </w:r>
      <w:r>
        <w:fldChar w:fldCharType="separate"/>
      </w:r>
      <w:r>
        <w:t>22</w:t>
      </w:r>
      <w:r>
        <w:fldChar w:fldCharType="end"/>
      </w:r>
      <w:r>
        <w:fldChar w:fldCharType="end"/>
      </w:r>
    </w:p>
    <w:p w14:paraId="1F156CD6">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"_Toc110460618" </w:instrText>
      </w:r>
      <w:r>
        <w:fldChar w:fldCharType="separate"/>
      </w:r>
      <w:r>
        <w:rPr>
          <w:rStyle w:val="27"/>
          <w:rFonts w:ascii="宋体" w:hAnsi="宋体"/>
          <w:color w:val="auto"/>
        </w:rPr>
        <w:t>6.2</w:t>
      </w:r>
      <w:r>
        <w:rPr>
          <w:rFonts w:asciiTheme="minorHAnsi" w:hAnsiTheme="minorHAnsi" w:eastAsiaTheme="minorEastAsia" w:cstheme="minorBidi"/>
        </w:rPr>
        <w:tab/>
      </w:r>
      <w:r>
        <w:rPr>
          <w:rStyle w:val="27"/>
          <w:rFonts w:hint="eastAsia" w:ascii="宋体" w:hAnsi="宋体"/>
          <w:color w:val="auto"/>
        </w:rPr>
        <w:t>食品安全管理体系、</w:t>
      </w:r>
      <w:r>
        <w:rPr>
          <w:rStyle w:val="27"/>
          <w:rFonts w:ascii="宋体" w:hAnsi="宋体"/>
          <w:color w:val="auto"/>
        </w:rPr>
        <w:t>HACCP</w:t>
      </w:r>
      <w:r>
        <w:rPr>
          <w:rStyle w:val="27"/>
          <w:rFonts w:hint="eastAsia" w:ascii="宋体" w:hAnsi="宋体"/>
          <w:color w:val="auto"/>
        </w:rPr>
        <w:t>体系目标及其实现的策划</w:t>
      </w:r>
      <w:r>
        <w:tab/>
      </w:r>
      <w:r>
        <w:fldChar w:fldCharType="begin"/>
      </w:r>
      <w:r>
        <w:instrText xml:space="preserve"> PAGEREF _Toc110460618 \h </w:instrText>
      </w:r>
      <w:r>
        <w:fldChar w:fldCharType="separate"/>
      </w:r>
      <w:r>
        <w:t>22</w:t>
      </w:r>
      <w:r>
        <w:fldChar w:fldCharType="end"/>
      </w:r>
      <w:r>
        <w:fldChar w:fldCharType="end"/>
      </w:r>
    </w:p>
    <w:p w14:paraId="2C3AA873">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"_Toc110460619" </w:instrText>
      </w:r>
      <w:r>
        <w:fldChar w:fldCharType="separate"/>
      </w:r>
      <w:r>
        <w:rPr>
          <w:rStyle w:val="27"/>
          <w:rFonts w:ascii="宋体" w:hAnsi="宋体"/>
          <w:color w:val="auto"/>
        </w:rPr>
        <w:t>6.3</w:t>
      </w:r>
      <w:r>
        <w:rPr>
          <w:rFonts w:asciiTheme="minorHAnsi" w:hAnsiTheme="minorHAnsi" w:eastAsiaTheme="minorEastAsia" w:cstheme="minorBidi"/>
        </w:rPr>
        <w:tab/>
      </w:r>
      <w:r>
        <w:rPr>
          <w:rStyle w:val="27"/>
          <w:rFonts w:hint="eastAsia" w:ascii="宋体" w:hAnsi="宋体"/>
          <w:color w:val="auto"/>
        </w:rPr>
        <w:t>变更的策划</w:t>
      </w:r>
      <w:r>
        <w:tab/>
      </w:r>
      <w:r>
        <w:fldChar w:fldCharType="begin"/>
      </w:r>
      <w:r>
        <w:instrText xml:space="preserve"> PAGEREF _Toc110460619 \h </w:instrText>
      </w:r>
      <w:r>
        <w:fldChar w:fldCharType="separate"/>
      </w:r>
      <w:r>
        <w:t>23</w:t>
      </w:r>
      <w:r>
        <w:fldChar w:fldCharType="end"/>
      </w:r>
      <w:r>
        <w:fldChar w:fldCharType="end"/>
      </w:r>
    </w:p>
    <w:p w14:paraId="7CE0855D">
      <w:pPr>
        <w:pStyle w:val="17"/>
        <w:tabs>
          <w:tab w:val="left" w:pos="42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"_Toc110460620" </w:instrText>
      </w:r>
      <w:r>
        <w:fldChar w:fldCharType="separate"/>
      </w:r>
      <w:r>
        <w:rPr>
          <w:rStyle w:val="27"/>
          <w:rFonts w:ascii="宋体" w:hAnsi="宋体"/>
          <w:color w:val="auto"/>
        </w:rPr>
        <w:t xml:space="preserve">7 </w:t>
      </w:r>
      <w:r>
        <w:rPr>
          <w:rFonts w:asciiTheme="minorHAnsi" w:hAnsiTheme="minorHAnsi" w:eastAsiaTheme="minorEastAsia" w:cstheme="minorBidi"/>
          <w:b w:val="0"/>
          <w:bCs w:val="0"/>
          <w:caps w:val="0"/>
          <w:sz w:val="21"/>
          <w:szCs w:val="22"/>
        </w:rPr>
        <w:tab/>
      </w:r>
      <w:r>
        <w:rPr>
          <w:rStyle w:val="27"/>
          <w:rFonts w:hint="eastAsia" w:ascii="宋体" w:hAnsi="宋体"/>
          <w:color w:val="auto"/>
        </w:rPr>
        <w:t>支持</w:t>
      </w:r>
      <w:r>
        <w:tab/>
      </w:r>
      <w:r>
        <w:fldChar w:fldCharType="begin"/>
      </w:r>
      <w:r>
        <w:instrText xml:space="preserve"> PAGEREF _Toc110460620 \h </w:instrText>
      </w:r>
      <w:r>
        <w:fldChar w:fldCharType="separate"/>
      </w:r>
      <w:r>
        <w:t>23</w:t>
      </w:r>
      <w:r>
        <w:fldChar w:fldCharType="end"/>
      </w:r>
      <w:r>
        <w:fldChar w:fldCharType="end"/>
      </w:r>
    </w:p>
    <w:p w14:paraId="3F4CD0FB">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"_Toc110460621" </w:instrText>
      </w:r>
      <w:r>
        <w:fldChar w:fldCharType="separate"/>
      </w:r>
      <w:r>
        <w:rPr>
          <w:rStyle w:val="27"/>
          <w:rFonts w:ascii="宋体" w:hAnsi="宋体"/>
          <w:color w:val="auto"/>
        </w:rPr>
        <w:t>7.1</w:t>
      </w:r>
      <w:r>
        <w:rPr>
          <w:rFonts w:asciiTheme="minorHAnsi" w:hAnsiTheme="minorHAnsi" w:eastAsiaTheme="minorEastAsia" w:cstheme="minorBidi"/>
        </w:rPr>
        <w:tab/>
      </w:r>
      <w:r>
        <w:rPr>
          <w:rStyle w:val="27"/>
          <w:rFonts w:hint="eastAsia" w:ascii="宋体" w:hAnsi="宋体"/>
          <w:color w:val="auto"/>
        </w:rPr>
        <w:t>资源</w:t>
      </w:r>
      <w:r>
        <w:tab/>
      </w:r>
      <w:r>
        <w:fldChar w:fldCharType="begin"/>
      </w:r>
      <w:r>
        <w:instrText xml:space="preserve"> PAGEREF _Toc110460621 \h </w:instrText>
      </w:r>
      <w:r>
        <w:fldChar w:fldCharType="separate"/>
      </w:r>
      <w:r>
        <w:t>23</w:t>
      </w:r>
      <w:r>
        <w:fldChar w:fldCharType="end"/>
      </w:r>
      <w:r>
        <w:fldChar w:fldCharType="end"/>
      </w:r>
    </w:p>
    <w:p w14:paraId="21A61709">
      <w:pPr>
        <w:pStyle w:val="11"/>
        <w:tabs>
          <w:tab w:val="right" w:leader="dot" w:pos="8296"/>
        </w:tabs>
        <w:rPr>
          <w:rFonts w:asciiTheme="minorHAnsi" w:hAnsiTheme="minorHAnsi" w:eastAsiaTheme="minorEastAsia" w:cstheme="minorBidi"/>
        </w:rPr>
      </w:pPr>
      <w:r>
        <w:fldChar w:fldCharType="begin"/>
      </w:r>
      <w:r>
        <w:instrText xml:space="preserve"> HYPERLINK \l "_Toc110460622" </w:instrText>
      </w:r>
      <w:r>
        <w:fldChar w:fldCharType="separate"/>
      </w:r>
      <w:r>
        <w:rPr>
          <w:rStyle w:val="27"/>
          <w:rFonts w:ascii="宋体" w:hAnsi="宋体"/>
          <w:color w:val="auto"/>
        </w:rPr>
        <w:t xml:space="preserve">7.1.1 </w:t>
      </w:r>
      <w:r>
        <w:rPr>
          <w:rStyle w:val="27"/>
          <w:rFonts w:hint="eastAsia" w:ascii="宋体" w:hAnsi="宋体"/>
          <w:color w:val="auto"/>
        </w:rPr>
        <w:t>总则</w:t>
      </w:r>
      <w:r>
        <w:tab/>
      </w:r>
      <w:r>
        <w:fldChar w:fldCharType="begin"/>
      </w:r>
      <w:r>
        <w:instrText xml:space="preserve"> PAGEREF _Toc110460622 \h </w:instrText>
      </w:r>
      <w:r>
        <w:fldChar w:fldCharType="separate"/>
      </w:r>
      <w:r>
        <w:t>23</w:t>
      </w:r>
      <w:r>
        <w:fldChar w:fldCharType="end"/>
      </w:r>
      <w:r>
        <w:fldChar w:fldCharType="end"/>
      </w:r>
    </w:p>
    <w:p w14:paraId="52CC3A9B">
      <w:pPr>
        <w:pStyle w:val="11"/>
        <w:tabs>
          <w:tab w:val="left" w:pos="1680"/>
          <w:tab w:val="right" w:leader="dot" w:pos="8296"/>
        </w:tabs>
        <w:rPr>
          <w:rFonts w:asciiTheme="minorHAnsi" w:hAnsiTheme="minorHAnsi" w:eastAsiaTheme="minorEastAsia" w:cstheme="minorBidi"/>
        </w:rPr>
      </w:pPr>
      <w:r>
        <w:fldChar w:fldCharType="begin"/>
      </w:r>
      <w:r>
        <w:instrText xml:space="preserve"> HYPERLINK \l "_Toc110460623" </w:instrText>
      </w:r>
      <w:r>
        <w:fldChar w:fldCharType="separate"/>
      </w:r>
      <w:r>
        <w:rPr>
          <w:rStyle w:val="27"/>
          <w:rFonts w:ascii="宋体" w:hAnsi="宋体"/>
          <w:color w:val="auto"/>
        </w:rPr>
        <w:t>7.1.2</w:t>
      </w:r>
      <w:r>
        <w:rPr>
          <w:rFonts w:asciiTheme="minorHAnsi" w:hAnsiTheme="minorHAnsi" w:eastAsiaTheme="minorEastAsia" w:cstheme="minorBidi"/>
        </w:rPr>
        <w:tab/>
      </w:r>
      <w:r>
        <w:rPr>
          <w:rStyle w:val="27"/>
          <w:rFonts w:hint="eastAsia" w:ascii="宋体" w:hAnsi="宋体"/>
          <w:color w:val="auto"/>
        </w:rPr>
        <w:t>人员</w:t>
      </w:r>
      <w:r>
        <w:tab/>
      </w:r>
      <w:r>
        <w:fldChar w:fldCharType="begin"/>
      </w:r>
      <w:r>
        <w:instrText xml:space="preserve"> PAGEREF _Toc110460623 \h </w:instrText>
      </w:r>
      <w:r>
        <w:fldChar w:fldCharType="separate"/>
      </w:r>
      <w:r>
        <w:t>24</w:t>
      </w:r>
      <w:r>
        <w:fldChar w:fldCharType="end"/>
      </w:r>
      <w:r>
        <w:fldChar w:fldCharType="end"/>
      </w:r>
    </w:p>
    <w:p w14:paraId="49A49D35">
      <w:pPr>
        <w:pStyle w:val="11"/>
        <w:tabs>
          <w:tab w:val="right" w:leader="dot" w:pos="8296"/>
        </w:tabs>
        <w:rPr>
          <w:rFonts w:asciiTheme="minorHAnsi" w:hAnsiTheme="minorHAnsi" w:eastAsiaTheme="minorEastAsia" w:cstheme="minorBidi"/>
        </w:rPr>
      </w:pPr>
      <w:r>
        <w:fldChar w:fldCharType="begin"/>
      </w:r>
      <w:r>
        <w:instrText xml:space="preserve"> HYPERLINK \l "_Toc110460624" </w:instrText>
      </w:r>
      <w:r>
        <w:fldChar w:fldCharType="separate"/>
      </w:r>
      <w:r>
        <w:rPr>
          <w:rStyle w:val="27"/>
          <w:rFonts w:ascii="宋体" w:hAnsi="宋体"/>
          <w:color w:val="auto"/>
        </w:rPr>
        <w:t xml:space="preserve">7.1.3 </w:t>
      </w:r>
      <w:r>
        <w:rPr>
          <w:rStyle w:val="27"/>
          <w:rFonts w:hint="eastAsia" w:ascii="宋体" w:hAnsi="宋体"/>
          <w:color w:val="auto"/>
        </w:rPr>
        <w:t>基础设施</w:t>
      </w:r>
      <w:r>
        <w:tab/>
      </w:r>
      <w:r>
        <w:fldChar w:fldCharType="begin"/>
      </w:r>
      <w:r>
        <w:instrText xml:space="preserve"> PAGEREF _Toc110460624 \h </w:instrText>
      </w:r>
      <w:r>
        <w:fldChar w:fldCharType="separate"/>
      </w:r>
      <w:r>
        <w:t>24</w:t>
      </w:r>
      <w:r>
        <w:fldChar w:fldCharType="end"/>
      </w:r>
      <w:r>
        <w:fldChar w:fldCharType="end"/>
      </w:r>
    </w:p>
    <w:p w14:paraId="2D1BE228">
      <w:pPr>
        <w:pStyle w:val="11"/>
        <w:tabs>
          <w:tab w:val="left" w:pos="1680"/>
          <w:tab w:val="right" w:leader="dot" w:pos="8296"/>
        </w:tabs>
        <w:rPr>
          <w:rFonts w:asciiTheme="minorHAnsi" w:hAnsiTheme="minorHAnsi" w:eastAsiaTheme="minorEastAsia" w:cstheme="minorBidi"/>
        </w:rPr>
      </w:pPr>
      <w:r>
        <w:fldChar w:fldCharType="begin"/>
      </w:r>
      <w:r>
        <w:instrText xml:space="preserve"> HYPERLINK \l "_Toc110460625" </w:instrText>
      </w:r>
      <w:r>
        <w:fldChar w:fldCharType="separate"/>
      </w:r>
      <w:r>
        <w:rPr>
          <w:rStyle w:val="27"/>
          <w:rFonts w:ascii="宋体" w:hAnsi="宋体"/>
          <w:color w:val="auto"/>
        </w:rPr>
        <w:t>7.1.4</w:t>
      </w:r>
      <w:r>
        <w:rPr>
          <w:rFonts w:asciiTheme="minorHAnsi" w:hAnsiTheme="minorHAnsi" w:eastAsiaTheme="minorEastAsia" w:cstheme="minorBidi"/>
        </w:rPr>
        <w:tab/>
      </w:r>
      <w:r>
        <w:rPr>
          <w:rStyle w:val="27"/>
          <w:rFonts w:hint="eastAsia" w:ascii="宋体" w:hAnsi="宋体"/>
          <w:color w:val="auto"/>
        </w:rPr>
        <w:t>工作环境</w:t>
      </w:r>
      <w:r>
        <w:tab/>
      </w:r>
      <w:r>
        <w:fldChar w:fldCharType="begin"/>
      </w:r>
      <w:r>
        <w:instrText xml:space="preserve"> PAGEREF _Toc110460625 \h </w:instrText>
      </w:r>
      <w:r>
        <w:fldChar w:fldCharType="separate"/>
      </w:r>
      <w:r>
        <w:t>24</w:t>
      </w:r>
      <w:r>
        <w:fldChar w:fldCharType="end"/>
      </w:r>
      <w:r>
        <w:fldChar w:fldCharType="end"/>
      </w:r>
    </w:p>
    <w:p w14:paraId="16644EA5">
      <w:pPr>
        <w:pStyle w:val="11"/>
        <w:tabs>
          <w:tab w:val="right" w:leader="dot" w:pos="8296"/>
        </w:tabs>
        <w:rPr>
          <w:rFonts w:asciiTheme="minorHAnsi" w:hAnsiTheme="minorHAnsi" w:eastAsiaTheme="minorEastAsia" w:cstheme="minorBidi"/>
        </w:rPr>
      </w:pPr>
      <w:r>
        <w:fldChar w:fldCharType="begin"/>
      </w:r>
      <w:r>
        <w:instrText xml:space="preserve"> HYPERLINK \l "_Toc110460626" </w:instrText>
      </w:r>
      <w:r>
        <w:fldChar w:fldCharType="separate"/>
      </w:r>
      <w:r>
        <w:rPr>
          <w:rStyle w:val="27"/>
          <w:color w:val="auto"/>
        </w:rPr>
        <w:t xml:space="preserve">7.1.5 </w:t>
      </w:r>
      <w:r>
        <w:rPr>
          <w:rStyle w:val="27"/>
          <w:rFonts w:hint="eastAsia"/>
          <w:color w:val="auto"/>
        </w:rPr>
        <w:t>监视和测量资源</w:t>
      </w:r>
      <w:r>
        <w:tab/>
      </w:r>
      <w:r>
        <w:fldChar w:fldCharType="begin"/>
      </w:r>
      <w:r>
        <w:instrText xml:space="preserve"> PAGEREF _Toc110460626 \h </w:instrText>
      </w:r>
      <w:r>
        <w:fldChar w:fldCharType="separate"/>
      </w:r>
      <w:r>
        <w:t>24</w:t>
      </w:r>
      <w:r>
        <w:fldChar w:fldCharType="end"/>
      </w:r>
      <w:r>
        <w:fldChar w:fldCharType="end"/>
      </w:r>
    </w:p>
    <w:p w14:paraId="085009CC">
      <w:pPr>
        <w:pStyle w:val="11"/>
        <w:tabs>
          <w:tab w:val="right" w:leader="dot" w:pos="8296"/>
        </w:tabs>
        <w:rPr>
          <w:rFonts w:asciiTheme="minorHAnsi" w:hAnsiTheme="minorHAnsi" w:eastAsiaTheme="minorEastAsia" w:cstheme="minorBidi"/>
        </w:rPr>
      </w:pPr>
      <w:r>
        <w:fldChar w:fldCharType="begin"/>
      </w:r>
      <w:r>
        <w:instrText xml:space="preserve"> HYPERLINK \l "_Toc110460627" </w:instrText>
      </w:r>
      <w:r>
        <w:fldChar w:fldCharType="separate"/>
      </w:r>
      <w:r>
        <w:rPr>
          <w:rStyle w:val="27"/>
          <w:color w:val="auto"/>
        </w:rPr>
        <w:t xml:space="preserve">7.1.6 </w:t>
      </w:r>
      <w:r>
        <w:rPr>
          <w:rStyle w:val="27"/>
          <w:rFonts w:hint="eastAsia"/>
          <w:color w:val="auto"/>
        </w:rPr>
        <w:t>公司的知识</w:t>
      </w:r>
      <w:r>
        <w:tab/>
      </w:r>
      <w:r>
        <w:fldChar w:fldCharType="begin"/>
      </w:r>
      <w:r>
        <w:instrText xml:space="preserve"> PAGEREF _Toc110460627 \h </w:instrText>
      </w:r>
      <w:r>
        <w:fldChar w:fldCharType="separate"/>
      </w:r>
      <w:r>
        <w:t>25</w:t>
      </w:r>
      <w:r>
        <w:fldChar w:fldCharType="end"/>
      </w:r>
      <w:r>
        <w:fldChar w:fldCharType="end"/>
      </w:r>
    </w:p>
    <w:p w14:paraId="7B340C88">
      <w:pPr>
        <w:pStyle w:val="11"/>
        <w:tabs>
          <w:tab w:val="right" w:leader="dot" w:pos="8296"/>
        </w:tabs>
        <w:rPr>
          <w:rFonts w:asciiTheme="minorHAnsi" w:hAnsiTheme="minorHAnsi" w:eastAsiaTheme="minorEastAsia" w:cstheme="minorBidi"/>
        </w:rPr>
      </w:pPr>
      <w:r>
        <w:fldChar w:fldCharType="begin"/>
      </w:r>
      <w:r>
        <w:instrText xml:space="preserve"> HYPERLINK \l "_Toc110460628" </w:instrText>
      </w:r>
      <w:r>
        <w:fldChar w:fldCharType="separate"/>
      </w:r>
      <w:r>
        <w:rPr>
          <w:rStyle w:val="27"/>
          <w:rFonts w:ascii="宋体" w:hAnsi="宋体"/>
          <w:color w:val="auto"/>
        </w:rPr>
        <w:t>7.1.7</w:t>
      </w:r>
      <w:r>
        <w:rPr>
          <w:rStyle w:val="27"/>
          <w:rFonts w:hint="eastAsia" w:ascii="宋体" w:hAnsi="宋体"/>
          <w:color w:val="auto"/>
        </w:rPr>
        <w:t>食品安全管理体系外部开发要素</w:t>
      </w:r>
      <w:r>
        <w:tab/>
      </w:r>
      <w:r>
        <w:fldChar w:fldCharType="begin"/>
      </w:r>
      <w:r>
        <w:instrText xml:space="preserve"> PAGEREF _Toc110460628 \h </w:instrText>
      </w:r>
      <w:r>
        <w:fldChar w:fldCharType="separate"/>
      </w:r>
      <w:r>
        <w:t>27</w:t>
      </w:r>
      <w:r>
        <w:fldChar w:fldCharType="end"/>
      </w:r>
      <w:r>
        <w:fldChar w:fldCharType="end"/>
      </w:r>
    </w:p>
    <w:p w14:paraId="3ABA90E3">
      <w:pPr>
        <w:pStyle w:val="20"/>
        <w:tabs>
          <w:tab w:val="right" w:leader="dot" w:pos="8296"/>
        </w:tabs>
        <w:rPr>
          <w:rFonts w:asciiTheme="minorHAnsi" w:hAnsiTheme="minorHAnsi" w:eastAsiaTheme="minorEastAsia" w:cstheme="minorBidi"/>
        </w:rPr>
      </w:pPr>
      <w:r>
        <w:fldChar w:fldCharType="begin"/>
      </w:r>
      <w:r>
        <w:instrText xml:space="preserve"> HYPERLINK \l "_Toc110460629" </w:instrText>
      </w:r>
      <w:r>
        <w:fldChar w:fldCharType="separate"/>
      </w:r>
      <w:r>
        <w:rPr>
          <w:rStyle w:val="27"/>
          <w:rFonts w:ascii="宋体" w:hAnsi="宋体"/>
          <w:color w:val="auto"/>
        </w:rPr>
        <w:t xml:space="preserve">7.2  </w:t>
      </w:r>
      <w:r>
        <w:rPr>
          <w:rStyle w:val="27"/>
          <w:rFonts w:hint="eastAsia" w:ascii="宋体" w:hAnsi="宋体"/>
          <w:color w:val="auto"/>
        </w:rPr>
        <w:t>能力</w:t>
      </w:r>
      <w:r>
        <w:tab/>
      </w:r>
      <w:r>
        <w:fldChar w:fldCharType="begin"/>
      </w:r>
      <w:r>
        <w:instrText xml:space="preserve"> PAGEREF _Toc110460629 \h </w:instrText>
      </w:r>
      <w:r>
        <w:fldChar w:fldCharType="separate"/>
      </w:r>
      <w:r>
        <w:t>27</w:t>
      </w:r>
      <w:r>
        <w:fldChar w:fldCharType="end"/>
      </w:r>
      <w:r>
        <w:fldChar w:fldCharType="end"/>
      </w:r>
    </w:p>
    <w:p w14:paraId="511E7BA2">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"_Toc110460630" </w:instrText>
      </w:r>
      <w:r>
        <w:fldChar w:fldCharType="separate"/>
      </w:r>
      <w:r>
        <w:rPr>
          <w:rStyle w:val="27"/>
          <w:rFonts w:ascii="宋体" w:hAnsi="宋体"/>
          <w:color w:val="auto"/>
        </w:rPr>
        <w:t>7.3</w:t>
      </w:r>
      <w:r>
        <w:rPr>
          <w:rFonts w:asciiTheme="minorHAnsi" w:hAnsiTheme="minorHAnsi" w:eastAsiaTheme="minorEastAsia" w:cstheme="minorBidi"/>
        </w:rPr>
        <w:tab/>
      </w:r>
      <w:r>
        <w:rPr>
          <w:rStyle w:val="27"/>
          <w:rFonts w:hint="eastAsia" w:ascii="宋体" w:hAnsi="宋体"/>
          <w:color w:val="auto"/>
        </w:rPr>
        <w:t>意识</w:t>
      </w:r>
      <w:r>
        <w:tab/>
      </w:r>
      <w:r>
        <w:fldChar w:fldCharType="begin"/>
      </w:r>
      <w:r>
        <w:instrText xml:space="preserve"> PAGEREF _Toc110460630 \h </w:instrText>
      </w:r>
      <w:r>
        <w:fldChar w:fldCharType="separate"/>
      </w:r>
      <w:r>
        <w:t>27</w:t>
      </w:r>
      <w:r>
        <w:fldChar w:fldCharType="end"/>
      </w:r>
      <w:r>
        <w:fldChar w:fldCharType="end"/>
      </w:r>
    </w:p>
    <w:p w14:paraId="15D31F28">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"_Toc110460631" </w:instrText>
      </w:r>
      <w:r>
        <w:fldChar w:fldCharType="separate"/>
      </w:r>
      <w:r>
        <w:rPr>
          <w:rStyle w:val="27"/>
          <w:rFonts w:ascii="宋体" w:hAnsi="宋体"/>
          <w:color w:val="auto"/>
        </w:rPr>
        <w:t>7.4</w:t>
      </w:r>
      <w:r>
        <w:rPr>
          <w:rFonts w:asciiTheme="minorHAnsi" w:hAnsiTheme="minorHAnsi" w:eastAsiaTheme="minorEastAsia" w:cstheme="minorBidi"/>
        </w:rPr>
        <w:tab/>
      </w:r>
      <w:r>
        <w:rPr>
          <w:rStyle w:val="27"/>
          <w:rFonts w:hint="eastAsia" w:ascii="宋体" w:hAnsi="宋体"/>
          <w:color w:val="auto"/>
        </w:rPr>
        <w:t>沟通</w:t>
      </w:r>
      <w:r>
        <w:tab/>
      </w:r>
      <w:r>
        <w:fldChar w:fldCharType="begin"/>
      </w:r>
      <w:r>
        <w:instrText xml:space="preserve"> PAGEREF _Toc110460631 \h </w:instrText>
      </w:r>
      <w:r>
        <w:fldChar w:fldCharType="separate"/>
      </w:r>
      <w:r>
        <w:t>28</w:t>
      </w:r>
      <w:r>
        <w:fldChar w:fldCharType="end"/>
      </w:r>
      <w:r>
        <w:fldChar w:fldCharType="end"/>
      </w:r>
    </w:p>
    <w:p w14:paraId="7412F639">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"_Toc110460632" </w:instrText>
      </w:r>
      <w:r>
        <w:fldChar w:fldCharType="separate"/>
      </w:r>
      <w:r>
        <w:rPr>
          <w:rStyle w:val="27"/>
          <w:rFonts w:ascii="宋体" w:hAnsi="宋体"/>
          <w:color w:val="auto"/>
        </w:rPr>
        <w:t>7.5</w:t>
      </w:r>
      <w:r>
        <w:rPr>
          <w:rFonts w:asciiTheme="minorHAnsi" w:hAnsiTheme="minorHAnsi" w:eastAsiaTheme="minorEastAsia" w:cstheme="minorBidi"/>
        </w:rPr>
        <w:tab/>
      </w:r>
      <w:r>
        <w:rPr>
          <w:rStyle w:val="27"/>
          <w:rFonts w:hint="eastAsia" w:ascii="宋体" w:hAnsi="宋体"/>
          <w:color w:val="auto"/>
        </w:rPr>
        <w:t>成文信息</w:t>
      </w:r>
      <w:r>
        <w:tab/>
      </w:r>
      <w:r>
        <w:fldChar w:fldCharType="begin"/>
      </w:r>
      <w:r>
        <w:instrText xml:space="preserve"> PAGEREF _Toc110460632 \h </w:instrText>
      </w:r>
      <w:r>
        <w:fldChar w:fldCharType="separate"/>
      </w:r>
      <w:r>
        <w:t>29</w:t>
      </w:r>
      <w:r>
        <w:fldChar w:fldCharType="end"/>
      </w:r>
      <w:r>
        <w:fldChar w:fldCharType="end"/>
      </w:r>
    </w:p>
    <w:p w14:paraId="2D466830">
      <w:pPr>
        <w:pStyle w:val="17"/>
        <w:tabs>
          <w:tab w:val="left" w:pos="420"/>
          <w:tab w:val="right" w:leader="dot" w:pos="8296"/>
        </w:tabs>
        <w:rPr>
          <w:b w:val="0"/>
          <w:bCs w:val="0"/>
        </w:rPr>
      </w:pPr>
      <w:r>
        <w:rPr>
          <w:b w:val="0"/>
          <w:bCs w:val="0"/>
        </w:rPr>
        <w:fldChar w:fldCharType="begin"/>
      </w:r>
      <w:r>
        <w:rPr>
          <w:b w:val="0"/>
          <w:bCs w:val="0"/>
        </w:rPr>
        <w:instrText xml:space="preserve"> HYPERLINK \l "_Toc110460633" </w:instrText>
      </w:r>
      <w:r>
        <w:rPr>
          <w:b w:val="0"/>
          <w:bCs w:val="0"/>
        </w:rPr>
        <w:fldChar w:fldCharType="separate"/>
      </w:r>
      <w:r>
        <w:rPr>
          <w:rStyle w:val="27"/>
          <w:rFonts w:ascii="宋体" w:hAnsi="宋体"/>
          <w:b w:val="0"/>
          <w:bCs w:val="0"/>
          <w:color w:val="auto"/>
        </w:rPr>
        <w:t>8</w:t>
      </w:r>
      <w:r>
        <w:rPr>
          <w:rStyle w:val="27"/>
          <w:rFonts w:hint="eastAsia" w:ascii="宋体" w:hAnsi="宋体"/>
          <w:b w:val="0"/>
          <w:bCs w:val="0"/>
          <w:color w:val="auto"/>
          <w:lang w:val="en-US" w:eastAsia="zh-CN"/>
        </w:rPr>
        <w:t>.1</w:t>
      </w:r>
      <w:r>
        <w:rPr>
          <w:rFonts w:asciiTheme="minorHAnsi" w:hAnsiTheme="minorHAnsi" w:eastAsiaTheme="minorEastAsia" w:cstheme="minorBidi"/>
          <w:b w:val="0"/>
          <w:bCs w:val="0"/>
          <w:caps w:val="0"/>
          <w:sz w:val="21"/>
          <w:szCs w:val="22"/>
        </w:rPr>
        <w:tab/>
      </w:r>
      <w:r>
        <w:rPr>
          <w:rStyle w:val="27"/>
          <w:rFonts w:hint="eastAsia" w:ascii="宋体" w:hAnsi="宋体"/>
          <w:b w:val="0"/>
          <w:bCs w:val="0"/>
          <w:color w:val="auto"/>
        </w:rPr>
        <w:t>运行</w:t>
      </w:r>
      <w:r>
        <w:rPr>
          <w:b w:val="0"/>
          <w:bCs w:val="0"/>
        </w:rPr>
        <w:tab/>
      </w:r>
      <w:r>
        <w:rPr>
          <w:rFonts w:hint="eastAsia"/>
          <w:b w:val="0"/>
          <w:bCs w:val="0"/>
          <w:lang w:val="en-US" w:eastAsia="zh-CN"/>
        </w:rPr>
        <w:t>2</w:t>
      </w:r>
      <w:r>
        <w:rPr>
          <w:b w:val="0"/>
          <w:bCs w:val="0"/>
        </w:rPr>
        <w:fldChar w:fldCharType="end"/>
      </w:r>
      <w:r>
        <w:rPr>
          <w:rFonts w:hint="eastAsia"/>
          <w:b w:val="0"/>
          <w:bCs w:val="0"/>
          <w:lang w:val="en-US" w:eastAsia="zh-CN"/>
        </w:rPr>
        <w:t>9</w:t>
      </w:r>
    </w:p>
    <w:p w14:paraId="1F62B8E9">
      <w:pPr>
        <w:spacing w:line="440" w:lineRule="exact"/>
        <w:rPr>
          <w:rFonts w:asciiTheme="minorHAnsi" w:hAnsiTheme="minorHAnsi" w:eastAsiaTheme="minorEastAsia" w:cstheme="minorBidi"/>
          <w:b w:val="0"/>
          <w:bCs w:val="0"/>
        </w:rPr>
      </w:pPr>
      <w:r>
        <w:rPr>
          <w:b w:val="0"/>
          <w:bCs w:val="0"/>
        </w:rPr>
        <w:fldChar w:fldCharType="begin"/>
      </w:r>
      <w:r>
        <w:rPr>
          <w:b w:val="0"/>
          <w:bCs w:val="0"/>
        </w:rPr>
        <w:instrText xml:space="preserve"> HYPERLINK \l "_Toc110460637" </w:instrText>
      </w:r>
      <w:r>
        <w:rPr>
          <w:b w:val="0"/>
          <w:bCs w:val="0"/>
        </w:rPr>
        <w:fldChar w:fldCharType="separate"/>
      </w:r>
      <w:r>
        <w:rPr>
          <w:rFonts w:hint="eastAsia" w:ascii="宋体" w:hAnsi="宋体"/>
          <w:b w:val="0"/>
          <w:bCs w:val="0"/>
          <w:color w:val="000000"/>
          <w:sz w:val="24"/>
        </w:rPr>
        <w:t>8.2产品和服务要求</w:t>
      </w:r>
      <w:r>
        <w:rPr>
          <w:b w:val="0"/>
          <w:bCs w:val="0"/>
        </w:rPr>
        <w:tab/>
      </w:r>
      <w:r>
        <w:rPr>
          <w:rFonts w:hint="eastAsia"/>
          <w:b w:val="0"/>
          <w:bCs w:val="0"/>
          <w:lang w:val="en-US" w:eastAsia="zh-CN"/>
        </w:rPr>
        <w:t xml:space="preserve">                                                     </w:t>
      </w:r>
      <w:r>
        <w:rPr>
          <w:b w:val="0"/>
          <w:bCs w:val="0"/>
        </w:rPr>
        <w:fldChar w:fldCharType="begin"/>
      </w:r>
      <w:r>
        <w:rPr>
          <w:b w:val="0"/>
          <w:bCs w:val="0"/>
        </w:rPr>
        <w:instrText xml:space="preserve"> PAGEREF _Toc110460637 \h </w:instrText>
      </w:r>
      <w:r>
        <w:rPr>
          <w:b w:val="0"/>
          <w:bCs w:val="0"/>
        </w:rPr>
        <w:fldChar w:fldCharType="separate"/>
      </w:r>
      <w:r>
        <w:rPr>
          <w:rFonts w:hint="eastAsia"/>
          <w:b w:val="0"/>
          <w:bCs w:val="0"/>
          <w:lang w:val="en-US" w:eastAsia="zh-CN"/>
        </w:rPr>
        <w:t>3</w:t>
      </w:r>
      <w:r>
        <w:rPr>
          <w:b w:val="0"/>
          <w:bCs w:val="0"/>
        </w:rPr>
        <w:t>0</w:t>
      </w:r>
      <w:r>
        <w:rPr>
          <w:b w:val="0"/>
          <w:bCs w:val="0"/>
        </w:rPr>
        <w:fldChar w:fldCharType="end"/>
      </w:r>
      <w:r>
        <w:rPr>
          <w:b w:val="0"/>
          <w:bCs w:val="0"/>
        </w:rPr>
        <w:fldChar w:fldCharType="end"/>
      </w:r>
    </w:p>
    <w:p w14:paraId="0AD1DC1F">
      <w:pPr>
        <w:pStyle w:val="20"/>
        <w:tabs>
          <w:tab w:val="right" w:leader="dot" w:pos="8296"/>
        </w:tabs>
        <w:ind w:left="0" w:leftChars="0" w:firstLine="0" w:firstLineChars="0"/>
        <w:rPr>
          <w:rFonts w:hint="eastAsia" w:eastAsia="宋体" w:asciiTheme="minorHAnsi" w:hAnsiTheme="minorHAnsi" w:cstheme="minorBidi"/>
          <w:b w:val="0"/>
          <w:bCs w:val="0"/>
          <w:lang w:val="en-US" w:eastAsia="zh-CN"/>
        </w:rPr>
      </w:pPr>
      <w:r>
        <w:rPr>
          <w:b w:val="0"/>
          <w:bCs w:val="0"/>
        </w:rPr>
        <w:fldChar w:fldCharType="begin"/>
      </w:r>
      <w:r>
        <w:rPr>
          <w:b w:val="0"/>
          <w:bCs w:val="0"/>
        </w:rPr>
        <w:instrText xml:space="preserve"> HYPERLINK \l "_Toc110460638" </w:instrText>
      </w:r>
      <w:r>
        <w:rPr>
          <w:b w:val="0"/>
          <w:bCs w:val="0"/>
        </w:rPr>
        <w:fldChar w:fldCharType="separate"/>
      </w:r>
      <w:r>
        <w:rPr>
          <w:rFonts w:hint="eastAsia" w:ascii="宋体" w:hAnsi="宋体" w:cs="黑体"/>
          <w:b w:val="0"/>
          <w:bCs w:val="0"/>
          <w:color w:val="000000"/>
          <w:kern w:val="0"/>
          <w:sz w:val="24"/>
          <w:szCs w:val="24"/>
        </w:rPr>
        <w:t>8.3 产品和服务的设计与开发</w:t>
      </w:r>
      <w:r>
        <w:rPr>
          <w:b w:val="0"/>
          <w:bCs w:val="0"/>
        </w:rPr>
        <w:tab/>
      </w:r>
      <w:r>
        <w:rPr>
          <w:rFonts w:hint="eastAsia"/>
          <w:b w:val="0"/>
          <w:bCs w:val="0"/>
          <w:lang w:val="en-US" w:eastAsia="zh-CN"/>
        </w:rPr>
        <w:t>3</w:t>
      </w:r>
      <w:r>
        <w:rPr>
          <w:b w:val="0"/>
          <w:bCs w:val="0"/>
        </w:rPr>
        <w:fldChar w:fldCharType="end"/>
      </w:r>
      <w:r>
        <w:rPr>
          <w:rFonts w:hint="eastAsia"/>
          <w:b w:val="0"/>
          <w:bCs w:val="0"/>
          <w:lang w:val="en-US" w:eastAsia="zh-CN"/>
        </w:rPr>
        <w:t>0</w:t>
      </w:r>
    </w:p>
    <w:p w14:paraId="4BEB7A83">
      <w:pPr>
        <w:pStyle w:val="20"/>
        <w:tabs>
          <w:tab w:val="right" w:leader="dot" w:pos="8296"/>
        </w:tabs>
        <w:ind w:left="0" w:leftChars="0" w:firstLine="0" w:firstLineChars="0"/>
        <w:rPr>
          <w:b w:val="0"/>
          <w:bCs w:val="0"/>
        </w:rPr>
      </w:pPr>
      <w:r>
        <w:rPr>
          <w:b w:val="0"/>
          <w:bCs w:val="0"/>
        </w:rPr>
        <w:fldChar w:fldCharType="begin"/>
      </w:r>
      <w:r>
        <w:rPr>
          <w:b w:val="0"/>
          <w:bCs w:val="0"/>
        </w:rPr>
        <w:instrText xml:space="preserve"> HYPERLINK \l "_Toc110460639" </w:instrText>
      </w:r>
      <w:r>
        <w:rPr>
          <w:b w:val="0"/>
          <w:bCs w:val="0"/>
        </w:rPr>
        <w:fldChar w:fldCharType="separate"/>
      </w:r>
      <w:r>
        <w:rPr>
          <w:rFonts w:hint="eastAsia" w:ascii="宋体" w:hAnsi="宋体" w:cs="黑体"/>
          <w:b w:val="0"/>
          <w:bCs w:val="0"/>
          <w:color w:val="000000"/>
          <w:kern w:val="0"/>
          <w:sz w:val="24"/>
        </w:rPr>
        <w:t>8.4外部提供的过程、产品和服务的控制</w:t>
      </w:r>
      <w:r>
        <w:rPr>
          <w:b w:val="0"/>
          <w:bCs w:val="0"/>
        </w:rPr>
        <w:tab/>
      </w:r>
      <w:r>
        <w:rPr>
          <w:b w:val="0"/>
          <w:bCs w:val="0"/>
        </w:rPr>
        <w:fldChar w:fldCharType="begin"/>
      </w:r>
      <w:r>
        <w:rPr>
          <w:b w:val="0"/>
          <w:bCs w:val="0"/>
        </w:rPr>
        <w:instrText xml:space="preserve"> PAGEREF _Toc110460639 \h </w:instrText>
      </w:r>
      <w:r>
        <w:rPr>
          <w:b w:val="0"/>
          <w:bCs w:val="0"/>
        </w:rPr>
        <w:fldChar w:fldCharType="separate"/>
      </w:r>
      <w:r>
        <w:rPr>
          <w:rFonts w:hint="eastAsia"/>
          <w:b w:val="0"/>
          <w:bCs w:val="0"/>
          <w:lang w:val="en-US" w:eastAsia="zh-CN"/>
        </w:rPr>
        <w:t>3</w:t>
      </w:r>
      <w:r>
        <w:rPr>
          <w:b w:val="0"/>
          <w:bCs w:val="0"/>
        </w:rPr>
        <w:t>1</w:t>
      </w:r>
      <w:r>
        <w:rPr>
          <w:b w:val="0"/>
          <w:bCs w:val="0"/>
        </w:rPr>
        <w:fldChar w:fldCharType="end"/>
      </w:r>
      <w:r>
        <w:rPr>
          <w:b w:val="0"/>
          <w:bCs w:val="0"/>
        </w:rPr>
        <w:fldChar w:fldCharType="end"/>
      </w:r>
    </w:p>
    <w:p w14:paraId="44F9F5E1">
      <w:pPr>
        <w:pStyle w:val="20"/>
        <w:tabs>
          <w:tab w:val="right" w:leader="dot" w:pos="8296"/>
        </w:tabs>
        <w:ind w:left="0" w:leftChars="0" w:firstLine="0" w:firstLineChars="0"/>
        <w:rPr>
          <w:rFonts w:hint="eastAsia" w:eastAsia="宋体" w:asciiTheme="minorHAnsi" w:hAnsiTheme="minorHAnsi" w:cstheme="minorBidi"/>
          <w:b w:val="0"/>
          <w:bCs w:val="0"/>
          <w:lang w:val="en-US" w:eastAsia="zh-CN"/>
        </w:rPr>
      </w:pPr>
      <w:r>
        <w:rPr>
          <w:b w:val="0"/>
          <w:bCs w:val="0"/>
        </w:rPr>
        <w:fldChar w:fldCharType="begin"/>
      </w:r>
      <w:r>
        <w:rPr>
          <w:b w:val="0"/>
          <w:bCs w:val="0"/>
        </w:rPr>
        <w:instrText xml:space="preserve"> HYPERLINK \l "_Toc110460640" </w:instrText>
      </w:r>
      <w:r>
        <w:rPr>
          <w:b w:val="0"/>
          <w:bCs w:val="0"/>
        </w:rPr>
        <w:fldChar w:fldCharType="separate"/>
      </w:r>
      <w:r>
        <w:rPr>
          <w:rFonts w:hint="eastAsia" w:ascii="宋体" w:hAnsi="宋体" w:cs="宋体"/>
          <w:b w:val="0"/>
          <w:bCs w:val="0"/>
          <w:color w:val="000000"/>
          <w:kern w:val="0"/>
          <w:sz w:val="24"/>
        </w:rPr>
        <w:t xml:space="preserve"> 8.5生产和服务提供</w:t>
      </w:r>
      <w:r>
        <w:rPr>
          <w:b w:val="0"/>
          <w:bCs w:val="0"/>
        </w:rPr>
        <w:tab/>
      </w:r>
      <w:r>
        <w:rPr>
          <w:rFonts w:hint="eastAsia"/>
          <w:b w:val="0"/>
          <w:bCs w:val="0"/>
          <w:lang w:val="en-US" w:eastAsia="zh-CN"/>
        </w:rPr>
        <w:t>3</w:t>
      </w:r>
      <w:r>
        <w:rPr>
          <w:b w:val="0"/>
          <w:bCs w:val="0"/>
        </w:rPr>
        <w:fldChar w:fldCharType="end"/>
      </w:r>
      <w:r>
        <w:rPr>
          <w:rFonts w:hint="eastAsia"/>
          <w:b w:val="0"/>
          <w:bCs w:val="0"/>
          <w:lang w:val="en-US" w:eastAsia="zh-CN"/>
        </w:rPr>
        <w:t>4</w:t>
      </w:r>
    </w:p>
    <w:p w14:paraId="170C0A1F">
      <w:pPr>
        <w:pStyle w:val="20"/>
        <w:tabs>
          <w:tab w:val="right" w:leader="dot" w:pos="8296"/>
        </w:tabs>
        <w:ind w:left="0" w:leftChars="0" w:firstLine="0" w:firstLineChars="0"/>
        <w:rPr>
          <w:rFonts w:hint="eastAsia" w:eastAsia="宋体" w:asciiTheme="minorHAnsi" w:hAnsiTheme="minorHAnsi" w:cstheme="minorBidi"/>
          <w:b w:val="0"/>
          <w:bCs w:val="0"/>
          <w:lang w:val="en-US" w:eastAsia="zh-CN"/>
        </w:rPr>
      </w:pPr>
      <w:r>
        <w:rPr>
          <w:b w:val="0"/>
          <w:bCs w:val="0"/>
        </w:rPr>
        <w:fldChar w:fldCharType="begin"/>
      </w:r>
      <w:r>
        <w:rPr>
          <w:b w:val="0"/>
          <w:bCs w:val="0"/>
        </w:rPr>
        <w:instrText xml:space="preserve"> HYPERLINK \l "_Toc110460645" </w:instrText>
      </w:r>
      <w:r>
        <w:rPr>
          <w:b w:val="0"/>
          <w:bCs w:val="0"/>
        </w:rPr>
        <w:fldChar w:fldCharType="separate"/>
      </w:r>
      <w:r>
        <w:rPr>
          <w:rFonts w:hint="eastAsia" w:ascii="宋体" w:hAnsi="宋体"/>
          <w:b w:val="0"/>
          <w:bCs w:val="0"/>
          <w:color w:val="000000"/>
          <w:sz w:val="24"/>
        </w:rPr>
        <w:t>8.6产品和服务的放行</w:t>
      </w:r>
      <w:r>
        <w:rPr>
          <w:b w:val="0"/>
          <w:bCs w:val="0"/>
        </w:rPr>
        <w:tab/>
      </w:r>
      <w:r>
        <w:rPr>
          <w:rFonts w:hint="eastAsia"/>
          <w:b w:val="0"/>
          <w:bCs w:val="0"/>
          <w:lang w:val="en-US" w:eastAsia="zh-CN"/>
        </w:rPr>
        <w:t>3</w:t>
      </w:r>
      <w:r>
        <w:rPr>
          <w:b w:val="0"/>
          <w:bCs w:val="0"/>
        </w:rPr>
        <w:fldChar w:fldCharType="end"/>
      </w:r>
      <w:r>
        <w:rPr>
          <w:rFonts w:hint="eastAsia"/>
          <w:b w:val="0"/>
          <w:bCs w:val="0"/>
          <w:lang w:val="en-US" w:eastAsia="zh-CN"/>
        </w:rPr>
        <w:t>4</w:t>
      </w:r>
    </w:p>
    <w:p w14:paraId="3815E854">
      <w:pPr>
        <w:spacing w:line="440" w:lineRule="exact"/>
        <w:ind w:right="-45"/>
        <w:rPr>
          <w:rFonts w:hint="eastAsia" w:eastAsia="宋体" w:asciiTheme="minorHAnsi" w:hAnsiTheme="minorHAnsi" w:cstheme="minorBidi"/>
          <w:b w:val="0"/>
          <w:bCs w:val="0"/>
          <w:lang w:val="en-US" w:eastAsia="zh-CN"/>
        </w:rPr>
      </w:pPr>
      <w:r>
        <w:rPr>
          <w:b w:val="0"/>
          <w:bCs w:val="0"/>
        </w:rPr>
        <w:fldChar w:fldCharType="begin"/>
      </w:r>
      <w:r>
        <w:rPr>
          <w:b w:val="0"/>
          <w:bCs w:val="0"/>
        </w:rPr>
        <w:instrText xml:space="preserve"> HYPERLINK \l "_Toc110460646" </w:instrText>
      </w:r>
      <w:r>
        <w:rPr>
          <w:b w:val="0"/>
          <w:bCs w:val="0"/>
        </w:rPr>
        <w:fldChar w:fldCharType="separate"/>
      </w:r>
      <w:r>
        <w:rPr>
          <w:rFonts w:hint="eastAsia" w:ascii="宋体" w:hAnsi="宋体"/>
          <w:b w:val="0"/>
          <w:bCs w:val="0"/>
          <w:color w:val="000000"/>
          <w:sz w:val="24"/>
        </w:rPr>
        <w:t>8.7不合格输出的控制</w:t>
      </w:r>
      <w:r>
        <w:rPr>
          <w:rFonts w:hint="eastAsia" w:ascii="宋体" w:hAnsi="宋体"/>
          <w:b w:val="0"/>
          <w:bCs w:val="0"/>
          <w:color w:val="000000"/>
          <w:sz w:val="24"/>
          <w:lang w:val="en-US" w:eastAsia="zh-CN"/>
        </w:rPr>
        <w:t xml:space="preserve">                                             </w:t>
      </w:r>
      <w:r>
        <w:rPr>
          <w:b w:val="0"/>
          <w:bCs w:val="0"/>
        </w:rPr>
        <w:tab/>
      </w:r>
      <w:r>
        <w:rPr>
          <w:rFonts w:hint="eastAsia"/>
          <w:b w:val="0"/>
          <w:bCs w:val="0"/>
          <w:lang w:val="en-US" w:eastAsia="zh-CN"/>
        </w:rPr>
        <w:t>3</w:t>
      </w:r>
      <w:r>
        <w:rPr>
          <w:b w:val="0"/>
          <w:bCs w:val="0"/>
        </w:rPr>
        <w:fldChar w:fldCharType="end"/>
      </w:r>
      <w:r>
        <w:rPr>
          <w:rFonts w:hint="eastAsia"/>
          <w:b w:val="0"/>
          <w:bCs w:val="0"/>
          <w:lang w:val="en-US" w:eastAsia="zh-CN"/>
        </w:rPr>
        <w:t>5</w:t>
      </w:r>
    </w:p>
    <w:p w14:paraId="0BE1262B">
      <w:pPr>
        <w:spacing w:line="440" w:lineRule="exact"/>
        <w:ind w:right="340"/>
        <w:rPr>
          <w:rFonts w:hint="eastAsia" w:eastAsia="宋体" w:asciiTheme="minorHAnsi" w:hAnsiTheme="minorHAnsi" w:cstheme="minorBidi"/>
          <w:b w:val="0"/>
          <w:bCs w:val="0"/>
          <w:lang w:val="en-US" w:eastAsia="zh-CN"/>
        </w:rPr>
      </w:pPr>
      <w:r>
        <w:rPr>
          <w:b w:val="0"/>
          <w:bCs w:val="0"/>
        </w:rPr>
        <w:fldChar w:fldCharType="begin"/>
      </w:r>
      <w:r>
        <w:rPr>
          <w:b w:val="0"/>
          <w:bCs w:val="0"/>
        </w:rPr>
        <w:instrText xml:space="preserve"> HYPERLINK \l "_Toc110460647" </w:instrText>
      </w:r>
      <w:r>
        <w:rPr>
          <w:b w:val="0"/>
          <w:bCs w:val="0"/>
        </w:rPr>
        <w:fldChar w:fldCharType="separate"/>
      </w:r>
      <w:r>
        <w:rPr>
          <w:rFonts w:hint="eastAsia" w:ascii="宋体" w:hAnsi="宋体"/>
          <w:b w:val="0"/>
          <w:bCs w:val="0"/>
          <w:color w:val="000000"/>
          <w:sz w:val="24"/>
        </w:rPr>
        <w:t>8.8环境/安全运行控制</w:t>
      </w:r>
      <w:r>
        <w:rPr>
          <w:rFonts w:hint="eastAsia" w:ascii="宋体" w:hAnsi="宋体"/>
          <w:b w:val="0"/>
          <w:bCs w:val="0"/>
          <w:color w:val="000000"/>
          <w:sz w:val="24"/>
          <w:lang w:val="en-US" w:eastAsia="zh-CN"/>
        </w:rPr>
        <w:t xml:space="preserve">                                          </w:t>
      </w:r>
      <w:r>
        <w:rPr>
          <w:b w:val="0"/>
          <w:bCs w:val="0"/>
        </w:rPr>
        <w:tab/>
      </w:r>
      <w:r>
        <w:rPr>
          <w:rFonts w:hint="eastAsia"/>
          <w:b w:val="0"/>
          <w:bCs w:val="0"/>
          <w:lang w:val="en-US" w:eastAsia="zh-CN"/>
        </w:rPr>
        <w:t>3</w:t>
      </w:r>
      <w:r>
        <w:rPr>
          <w:b w:val="0"/>
          <w:bCs w:val="0"/>
        </w:rPr>
        <w:fldChar w:fldCharType="end"/>
      </w:r>
      <w:r>
        <w:rPr>
          <w:rFonts w:hint="eastAsia"/>
          <w:b w:val="0"/>
          <w:bCs w:val="0"/>
          <w:lang w:val="en-US" w:eastAsia="zh-CN"/>
        </w:rPr>
        <w:t>6</w:t>
      </w:r>
    </w:p>
    <w:p w14:paraId="73F4602C">
      <w:pPr>
        <w:tabs>
          <w:tab w:val="left" w:pos="1980"/>
        </w:tabs>
        <w:adjustRightInd w:val="0"/>
        <w:spacing w:line="440" w:lineRule="exact"/>
        <w:ind w:right="-90"/>
      </w:pPr>
      <w:r>
        <w:rPr>
          <w:b w:val="0"/>
          <w:bCs w:val="0"/>
        </w:rPr>
        <w:fldChar w:fldCharType="begin"/>
      </w:r>
      <w:r>
        <w:rPr>
          <w:b w:val="0"/>
          <w:bCs w:val="0"/>
        </w:rPr>
        <w:instrText xml:space="preserve"> HYPERLINK \l "_Toc110460648" </w:instrText>
      </w:r>
      <w:r>
        <w:rPr>
          <w:b w:val="0"/>
          <w:bCs w:val="0"/>
        </w:rPr>
        <w:fldChar w:fldCharType="separate"/>
      </w:r>
      <w:r>
        <w:rPr>
          <w:rFonts w:hint="eastAsia" w:ascii="宋体" w:hAnsi="宋体"/>
          <w:b w:val="0"/>
          <w:bCs w:val="0"/>
          <w:sz w:val="24"/>
        </w:rPr>
        <w:t xml:space="preserve"> 8.9应急准备与响应</w:t>
      </w:r>
      <w:r>
        <w:rPr>
          <w:rFonts w:hint="eastAsia" w:ascii="宋体" w:hAnsi="宋体"/>
          <w:b w:val="0"/>
          <w:bCs w:val="0"/>
          <w:sz w:val="24"/>
          <w:lang w:val="en-US" w:eastAsia="zh-CN"/>
        </w:rPr>
        <w:t xml:space="preserve">                                         </w:t>
      </w:r>
      <w:r>
        <w:rPr>
          <w:b w:val="0"/>
          <w:bCs w:val="0"/>
        </w:rPr>
        <w:tab/>
      </w:r>
      <w:r>
        <w:rPr>
          <w:rFonts w:hint="eastAsia"/>
          <w:b w:val="0"/>
          <w:bCs w:val="0"/>
          <w:lang w:val="en-US" w:eastAsia="zh-CN"/>
        </w:rPr>
        <w:t>3</w:t>
      </w:r>
      <w:r>
        <w:rPr>
          <w:b w:val="0"/>
          <w:bCs w:val="0"/>
        </w:rPr>
        <w:fldChar w:fldCharType="end"/>
      </w:r>
      <w:r>
        <w:rPr>
          <w:rFonts w:hint="eastAsia"/>
          <w:lang w:val="en-US" w:eastAsia="zh-CN"/>
        </w:rPr>
        <w:t>8</w:t>
      </w:r>
    </w:p>
    <w:p w14:paraId="12BFE88F">
      <w:pPr>
        <w:pStyle w:val="20"/>
        <w:tabs>
          <w:tab w:val="right" w:leader="dot" w:pos="8296"/>
        </w:tabs>
        <w:ind w:left="0" w:leftChars="0" w:firstLine="0" w:firstLineChars="0"/>
        <w:rPr>
          <w:rFonts w:asciiTheme="minorHAnsi" w:hAnsiTheme="minorHAnsi" w:eastAsiaTheme="minorEastAsia" w:cstheme="minorBidi"/>
        </w:rPr>
      </w:pPr>
      <w:r>
        <w:fldChar w:fldCharType="begin"/>
      </w:r>
      <w:r>
        <w:instrText xml:space="preserve"> HYPERLINK \l "_Toc110460637" </w:instrText>
      </w:r>
      <w:r>
        <w:fldChar w:fldCharType="separate"/>
      </w:r>
      <w:r>
        <w:rPr>
          <w:rStyle w:val="27"/>
          <w:rFonts w:ascii="宋体" w:hAnsi="宋体"/>
          <w:color w:val="auto"/>
        </w:rPr>
        <w:t>8.10</w:t>
      </w:r>
      <w:r>
        <w:rPr>
          <w:rStyle w:val="27"/>
          <w:rFonts w:hint="eastAsia" w:ascii="宋体" w:hAnsi="宋体"/>
          <w:color w:val="auto"/>
        </w:rPr>
        <w:t>前提方案（</w:t>
      </w:r>
      <w:r>
        <w:rPr>
          <w:rStyle w:val="27"/>
          <w:rFonts w:ascii="宋体" w:hAnsi="宋体"/>
          <w:color w:val="auto"/>
        </w:rPr>
        <w:t>PRPs</w:t>
      </w:r>
      <w:r>
        <w:rPr>
          <w:rStyle w:val="27"/>
          <w:rFonts w:hint="eastAsia" w:ascii="宋体" w:hAnsi="宋体"/>
          <w:color w:val="auto"/>
        </w:rPr>
        <w:t>）</w:t>
      </w:r>
      <w:r>
        <w:tab/>
      </w:r>
      <w:r>
        <w:fldChar w:fldCharType="begin"/>
      </w:r>
      <w:r>
        <w:instrText xml:space="preserve"> PAGEREF _Toc110460637 \h </w:instrText>
      </w:r>
      <w:r>
        <w:fldChar w:fldCharType="separate"/>
      </w:r>
      <w:r>
        <w:t>40</w:t>
      </w:r>
      <w:r>
        <w:fldChar w:fldCharType="end"/>
      </w:r>
      <w:r>
        <w:fldChar w:fldCharType="end"/>
      </w:r>
    </w:p>
    <w:p w14:paraId="47239726">
      <w:pPr>
        <w:pStyle w:val="20"/>
        <w:tabs>
          <w:tab w:val="right" w:leader="dot" w:pos="8296"/>
        </w:tabs>
        <w:ind w:left="0" w:leftChars="0" w:firstLine="0" w:firstLineChars="0"/>
        <w:rPr>
          <w:rFonts w:asciiTheme="minorHAnsi" w:hAnsiTheme="minorHAnsi" w:eastAsiaTheme="minorEastAsia" w:cstheme="minorBidi"/>
        </w:rPr>
      </w:pPr>
      <w:r>
        <w:fldChar w:fldCharType="begin"/>
      </w:r>
      <w:r>
        <w:instrText xml:space="preserve"> HYPERLINK \l "_Toc110460638" </w:instrText>
      </w:r>
      <w:r>
        <w:fldChar w:fldCharType="separate"/>
      </w:r>
      <w:r>
        <w:rPr>
          <w:rStyle w:val="27"/>
          <w:rFonts w:ascii="宋体" w:hAnsi="宋体"/>
          <w:color w:val="auto"/>
        </w:rPr>
        <w:t>8.11</w:t>
      </w:r>
      <w:r>
        <w:rPr>
          <w:rStyle w:val="27"/>
          <w:rFonts w:hint="eastAsia" w:ascii="宋体" w:hAnsi="宋体"/>
          <w:color w:val="auto"/>
        </w:rPr>
        <w:t>追溯系统</w:t>
      </w:r>
      <w:r>
        <w:tab/>
      </w:r>
      <w:r>
        <w:fldChar w:fldCharType="begin"/>
      </w:r>
      <w:r>
        <w:instrText xml:space="preserve"> PAGEREF _Toc110460638 \h </w:instrText>
      </w:r>
      <w:r>
        <w:fldChar w:fldCharType="separate"/>
      </w:r>
      <w:r>
        <w:t>41</w:t>
      </w:r>
      <w:r>
        <w:fldChar w:fldCharType="end"/>
      </w:r>
      <w:r>
        <w:fldChar w:fldCharType="end"/>
      </w:r>
    </w:p>
    <w:p w14:paraId="30D52193">
      <w:pPr>
        <w:pStyle w:val="20"/>
        <w:tabs>
          <w:tab w:val="right" w:leader="dot" w:pos="8296"/>
        </w:tabs>
        <w:ind w:left="0" w:leftChars="0" w:firstLine="0" w:firstLineChars="0"/>
        <w:rPr>
          <w:rFonts w:asciiTheme="minorHAnsi" w:hAnsiTheme="minorHAnsi" w:eastAsiaTheme="minorEastAsia" w:cstheme="minorBidi"/>
        </w:rPr>
      </w:pPr>
      <w:r>
        <w:fldChar w:fldCharType="begin"/>
      </w:r>
      <w:r>
        <w:instrText xml:space="preserve"> HYPERLINK \l "_Toc110460639" </w:instrText>
      </w:r>
      <w:r>
        <w:fldChar w:fldCharType="separate"/>
      </w:r>
      <w:r>
        <w:rPr>
          <w:rStyle w:val="27"/>
          <w:rFonts w:ascii="宋体" w:hAnsi="宋体"/>
          <w:color w:val="auto"/>
        </w:rPr>
        <w:t>8.12</w:t>
      </w:r>
      <w:r>
        <w:rPr>
          <w:rStyle w:val="27"/>
          <w:rFonts w:hint="eastAsia" w:ascii="宋体" w:hAnsi="宋体"/>
          <w:color w:val="auto"/>
        </w:rPr>
        <w:t>应急准备和响应</w:t>
      </w:r>
      <w:r>
        <w:tab/>
      </w:r>
      <w:r>
        <w:fldChar w:fldCharType="begin"/>
      </w:r>
      <w:r>
        <w:instrText xml:space="preserve"> PAGEREF _Toc110460639 \h </w:instrText>
      </w:r>
      <w:r>
        <w:fldChar w:fldCharType="separate"/>
      </w:r>
      <w:r>
        <w:t>41</w:t>
      </w:r>
      <w:r>
        <w:fldChar w:fldCharType="end"/>
      </w:r>
      <w:r>
        <w:fldChar w:fldCharType="end"/>
      </w:r>
    </w:p>
    <w:p w14:paraId="1DEE6AD6">
      <w:pPr>
        <w:pStyle w:val="20"/>
        <w:tabs>
          <w:tab w:val="right" w:leader="dot" w:pos="8296"/>
        </w:tabs>
        <w:ind w:left="0" w:leftChars="0" w:firstLine="0" w:firstLineChars="0"/>
        <w:rPr>
          <w:rFonts w:asciiTheme="minorHAnsi" w:hAnsiTheme="minorHAnsi" w:eastAsiaTheme="minorEastAsia" w:cstheme="minorBidi"/>
        </w:rPr>
      </w:pPr>
      <w:r>
        <w:fldChar w:fldCharType="begin"/>
      </w:r>
      <w:r>
        <w:instrText xml:space="preserve"> HYPERLINK \l "_Toc110460640" </w:instrText>
      </w:r>
      <w:r>
        <w:fldChar w:fldCharType="separate"/>
      </w:r>
      <w:r>
        <w:rPr>
          <w:rStyle w:val="27"/>
          <w:rFonts w:ascii="宋体" w:hAnsi="宋体"/>
          <w:color w:val="auto"/>
        </w:rPr>
        <w:t>8.13</w:t>
      </w:r>
      <w:r>
        <w:rPr>
          <w:rStyle w:val="27"/>
          <w:rFonts w:hint="eastAsia" w:ascii="宋体" w:hAnsi="宋体"/>
          <w:color w:val="auto"/>
        </w:rPr>
        <w:t>危害控制</w:t>
      </w:r>
      <w:r>
        <w:tab/>
      </w:r>
      <w:r>
        <w:fldChar w:fldCharType="begin"/>
      </w:r>
      <w:r>
        <w:instrText xml:space="preserve"> PAGEREF _Toc110460640 \h </w:instrText>
      </w:r>
      <w:r>
        <w:fldChar w:fldCharType="separate"/>
      </w:r>
      <w:r>
        <w:t>42</w:t>
      </w:r>
      <w:r>
        <w:fldChar w:fldCharType="end"/>
      </w:r>
      <w:r>
        <w:fldChar w:fldCharType="end"/>
      </w:r>
    </w:p>
    <w:p w14:paraId="2068E76A">
      <w:pPr>
        <w:pStyle w:val="11"/>
        <w:tabs>
          <w:tab w:val="left" w:pos="1733"/>
          <w:tab w:val="right" w:leader="dot" w:pos="8296"/>
        </w:tabs>
        <w:rPr>
          <w:rFonts w:asciiTheme="minorHAnsi" w:hAnsiTheme="minorHAnsi" w:eastAsiaTheme="minorEastAsia" w:cstheme="minorBidi"/>
        </w:rPr>
      </w:pPr>
      <w:r>
        <w:fldChar w:fldCharType="begin"/>
      </w:r>
      <w:r>
        <w:instrText xml:space="preserve"> HYPERLINK \l "_Toc110460641" </w:instrText>
      </w:r>
      <w:r>
        <w:fldChar w:fldCharType="separate"/>
      </w:r>
      <w:r>
        <w:rPr>
          <w:rStyle w:val="27"/>
          <w:rFonts w:ascii="宋体" w:hAnsi="宋体"/>
          <w:color w:val="auto"/>
        </w:rPr>
        <w:t>8.13.1</w:t>
      </w:r>
      <w:r>
        <w:rPr>
          <w:rFonts w:asciiTheme="minorHAnsi" w:hAnsiTheme="minorHAnsi" w:eastAsiaTheme="minorEastAsia" w:cstheme="minorBidi"/>
        </w:rPr>
        <w:tab/>
      </w:r>
      <w:r>
        <w:rPr>
          <w:rStyle w:val="27"/>
          <w:rFonts w:hint="eastAsia" w:ascii="宋体" w:hAnsi="宋体"/>
          <w:color w:val="auto"/>
        </w:rPr>
        <w:t>实施危害分析的预备步骤</w:t>
      </w:r>
      <w:r>
        <w:tab/>
      </w:r>
      <w:r>
        <w:fldChar w:fldCharType="begin"/>
      </w:r>
      <w:r>
        <w:instrText xml:space="preserve"> PAGEREF _Toc110460641 \h </w:instrText>
      </w:r>
      <w:r>
        <w:fldChar w:fldCharType="separate"/>
      </w:r>
      <w:r>
        <w:t>42</w:t>
      </w:r>
      <w:r>
        <w:fldChar w:fldCharType="end"/>
      </w:r>
      <w:r>
        <w:fldChar w:fldCharType="end"/>
      </w:r>
    </w:p>
    <w:p w14:paraId="722193E1">
      <w:pPr>
        <w:pStyle w:val="11"/>
        <w:tabs>
          <w:tab w:val="left" w:pos="1733"/>
          <w:tab w:val="right" w:leader="dot" w:pos="8296"/>
        </w:tabs>
        <w:rPr>
          <w:rFonts w:asciiTheme="minorHAnsi" w:hAnsiTheme="minorHAnsi" w:eastAsiaTheme="minorEastAsia" w:cstheme="minorBidi"/>
        </w:rPr>
      </w:pPr>
      <w:r>
        <w:fldChar w:fldCharType="begin"/>
      </w:r>
      <w:r>
        <w:instrText xml:space="preserve"> HYPERLINK \l "_Toc110460642" </w:instrText>
      </w:r>
      <w:r>
        <w:fldChar w:fldCharType="separate"/>
      </w:r>
      <w:r>
        <w:rPr>
          <w:rStyle w:val="27"/>
          <w:rFonts w:ascii="宋体" w:hAnsi="宋体"/>
          <w:color w:val="auto"/>
        </w:rPr>
        <w:t>8.13.2</w:t>
      </w:r>
      <w:r>
        <w:rPr>
          <w:rFonts w:asciiTheme="minorHAnsi" w:hAnsiTheme="minorHAnsi" w:eastAsiaTheme="minorEastAsia" w:cstheme="minorBidi"/>
        </w:rPr>
        <w:tab/>
      </w:r>
      <w:r>
        <w:rPr>
          <w:rStyle w:val="27"/>
          <w:rFonts w:hint="eastAsia" w:ascii="宋体" w:hAnsi="宋体"/>
          <w:color w:val="auto"/>
        </w:rPr>
        <w:t>危害分析</w:t>
      </w:r>
      <w:r>
        <w:tab/>
      </w:r>
      <w:r>
        <w:fldChar w:fldCharType="begin"/>
      </w:r>
      <w:r>
        <w:instrText xml:space="preserve"> PAGEREF _Toc110460642 \h </w:instrText>
      </w:r>
      <w:r>
        <w:fldChar w:fldCharType="separate"/>
      </w:r>
      <w:r>
        <w:t>44</w:t>
      </w:r>
      <w:r>
        <w:fldChar w:fldCharType="end"/>
      </w:r>
      <w:r>
        <w:fldChar w:fldCharType="end"/>
      </w:r>
    </w:p>
    <w:p w14:paraId="37B57D9F">
      <w:pPr>
        <w:pStyle w:val="11"/>
        <w:tabs>
          <w:tab w:val="left" w:pos="1733"/>
          <w:tab w:val="right" w:leader="dot" w:pos="8296"/>
        </w:tabs>
        <w:rPr>
          <w:rFonts w:asciiTheme="minorHAnsi" w:hAnsiTheme="minorHAnsi" w:eastAsiaTheme="minorEastAsia" w:cstheme="minorBidi"/>
        </w:rPr>
      </w:pPr>
      <w:r>
        <w:fldChar w:fldCharType="begin"/>
      </w:r>
      <w:r>
        <w:instrText xml:space="preserve"> HYPERLINK \l "_Toc110460643" </w:instrText>
      </w:r>
      <w:r>
        <w:fldChar w:fldCharType="separate"/>
      </w:r>
      <w:r>
        <w:rPr>
          <w:rStyle w:val="27"/>
          <w:rFonts w:ascii="宋体" w:hAnsi="宋体"/>
          <w:color w:val="auto"/>
        </w:rPr>
        <w:t>8.13.3</w:t>
      </w:r>
      <w:r>
        <w:rPr>
          <w:rFonts w:asciiTheme="minorHAnsi" w:hAnsiTheme="minorHAnsi" w:eastAsiaTheme="minorEastAsia" w:cstheme="minorBidi"/>
        </w:rPr>
        <w:tab/>
      </w:r>
      <w:r>
        <w:rPr>
          <w:rStyle w:val="27"/>
          <w:rFonts w:hint="eastAsia" w:ascii="宋体" w:hAnsi="宋体"/>
          <w:color w:val="auto"/>
        </w:rPr>
        <w:t>控制措施和控制措施组合确认</w:t>
      </w:r>
      <w:r>
        <w:tab/>
      </w:r>
      <w:r>
        <w:fldChar w:fldCharType="begin"/>
      </w:r>
      <w:r>
        <w:instrText xml:space="preserve"> PAGEREF _Toc110460643 \h </w:instrText>
      </w:r>
      <w:r>
        <w:fldChar w:fldCharType="separate"/>
      </w:r>
      <w:r>
        <w:t>46</w:t>
      </w:r>
      <w:r>
        <w:fldChar w:fldCharType="end"/>
      </w:r>
      <w:r>
        <w:fldChar w:fldCharType="end"/>
      </w:r>
    </w:p>
    <w:p w14:paraId="2E0255EF">
      <w:pPr>
        <w:pStyle w:val="11"/>
        <w:tabs>
          <w:tab w:val="left" w:pos="1733"/>
          <w:tab w:val="right" w:leader="dot" w:pos="8296"/>
        </w:tabs>
        <w:rPr>
          <w:rFonts w:asciiTheme="minorHAnsi" w:hAnsiTheme="minorHAnsi" w:eastAsiaTheme="minorEastAsia" w:cstheme="minorBidi"/>
        </w:rPr>
      </w:pPr>
      <w:r>
        <w:fldChar w:fldCharType="begin"/>
      </w:r>
      <w:r>
        <w:instrText xml:space="preserve"> HYPERLINK \l "_Toc110460644" </w:instrText>
      </w:r>
      <w:r>
        <w:fldChar w:fldCharType="separate"/>
      </w:r>
      <w:r>
        <w:rPr>
          <w:rStyle w:val="27"/>
          <w:rFonts w:ascii="宋体" w:hAnsi="宋体"/>
          <w:color w:val="auto"/>
        </w:rPr>
        <w:t>8.13.4</w:t>
      </w:r>
      <w:r>
        <w:rPr>
          <w:rFonts w:asciiTheme="minorHAnsi" w:hAnsiTheme="minorHAnsi" w:eastAsiaTheme="minorEastAsia" w:cstheme="minorBidi"/>
        </w:rPr>
        <w:tab/>
      </w:r>
      <w:r>
        <w:rPr>
          <w:rStyle w:val="27"/>
          <w:rFonts w:hint="eastAsia" w:ascii="宋体" w:hAnsi="宋体"/>
          <w:color w:val="auto"/>
        </w:rPr>
        <w:t>危害控制计划（危害分析和关键控制点</w:t>
      </w:r>
      <w:r>
        <w:rPr>
          <w:rStyle w:val="27"/>
          <w:rFonts w:ascii="宋体" w:hAnsi="宋体"/>
          <w:color w:val="auto"/>
        </w:rPr>
        <w:t>/</w:t>
      </w:r>
      <w:r>
        <w:rPr>
          <w:rStyle w:val="27"/>
          <w:rFonts w:hint="eastAsia" w:ascii="宋体" w:hAnsi="宋体"/>
          <w:color w:val="auto"/>
        </w:rPr>
        <w:t>操作前提方案计划）</w:t>
      </w:r>
      <w:r>
        <w:tab/>
      </w:r>
      <w:r>
        <w:fldChar w:fldCharType="begin"/>
      </w:r>
      <w:r>
        <w:instrText xml:space="preserve"> PAGEREF _Toc110460644 \h </w:instrText>
      </w:r>
      <w:r>
        <w:fldChar w:fldCharType="separate"/>
      </w:r>
      <w:r>
        <w:t>46</w:t>
      </w:r>
      <w:r>
        <w:fldChar w:fldCharType="end"/>
      </w:r>
      <w:r>
        <w:fldChar w:fldCharType="end"/>
      </w:r>
    </w:p>
    <w:p w14:paraId="54546581">
      <w:pPr>
        <w:pStyle w:val="20"/>
        <w:tabs>
          <w:tab w:val="right" w:leader="dot" w:pos="8296"/>
        </w:tabs>
        <w:rPr>
          <w:rFonts w:asciiTheme="minorHAnsi" w:hAnsiTheme="minorHAnsi" w:eastAsiaTheme="minorEastAsia" w:cstheme="minorBidi"/>
        </w:rPr>
      </w:pPr>
      <w:r>
        <w:fldChar w:fldCharType="begin"/>
      </w:r>
      <w:r>
        <w:instrText xml:space="preserve"> HYPERLINK \l "_Toc110460645" </w:instrText>
      </w:r>
      <w:r>
        <w:fldChar w:fldCharType="separate"/>
      </w:r>
      <w:r>
        <w:rPr>
          <w:rStyle w:val="27"/>
          <w:rFonts w:ascii="宋体" w:hAnsi="宋体"/>
          <w:color w:val="auto"/>
        </w:rPr>
        <w:t>8.14</w:t>
      </w:r>
      <w:r>
        <w:rPr>
          <w:rStyle w:val="27"/>
          <w:rFonts w:hint="eastAsia" w:ascii="宋体" w:hAnsi="宋体"/>
          <w:color w:val="auto"/>
        </w:rPr>
        <w:t>规定前提方案和危害控制计划信息的更新</w:t>
      </w:r>
      <w:r>
        <w:tab/>
      </w:r>
      <w:r>
        <w:fldChar w:fldCharType="begin"/>
      </w:r>
      <w:r>
        <w:instrText xml:space="preserve"> PAGEREF _Toc110460645 \h </w:instrText>
      </w:r>
      <w:r>
        <w:fldChar w:fldCharType="separate"/>
      </w:r>
      <w:r>
        <w:t>48</w:t>
      </w:r>
      <w:r>
        <w:fldChar w:fldCharType="end"/>
      </w:r>
      <w:r>
        <w:fldChar w:fldCharType="end"/>
      </w:r>
    </w:p>
    <w:p w14:paraId="11EB40EC">
      <w:pPr>
        <w:pStyle w:val="20"/>
        <w:tabs>
          <w:tab w:val="right" w:leader="dot" w:pos="8296"/>
        </w:tabs>
        <w:rPr>
          <w:rFonts w:asciiTheme="minorHAnsi" w:hAnsiTheme="minorHAnsi" w:eastAsiaTheme="minorEastAsia" w:cstheme="minorBidi"/>
        </w:rPr>
      </w:pPr>
      <w:r>
        <w:fldChar w:fldCharType="begin"/>
      </w:r>
      <w:r>
        <w:instrText xml:space="preserve"> HYPERLINK \l "_Toc110460646" </w:instrText>
      </w:r>
      <w:r>
        <w:fldChar w:fldCharType="separate"/>
      </w:r>
      <w:r>
        <w:rPr>
          <w:rStyle w:val="27"/>
          <w:rFonts w:ascii="宋体" w:hAnsi="宋体"/>
          <w:color w:val="auto"/>
        </w:rPr>
        <w:t>8.15</w:t>
      </w:r>
      <w:r>
        <w:rPr>
          <w:rStyle w:val="27"/>
          <w:rFonts w:hint="eastAsia" w:ascii="宋体" w:hAnsi="宋体"/>
          <w:color w:val="auto"/>
        </w:rPr>
        <w:t>监视和测量的控制</w:t>
      </w:r>
      <w:r>
        <w:tab/>
      </w:r>
      <w:r>
        <w:fldChar w:fldCharType="begin"/>
      </w:r>
      <w:r>
        <w:instrText xml:space="preserve"> PAGEREF _Toc110460646 \h </w:instrText>
      </w:r>
      <w:r>
        <w:fldChar w:fldCharType="separate"/>
      </w:r>
      <w:r>
        <w:t>48</w:t>
      </w:r>
      <w:r>
        <w:fldChar w:fldCharType="end"/>
      </w:r>
      <w:r>
        <w:fldChar w:fldCharType="end"/>
      </w:r>
    </w:p>
    <w:p w14:paraId="32CACA9E">
      <w:pPr>
        <w:pStyle w:val="20"/>
        <w:tabs>
          <w:tab w:val="right" w:leader="dot" w:pos="8296"/>
        </w:tabs>
        <w:rPr>
          <w:rFonts w:asciiTheme="minorHAnsi" w:hAnsiTheme="minorHAnsi" w:eastAsiaTheme="minorEastAsia" w:cstheme="minorBidi"/>
        </w:rPr>
      </w:pPr>
      <w:r>
        <w:fldChar w:fldCharType="begin"/>
      </w:r>
      <w:r>
        <w:instrText xml:space="preserve"> HYPERLINK \l "_Toc110460647" </w:instrText>
      </w:r>
      <w:r>
        <w:fldChar w:fldCharType="separate"/>
      </w:r>
      <w:r>
        <w:rPr>
          <w:rStyle w:val="27"/>
          <w:rFonts w:ascii="宋体" w:hAnsi="宋体"/>
          <w:color w:val="auto"/>
        </w:rPr>
        <w:t>8.16</w:t>
      </w:r>
      <w:r>
        <w:rPr>
          <w:rStyle w:val="27"/>
          <w:rFonts w:hint="eastAsia" w:ascii="宋体" w:hAnsi="宋体"/>
          <w:color w:val="auto"/>
        </w:rPr>
        <w:t>验证相关前提方案和危害控制计划</w:t>
      </w:r>
      <w:r>
        <w:tab/>
      </w:r>
      <w:r>
        <w:fldChar w:fldCharType="begin"/>
      </w:r>
      <w:r>
        <w:instrText xml:space="preserve"> PAGEREF _Toc110460647 \h </w:instrText>
      </w:r>
      <w:r>
        <w:fldChar w:fldCharType="separate"/>
      </w:r>
      <w:r>
        <w:t>49</w:t>
      </w:r>
      <w:r>
        <w:fldChar w:fldCharType="end"/>
      </w:r>
      <w:r>
        <w:fldChar w:fldCharType="end"/>
      </w:r>
    </w:p>
    <w:p w14:paraId="6685A6A7">
      <w:pPr>
        <w:pStyle w:val="20"/>
        <w:tabs>
          <w:tab w:val="left" w:pos="1260"/>
          <w:tab w:val="right" w:leader="dot" w:pos="8296"/>
        </w:tabs>
        <w:rPr>
          <w:rFonts w:asciiTheme="minorHAnsi" w:hAnsiTheme="minorHAnsi" w:eastAsiaTheme="minorEastAsia" w:cstheme="minorBidi"/>
        </w:rPr>
      </w:pPr>
      <w:r>
        <w:fldChar w:fldCharType="begin"/>
      </w:r>
      <w:r>
        <w:instrText xml:space="preserve"> HYPERLINK \l "_Toc110460648" </w:instrText>
      </w:r>
      <w:r>
        <w:fldChar w:fldCharType="separate"/>
      </w:r>
      <w:r>
        <w:rPr>
          <w:rStyle w:val="27"/>
          <w:rFonts w:ascii="宋体" w:hAnsi="宋体"/>
          <w:color w:val="auto"/>
        </w:rPr>
        <w:t>8.17</w:t>
      </w:r>
      <w:r>
        <w:rPr>
          <w:rFonts w:asciiTheme="minorHAnsi" w:hAnsiTheme="minorHAnsi" w:eastAsiaTheme="minorEastAsia" w:cstheme="minorBidi"/>
        </w:rPr>
        <w:tab/>
      </w:r>
      <w:r>
        <w:rPr>
          <w:rStyle w:val="27"/>
          <w:rFonts w:hint="eastAsia" w:ascii="宋体" w:hAnsi="宋体"/>
          <w:color w:val="auto"/>
        </w:rPr>
        <w:t>不合格产品和过程控制</w:t>
      </w:r>
      <w:r>
        <w:tab/>
      </w:r>
      <w:r>
        <w:fldChar w:fldCharType="begin"/>
      </w:r>
      <w:r>
        <w:instrText xml:space="preserve"> PAGEREF _Toc110460648 \h </w:instrText>
      </w:r>
      <w:r>
        <w:fldChar w:fldCharType="separate"/>
      </w:r>
      <w:r>
        <w:t>49</w:t>
      </w:r>
      <w:r>
        <w:fldChar w:fldCharType="end"/>
      </w:r>
      <w:r>
        <w:fldChar w:fldCharType="end"/>
      </w:r>
    </w:p>
    <w:p w14:paraId="1ADB93E0">
      <w:pPr>
        <w:pStyle w:val="11"/>
        <w:tabs>
          <w:tab w:val="right" w:leader="dot" w:pos="8296"/>
        </w:tabs>
        <w:rPr>
          <w:rFonts w:asciiTheme="minorHAnsi" w:hAnsiTheme="minorHAnsi" w:eastAsiaTheme="minorEastAsia" w:cstheme="minorBidi"/>
        </w:rPr>
      </w:pPr>
      <w:r>
        <w:fldChar w:fldCharType="begin"/>
      </w:r>
      <w:r>
        <w:instrText xml:space="preserve"> HYPERLINK \l "_Toc110460649" </w:instrText>
      </w:r>
      <w:r>
        <w:fldChar w:fldCharType="separate"/>
      </w:r>
      <w:r>
        <w:rPr>
          <w:rStyle w:val="27"/>
          <w:rFonts w:ascii="宋体" w:hAnsi="宋体"/>
          <w:color w:val="auto"/>
        </w:rPr>
        <w:t>8.17.1</w:t>
      </w:r>
      <w:r>
        <w:rPr>
          <w:rStyle w:val="27"/>
          <w:rFonts w:hint="eastAsia" w:ascii="宋体" w:hAnsi="宋体"/>
          <w:color w:val="auto"/>
        </w:rPr>
        <w:t>总则</w:t>
      </w:r>
      <w:r>
        <w:tab/>
      </w:r>
      <w:r>
        <w:fldChar w:fldCharType="begin"/>
      </w:r>
      <w:r>
        <w:instrText xml:space="preserve"> PAGEREF _Toc110460649 \h </w:instrText>
      </w:r>
      <w:r>
        <w:fldChar w:fldCharType="separate"/>
      </w:r>
      <w:r>
        <w:t>50</w:t>
      </w:r>
      <w:r>
        <w:fldChar w:fldCharType="end"/>
      </w:r>
      <w:r>
        <w:fldChar w:fldCharType="end"/>
      </w:r>
    </w:p>
    <w:p w14:paraId="66719089">
      <w:pPr>
        <w:pStyle w:val="11"/>
        <w:tabs>
          <w:tab w:val="right" w:leader="dot" w:pos="8296"/>
        </w:tabs>
        <w:rPr>
          <w:rFonts w:asciiTheme="minorHAnsi" w:hAnsiTheme="minorHAnsi" w:eastAsiaTheme="minorEastAsia" w:cstheme="minorBidi"/>
        </w:rPr>
      </w:pPr>
      <w:r>
        <w:fldChar w:fldCharType="begin"/>
      </w:r>
      <w:r>
        <w:instrText xml:space="preserve"> HYPERLINK \l "_Toc110460650" </w:instrText>
      </w:r>
      <w:r>
        <w:fldChar w:fldCharType="separate"/>
      </w:r>
      <w:r>
        <w:rPr>
          <w:rStyle w:val="27"/>
          <w:rFonts w:ascii="宋体" w:hAnsi="宋体"/>
          <w:color w:val="auto"/>
        </w:rPr>
        <w:t>8.17.2</w:t>
      </w:r>
      <w:r>
        <w:rPr>
          <w:rStyle w:val="27"/>
          <w:rFonts w:hint="eastAsia" w:ascii="宋体" w:hAnsi="宋体"/>
          <w:color w:val="auto"/>
        </w:rPr>
        <w:t>纠正</w:t>
      </w:r>
      <w:r>
        <w:tab/>
      </w:r>
      <w:r>
        <w:fldChar w:fldCharType="begin"/>
      </w:r>
      <w:r>
        <w:instrText xml:space="preserve"> PAGEREF _Toc110460650 \h </w:instrText>
      </w:r>
      <w:r>
        <w:fldChar w:fldCharType="separate"/>
      </w:r>
      <w:r>
        <w:t>50</w:t>
      </w:r>
      <w:r>
        <w:fldChar w:fldCharType="end"/>
      </w:r>
      <w:r>
        <w:fldChar w:fldCharType="end"/>
      </w:r>
    </w:p>
    <w:p w14:paraId="5F6EA8CF">
      <w:pPr>
        <w:pStyle w:val="11"/>
        <w:tabs>
          <w:tab w:val="left" w:pos="1733"/>
          <w:tab w:val="right" w:leader="dot" w:pos="8296"/>
        </w:tabs>
        <w:rPr>
          <w:rFonts w:asciiTheme="minorHAnsi" w:hAnsiTheme="minorHAnsi" w:eastAsiaTheme="minorEastAsia" w:cstheme="minorBidi"/>
        </w:rPr>
      </w:pPr>
      <w:r>
        <w:fldChar w:fldCharType="begin"/>
      </w:r>
      <w:r>
        <w:instrText xml:space="preserve"> HYPERLINK \l "_Toc110460651" </w:instrText>
      </w:r>
      <w:r>
        <w:fldChar w:fldCharType="separate"/>
      </w:r>
      <w:r>
        <w:rPr>
          <w:rStyle w:val="27"/>
          <w:rFonts w:ascii="宋体" w:hAnsi="宋体"/>
          <w:color w:val="auto"/>
        </w:rPr>
        <w:t>8.17.3</w:t>
      </w:r>
      <w:r>
        <w:rPr>
          <w:rFonts w:asciiTheme="minorHAnsi" w:hAnsiTheme="minorHAnsi" w:eastAsiaTheme="minorEastAsia" w:cstheme="minorBidi"/>
        </w:rPr>
        <w:tab/>
      </w:r>
      <w:r>
        <w:rPr>
          <w:rStyle w:val="27"/>
          <w:rFonts w:hint="eastAsia" w:ascii="宋体" w:hAnsi="宋体"/>
          <w:color w:val="auto"/>
        </w:rPr>
        <w:t>纠正措施</w:t>
      </w:r>
      <w:r>
        <w:tab/>
      </w:r>
      <w:r>
        <w:fldChar w:fldCharType="begin"/>
      </w:r>
      <w:r>
        <w:instrText xml:space="preserve"> PAGEREF _Toc110460651 \h </w:instrText>
      </w:r>
      <w:r>
        <w:fldChar w:fldCharType="separate"/>
      </w:r>
      <w:r>
        <w:t>50</w:t>
      </w:r>
      <w:r>
        <w:fldChar w:fldCharType="end"/>
      </w:r>
      <w:r>
        <w:fldChar w:fldCharType="end"/>
      </w:r>
    </w:p>
    <w:p w14:paraId="0D0ECC05">
      <w:pPr>
        <w:pStyle w:val="11"/>
        <w:tabs>
          <w:tab w:val="left" w:pos="1733"/>
          <w:tab w:val="right" w:leader="dot" w:pos="8296"/>
        </w:tabs>
        <w:rPr>
          <w:rFonts w:asciiTheme="minorHAnsi" w:hAnsiTheme="minorHAnsi" w:eastAsiaTheme="minorEastAsia" w:cstheme="minorBidi"/>
        </w:rPr>
      </w:pPr>
      <w:r>
        <w:fldChar w:fldCharType="begin"/>
      </w:r>
      <w:r>
        <w:instrText xml:space="preserve"> HYPERLINK \l "_Toc110460652" </w:instrText>
      </w:r>
      <w:r>
        <w:fldChar w:fldCharType="separate"/>
      </w:r>
      <w:r>
        <w:rPr>
          <w:rStyle w:val="27"/>
          <w:rFonts w:ascii="宋体" w:hAnsi="宋体"/>
          <w:color w:val="auto"/>
        </w:rPr>
        <w:t>8.17.4</w:t>
      </w:r>
      <w:r>
        <w:rPr>
          <w:rFonts w:asciiTheme="minorHAnsi" w:hAnsiTheme="minorHAnsi" w:eastAsiaTheme="minorEastAsia" w:cstheme="minorBidi"/>
        </w:rPr>
        <w:tab/>
      </w:r>
      <w:r>
        <w:rPr>
          <w:rStyle w:val="27"/>
          <w:rFonts w:hint="eastAsia" w:ascii="宋体" w:hAnsi="宋体"/>
          <w:color w:val="auto"/>
        </w:rPr>
        <w:t>潜在不安全产品的处置</w:t>
      </w:r>
      <w:r>
        <w:tab/>
      </w:r>
      <w:r>
        <w:fldChar w:fldCharType="begin"/>
      </w:r>
      <w:r>
        <w:instrText xml:space="preserve"> PAGEREF _Toc110460652 \h </w:instrText>
      </w:r>
      <w:r>
        <w:fldChar w:fldCharType="separate"/>
      </w:r>
      <w:r>
        <w:t>51</w:t>
      </w:r>
      <w:r>
        <w:fldChar w:fldCharType="end"/>
      </w:r>
      <w:r>
        <w:fldChar w:fldCharType="end"/>
      </w:r>
    </w:p>
    <w:p w14:paraId="2A35A53E">
      <w:pPr>
        <w:pStyle w:val="11"/>
        <w:tabs>
          <w:tab w:val="left" w:pos="1733"/>
          <w:tab w:val="right" w:leader="dot" w:pos="8296"/>
        </w:tabs>
        <w:rPr>
          <w:rFonts w:asciiTheme="minorHAnsi" w:hAnsiTheme="minorHAnsi" w:eastAsiaTheme="minorEastAsia" w:cstheme="minorBidi"/>
        </w:rPr>
      </w:pPr>
      <w:r>
        <w:fldChar w:fldCharType="begin"/>
      </w:r>
      <w:r>
        <w:instrText xml:space="preserve"> HYPERLINK \l "_Toc110460653" </w:instrText>
      </w:r>
      <w:r>
        <w:fldChar w:fldCharType="separate"/>
      </w:r>
      <w:r>
        <w:rPr>
          <w:rStyle w:val="27"/>
          <w:rFonts w:ascii="宋体" w:hAnsi="宋体"/>
          <w:color w:val="auto"/>
        </w:rPr>
        <w:t>8.17.5</w:t>
      </w:r>
      <w:r>
        <w:rPr>
          <w:rFonts w:asciiTheme="minorHAnsi" w:hAnsiTheme="minorHAnsi" w:eastAsiaTheme="minorEastAsia" w:cstheme="minorBidi"/>
        </w:rPr>
        <w:tab/>
      </w:r>
      <w:r>
        <w:rPr>
          <w:rStyle w:val="27"/>
          <w:rFonts w:hint="eastAsia" w:ascii="宋体" w:hAnsi="宋体"/>
          <w:color w:val="auto"/>
        </w:rPr>
        <w:t>撤回</w:t>
      </w:r>
      <w:r>
        <w:rPr>
          <w:rStyle w:val="27"/>
          <w:rFonts w:ascii="宋体" w:hAnsi="宋体"/>
          <w:color w:val="auto"/>
        </w:rPr>
        <w:t>/</w:t>
      </w:r>
      <w:r>
        <w:rPr>
          <w:rStyle w:val="27"/>
          <w:rFonts w:hint="eastAsia" w:ascii="宋体" w:hAnsi="宋体"/>
          <w:color w:val="auto"/>
        </w:rPr>
        <w:t>召回</w:t>
      </w:r>
      <w:r>
        <w:tab/>
      </w:r>
      <w:r>
        <w:fldChar w:fldCharType="begin"/>
      </w:r>
      <w:r>
        <w:instrText xml:space="preserve"> PAGEREF _Toc110460653 \h </w:instrText>
      </w:r>
      <w:r>
        <w:fldChar w:fldCharType="separate"/>
      </w:r>
      <w:r>
        <w:t>52</w:t>
      </w:r>
      <w:r>
        <w:fldChar w:fldCharType="end"/>
      </w:r>
      <w:r>
        <w:fldChar w:fldCharType="end"/>
      </w:r>
    </w:p>
    <w:p w14:paraId="4A520FDB">
      <w:pPr>
        <w:pStyle w:val="17"/>
        <w:tabs>
          <w:tab w:val="left" w:pos="42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"_Toc110460654" </w:instrText>
      </w:r>
      <w:r>
        <w:fldChar w:fldCharType="separate"/>
      </w:r>
      <w:r>
        <w:rPr>
          <w:rStyle w:val="27"/>
          <w:rFonts w:ascii="宋体" w:hAnsi="宋体"/>
          <w:color w:val="auto"/>
        </w:rPr>
        <w:t>9</w:t>
      </w:r>
      <w:r>
        <w:rPr>
          <w:rFonts w:asciiTheme="minorHAnsi" w:hAnsiTheme="minorHAnsi" w:eastAsiaTheme="minorEastAsia" w:cstheme="minorBidi"/>
          <w:b w:val="0"/>
          <w:bCs w:val="0"/>
          <w:caps w:val="0"/>
          <w:sz w:val="21"/>
          <w:szCs w:val="22"/>
        </w:rPr>
        <w:tab/>
      </w:r>
      <w:r>
        <w:rPr>
          <w:rStyle w:val="27"/>
          <w:rFonts w:hint="eastAsia" w:ascii="宋体" w:hAnsi="宋体"/>
          <w:color w:val="auto"/>
        </w:rPr>
        <w:t>绩效评价</w:t>
      </w:r>
      <w:r>
        <w:tab/>
      </w:r>
      <w:r>
        <w:fldChar w:fldCharType="begin"/>
      </w:r>
      <w:r>
        <w:instrText xml:space="preserve"> PAGEREF _Toc110460654 \h </w:instrText>
      </w:r>
      <w:r>
        <w:fldChar w:fldCharType="separate"/>
      </w:r>
      <w:r>
        <w:t>52</w:t>
      </w:r>
      <w:r>
        <w:fldChar w:fldCharType="end"/>
      </w:r>
      <w:r>
        <w:fldChar w:fldCharType="end"/>
      </w:r>
    </w:p>
    <w:p w14:paraId="4BA9BA25">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"_Toc110460655" </w:instrText>
      </w:r>
      <w:r>
        <w:fldChar w:fldCharType="separate"/>
      </w:r>
      <w:r>
        <w:rPr>
          <w:rStyle w:val="27"/>
          <w:rFonts w:ascii="宋体" w:hAnsi="宋体"/>
          <w:color w:val="auto"/>
        </w:rPr>
        <w:t>9.1</w:t>
      </w:r>
      <w:r>
        <w:rPr>
          <w:rFonts w:asciiTheme="minorHAnsi" w:hAnsiTheme="minorHAnsi" w:eastAsiaTheme="minorEastAsia" w:cstheme="minorBidi"/>
        </w:rPr>
        <w:tab/>
      </w:r>
      <w:r>
        <w:rPr>
          <w:rStyle w:val="27"/>
          <w:rFonts w:hint="eastAsia" w:ascii="宋体" w:hAnsi="宋体"/>
          <w:color w:val="auto"/>
        </w:rPr>
        <w:t>监视、测量、分析和评价</w:t>
      </w:r>
      <w:r>
        <w:tab/>
      </w:r>
      <w:r>
        <w:fldChar w:fldCharType="begin"/>
      </w:r>
      <w:r>
        <w:instrText xml:space="preserve"> PAGEREF _Toc110460655 \h </w:instrText>
      </w:r>
      <w:r>
        <w:fldChar w:fldCharType="separate"/>
      </w:r>
      <w:r>
        <w:t>52</w:t>
      </w:r>
      <w:r>
        <w:fldChar w:fldCharType="end"/>
      </w:r>
      <w:r>
        <w:fldChar w:fldCharType="end"/>
      </w:r>
    </w:p>
    <w:p w14:paraId="3CAB6338">
      <w:pPr>
        <w:pStyle w:val="11"/>
        <w:tabs>
          <w:tab w:val="right" w:leader="dot" w:pos="8296"/>
        </w:tabs>
        <w:rPr>
          <w:rFonts w:asciiTheme="minorHAnsi" w:hAnsiTheme="minorHAnsi" w:eastAsiaTheme="minorEastAsia" w:cstheme="minorBidi"/>
        </w:rPr>
      </w:pPr>
      <w:r>
        <w:fldChar w:fldCharType="begin"/>
      </w:r>
      <w:r>
        <w:instrText xml:space="preserve"> HYPERLINK \l "_Toc110460656" </w:instrText>
      </w:r>
      <w:r>
        <w:fldChar w:fldCharType="separate"/>
      </w:r>
      <w:r>
        <w:rPr>
          <w:rStyle w:val="27"/>
          <w:color w:val="auto"/>
        </w:rPr>
        <w:t xml:space="preserve">9.1.1 </w:t>
      </w:r>
      <w:r>
        <w:rPr>
          <w:rStyle w:val="27"/>
          <w:rFonts w:hint="eastAsia"/>
          <w:color w:val="auto"/>
        </w:rPr>
        <w:t>总则</w:t>
      </w:r>
      <w:r>
        <w:tab/>
      </w:r>
      <w:r>
        <w:fldChar w:fldCharType="begin"/>
      </w:r>
      <w:r>
        <w:instrText xml:space="preserve"> PAGEREF _Toc110460656 \h </w:instrText>
      </w:r>
      <w:r>
        <w:fldChar w:fldCharType="separate"/>
      </w:r>
      <w:r>
        <w:t>53</w:t>
      </w:r>
      <w:r>
        <w:fldChar w:fldCharType="end"/>
      </w:r>
      <w:r>
        <w:fldChar w:fldCharType="end"/>
      </w:r>
    </w:p>
    <w:p w14:paraId="0185AD7E">
      <w:pPr>
        <w:pStyle w:val="11"/>
        <w:tabs>
          <w:tab w:val="left" w:pos="1680"/>
          <w:tab w:val="right" w:leader="dot" w:pos="8296"/>
        </w:tabs>
        <w:rPr>
          <w:rFonts w:asciiTheme="minorHAnsi" w:hAnsiTheme="minorHAnsi" w:eastAsiaTheme="minorEastAsia" w:cstheme="minorBidi"/>
        </w:rPr>
      </w:pPr>
      <w:r>
        <w:fldChar w:fldCharType="begin"/>
      </w:r>
      <w:r>
        <w:instrText xml:space="preserve"> HYPERLINK \l "_Toc110460657" </w:instrText>
      </w:r>
      <w:r>
        <w:fldChar w:fldCharType="separate"/>
      </w:r>
      <w:r>
        <w:rPr>
          <w:rStyle w:val="27"/>
          <w:color w:val="auto"/>
        </w:rPr>
        <w:t>9.1.2</w:t>
      </w:r>
      <w:r>
        <w:rPr>
          <w:rFonts w:asciiTheme="minorHAnsi" w:hAnsiTheme="minorHAnsi" w:eastAsiaTheme="minorEastAsia" w:cstheme="minorBidi"/>
        </w:rPr>
        <w:tab/>
      </w:r>
      <w:r>
        <w:rPr>
          <w:rStyle w:val="27"/>
          <w:rFonts w:hint="eastAsia"/>
          <w:color w:val="auto"/>
        </w:rPr>
        <w:t>分析和评价</w:t>
      </w:r>
      <w:r>
        <w:tab/>
      </w:r>
      <w:r>
        <w:fldChar w:fldCharType="begin"/>
      </w:r>
      <w:r>
        <w:instrText xml:space="preserve"> PAGEREF _Toc110460657 \h </w:instrText>
      </w:r>
      <w:r>
        <w:fldChar w:fldCharType="separate"/>
      </w:r>
      <w:r>
        <w:t>53</w:t>
      </w:r>
      <w:r>
        <w:fldChar w:fldCharType="end"/>
      </w:r>
      <w:r>
        <w:fldChar w:fldCharType="end"/>
      </w:r>
    </w:p>
    <w:p w14:paraId="63478DF2">
      <w:pPr>
        <w:pStyle w:val="20"/>
        <w:tabs>
          <w:tab w:val="left" w:pos="1050"/>
          <w:tab w:val="right" w:leader="dot" w:pos="8296"/>
        </w:tabs>
        <w:rPr>
          <w:rFonts w:asciiTheme="minorHAnsi" w:hAnsiTheme="minorHAnsi" w:eastAsiaTheme="minorEastAsia" w:cstheme="minorBidi"/>
        </w:rPr>
      </w:pPr>
      <w:r>
        <w:fldChar w:fldCharType="begin"/>
      </w:r>
      <w:r>
        <w:instrText xml:space="preserve"> HYPERLINK \l "_Toc110460658" </w:instrText>
      </w:r>
      <w:r>
        <w:fldChar w:fldCharType="separate"/>
      </w:r>
      <w:r>
        <w:rPr>
          <w:rStyle w:val="27"/>
          <w:rFonts w:ascii="宋体" w:hAnsi="宋体"/>
          <w:color w:val="auto"/>
        </w:rPr>
        <w:t>9.2</w:t>
      </w:r>
      <w:r>
        <w:rPr>
          <w:rFonts w:asciiTheme="minorHAnsi" w:hAnsiTheme="minorHAnsi" w:eastAsiaTheme="minorEastAsia" w:cstheme="minorBidi"/>
        </w:rPr>
        <w:tab/>
      </w:r>
      <w:r>
        <w:rPr>
          <w:rStyle w:val="27"/>
          <w:rFonts w:hint="eastAsia" w:ascii="宋体" w:hAnsi="宋体"/>
          <w:color w:val="auto"/>
        </w:rPr>
        <w:t>内部审核</w:t>
      </w:r>
      <w:r>
        <w:tab/>
      </w:r>
      <w:r>
        <w:fldChar w:fldCharType="begin"/>
      </w:r>
      <w:r>
        <w:instrText xml:space="preserve"> PAGEREF _Toc110460658 \h </w:instrText>
      </w:r>
      <w:r>
        <w:fldChar w:fldCharType="separate"/>
      </w:r>
      <w:r>
        <w:t>53</w:t>
      </w:r>
      <w:r>
        <w:fldChar w:fldCharType="end"/>
      </w:r>
      <w:r>
        <w:fldChar w:fldCharType="end"/>
      </w:r>
    </w:p>
    <w:p w14:paraId="242508FE">
      <w:pPr>
        <w:pStyle w:val="20"/>
        <w:tabs>
          <w:tab w:val="right" w:leader="dot" w:pos="8296"/>
        </w:tabs>
        <w:rPr>
          <w:rFonts w:asciiTheme="minorHAnsi" w:hAnsiTheme="minorHAnsi" w:eastAsiaTheme="minorEastAsia" w:cstheme="minorBidi"/>
        </w:rPr>
      </w:pPr>
      <w:r>
        <w:fldChar w:fldCharType="begin"/>
      </w:r>
      <w:r>
        <w:instrText xml:space="preserve"> HYPERLINK \l "_Toc110460659" </w:instrText>
      </w:r>
      <w:r>
        <w:fldChar w:fldCharType="separate"/>
      </w:r>
      <w:r>
        <w:rPr>
          <w:rStyle w:val="27"/>
          <w:rFonts w:ascii="宋体" w:hAnsi="宋体"/>
          <w:color w:val="auto"/>
        </w:rPr>
        <w:t xml:space="preserve">9.3 </w:t>
      </w:r>
      <w:r>
        <w:rPr>
          <w:rStyle w:val="27"/>
          <w:rFonts w:hint="eastAsia" w:ascii="宋体" w:hAnsi="宋体"/>
          <w:color w:val="auto"/>
        </w:rPr>
        <w:t>管理评审</w:t>
      </w:r>
      <w:r>
        <w:tab/>
      </w:r>
      <w:r>
        <w:fldChar w:fldCharType="begin"/>
      </w:r>
      <w:r>
        <w:instrText xml:space="preserve"> PAGEREF _Toc110460659 \h </w:instrText>
      </w:r>
      <w:r>
        <w:fldChar w:fldCharType="separate"/>
      </w:r>
      <w:r>
        <w:t>54</w:t>
      </w:r>
      <w:r>
        <w:fldChar w:fldCharType="end"/>
      </w:r>
      <w:r>
        <w:fldChar w:fldCharType="end"/>
      </w:r>
    </w:p>
    <w:p w14:paraId="7224ED7F">
      <w:pPr>
        <w:pStyle w:val="17"/>
        <w:tabs>
          <w:tab w:val="left" w:pos="840"/>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"_Toc110460660" </w:instrText>
      </w:r>
      <w:r>
        <w:fldChar w:fldCharType="separate"/>
      </w:r>
      <w:r>
        <w:rPr>
          <w:rStyle w:val="27"/>
          <w:rFonts w:ascii="宋体" w:hAnsi="宋体"/>
          <w:color w:val="auto"/>
        </w:rPr>
        <w:t>10</w:t>
      </w:r>
      <w:r>
        <w:rPr>
          <w:rFonts w:asciiTheme="minorHAnsi" w:hAnsiTheme="minorHAnsi" w:eastAsiaTheme="minorEastAsia" w:cstheme="minorBidi"/>
          <w:b w:val="0"/>
          <w:bCs w:val="0"/>
          <w:caps w:val="0"/>
          <w:sz w:val="21"/>
          <w:szCs w:val="22"/>
        </w:rPr>
        <w:tab/>
      </w:r>
      <w:r>
        <w:rPr>
          <w:rStyle w:val="27"/>
          <w:rFonts w:hint="eastAsia" w:ascii="宋体" w:hAnsi="宋体"/>
          <w:color w:val="auto"/>
        </w:rPr>
        <w:t>改进</w:t>
      </w:r>
      <w:r>
        <w:tab/>
      </w:r>
      <w:r>
        <w:fldChar w:fldCharType="begin"/>
      </w:r>
      <w:r>
        <w:instrText xml:space="preserve"> PAGEREF _Toc110460660 \h </w:instrText>
      </w:r>
      <w:r>
        <w:fldChar w:fldCharType="separate"/>
      </w:r>
      <w:r>
        <w:t>55</w:t>
      </w:r>
      <w:r>
        <w:fldChar w:fldCharType="end"/>
      </w:r>
      <w:r>
        <w:fldChar w:fldCharType="end"/>
      </w:r>
    </w:p>
    <w:p w14:paraId="6715376C">
      <w:pPr>
        <w:pStyle w:val="20"/>
        <w:tabs>
          <w:tab w:val="left" w:pos="1260"/>
          <w:tab w:val="right" w:leader="dot" w:pos="8296"/>
        </w:tabs>
        <w:rPr>
          <w:rFonts w:asciiTheme="minorHAnsi" w:hAnsiTheme="minorHAnsi" w:eastAsiaTheme="minorEastAsia" w:cstheme="minorBidi"/>
        </w:rPr>
      </w:pPr>
      <w:r>
        <w:fldChar w:fldCharType="begin"/>
      </w:r>
      <w:r>
        <w:instrText xml:space="preserve"> HYPERLINK \l "_Toc110460661" </w:instrText>
      </w:r>
      <w:r>
        <w:fldChar w:fldCharType="separate"/>
      </w:r>
      <w:r>
        <w:rPr>
          <w:rStyle w:val="27"/>
          <w:rFonts w:ascii="宋体" w:hAnsi="宋体"/>
          <w:color w:val="auto"/>
        </w:rPr>
        <w:t>10.1</w:t>
      </w:r>
      <w:r>
        <w:rPr>
          <w:rFonts w:asciiTheme="minorHAnsi" w:hAnsiTheme="minorHAnsi" w:eastAsiaTheme="minorEastAsia" w:cstheme="minorBidi"/>
        </w:rPr>
        <w:tab/>
      </w:r>
      <w:r>
        <w:rPr>
          <w:rStyle w:val="27"/>
          <w:rFonts w:hint="eastAsia" w:ascii="宋体" w:hAnsi="宋体"/>
          <w:color w:val="auto"/>
        </w:rPr>
        <w:t>不合格和纠正措施</w:t>
      </w:r>
      <w:r>
        <w:tab/>
      </w:r>
      <w:r>
        <w:fldChar w:fldCharType="begin"/>
      </w:r>
      <w:r>
        <w:instrText xml:space="preserve"> PAGEREF _Toc110460661 \h </w:instrText>
      </w:r>
      <w:r>
        <w:fldChar w:fldCharType="separate"/>
      </w:r>
      <w:r>
        <w:t>55</w:t>
      </w:r>
      <w:r>
        <w:fldChar w:fldCharType="end"/>
      </w:r>
      <w:r>
        <w:fldChar w:fldCharType="end"/>
      </w:r>
    </w:p>
    <w:p w14:paraId="2ADB1C41">
      <w:pPr>
        <w:pStyle w:val="20"/>
        <w:tabs>
          <w:tab w:val="left" w:pos="1260"/>
          <w:tab w:val="right" w:leader="dot" w:pos="8296"/>
        </w:tabs>
        <w:rPr>
          <w:rFonts w:asciiTheme="minorHAnsi" w:hAnsiTheme="minorHAnsi" w:eastAsiaTheme="minorEastAsia" w:cstheme="minorBidi"/>
        </w:rPr>
      </w:pPr>
      <w:r>
        <w:fldChar w:fldCharType="begin"/>
      </w:r>
      <w:r>
        <w:instrText xml:space="preserve"> HYPERLINK \l "_Toc110460662" </w:instrText>
      </w:r>
      <w:r>
        <w:fldChar w:fldCharType="separate"/>
      </w:r>
      <w:r>
        <w:rPr>
          <w:rStyle w:val="27"/>
          <w:rFonts w:ascii="宋体" w:hAnsi="宋体"/>
          <w:color w:val="auto"/>
        </w:rPr>
        <w:t>10.2</w:t>
      </w:r>
      <w:r>
        <w:rPr>
          <w:rFonts w:asciiTheme="minorHAnsi" w:hAnsiTheme="minorHAnsi" w:eastAsiaTheme="minorEastAsia" w:cstheme="minorBidi"/>
        </w:rPr>
        <w:tab/>
      </w:r>
      <w:r>
        <w:rPr>
          <w:rStyle w:val="27"/>
          <w:rFonts w:hint="eastAsia" w:ascii="宋体" w:hAnsi="宋体"/>
          <w:color w:val="auto"/>
        </w:rPr>
        <w:t>持续改进</w:t>
      </w:r>
      <w:r>
        <w:tab/>
      </w:r>
      <w:r>
        <w:fldChar w:fldCharType="begin"/>
      </w:r>
      <w:r>
        <w:instrText xml:space="preserve"> PAGEREF _Toc110460662 \h </w:instrText>
      </w:r>
      <w:r>
        <w:fldChar w:fldCharType="separate"/>
      </w:r>
      <w:r>
        <w:t>56</w:t>
      </w:r>
      <w:r>
        <w:fldChar w:fldCharType="end"/>
      </w:r>
      <w:r>
        <w:fldChar w:fldCharType="end"/>
      </w:r>
    </w:p>
    <w:p w14:paraId="0ECB27DF">
      <w:pPr>
        <w:pStyle w:val="20"/>
        <w:tabs>
          <w:tab w:val="left" w:pos="1260"/>
          <w:tab w:val="right" w:leader="dot" w:pos="8296"/>
        </w:tabs>
        <w:rPr>
          <w:rFonts w:asciiTheme="minorHAnsi" w:hAnsiTheme="minorHAnsi" w:eastAsiaTheme="minorEastAsia" w:cstheme="minorBidi"/>
        </w:rPr>
      </w:pPr>
      <w:r>
        <w:fldChar w:fldCharType="begin"/>
      </w:r>
      <w:r>
        <w:instrText xml:space="preserve"> HYPERLINK \l "_Toc110460663" </w:instrText>
      </w:r>
      <w:r>
        <w:fldChar w:fldCharType="separate"/>
      </w:r>
      <w:r>
        <w:rPr>
          <w:rStyle w:val="27"/>
          <w:rFonts w:ascii="宋体" w:hAnsi="宋体"/>
          <w:color w:val="auto"/>
        </w:rPr>
        <w:t>10.3</w:t>
      </w:r>
      <w:r>
        <w:rPr>
          <w:rFonts w:asciiTheme="minorHAnsi" w:hAnsiTheme="minorHAnsi" w:eastAsiaTheme="minorEastAsia" w:cstheme="minorBidi"/>
        </w:rPr>
        <w:tab/>
      </w:r>
      <w:r>
        <w:rPr>
          <w:rStyle w:val="27"/>
          <w:rFonts w:hint="eastAsia" w:ascii="宋体" w:hAnsi="宋体"/>
          <w:color w:val="auto"/>
        </w:rPr>
        <w:t>食品安全管理体系、</w:t>
      </w:r>
      <w:r>
        <w:rPr>
          <w:rStyle w:val="27"/>
          <w:rFonts w:ascii="宋体" w:hAnsi="宋体"/>
          <w:color w:val="auto"/>
        </w:rPr>
        <w:t>HACCP</w:t>
      </w:r>
      <w:r>
        <w:rPr>
          <w:rStyle w:val="27"/>
          <w:rFonts w:hint="eastAsia" w:ascii="宋体" w:hAnsi="宋体"/>
          <w:color w:val="auto"/>
        </w:rPr>
        <w:t>体系的更新</w:t>
      </w:r>
      <w:r>
        <w:tab/>
      </w:r>
      <w:r>
        <w:fldChar w:fldCharType="begin"/>
      </w:r>
      <w:r>
        <w:instrText xml:space="preserve"> PAGEREF _Toc110460663 \h </w:instrText>
      </w:r>
      <w:r>
        <w:fldChar w:fldCharType="separate"/>
      </w:r>
      <w:r>
        <w:t>56</w:t>
      </w:r>
      <w:r>
        <w:fldChar w:fldCharType="end"/>
      </w:r>
      <w:r>
        <w:fldChar w:fldCharType="end"/>
      </w:r>
    </w:p>
    <w:p w14:paraId="43E24E09">
      <w:pPr>
        <w:pStyle w:val="17"/>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"_Toc110460664" </w:instrText>
      </w:r>
      <w:r>
        <w:fldChar w:fldCharType="separate"/>
      </w:r>
      <w:r>
        <w:rPr>
          <w:rStyle w:val="27"/>
          <w:rFonts w:hint="eastAsia" w:ascii="宋体" w:hAnsi="宋体"/>
          <w:color w:val="auto"/>
        </w:rPr>
        <w:t>附件一：工艺流程</w:t>
      </w:r>
      <w:r>
        <w:tab/>
      </w:r>
      <w:r>
        <w:fldChar w:fldCharType="begin"/>
      </w:r>
      <w:r>
        <w:instrText xml:space="preserve"> PAGEREF _Toc110460664 \h </w:instrText>
      </w:r>
      <w:r>
        <w:fldChar w:fldCharType="separate"/>
      </w:r>
      <w:r>
        <w:t>57</w:t>
      </w:r>
      <w:r>
        <w:fldChar w:fldCharType="end"/>
      </w:r>
      <w:r>
        <w:fldChar w:fldCharType="end"/>
      </w:r>
    </w:p>
    <w:p w14:paraId="22011041">
      <w:pPr>
        <w:pStyle w:val="17"/>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"_Toc110460665" </w:instrText>
      </w:r>
      <w:r>
        <w:fldChar w:fldCharType="separate"/>
      </w:r>
      <w:r>
        <w:rPr>
          <w:rStyle w:val="27"/>
          <w:rFonts w:hint="eastAsia" w:ascii="宋体" w:hAnsi="宋体"/>
          <w:color w:val="auto"/>
        </w:rPr>
        <w:t>附件二：</w:t>
      </w:r>
      <w:r>
        <w:rPr>
          <w:rStyle w:val="27"/>
          <w:rFonts w:ascii="宋体" w:hAnsi="宋体"/>
          <w:color w:val="auto"/>
        </w:rPr>
        <w:t xml:space="preserve"> </w:t>
      </w:r>
      <w:r>
        <w:rPr>
          <w:rStyle w:val="27"/>
          <w:rFonts w:hint="eastAsia" w:ascii="宋体" w:hAnsi="宋体"/>
          <w:color w:val="auto"/>
        </w:rPr>
        <w:t>质量</w:t>
      </w:r>
      <w:r>
        <w:rPr>
          <w:rStyle w:val="27"/>
          <w:rFonts w:ascii="宋体" w:hAnsi="宋体"/>
          <w:color w:val="auto"/>
        </w:rPr>
        <w:t>/</w:t>
      </w:r>
      <w:r>
        <w:rPr>
          <w:rStyle w:val="27"/>
          <w:rFonts w:hint="eastAsia" w:ascii="宋体" w:hAnsi="宋体"/>
          <w:color w:val="auto"/>
        </w:rPr>
        <w:t>环境</w:t>
      </w:r>
      <w:r>
        <w:rPr>
          <w:rStyle w:val="27"/>
          <w:rFonts w:ascii="宋体" w:hAnsi="宋体"/>
          <w:color w:val="auto"/>
        </w:rPr>
        <w:t>/</w:t>
      </w:r>
      <w:r>
        <w:rPr>
          <w:rStyle w:val="27"/>
          <w:rFonts w:hint="eastAsia" w:ascii="宋体" w:hAnsi="宋体"/>
          <w:color w:val="auto"/>
        </w:rPr>
        <w:t>职业健康安全管理体系职能分配表</w:t>
      </w:r>
      <w:r>
        <w:tab/>
      </w:r>
      <w:r>
        <w:fldChar w:fldCharType="begin"/>
      </w:r>
      <w:r>
        <w:instrText xml:space="preserve"> PAGEREF _Toc110460665 \h </w:instrText>
      </w:r>
      <w:r>
        <w:fldChar w:fldCharType="separate"/>
      </w:r>
      <w:r>
        <w:t>58</w:t>
      </w:r>
      <w:r>
        <w:fldChar w:fldCharType="end"/>
      </w:r>
      <w:r>
        <w:fldChar w:fldCharType="end"/>
      </w:r>
    </w:p>
    <w:p w14:paraId="2B635673">
      <w:pPr>
        <w:pStyle w:val="17"/>
        <w:tabs>
          <w:tab w:val="right" w:leader="dot" w:pos="8296"/>
        </w:tabs>
      </w:pPr>
      <w:r>
        <w:fldChar w:fldCharType="begin"/>
      </w:r>
      <w:r>
        <w:instrText xml:space="preserve"> HYPERLINK \l "_Toc110460666" </w:instrText>
      </w:r>
      <w:r>
        <w:fldChar w:fldCharType="separate"/>
      </w:r>
      <w:r>
        <w:rPr>
          <w:rStyle w:val="27"/>
          <w:rFonts w:hint="eastAsia" w:ascii="宋体" w:hAnsi="宋体"/>
          <w:color w:val="auto"/>
        </w:rPr>
        <w:t>附件三：质量环境职业健康安全/食品安全/HACCP体系职能分配表</w:t>
      </w:r>
      <w:r>
        <w:tab/>
      </w:r>
      <w:r>
        <w:fldChar w:fldCharType="begin"/>
      </w:r>
      <w:r>
        <w:instrText xml:space="preserve"> PAGEREF _Toc110460666 \h </w:instrText>
      </w:r>
      <w:r>
        <w:fldChar w:fldCharType="separate"/>
      </w:r>
      <w:r>
        <w:t>60</w:t>
      </w:r>
      <w:r>
        <w:fldChar w:fldCharType="end"/>
      </w:r>
      <w:r>
        <w:fldChar w:fldCharType="end"/>
      </w:r>
    </w:p>
    <w:p w14:paraId="75B3EB0C">
      <w:pPr>
        <w:rPr>
          <w:rStyle w:val="27"/>
          <w:rFonts w:ascii="宋体" w:hAnsi="宋体"/>
          <w:b/>
          <w:bCs/>
          <w:caps/>
          <w:color w:val="auto"/>
          <w:sz w:val="20"/>
          <w:szCs w:val="20"/>
        </w:rPr>
      </w:pPr>
      <w:r>
        <w:rPr>
          <w:rFonts w:ascii="宋体" w:hAnsi="宋体"/>
          <w:b/>
          <w:bCs/>
          <w:lang w:val="zh-CN"/>
        </w:rPr>
        <w:fldChar w:fldCharType="end"/>
      </w:r>
      <w:r>
        <w:rPr>
          <w:rStyle w:val="27"/>
          <w:rFonts w:hint="eastAsia" w:ascii="宋体" w:hAnsi="宋体"/>
          <w:b/>
          <w:bCs/>
          <w:caps/>
          <w:color w:val="auto"/>
          <w:sz w:val="20"/>
          <w:szCs w:val="20"/>
        </w:rPr>
        <w:t>附件四：程序文件清单............................................................62</w:t>
      </w:r>
    </w:p>
    <w:p w14:paraId="7E094468">
      <w:pPr>
        <w:rPr>
          <w:rFonts w:ascii="宋体" w:hAnsi="宋体"/>
        </w:rPr>
      </w:pPr>
    </w:p>
    <w:p w14:paraId="7EDF76E4">
      <w:pPr>
        <w:pStyle w:val="2"/>
        <w:rPr>
          <w:rFonts w:ascii="宋体" w:hAnsi="宋体"/>
        </w:rPr>
      </w:pPr>
    </w:p>
    <w:p w14:paraId="75DE4629">
      <w:pPr>
        <w:pStyle w:val="22"/>
        <w:rPr>
          <w:rFonts w:ascii="宋体" w:hAnsi="宋体"/>
        </w:rPr>
      </w:pPr>
      <w:bookmarkStart w:id="0" w:name="_Toc110460530"/>
      <w:r>
        <w:rPr>
          <w:rFonts w:ascii="宋体" w:hAnsi="宋体"/>
        </w:rPr>
        <w:t>0.1</w:t>
      </w:r>
      <w:r>
        <w:rPr>
          <w:rFonts w:hint="eastAsia" w:ascii="宋体" w:hAnsi="宋体"/>
        </w:rPr>
        <w:t>.前    言</w:t>
      </w:r>
      <w:bookmarkEnd w:id="0"/>
    </w:p>
    <w:p w14:paraId="4D2488F6">
      <w:pPr>
        <w:widowControl/>
        <w:ind w:firstLine="420" w:firstLineChars="200"/>
        <w:jc w:val="left"/>
        <w:rPr>
          <w:rFonts w:ascii="宋体" w:hAnsi="宋体"/>
        </w:rPr>
      </w:pPr>
    </w:p>
    <w:p w14:paraId="06D9F81F">
      <w:pPr>
        <w:rPr>
          <w:rFonts w:hint="eastAsia" w:ascii="宋体" w:hAnsi="宋体" w:eastAsia="宋体" w:cs="宋体"/>
          <w:b w:val="0"/>
          <w:bCs w:val="0"/>
          <w:sz w:val="21"/>
          <w:szCs w:val="21"/>
        </w:rPr>
      </w:pPr>
      <w:r>
        <w:rPr>
          <w:rFonts w:hint="eastAsia" w:ascii="宋体" w:hAnsi="宋体" w:cs="宋体"/>
          <w:i w:val="0"/>
          <w:iCs w:val="0"/>
          <w:caps w:val="0"/>
          <w:color w:val="000000"/>
          <w:spacing w:val="0"/>
          <w:sz w:val="21"/>
          <w:szCs w:val="21"/>
          <w:shd w:val="clear" w:fill="FFFFFF"/>
          <w:lang w:eastAsia="zh-CN"/>
        </w:rPr>
        <w:t>武汉硚运供应链管理有限责任公司</w:t>
      </w:r>
      <w:r>
        <w:rPr>
          <w:rFonts w:hint="eastAsia" w:ascii="宋体" w:hAnsi="宋体" w:eastAsia="宋体" w:cs="宋体"/>
          <w:i w:val="0"/>
          <w:iCs w:val="0"/>
          <w:caps w:val="0"/>
          <w:color w:val="000000"/>
          <w:spacing w:val="0"/>
          <w:sz w:val="21"/>
          <w:szCs w:val="21"/>
          <w:shd w:val="clear" w:fill="FFFFFF"/>
        </w:rPr>
        <w:t>成立于2010年12月24日，注册地位于</w:t>
      </w:r>
      <w:r>
        <w:rPr>
          <w:rFonts w:hint="eastAsia" w:ascii="宋体" w:hAnsi="宋体" w:cs="宋体"/>
          <w:i w:val="0"/>
          <w:iCs w:val="0"/>
          <w:caps w:val="0"/>
          <w:color w:val="000000"/>
          <w:spacing w:val="0"/>
          <w:sz w:val="21"/>
          <w:szCs w:val="21"/>
          <w:shd w:val="clear" w:fill="FFFFFF"/>
          <w:lang w:eastAsia="zh-CN"/>
        </w:rPr>
        <w:t>湖北省武汉市硚口区韩家墩街解放大道213号楚天创新园附楼4楼</w:t>
      </w:r>
      <w:r>
        <w:rPr>
          <w:rFonts w:hint="eastAsia" w:ascii="宋体" w:hAnsi="宋体" w:eastAsia="宋体" w:cs="宋体"/>
          <w:i w:val="0"/>
          <w:iCs w:val="0"/>
          <w:caps w:val="0"/>
          <w:color w:val="000000"/>
          <w:spacing w:val="0"/>
          <w:sz w:val="21"/>
          <w:szCs w:val="21"/>
          <w:shd w:val="clear" w:fill="FFFFFF"/>
        </w:rPr>
        <w:t>，法定代表人为</w:t>
      </w:r>
      <w:r>
        <w:rPr>
          <w:rFonts w:hint="eastAsia" w:ascii="宋体" w:hAnsi="宋体" w:cs="宋体"/>
          <w:i w:val="0"/>
          <w:iCs w:val="0"/>
          <w:caps w:val="0"/>
          <w:color w:val="000000"/>
          <w:spacing w:val="0"/>
          <w:sz w:val="21"/>
          <w:szCs w:val="21"/>
          <w:shd w:val="clear" w:fill="FFFFFF"/>
          <w:lang w:eastAsia="zh-CN"/>
        </w:rPr>
        <w:t>韩乐</w:t>
      </w:r>
      <w:r>
        <w:rPr>
          <w:rFonts w:hint="eastAsia" w:ascii="宋体" w:hAnsi="宋体" w:eastAsia="宋体" w:cs="宋体"/>
          <w:i w:val="0"/>
          <w:iCs w:val="0"/>
          <w:caps w:val="0"/>
          <w:color w:val="000000"/>
          <w:spacing w:val="0"/>
          <w:sz w:val="21"/>
          <w:szCs w:val="21"/>
          <w:shd w:val="clear" w:fill="FFFFFF"/>
        </w:rPr>
        <w:t>。经营范围包括许可项目：城市配送运输服务（不含危险货物）；食品销售；食品小作坊经营；水产养殖；食品生产；餐饮服务（不产生油烟、异味、废气）；餐饮服务。（依法须经批准的项目，经相关部门批准后方可开展经营活动，具体经营项目以相关部门批准文件或许可证件为准）一般项目：农副产品销售；食品销售（仅销售预包装食品）；日用百货销售；新鲜蔬菜批发；鲜肉批发；日用杂品销售；蔬菜种植；水果种植；鲜蛋批发；餐饮管理。（除依法须经批准的项目外，凭营业执照依法自主开展经营活动）</w:t>
      </w:r>
    </w:p>
    <w:p w14:paraId="73554FA2">
      <w:pPr>
        <w:pStyle w:val="2"/>
      </w:pPr>
    </w:p>
    <w:p w14:paraId="1197CDCA">
      <w:pPr>
        <w:pStyle w:val="2"/>
        <w:spacing w:line="460" w:lineRule="exact"/>
        <w:ind w:firstLine="480"/>
        <w:rPr>
          <w:rFonts w:ascii="宋体" w:hAnsi="宋体" w:cs="宋体"/>
          <w:szCs w:val="21"/>
        </w:rPr>
      </w:pPr>
    </w:p>
    <w:p w14:paraId="0FDFE5B6">
      <w:pPr>
        <w:pStyle w:val="2"/>
        <w:spacing w:line="460" w:lineRule="exact"/>
        <w:rPr>
          <w:b/>
          <w:sz w:val="28"/>
          <w:szCs w:val="28"/>
        </w:rPr>
      </w:pPr>
      <w:bookmarkStart w:id="1" w:name="_Toc110460531"/>
      <w:r>
        <w:rPr>
          <w:rFonts w:hint="eastAsia"/>
          <w:b/>
          <w:sz w:val="28"/>
          <w:szCs w:val="28"/>
        </w:rPr>
        <w:t>0.2.本公司的组织机构如下图所示：</w:t>
      </w:r>
      <w:bookmarkEnd w:id="1"/>
    </w:p>
    <w:p w14:paraId="42210CA8">
      <w:pPr>
        <w:spacing w:line="400" w:lineRule="exact"/>
        <w:rPr>
          <w:rFonts w:ascii="宋体" w:hAnsi="宋体"/>
          <w:sz w:val="28"/>
          <w:szCs w:val="28"/>
        </w:rPr>
      </w:pPr>
    </w:p>
    <w:p w14:paraId="35AECA1B">
      <w:pPr>
        <w:pStyle w:val="2"/>
        <w:rPr>
          <w:rFonts w:ascii="宋体" w:hAnsi="宋体"/>
          <w:sz w:val="28"/>
          <w:szCs w:val="28"/>
        </w:rPr>
      </w:pPr>
      <w:r>
        <w:rPr>
          <w:rFonts w:ascii="宋体" w:hAnsi="宋体"/>
          <w:sz w:val="20"/>
        </w:rPr>
        <w:drawing>
          <wp:inline distT="0" distB="0" distL="0" distR="0">
            <wp:extent cx="5282565" cy="3797300"/>
            <wp:effectExtent l="38100" t="0" r="13335" b="0"/>
            <wp:docPr id="3" name="组织结构图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47A1669">
      <w:pPr>
        <w:ind w:firstLine="420" w:firstLineChars="200"/>
        <w:rPr>
          <w:rFonts w:ascii="宋体" w:hAnsi="宋体"/>
        </w:rPr>
      </w:pPr>
    </w:p>
    <w:p w14:paraId="703E2B50">
      <w:pPr>
        <w:rPr>
          <w:rFonts w:ascii="宋体" w:hAnsi="宋体"/>
        </w:rPr>
      </w:pPr>
      <w:r>
        <w:rPr>
          <w:rFonts w:hint="eastAsia" w:ascii="宋体" w:hAnsi="宋体"/>
        </w:rPr>
        <w:t>备注：食品安全小组成员：具体职责见（</w:t>
      </w:r>
      <w:r>
        <w:rPr>
          <w:rFonts w:ascii="宋体" w:hAnsi="宋体"/>
        </w:rPr>
        <w:t>危害控制计划</w:t>
      </w:r>
      <w:r>
        <w:rPr>
          <w:rFonts w:hint="eastAsia" w:ascii="宋体" w:hAnsi="宋体"/>
        </w:rPr>
        <w:t>,食品安全小组介绍）</w:t>
      </w:r>
    </w:p>
    <w:p w14:paraId="01BEB0FC">
      <w:pPr>
        <w:pStyle w:val="2"/>
        <w:ind w:firstLine="480"/>
        <w:rPr>
          <w:rFonts w:ascii="宋体" w:hAnsi="宋体" w:cs="宋体"/>
          <w:sz w:val="24"/>
          <w:szCs w:val="24"/>
        </w:rPr>
      </w:pPr>
    </w:p>
    <w:p w14:paraId="36B8EA0B">
      <w:pPr>
        <w:pStyle w:val="22"/>
        <w:rPr>
          <w:rFonts w:ascii="宋体" w:hAnsi="宋体"/>
        </w:rPr>
      </w:pPr>
      <w:bookmarkStart w:id="2" w:name="_Toc110460600"/>
      <w:r>
        <w:rPr>
          <w:rFonts w:ascii="宋体" w:hAnsi="宋体"/>
        </w:rPr>
        <w:t>0</w:t>
      </w:r>
      <w:r>
        <w:rPr>
          <w:rFonts w:hint="eastAsia" w:ascii="宋体" w:hAnsi="宋体"/>
        </w:rPr>
        <w:t>.</w:t>
      </w:r>
      <w:r>
        <w:rPr>
          <w:rFonts w:ascii="宋体" w:hAnsi="宋体"/>
        </w:rPr>
        <w:t xml:space="preserve">3 </w:t>
      </w:r>
      <w:r>
        <w:rPr>
          <w:rFonts w:hint="eastAsia" w:ascii="宋体" w:hAnsi="宋体"/>
        </w:rPr>
        <w:t>体系文件发布令</w:t>
      </w:r>
      <w:bookmarkEnd w:id="2"/>
    </w:p>
    <w:p w14:paraId="620D581B">
      <w:pPr>
        <w:spacing w:line="460" w:lineRule="exact"/>
        <w:ind w:firstLine="480"/>
        <w:rPr>
          <w:rFonts w:ascii="宋体" w:hAnsi="宋体"/>
        </w:rPr>
      </w:pPr>
      <w:r>
        <w:rPr>
          <w:rFonts w:hint="eastAsia" w:ascii="宋体" w:hAnsi="宋体"/>
          <w:lang w:eastAsia="zh-CN"/>
        </w:rPr>
        <w:t>武汉硚运供应链管理有限责任公司</w:t>
      </w:r>
      <w:r>
        <w:rPr>
          <w:rFonts w:hint="eastAsia" w:ascii="宋体" w:hAnsi="宋体"/>
        </w:rPr>
        <w:t>为强化食品安全管理，提高企业竞争优势和抗风险能力、持续满足顾客的需求和期望，认真学习并贯彻实施ISO9001:2015《质量管理体系要求》、ISO14001:2015《环境管理体系要求》、ISO45001:2018《职业健康安全管理体系要求》、ISO 22000:2018 食品安全管理体系、《危害分析与关键控制点（HACCP）体系认证要求（V1.0)》在充分调查讨论的基础上，以标准要求为准绳，结合公司的实际情况，对公司的质量环境职业健康安全/食品安全/HACCP体系进行策划。形成本管理手册和程序文件。</w:t>
      </w:r>
    </w:p>
    <w:p w14:paraId="5E3584DE">
      <w:pPr>
        <w:spacing w:line="460" w:lineRule="exact"/>
        <w:ind w:firstLine="480"/>
        <w:rPr>
          <w:rFonts w:ascii="宋体" w:hAnsi="宋体"/>
        </w:rPr>
      </w:pPr>
      <w:r>
        <w:rPr>
          <w:rFonts w:hint="eastAsia" w:ascii="宋体" w:hAnsi="宋体"/>
        </w:rPr>
        <w:t>本手册是规定我公司质量环境职业健康安全/食品安全/HACCP体系结构、总体描述了质量环境职业健康安全/食品安全/HACCP体系的过程和相互作用、对过程的控制准则和控制方法、以及对这些过程的监视和测量。它既是本公司一部综合性的内部管理文件，又是对外承诺我公司食品配送保证能力的宣言。经审定满足标准要求，符合我国有关法律法规要求和我公司实际情况。为此，自即日起正式发布实施。</w:t>
      </w:r>
    </w:p>
    <w:p w14:paraId="45507550">
      <w:pPr>
        <w:rPr>
          <w:rFonts w:ascii="宋体" w:hAnsi="宋体"/>
        </w:rPr>
      </w:pPr>
    </w:p>
    <w:p w14:paraId="718DD8B6">
      <w:pPr>
        <w:spacing w:line="360" w:lineRule="auto"/>
        <w:jc w:val="center"/>
        <w:rPr>
          <w:rFonts w:ascii="宋体" w:hAnsi="宋体"/>
          <w:sz w:val="24"/>
          <w:szCs w:val="24"/>
        </w:rPr>
      </w:pPr>
      <w:r>
        <w:rPr>
          <w:rFonts w:hint="eastAsia" w:ascii="宋体" w:hAnsi="宋体"/>
        </w:rPr>
        <w:t xml:space="preserve">                                       </w:t>
      </w:r>
      <w:r>
        <w:rPr>
          <w:rFonts w:hint="eastAsia" w:ascii="宋体" w:hAnsi="宋体"/>
          <w:sz w:val="24"/>
          <w:szCs w:val="24"/>
        </w:rPr>
        <w:t xml:space="preserve"> </w:t>
      </w:r>
      <w:r>
        <w:rPr>
          <w:rFonts w:ascii="宋体" w:hAnsi="宋体"/>
          <w:sz w:val="24"/>
          <w:szCs w:val="24"/>
        </w:rPr>
        <w:t xml:space="preserve"> </w:t>
      </w:r>
    </w:p>
    <w:p w14:paraId="4953A9E8">
      <w:pPr>
        <w:spacing w:line="360" w:lineRule="auto"/>
        <w:jc w:val="center"/>
        <w:rPr>
          <w:rFonts w:ascii="宋体" w:hAnsi="宋体"/>
        </w:rPr>
      </w:pPr>
      <w:r>
        <w:rPr>
          <w:rFonts w:ascii="宋体" w:hAnsi="宋体"/>
          <w:sz w:val="24"/>
          <w:szCs w:val="24"/>
        </w:rPr>
        <w:t xml:space="preserve">          </w:t>
      </w:r>
      <w:r>
        <w:rPr>
          <w:rFonts w:hint="eastAsia" w:ascii="宋体" w:hAnsi="宋体"/>
          <w:bCs/>
          <w:sz w:val="24"/>
          <w:szCs w:val="24"/>
        </w:rPr>
        <w:t>总经理：</w:t>
      </w:r>
      <w:r>
        <w:rPr>
          <w:rFonts w:hint="eastAsia" w:ascii="宋体" w:hAnsi="宋体"/>
          <w:bCs/>
          <w:sz w:val="24"/>
          <w:szCs w:val="24"/>
          <w:lang w:eastAsia="zh-CN"/>
        </w:rPr>
        <w:t>韩乐</w:t>
      </w:r>
      <w:r>
        <w:rPr>
          <w:rFonts w:hint="eastAsia" w:ascii="宋体" w:hAnsi="宋体"/>
          <w:bCs/>
          <w:sz w:val="24"/>
          <w:szCs w:val="24"/>
          <w:lang w:val="en-US" w:eastAsia="zh-CN"/>
        </w:rPr>
        <w:t xml:space="preserve">     </w:t>
      </w:r>
      <w:r>
        <w:rPr>
          <w:rFonts w:ascii="宋体" w:hAnsi="宋体"/>
          <w:bCs/>
          <w:sz w:val="24"/>
          <w:szCs w:val="24"/>
        </w:rPr>
        <w:t xml:space="preserve"> </w:t>
      </w:r>
      <w:r>
        <w:rPr>
          <w:rFonts w:hint="eastAsia" w:ascii="宋体" w:hAnsi="宋体"/>
          <w:bCs/>
          <w:sz w:val="24"/>
          <w:szCs w:val="24"/>
          <w:lang w:eastAsia="zh-CN"/>
        </w:rPr>
        <w:t>2025.2.12</w:t>
      </w:r>
    </w:p>
    <w:p w14:paraId="29CCEAF8">
      <w:pPr>
        <w:pStyle w:val="22"/>
        <w:rPr>
          <w:rFonts w:ascii="宋体" w:hAnsi="宋体"/>
        </w:rPr>
      </w:pPr>
      <w:bookmarkStart w:id="3" w:name="_Toc110460601"/>
      <w:r>
        <w:rPr>
          <w:rFonts w:ascii="宋体" w:hAnsi="宋体"/>
        </w:rPr>
        <w:t>0.4</w:t>
      </w:r>
      <w:r>
        <w:rPr>
          <w:rFonts w:hint="eastAsia" w:ascii="宋体" w:hAnsi="宋体"/>
        </w:rPr>
        <w:t>.食品安全方针和目标发布令</w:t>
      </w:r>
      <w:bookmarkEnd w:id="3"/>
    </w:p>
    <w:p w14:paraId="6EDA84EF">
      <w:pPr>
        <w:spacing w:line="480" w:lineRule="auto"/>
        <w:rPr>
          <w:rFonts w:ascii="宋体" w:hAnsi="宋体"/>
          <w:b/>
          <w:bCs/>
        </w:rPr>
      </w:pPr>
      <w:r>
        <w:rPr>
          <w:rFonts w:hint="eastAsia" w:ascii="宋体" w:hAnsi="宋体"/>
          <w:b/>
          <w:bCs/>
        </w:rPr>
        <w:t>1.本公司的方针</w:t>
      </w:r>
    </w:p>
    <w:p w14:paraId="7D57F1D5">
      <w:pPr>
        <w:spacing w:line="480" w:lineRule="auto"/>
        <w:ind w:firstLine="480"/>
        <w:jc w:val="center"/>
        <w:rPr>
          <w:rFonts w:ascii="宋体" w:hAnsi="宋体"/>
        </w:rPr>
      </w:pPr>
      <w:r>
        <w:rPr>
          <w:sz w:val="24"/>
        </w:rPr>
        <mc:AlternateContent>
          <mc:Choice Requires="wps">
            <w:drawing>
              <wp:anchor distT="0" distB="0" distL="114300" distR="114300" simplePos="0" relativeHeight="251660288" behindDoc="0" locked="0" layoutInCell="1" allowOverlap="1">
                <wp:simplePos x="0" y="0"/>
                <wp:positionH relativeFrom="column">
                  <wp:posOffset>1143635</wp:posOffset>
                </wp:positionH>
                <wp:positionV relativeFrom="paragraph">
                  <wp:posOffset>-13970</wp:posOffset>
                </wp:positionV>
                <wp:extent cx="3611880" cy="1711325"/>
                <wp:effectExtent l="4445" t="4445" r="53975" b="49530"/>
                <wp:wrapSquare wrapText="bothSides"/>
                <wp:docPr id="21" name="文本框 21"/>
                <wp:cNvGraphicFramePr/>
                <a:graphic xmlns:a="http://schemas.openxmlformats.org/drawingml/2006/main">
                  <a:graphicData uri="http://schemas.microsoft.com/office/word/2010/wordprocessingShape">
                    <wps:wsp>
                      <wps:cNvSpPr txBox="1"/>
                      <wps:spPr>
                        <a:xfrm>
                          <a:off x="0" y="0"/>
                          <a:ext cx="3611880" cy="1711325"/>
                        </a:xfrm>
                        <a:prstGeom prst="rect">
                          <a:avLst/>
                        </a:prstGeom>
                        <a:solidFill>
                          <a:srgbClr val="FFFFFF"/>
                        </a:solidFill>
                        <a:ln w="6350">
                          <a:solidFill>
                            <a:srgbClr val="000000"/>
                          </a:solidFill>
                          <a:prstDash val="solid"/>
                          <a:miter lim="0"/>
                        </a:ln>
                        <a:effectLst>
                          <a:outerShdw dist="53882" dir="2699999" algn="ctr" rotWithShape="0">
                            <a:srgbClr val="808080">
                              <a:alpha val="100000"/>
                            </a:srgbClr>
                          </a:outerShdw>
                        </a:effectLst>
                      </wps:spPr>
                      <wps:txbx>
                        <w:txbxContent>
                          <w:p w14:paraId="25906027">
                            <w:pPr>
                              <w:ind w:firstLine="1124" w:firstLineChars="400"/>
                              <w:rPr>
                                <w:rFonts w:eastAsia="黑体"/>
                                <w:b/>
                                <w:bCs/>
                                <w:kern w:val="0"/>
                                <w:sz w:val="28"/>
                                <w:szCs w:val="28"/>
                              </w:rPr>
                            </w:pPr>
                            <w:r>
                              <w:rPr>
                                <w:rFonts w:hint="eastAsia" w:eastAsia="黑体"/>
                                <w:b/>
                                <w:bCs/>
                                <w:kern w:val="0"/>
                                <w:sz w:val="28"/>
                                <w:szCs w:val="28"/>
                              </w:rPr>
                              <w:t>用心服务，满足客户需求</w:t>
                            </w:r>
                          </w:p>
                          <w:p w14:paraId="5E4F8678">
                            <w:pPr>
                              <w:ind w:firstLine="1124" w:firstLineChars="400"/>
                              <w:rPr>
                                <w:rFonts w:eastAsia="黑体"/>
                                <w:b/>
                                <w:bCs/>
                                <w:kern w:val="0"/>
                                <w:sz w:val="28"/>
                                <w:szCs w:val="28"/>
                              </w:rPr>
                            </w:pPr>
                            <w:r>
                              <w:rPr>
                                <w:rFonts w:hint="eastAsia" w:eastAsia="黑体"/>
                                <w:b/>
                                <w:bCs/>
                                <w:kern w:val="0"/>
                                <w:sz w:val="28"/>
                                <w:szCs w:val="28"/>
                              </w:rPr>
                              <w:t xml:space="preserve"> 潜心管理，保障食品安全</w:t>
                            </w:r>
                          </w:p>
                          <w:p w14:paraId="12000055">
                            <w:pPr>
                              <w:ind w:firstLine="1124" w:firstLineChars="400"/>
                              <w:rPr>
                                <w:rFonts w:eastAsia="黑体"/>
                                <w:b/>
                                <w:bCs/>
                                <w:kern w:val="0"/>
                                <w:sz w:val="28"/>
                                <w:szCs w:val="28"/>
                              </w:rPr>
                            </w:pPr>
                            <w:r>
                              <w:rPr>
                                <w:rFonts w:hint="eastAsia" w:eastAsia="黑体"/>
                                <w:b/>
                                <w:bCs/>
                                <w:kern w:val="0"/>
                                <w:sz w:val="28"/>
                                <w:szCs w:val="28"/>
                              </w:rPr>
                              <w:t>保护环境，预防污染产生</w:t>
                            </w:r>
                          </w:p>
                          <w:p w14:paraId="008CE323">
                            <w:pPr>
                              <w:ind w:firstLine="1405" w:firstLineChars="500"/>
                              <w:rPr>
                                <w:rFonts w:eastAsia="黑体"/>
                                <w:b/>
                                <w:bCs/>
                                <w:kern w:val="0"/>
                                <w:sz w:val="28"/>
                                <w:szCs w:val="28"/>
                              </w:rPr>
                            </w:pPr>
                            <w:r>
                              <w:rPr>
                                <w:rFonts w:hint="eastAsia" w:eastAsia="黑体"/>
                                <w:b/>
                                <w:bCs/>
                                <w:kern w:val="0"/>
                                <w:sz w:val="28"/>
                                <w:szCs w:val="28"/>
                              </w:rPr>
                              <w:t>健康安全，持续改进。</w:t>
                            </w:r>
                          </w:p>
                          <w:p w14:paraId="3D24E9D7">
                            <w:pPr>
                              <w:pStyle w:val="2"/>
                            </w:pPr>
                          </w:p>
                          <w:p w14:paraId="3E9141F9">
                            <w:pPr>
                              <w:spacing w:line="360" w:lineRule="auto"/>
                              <w:ind w:firstLine="562" w:firstLineChars="200"/>
                              <w:rPr>
                                <w:sz w:val="28"/>
                                <w:szCs w:val="28"/>
                              </w:rPr>
                            </w:pPr>
                            <w:r>
                              <w:rPr>
                                <w:rFonts w:hint="eastAsia" w:ascii="宋体" w:hAnsi="宋体"/>
                                <w:b/>
                                <w:bCs/>
                                <w:color w:val="000000"/>
                                <w:kern w:val="0"/>
                                <w:sz w:val="28"/>
                                <w:szCs w:val="28"/>
                              </w:rPr>
                              <w:t>。</w:t>
                            </w:r>
                          </w:p>
                        </w:txbxContent>
                      </wps:txbx>
                      <wps:bodyPr upright="1"/>
                    </wps:wsp>
                  </a:graphicData>
                </a:graphic>
              </wp:anchor>
            </w:drawing>
          </mc:Choice>
          <mc:Fallback>
            <w:pict>
              <v:shape id="_x0000_s1026" o:spid="_x0000_s1026" o:spt="202" type="#_x0000_t202" style="position:absolute;left:0pt;margin-left:90.05pt;margin-top:-1.1pt;height:134.75pt;width:284.4pt;mso-wrap-distance-bottom:0pt;mso-wrap-distance-left:9pt;mso-wrap-distance-right:9pt;mso-wrap-distance-top:0pt;z-index:251660288;mso-width-relative:page;mso-height-relative:page;" fillcolor="#FFFFFF" filled="t" stroked="t" coordsize="21600,21600" o:gfxdata="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welOXZAAAACgEAAA8AAAAAAAAAAQAgAAAAIgAAAGRycy9kb3ducmV2LnhtbFBLAQIU&#10;ABQAAAAIAIdO4kCi9D0NKwIAAH8EAAAOAAAAAAAAAAEAIAAAACgBAABkcnMvZTJvRG9jLnhtbFBL&#10;BQYAAAAABgAGAFkBAADFBQAAAAA=&#10;">
                <v:fill on="t" focussize="0,0"/>
                <v:stroke weight="0.5pt" color="#000000" miterlimit="0" joinstyle="miter"/>
                <v:imagedata o:title=""/>
                <o:lock v:ext="edit" aspectratio="f"/>
                <v:shadow on="t" color="#808080" opacity="65536f" offset="3pt,3pt" origin="0f,0f" matrix="65536f,0f,0f,65536f"/>
                <v:textbox>
                  <w:txbxContent>
                    <w:p w14:paraId="25906027">
                      <w:pPr>
                        <w:ind w:firstLine="1124" w:firstLineChars="400"/>
                        <w:rPr>
                          <w:rFonts w:eastAsia="黑体"/>
                          <w:b/>
                          <w:bCs/>
                          <w:kern w:val="0"/>
                          <w:sz w:val="28"/>
                          <w:szCs w:val="28"/>
                        </w:rPr>
                      </w:pPr>
                      <w:r>
                        <w:rPr>
                          <w:rFonts w:hint="eastAsia" w:eastAsia="黑体"/>
                          <w:b/>
                          <w:bCs/>
                          <w:kern w:val="0"/>
                          <w:sz w:val="28"/>
                          <w:szCs w:val="28"/>
                        </w:rPr>
                        <w:t>用心服务，满足客户需求</w:t>
                      </w:r>
                    </w:p>
                    <w:p w14:paraId="5E4F8678">
                      <w:pPr>
                        <w:ind w:firstLine="1124" w:firstLineChars="400"/>
                        <w:rPr>
                          <w:rFonts w:eastAsia="黑体"/>
                          <w:b/>
                          <w:bCs/>
                          <w:kern w:val="0"/>
                          <w:sz w:val="28"/>
                          <w:szCs w:val="28"/>
                        </w:rPr>
                      </w:pPr>
                      <w:r>
                        <w:rPr>
                          <w:rFonts w:hint="eastAsia" w:eastAsia="黑体"/>
                          <w:b/>
                          <w:bCs/>
                          <w:kern w:val="0"/>
                          <w:sz w:val="28"/>
                          <w:szCs w:val="28"/>
                        </w:rPr>
                        <w:t xml:space="preserve"> 潜心管理，保障食品安全</w:t>
                      </w:r>
                    </w:p>
                    <w:p w14:paraId="12000055">
                      <w:pPr>
                        <w:ind w:firstLine="1124" w:firstLineChars="400"/>
                        <w:rPr>
                          <w:rFonts w:eastAsia="黑体"/>
                          <w:b/>
                          <w:bCs/>
                          <w:kern w:val="0"/>
                          <w:sz w:val="28"/>
                          <w:szCs w:val="28"/>
                        </w:rPr>
                      </w:pPr>
                      <w:r>
                        <w:rPr>
                          <w:rFonts w:hint="eastAsia" w:eastAsia="黑体"/>
                          <w:b/>
                          <w:bCs/>
                          <w:kern w:val="0"/>
                          <w:sz w:val="28"/>
                          <w:szCs w:val="28"/>
                        </w:rPr>
                        <w:t>保护环境，预防污染产生</w:t>
                      </w:r>
                    </w:p>
                    <w:p w14:paraId="008CE323">
                      <w:pPr>
                        <w:ind w:firstLine="1405" w:firstLineChars="500"/>
                        <w:rPr>
                          <w:rFonts w:eastAsia="黑体"/>
                          <w:b/>
                          <w:bCs/>
                          <w:kern w:val="0"/>
                          <w:sz w:val="28"/>
                          <w:szCs w:val="28"/>
                        </w:rPr>
                      </w:pPr>
                      <w:r>
                        <w:rPr>
                          <w:rFonts w:hint="eastAsia" w:eastAsia="黑体"/>
                          <w:b/>
                          <w:bCs/>
                          <w:kern w:val="0"/>
                          <w:sz w:val="28"/>
                          <w:szCs w:val="28"/>
                        </w:rPr>
                        <w:t>健康安全，持续改进。</w:t>
                      </w:r>
                    </w:p>
                    <w:p w14:paraId="3D24E9D7">
                      <w:pPr>
                        <w:pStyle w:val="2"/>
                      </w:pPr>
                    </w:p>
                    <w:p w14:paraId="3E9141F9">
                      <w:pPr>
                        <w:spacing w:line="360" w:lineRule="auto"/>
                        <w:ind w:firstLine="562" w:firstLineChars="200"/>
                        <w:rPr>
                          <w:sz w:val="28"/>
                          <w:szCs w:val="28"/>
                        </w:rPr>
                      </w:pPr>
                      <w:r>
                        <w:rPr>
                          <w:rFonts w:hint="eastAsia" w:ascii="宋体" w:hAnsi="宋体"/>
                          <w:b/>
                          <w:bCs/>
                          <w:color w:val="000000"/>
                          <w:kern w:val="0"/>
                          <w:sz w:val="28"/>
                          <w:szCs w:val="28"/>
                        </w:rPr>
                        <w:t>。</w:t>
                      </w:r>
                    </w:p>
                  </w:txbxContent>
                </v:textbox>
                <w10:wrap type="square"/>
              </v:shape>
            </w:pict>
          </mc:Fallback>
        </mc:AlternateContent>
      </w:r>
    </w:p>
    <w:p w14:paraId="623A104A">
      <w:pPr>
        <w:spacing w:line="480" w:lineRule="auto"/>
        <w:ind w:firstLine="480"/>
        <w:rPr>
          <w:rFonts w:ascii="宋体" w:hAnsi="宋体"/>
          <w:b/>
          <w:bCs/>
        </w:rPr>
      </w:pPr>
    </w:p>
    <w:p w14:paraId="018E7156">
      <w:pPr>
        <w:spacing w:line="480" w:lineRule="auto"/>
        <w:rPr>
          <w:rFonts w:ascii="宋体" w:hAnsi="宋体"/>
          <w:b/>
          <w:bCs/>
        </w:rPr>
      </w:pPr>
    </w:p>
    <w:p w14:paraId="535A9C49">
      <w:pPr>
        <w:spacing w:line="480" w:lineRule="auto"/>
        <w:rPr>
          <w:rFonts w:ascii="宋体" w:hAnsi="宋体"/>
          <w:b/>
          <w:bCs/>
        </w:rPr>
      </w:pPr>
    </w:p>
    <w:p w14:paraId="1771BF60">
      <w:pPr>
        <w:spacing w:line="480" w:lineRule="auto"/>
        <w:rPr>
          <w:rFonts w:ascii="宋体" w:hAnsi="宋体"/>
          <w:b/>
          <w:bCs/>
        </w:rPr>
      </w:pPr>
      <w:r>
        <w:rPr>
          <w:rFonts w:hint="eastAsia" w:ascii="宋体" w:hAnsi="宋体"/>
          <w:b/>
          <w:bCs/>
        </w:rPr>
        <w:t>方针内涵是：</w:t>
      </w:r>
    </w:p>
    <w:p w14:paraId="3EDEBA31">
      <w:pPr>
        <w:spacing w:line="480" w:lineRule="auto"/>
        <w:ind w:firstLine="480"/>
        <w:rPr>
          <w:rFonts w:ascii="宋体" w:hAnsi="宋体"/>
        </w:rPr>
      </w:pPr>
      <w:r>
        <w:rPr>
          <w:rFonts w:hint="eastAsia" w:ascii="宋体" w:hAnsi="宋体"/>
        </w:rPr>
        <w:t>质量环境职业健康安全/食品安全/HACCP体系是一种控制食品安全危害的预防体系，是保证食品配送过程卫生、安全的体系。通过充分的沟通，使食品配送由对最终食品的检验，转化为控制食品配送环节中的潜在危害，使危害不发生。即使发生，也可以及时发现将之消除。保证加工“放心食品”，为消费者提供零缺陷的食品，让客户满意。</w:t>
      </w:r>
    </w:p>
    <w:p w14:paraId="720EA5E2">
      <w:pPr>
        <w:spacing w:line="480" w:lineRule="auto"/>
        <w:rPr>
          <w:rFonts w:ascii="宋体" w:hAnsi="宋体"/>
          <w:b/>
          <w:bCs/>
        </w:rPr>
      </w:pPr>
      <w:r>
        <w:rPr>
          <w:rFonts w:hint="eastAsia" w:ascii="宋体" w:hAnsi="宋体"/>
          <w:b/>
          <w:bCs/>
        </w:rPr>
        <w:t>2.管理目标：</w:t>
      </w:r>
    </w:p>
    <w:tbl>
      <w:tblPr>
        <w:tblStyle w:val="23"/>
        <w:tblW w:w="8375" w:type="dxa"/>
        <w:tblInd w:w="0" w:type="dxa"/>
        <w:tblLayout w:type="autofit"/>
        <w:tblCellMar>
          <w:top w:w="0" w:type="dxa"/>
          <w:left w:w="0" w:type="dxa"/>
          <w:bottom w:w="0" w:type="dxa"/>
          <w:right w:w="0" w:type="dxa"/>
        </w:tblCellMar>
      </w:tblPr>
      <w:tblGrid>
        <w:gridCol w:w="1497"/>
        <w:gridCol w:w="2173"/>
        <w:gridCol w:w="3272"/>
        <w:gridCol w:w="1433"/>
      </w:tblGrid>
      <w:tr w14:paraId="0F366B8C">
        <w:tblPrEx>
          <w:tblCellMar>
            <w:top w:w="0" w:type="dxa"/>
            <w:left w:w="0" w:type="dxa"/>
            <w:bottom w:w="0" w:type="dxa"/>
            <w:right w:w="0" w:type="dxa"/>
          </w:tblCellMar>
        </w:tblPrEx>
        <w:trPr>
          <w:trHeight w:val="403"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F51D85">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部门</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13C70">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目标内容</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DBA1F9">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统计方法</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8C5B3C">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目标值</w:t>
            </w:r>
          </w:p>
        </w:tc>
      </w:tr>
      <w:tr w14:paraId="336700E2">
        <w:tblPrEx>
          <w:tblCellMar>
            <w:top w:w="0" w:type="dxa"/>
            <w:left w:w="0" w:type="dxa"/>
            <w:bottom w:w="0" w:type="dxa"/>
            <w:right w:w="0" w:type="dxa"/>
          </w:tblCellMar>
        </w:tblPrEx>
        <w:trPr>
          <w:trHeight w:val="403" w:hRule="atLeast"/>
        </w:trPr>
        <w:tc>
          <w:tcPr>
            <w:tcW w:w="14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74B2A99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公司总目标</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4348F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顾客满意度</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52B4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满意顾客数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8B2F7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≥80分</w:t>
            </w:r>
          </w:p>
        </w:tc>
      </w:tr>
      <w:tr w14:paraId="6F854BCF">
        <w:tblPrEx>
          <w:tblCellMar>
            <w:top w:w="0" w:type="dxa"/>
            <w:left w:w="0" w:type="dxa"/>
            <w:bottom w:w="0" w:type="dxa"/>
            <w:right w:w="0" w:type="dxa"/>
          </w:tblCellMar>
        </w:tblPrEx>
        <w:trPr>
          <w:trHeight w:val="47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20AB28AC">
            <w:pPr>
              <w:jc w:val="center"/>
              <w:rPr>
                <w:rFonts w:ascii="宋体" w:hAnsi="宋体" w:cs="宋体"/>
                <w:color w:val="000000"/>
                <w:szCs w:val="21"/>
              </w:rPr>
            </w:pPr>
          </w:p>
        </w:tc>
        <w:tc>
          <w:tcPr>
            <w:tcW w:w="217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0D9D0EF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食品安全事故</w:t>
            </w:r>
          </w:p>
        </w:tc>
        <w:tc>
          <w:tcPr>
            <w:tcW w:w="3272"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09EED27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统计次数</w:t>
            </w:r>
          </w:p>
        </w:tc>
        <w:tc>
          <w:tcPr>
            <w:tcW w:w="143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30C5C5E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r>
      <w:tr w14:paraId="6F770A9A">
        <w:tblPrEx>
          <w:tblCellMar>
            <w:top w:w="0" w:type="dxa"/>
            <w:left w:w="0" w:type="dxa"/>
            <w:bottom w:w="0" w:type="dxa"/>
            <w:right w:w="0" w:type="dxa"/>
          </w:tblCellMar>
        </w:tblPrEx>
        <w:trPr>
          <w:trHeight w:val="47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28405E6F">
            <w:pPr>
              <w:jc w:val="center"/>
              <w:rPr>
                <w:rFonts w:ascii="宋体" w:hAnsi="宋体" w:cs="宋体"/>
                <w:color w:val="000000"/>
                <w:szCs w:val="21"/>
              </w:rPr>
            </w:pPr>
          </w:p>
        </w:tc>
        <w:tc>
          <w:tcPr>
            <w:tcW w:w="217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2182BAC1">
            <w:pPr>
              <w:widowControl/>
              <w:jc w:val="center"/>
              <w:textAlignment w:val="center"/>
              <w:rPr>
                <w:rFonts w:ascii="宋体" w:hAnsi="宋体" w:cs="宋体"/>
                <w:color w:val="000000"/>
                <w:kern w:val="0"/>
                <w:szCs w:val="21"/>
                <w:lang w:bidi="ar"/>
              </w:rPr>
            </w:pPr>
            <w:r>
              <w:rPr>
                <w:rFonts w:hint="eastAsia" w:ascii="宋体" w:hAnsi="宋体" w:cs="宋体"/>
                <w:szCs w:val="21"/>
              </w:rPr>
              <w:t>固体废物合理处置率</w:t>
            </w:r>
          </w:p>
        </w:tc>
        <w:tc>
          <w:tcPr>
            <w:tcW w:w="3272"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1F2BA344">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固废按规定收集处理数/固废收集总数*100%</w:t>
            </w:r>
          </w:p>
        </w:tc>
        <w:tc>
          <w:tcPr>
            <w:tcW w:w="143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53B588C2">
            <w:pPr>
              <w:widowControl/>
              <w:jc w:val="center"/>
              <w:textAlignment w:val="center"/>
              <w:rPr>
                <w:rFonts w:ascii="宋体" w:hAnsi="宋体" w:cs="宋体"/>
                <w:color w:val="000000"/>
                <w:kern w:val="0"/>
                <w:sz w:val="24"/>
                <w:szCs w:val="24"/>
                <w:lang w:bidi="ar"/>
              </w:rPr>
            </w:pPr>
            <w:r>
              <w:rPr>
                <w:rFonts w:hint="eastAsia" w:ascii="宋体" w:hAnsi="宋体" w:cs="宋体"/>
                <w:szCs w:val="21"/>
              </w:rPr>
              <w:t>100%</w:t>
            </w:r>
          </w:p>
        </w:tc>
      </w:tr>
      <w:tr w14:paraId="52340D76">
        <w:tblPrEx>
          <w:tblCellMar>
            <w:top w:w="0" w:type="dxa"/>
            <w:left w:w="0" w:type="dxa"/>
            <w:bottom w:w="0" w:type="dxa"/>
            <w:right w:w="0" w:type="dxa"/>
          </w:tblCellMar>
        </w:tblPrEx>
        <w:trPr>
          <w:trHeight w:val="47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0DB3B98E">
            <w:pPr>
              <w:jc w:val="center"/>
              <w:rPr>
                <w:rFonts w:ascii="宋体" w:hAnsi="宋体" w:cs="宋体"/>
                <w:color w:val="000000"/>
                <w:szCs w:val="21"/>
              </w:rPr>
            </w:pPr>
          </w:p>
        </w:tc>
        <w:tc>
          <w:tcPr>
            <w:tcW w:w="217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486F0F41">
            <w:pPr>
              <w:widowControl/>
              <w:jc w:val="center"/>
              <w:textAlignment w:val="center"/>
              <w:rPr>
                <w:rFonts w:ascii="宋体" w:hAnsi="宋体" w:cs="宋体"/>
                <w:szCs w:val="21"/>
              </w:rPr>
            </w:pPr>
            <w:r>
              <w:rPr>
                <w:rFonts w:hint="eastAsia" w:ascii="宋体" w:hAnsi="宋体" w:cs="宋体"/>
                <w:color w:val="000000"/>
                <w:szCs w:val="21"/>
              </w:rPr>
              <w:t>火灾发生事故</w:t>
            </w:r>
          </w:p>
        </w:tc>
        <w:tc>
          <w:tcPr>
            <w:tcW w:w="3272"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1E07E2F1">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统计次数</w:t>
            </w:r>
          </w:p>
        </w:tc>
        <w:tc>
          <w:tcPr>
            <w:tcW w:w="143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036D470D">
            <w:pPr>
              <w:widowControl/>
              <w:jc w:val="center"/>
              <w:textAlignment w:val="center"/>
              <w:rPr>
                <w:rFonts w:ascii="宋体" w:hAnsi="宋体" w:cs="宋体"/>
                <w:color w:val="000000"/>
                <w:kern w:val="0"/>
                <w:sz w:val="24"/>
                <w:szCs w:val="24"/>
                <w:lang w:bidi="ar"/>
              </w:rPr>
            </w:pPr>
            <w:r>
              <w:rPr>
                <w:rFonts w:hint="eastAsia" w:ascii="宋体" w:hAnsi="宋体" w:cs="宋体"/>
                <w:color w:val="000000"/>
                <w:szCs w:val="21"/>
              </w:rPr>
              <w:t>0</w:t>
            </w:r>
          </w:p>
        </w:tc>
      </w:tr>
      <w:tr w14:paraId="5D471023">
        <w:tblPrEx>
          <w:tblCellMar>
            <w:top w:w="0" w:type="dxa"/>
            <w:left w:w="0" w:type="dxa"/>
            <w:bottom w:w="0" w:type="dxa"/>
            <w:right w:w="0" w:type="dxa"/>
          </w:tblCellMar>
        </w:tblPrEx>
        <w:trPr>
          <w:trHeight w:val="470" w:hRule="atLeast"/>
        </w:trPr>
        <w:tc>
          <w:tcPr>
            <w:tcW w:w="14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11483">
            <w:pPr>
              <w:jc w:val="center"/>
              <w:rPr>
                <w:rFonts w:ascii="宋体" w:hAnsi="宋体" w:cs="宋体"/>
                <w:color w:val="000000"/>
                <w:szCs w:val="21"/>
              </w:rPr>
            </w:pPr>
          </w:p>
        </w:tc>
        <w:tc>
          <w:tcPr>
            <w:tcW w:w="217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36E380B8">
            <w:pPr>
              <w:widowControl/>
              <w:jc w:val="center"/>
              <w:textAlignment w:val="center"/>
              <w:rPr>
                <w:rFonts w:ascii="宋体" w:hAnsi="宋体" w:cs="宋体"/>
                <w:color w:val="000000"/>
                <w:szCs w:val="21"/>
              </w:rPr>
            </w:pPr>
            <w:r>
              <w:rPr>
                <w:rFonts w:hint="eastAsia" w:ascii="宋体" w:hAnsi="宋体" w:cs="宋体"/>
                <w:color w:val="000000"/>
                <w:szCs w:val="21"/>
              </w:rPr>
              <w:t>交通事故发生</w:t>
            </w:r>
          </w:p>
        </w:tc>
        <w:tc>
          <w:tcPr>
            <w:tcW w:w="3272"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00C08C4F">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统计次数</w:t>
            </w:r>
          </w:p>
        </w:tc>
        <w:tc>
          <w:tcPr>
            <w:tcW w:w="143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14:paraId="39B00632">
            <w:pPr>
              <w:widowControl/>
              <w:jc w:val="center"/>
              <w:textAlignment w:val="center"/>
              <w:rPr>
                <w:rFonts w:ascii="宋体" w:hAnsi="宋体" w:cs="宋体"/>
                <w:color w:val="000000"/>
                <w:kern w:val="0"/>
                <w:sz w:val="24"/>
                <w:szCs w:val="24"/>
                <w:lang w:bidi="ar"/>
              </w:rPr>
            </w:pPr>
            <w:r>
              <w:rPr>
                <w:rFonts w:hint="eastAsia" w:ascii="宋体" w:hAnsi="宋体" w:cs="宋体"/>
                <w:color w:val="000000"/>
                <w:szCs w:val="21"/>
              </w:rPr>
              <w:t>0</w:t>
            </w:r>
          </w:p>
        </w:tc>
      </w:tr>
      <w:tr w14:paraId="500B3A23">
        <w:tblPrEx>
          <w:tblCellMar>
            <w:top w:w="0" w:type="dxa"/>
            <w:left w:w="0" w:type="dxa"/>
            <w:bottom w:w="0" w:type="dxa"/>
            <w:right w:w="0" w:type="dxa"/>
          </w:tblCellMar>
        </w:tblPrEx>
        <w:trPr>
          <w:trHeight w:val="90" w:hRule="atLeast"/>
        </w:trPr>
        <w:tc>
          <w:tcPr>
            <w:tcW w:w="14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75258239">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行政部</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DDE985">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培训计划</w:t>
            </w:r>
            <w:r>
              <w:rPr>
                <w:rFonts w:hint="eastAsia" w:ascii="宋体" w:hAnsi="宋体" w:cs="宋体"/>
                <w:color w:val="000000"/>
                <w:kern w:val="0"/>
                <w:szCs w:val="21"/>
                <w:lang w:val="en-US" w:eastAsia="zh-CN" w:bidi="ar"/>
              </w:rPr>
              <w:t>完成</w:t>
            </w:r>
            <w:r>
              <w:rPr>
                <w:rFonts w:hint="eastAsia" w:ascii="宋体" w:hAnsi="宋体" w:cs="宋体"/>
                <w:color w:val="000000"/>
                <w:kern w:val="0"/>
                <w:szCs w:val="21"/>
                <w:lang w:bidi="ar"/>
              </w:rPr>
              <w:t>率</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3E226">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实际培训次数/计划培训次数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B5C005">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100%</w:t>
            </w:r>
          </w:p>
        </w:tc>
      </w:tr>
      <w:tr w14:paraId="1A0B689D">
        <w:tblPrEx>
          <w:tblCellMar>
            <w:top w:w="0" w:type="dxa"/>
            <w:left w:w="0" w:type="dxa"/>
            <w:bottom w:w="0" w:type="dxa"/>
            <w:right w:w="0" w:type="dxa"/>
          </w:tblCellMar>
        </w:tblPrEx>
        <w:trPr>
          <w:trHeight w:val="9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4947B123">
            <w:pPr>
              <w:widowControl/>
              <w:jc w:val="center"/>
              <w:textAlignment w:val="center"/>
              <w:rPr>
                <w:rFonts w:ascii="宋体" w:hAnsi="宋体" w:cs="宋体"/>
                <w:color w:val="000000"/>
                <w:kern w:val="0"/>
                <w:szCs w:val="21"/>
                <w:lang w:bidi="ar"/>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87EA2">
            <w:pPr>
              <w:widowControl/>
              <w:jc w:val="center"/>
              <w:textAlignment w:val="center"/>
              <w:rPr>
                <w:rFonts w:ascii="宋体" w:hAnsi="宋体" w:cs="宋体"/>
                <w:color w:val="000000"/>
                <w:kern w:val="0"/>
                <w:szCs w:val="21"/>
                <w:lang w:bidi="ar"/>
              </w:rPr>
            </w:pPr>
            <w:r>
              <w:rPr>
                <w:rFonts w:hint="eastAsia" w:ascii="宋体" w:hAnsi="宋体" w:cs="宋体"/>
                <w:szCs w:val="21"/>
              </w:rPr>
              <w:t>固体废物合理处置率</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A7847F">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固废按规定收集处理数/固废收集总数*100%</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CCF6C">
            <w:pPr>
              <w:widowControl/>
              <w:jc w:val="center"/>
              <w:textAlignment w:val="center"/>
              <w:rPr>
                <w:rFonts w:ascii="宋体" w:hAnsi="宋体" w:cs="宋体"/>
                <w:color w:val="000000"/>
                <w:kern w:val="0"/>
                <w:sz w:val="24"/>
                <w:szCs w:val="24"/>
                <w:lang w:bidi="ar"/>
              </w:rPr>
            </w:pPr>
            <w:r>
              <w:rPr>
                <w:rFonts w:hint="eastAsia" w:ascii="宋体" w:hAnsi="宋体" w:cs="宋体"/>
                <w:szCs w:val="21"/>
              </w:rPr>
              <w:t>100%</w:t>
            </w:r>
          </w:p>
        </w:tc>
      </w:tr>
      <w:tr w14:paraId="3E94E2EA">
        <w:tblPrEx>
          <w:tblCellMar>
            <w:top w:w="0" w:type="dxa"/>
            <w:left w:w="0" w:type="dxa"/>
            <w:bottom w:w="0" w:type="dxa"/>
            <w:right w:w="0" w:type="dxa"/>
          </w:tblCellMar>
        </w:tblPrEx>
        <w:trPr>
          <w:trHeight w:val="9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257EF5F5">
            <w:pPr>
              <w:widowControl/>
              <w:jc w:val="center"/>
              <w:textAlignment w:val="center"/>
              <w:rPr>
                <w:rFonts w:ascii="宋体" w:hAnsi="宋体" w:cs="宋体"/>
                <w:color w:val="000000"/>
                <w:kern w:val="0"/>
                <w:szCs w:val="21"/>
                <w:lang w:bidi="ar"/>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AE191B">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火灾发生事故</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B73A7D">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统计次数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429DD">
            <w:pPr>
              <w:widowControl/>
              <w:jc w:val="center"/>
              <w:textAlignment w:val="center"/>
              <w:rPr>
                <w:rFonts w:ascii="宋体" w:hAnsi="宋体" w:cs="宋体"/>
                <w:color w:val="000000"/>
                <w:kern w:val="0"/>
                <w:sz w:val="24"/>
                <w:szCs w:val="24"/>
                <w:lang w:bidi="ar"/>
              </w:rPr>
            </w:pPr>
            <w:r>
              <w:rPr>
                <w:rFonts w:hint="eastAsia" w:ascii="宋体" w:hAnsi="宋体" w:cs="宋体"/>
                <w:color w:val="000000"/>
                <w:szCs w:val="21"/>
              </w:rPr>
              <w:t>0</w:t>
            </w:r>
          </w:p>
        </w:tc>
      </w:tr>
      <w:tr w14:paraId="50094D49">
        <w:tblPrEx>
          <w:tblCellMar>
            <w:top w:w="0" w:type="dxa"/>
            <w:left w:w="0" w:type="dxa"/>
            <w:bottom w:w="0" w:type="dxa"/>
            <w:right w:w="0" w:type="dxa"/>
          </w:tblCellMar>
        </w:tblPrEx>
        <w:trPr>
          <w:trHeight w:val="90" w:hRule="atLeast"/>
        </w:trPr>
        <w:tc>
          <w:tcPr>
            <w:tcW w:w="14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2D743A">
            <w:pPr>
              <w:widowControl/>
              <w:jc w:val="center"/>
              <w:textAlignment w:val="center"/>
              <w:rPr>
                <w:rFonts w:ascii="宋体" w:hAnsi="宋体" w:cs="宋体"/>
                <w:color w:val="000000"/>
                <w:kern w:val="0"/>
                <w:szCs w:val="21"/>
                <w:lang w:bidi="ar"/>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9802C7">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交通事故发生</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AB217E">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统计次数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07523">
            <w:pPr>
              <w:widowControl/>
              <w:jc w:val="center"/>
              <w:textAlignment w:val="center"/>
              <w:rPr>
                <w:rFonts w:ascii="宋体" w:hAnsi="宋体" w:cs="宋体"/>
                <w:color w:val="000000"/>
                <w:kern w:val="0"/>
                <w:sz w:val="24"/>
                <w:szCs w:val="24"/>
                <w:lang w:bidi="ar"/>
              </w:rPr>
            </w:pPr>
            <w:r>
              <w:rPr>
                <w:rFonts w:hint="eastAsia" w:ascii="宋体" w:hAnsi="宋体" w:cs="宋体"/>
                <w:color w:val="000000"/>
                <w:szCs w:val="21"/>
              </w:rPr>
              <w:t>0</w:t>
            </w:r>
          </w:p>
        </w:tc>
      </w:tr>
      <w:tr w14:paraId="10DA139F">
        <w:tblPrEx>
          <w:tblCellMar>
            <w:top w:w="0" w:type="dxa"/>
            <w:left w:w="0" w:type="dxa"/>
            <w:bottom w:w="0" w:type="dxa"/>
            <w:right w:w="0" w:type="dxa"/>
          </w:tblCellMar>
        </w:tblPrEx>
        <w:trPr>
          <w:trHeight w:val="540" w:hRule="atLeast"/>
        </w:trPr>
        <w:tc>
          <w:tcPr>
            <w:tcW w:w="1497"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021DCFE4">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eastAsia="zh-CN" w:bidi="ar"/>
              </w:rPr>
              <w:t>市场部</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CD01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顾客满意度</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E62C0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满意顾客数/总调查顾客数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09E16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≥80分</w:t>
            </w:r>
          </w:p>
        </w:tc>
      </w:tr>
      <w:tr w14:paraId="150EA3C0">
        <w:tblPrEx>
          <w:tblCellMar>
            <w:top w:w="0" w:type="dxa"/>
            <w:left w:w="0" w:type="dxa"/>
            <w:bottom w:w="0" w:type="dxa"/>
            <w:right w:w="0" w:type="dxa"/>
          </w:tblCellMar>
        </w:tblPrEx>
        <w:trPr>
          <w:trHeight w:val="54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66F35D85">
            <w:pPr>
              <w:widowControl/>
              <w:jc w:val="center"/>
              <w:textAlignment w:val="center"/>
              <w:rPr>
                <w:rFonts w:ascii="宋体" w:hAnsi="宋体" w:cs="宋体"/>
                <w:color w:val="000000"/>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D857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来料检验合格率</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11E8F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检查合格来料批次/来料总批次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8602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r>
              <w:rPr>
                <w:rStyle w:val="56"/>
                <w:rFonts w:hint="default"/>
                <w:lang w:bidi="ar"/>
              </w:rPr>
              <w:t>98%</w:t>
            </w:r>
          </w:p>
        </w:tc>
      </w:tr>
      <w:tr w14:paraId="53B3758E">
        <w:tblPrEx>
          <w:tblCellMar>
            <w:top w:w="0" w:type="dxa"/>
            <w:left w:w="0" w:type="dxa"/>
            <w:bottom w:w="0" w:type="dxa"/>
            <w:right w:w="0" w:type="dxa"/>
          </w:tblCellMar>
        </w:tblPrEx>
        <w:trPr>
          <w:trHeight w:val="54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04A3DB82">
            <w:pPr>
              <w:jc w:val="center"/>
              <w:rPr>
                <w:rFonts w:ascii="宋体" w:hAnsi="宋体" w:cs="宋体"/>
                <w:color w:val="000000"/>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8C9FE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原材料采购到货及时率</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F43AF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及时来料批次/来料总批次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36CB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100%</w:t>
            </w:r>
          </w:p>
        </w:tc>
      </w:tr>
      <w:tr w14:paraId="68C4AD4F">
        <w:tblPrEx>
          <w:tblCellMar>
            <w:top w:w="0" w:type="dxa"/>
            <w:left w:w="0" w:type="dxa"/>
            <w:bottom w:w="0" w:type="dxa"/>
            <w:right w:w="0" w:type="dxa"/>
          </w:tblCellMar>
        </w:tblPrEx>
        <w:trPr>
          <w:trHeight w:val="60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1EDBE4E5">
            <w:pPr>
              <w:jc w:val="center"/>
              <w:rPr>
                <w:rFonts w:ascii="宋体" w:hAnsi="宋体" w:cs="宋体"/>
                <w:color w:val="000000"/>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AA08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CCP点失控次数</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FD84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CCP监控记录合格次数/CCP监控记录总次数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2C76B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r>
      <w:tr w14:paraId="79B92CED">
        <w:tblPrEx>
          <w:tblCellMar>
            <w:top w:w="0" w:type="dxa"/>
            <w:left w:w="0" w:type="dxa"/>
            <w:bottom w:w="0" w:type="dxa"/>
            <w:right w:w="0" w:type="dxa"/>
          </w:tblCellMar>
        </w:tblPrEx>
        <w:trPr>
          <w:trHeight w:val="60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20306B25">
            <w:pPr>
              <w:jc w:val="center"/>
              <w:rPr>
                <w:rFonts w:ascii="宋体" w:hAnsi="宋体" w:cs="宋体"/>
                <w:color w:val="000000"/>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CB153">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配送及时率</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C67731">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按时配送次数/计划配送次数</w:t>
            </w:r>
            <w:r>
              <w:rPr>
                <w:rFonts w:hint="eastAsia" w:ascii="宋体" w:hAnsi="宋体" w:cs="宋体"/>
                <w:color w:val="000000"/>
                <w:kern w:val="0"/>
                <w:sz w:val="18"/>
                <w:szCs w:val="18"/>
                <w:lang w:bidi="ar"/>
              </w:rPr>
              <w:t>*100%</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65732C">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≥95%</w:t>
            </w:r>
          </w:p>
        </w:tc>
      </w:tr>
      <w:tr w14:paraId="667369FB">
        <w:tblPrEx>
          <w:tblCellMar>
            <w:top w:w="0" w:type="dxa"/>
            <w:left w:w="0" w:type="dxa"/>
            <w:bottom w:w="0" w:type="dxa"/>
            <w:right w:w="0" w:type="dxa"/>
          </w:tblCellMar>
        </w:tblPrEx>
        <w:trPr>
          <w:trHeight w:val="62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1438149C">
            <w:pPr>
              <w:jc w:val="center"/>
              <w:rPr>
                <w:rFonts w:ascii="宋体" w:hAnsi="宋体" w:cs="宋体"/>
                <w:color w:val="000000"/>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6C40A">
            <w:pPr>
              <w:widowControl/>
              <w:jc w:val="center"/>
              <w:textAlignment w:val="center"/>
              <w:rPr>
                <w:rFonts w:ascii="宋体" w:hAnsi="宋体" w:cs="宋体"/>
                <w:color w:val="000000"/>
                <w:szCs w:val="21"/>
              </w:rPr>
            </w:pPr>
            <w:r>
              <w:rPr>
                <w:rFonts w:hint="eastAsia" w:ascii="宋体" w:hAnsi="宋体" w:cs="宋体"/>
                <w:szCs w:val="21"/>
              </w:rPr>
              <w:t>固体废物合理处置率</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932BD">
            <w:pPr>
              <w:widowControl/>
              <w:jc w:val="center"/>
              <w:textAlignment w:val="center"/>
              <w:rPr>
                <w:rFonts w:ascii="宋体" w:hAnsi="宋体" w:cs="宋体"/>
                <w:color w:val="000000"/>
                <w:szCs w:val="21"/>
              </w:rPr>
            </w:pPr>
            <w:r>
              <w:rPr>
                <w:rFonts w:hint="eastAsia" w:ascii="宋体" w:hAnsi="宋体" w:cs="宋体"/>
                <w:color w:val="000000"/>
                <w:kern w:val="0"/>
                <w:sz w:val="18"/>
                <w:szCs w:val="18"/>
                <w:lang w:bidi="ar"/>
              </w:rPr>
              <w:t>固废按规定收集处理数/固废收集总数*100%</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8EC5F3">
            <w:pPr>
              <w:widowControl/>
              <w:jc w:val="center"/>
              <w:textAlignment w:val="center"/>
              <w:rPr>
                <w:rFonts w:ascii="宋体" w:hAnsi="宋体" w:cs="宋体"/>
                <w:color w:val="000000"/>
                <w:sz w:val="24"/>
                <w:szCs w:val="24"/>
              </w:rPr>
            </w:pPr>
            <w:r>
              <w:rPr>
                <w:rFonts w:hint="eastAsia" w:ascii="宋体" w:hAnsi="宋体" w:cs="宋体"/>
                <w:szCs w:val="21"/>
              </w:rPr>
              <w:t>100%</w:t>
            </w:r>
          </w:p>
        </w:tc>
      </w:tr>
      <w:tr w14:paraId="48B943F2">
        <w:tblPrEx>
          <w:tblCellMar>
            <w:top w:w="0" w:type="dxa"/>
            <w:left w:w="0" w:type="dxa"/>
            <w:bottom w:w="0" w:type="dxa"/>
            <w:right w:w="0" w:type="dxa"/>
          </w:tblCellMar>
        </w:tblPrEx>
        <w:trPr>
          <w:trHeight w:val="62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642E4A05">
            <w:pPr>
              <w:jc w:val="center"/>
              <w:rPr>
                <w:rFonts w:ascii="宋体" w:hAnsi="宋体" w:cs="宋体"/>
                <w:color w:val="000000"/>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70305">
            <w:pPr>
              <w:widowControl/>
              <w:jc w:val="center"/>
              <w:textAlignment w:val="center"/>
              <w:rPr>
                <w:rFonts w:ascii="宋体" w:hAnsi="宋体" w:cs="宋体"/>
                <w:color w:val="000000"/>
                <w:szCs w:val="21"/>
              </w:rPr>
            </w:pPr>
            <w:r>
              <w:rPr>
                <w:rFonts w:hint="eastAsia" w:ascii="宋体" w:hAnsi="宋体" w:cs="宋体"/>
                <w:color w:val="000000"/>
                <w:szCs w:val="21"/>
              </w:rPr>
              <w:t>火灾发生事故</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A6B1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统计次数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601940">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0</w:t>
            </w:r>
          </w:p>
        </w:tc>
      </w:tr>
      <w:tr w14:paraId="4FF67D5D">
        <w:tblPrEx>
          <w:tblCellMar>
            <w:top w:w="0" w:type="dxa"/>
            <w:left w:w="0" w:type="dxa"/>
            <w:bottom w:w="0" w:type="dxa"/>
            <w:right w:w="0" w:type="dxa"/>
          </w:tblCellMar>
        </w:tblPrEx>
        <w:trPr>
          <w:trHeight w:val="62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6512FF70">
            <w:pPr>
              <w:jc w:val="center"/>
              <w:rPr>
                <w:rFonts w:ascii="宋体" w:hAnsi="宋体" w:cs="宋体"/>
                <w:color w:val="000000"/>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23883">
            <w:pPr>
              <w:widowControl/>
              <w:jc w:val="center"/>
              <w:textAlignment w:val="center"/>
              <w:rPr>
                <w:rFonts w:ascii="宋体" w:hAnsi="宋体" w:cs="宋体"/>
                <w:color w:val="000000"/>
                <w:szCs w:val="21"/>
              </w:rPr>
            </w:pPr>
            <w:r>
              <w:rPr>
                <w:rFonts w:hint="eastAsia" w:ascii="宋体" w:hAnsi="宋体" w:cs="宋体"/>
                <w:color w:val="000000"/>
                <w:szCs w:val="21"/>
              </w:rPr>
              <w:t>交通事故发生</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1A3D4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统计次数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0C2F53">
            <w:pPr>
              <w:widowControl/>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0</w:t>
            </w:r>
          </w:p>
        </w:tc>
      </w:tr>
      <w:tr w14:paraId="4C819F02">
        <w:tblPrEx>
          <w:tblCellMar>
            <w:top w:w="0" w:type="dxa"/>
            <w:left w:w="0" w:type="dxa"/>
            <w:bottom w:w="0" w:type="dxa"/>
            <w:right w:w="0" w:type="dxa"/>
          </w:tblCellMar>
        </w:tblPrEx>
        <w:trPr>
          <w:trHeight w:val="620" w:hRule="atLeast"/>
        </w:trPr>
        <w:tc>
          <w:tcPr>
            <w:tcW w:w="1497" w:type="dxa"/>
            <w:vMerge w:val="restart"/>
            <w:tcBorders>
              <w:left w:val="single" w:color="000000" w:sz="4" w:space="0"/>
              <w:right w:val="single" w:color="000000" w:sz="4" w:space="0"/>
            </w:tcBorders>
            <w:shd w:val="clear" w:color="auto" w:fill="auto"/>
            <w:tcMar>
              <w:top w:w="10" w:type="dxa"/>
              <w:left w:w="10" w:type="dxa"/>
              <w:right w:w="10" w:type="dxa"/>
            </w:tcMar>
            <w:vAlign w:val="center"/>
          </w:tcPr>
          <w:p w14:paraId="391567A7">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财务部</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E8431">
            <w:pPr>
              <w:widowControl/>
              <w:jc w:val="center"/>
              <w:textAlignment w:val="center"/>
              <w:rPr>
                <w:rFonts w:hint="eastAsia" w:ascii="宋体" w:hAnsi="宋体" w:cs="宋体"/>
                <w:color w:val="000000"/>
                <w:szCs w:val="21"/>
              </w:rPr>
            </w:pPr>
            <w:r>
              <w:rPr>
                <w:rFonts w:hint="eastAsia" w:ascii="宋体" w:hAnsi="宋体" w:cs="宋体"/>
                <w:szCs w:val="21"/>
              </w:rPr>
              <w:t>固体废物合理处置率</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C277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18"/>
                <w:szCs w:val="18"/>
                <w:lang w:bidi="ar"/>
              </w:rPr>
              <w:t>固废按规定收集处理数/固废收集总数*100%</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7ACED">
            <w:pPr>
              <w:widowControl/>
              <w:jc w:val="center"/>
              <w:textAlignment w:val="center"/>
              <w:rPr>
                <w:rFonts w:hint="eastAsia" w:ascii="宋体" w:hAnsi="宋体" w:cs="宋体"/>
                <w:color w:val="000000"/>
                <w:sz w:val="24"/>
                <w:szCs w:val="24"/>
                <w:lang w:val="en-US" w:eastAsia="zh-CN"/>
              </w:rPr>
            </w:pPr>
            <w:r>
              <w:rPr>
                <w:rFonts w:hint="eastAsia" w:ascii="宋体" w:hAnsi="宋体" w:cs="宋体"/>
                <w:szCs w:val="21"/>
              </w:rPr>
              <w:t>100%</w:t>
            </w:r>
          </w:p>
        </w:tc>
      </w:tr>
      <w:tr w14:paraId="34DB5A94">
        <w:tblPrEx>
          <w:tblCellMar>
            <w:top w:w="0" w:type="dxa"/>
            <w:left w:w="0" w:type="dxa"/>
            <w:bottom w:w="0" w:type="dxa"/>
            <w:right w:w="0" w:type="dxa"/>
          </w:tblCellMar>
        </w:tblPrEx>
        <w:trPr>
          <w:trHeight w:val="620" w:hRule="atLeast"/>
        </w:trPr>
        <w:tc>
          <w:tcPr>
            <w:tcW w:w="1497" w:type="dxa"/>
            <w:vMerge w:val="continue"/>
            <w:tcBorders>
              <w:left w:val="single" w:color="000000" w:sz="4" w:space="0"/>
              <w:right w:val="single" w:color="000000" w:sz="4" w:space="0"/>
            </w:tcBorders>
            <w:shd w:val="clear" w:color="auto" w:fill="auto"/>
            <w:tcMar>
              <w:top w:w="10" w:type="dxa"/>
              <w:left w:w="10" w:type="dxa"/>
              <w:right w:w="10" w:type="dxa"/>
            </w:tcMar>
            <w:vAlign w:val="center"/>
          </w:tcPr>
          <w:p w14:paraId="3A868FDC">
            <w:pPr>
              <w:jc w:val="center"/>
              <w:rPr>
                <w:rFonts w:ascii="宋体" w:hAnsi="宋体" w:cs="宋体"/>
                <w:color w:val="000000"/>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30DD8">
            <w:pPr>
              <w:widowControl/>
              <w:jc w:val="center"/>
              <w:textAlignment w:val="center"/>
              <w:rPr>
                <w:rFonts w:hint="eastAsia" w:ascii="宋体" w:hAnsi="宋体" w:cs="宋体"/>
                <w:color w:val="000000"/>
                <w:szCs w:val="21"/>
              </w:rPr>
            </w:pPr>
            <w:r>
              <w:rPr>
                <w:rFonts w:hint="eastAsia" w:ascii="宋体" w:hAnsi="宋体" w:cs="宋体"/>
                <w:color w:val="000000"/>
                <w:szCs w:val="21"/>
              </w:rPr>
              <w:t>火灾发生事故</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5B74E">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统计次数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B1ABA0">
            <w:pPr>
              <w:widowControl/>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0</w:t>
            </w:r>
          </w:p>
        </w:tc>
      </w:tr>
      <w:tr w14:paraId="3E0E4B88">
        <w:tblPrEx>
          <w:tblCellMar>
            <w:top w:w="0" w:type="dxa"/>
            <w:left w:w="0" w:type="dxa"/>
            <w:bottom w:w="0" w:type="dxa"/>
            <w:right w:w="0" w:type="dxa"/>
          </w:tblCellMar>
        </w:tblPrEx>
        <w:trPr>
          <w:trHeight w:val="620" w:hRule="atLeast"/>
        </w:trPr>
        <w:tc>
          <w:tcPr>
            <w:tcW w:w="1497"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11F782">
            <w:pPr>
              <w:jc w:val="center"/>
              <w:rPr>
                <w:rFonts w:ascii="宋体" w:hAnsi="宋体" w:cs="宋体"/>
                <w:color w:val="000000"/>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9F3207">
            <w:pPr>
              <w:widowControl/>
              <w:jc w:val="center"/>
              <w:textAlignment w:val="center"/>
              <w:rPr>
                <w:rFonts w:hint="eastAsia" w:ascii="宋体" w:hAnsi="宋体" w:cs="宋体"/>
                <w:color w:val="000000"/>
                <w:szCs w:val="21"/>
              </w:rPr>
            </w:pPr>
            <w:r>
              <w:rPr>
                <w:rFonts w:hint="eastAsia" w:ascii="宋体" w:hAnsi="宋体" w:cs="宋体"/>
                <w:color w:val="000000"/>
                <w:szCs w:val="21"/>
              </w:rPr>
              <w:t>交通事故发生</w:t>
            </w:r>
          </w:p>
        </w:tc>
        <w:tc>
          <w:tcPr>
            <w:tcW w:w="32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184A8E">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统计次数</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EBCDD">
            <w:pPr>
              <w:widowControl/>
              <w:jc w:val="center"/>
              <w:textAlignment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0</w:t>
            </w:r>
          </w:p>
        </w:tc>
      </w:tr>
    </w:tbl>
    <w:p w14:paraId="082DEF58">
      <w:pPr>
        <w:spacing w:line="460" w:lineRule="exact"/>
        <w:rPr>
          <w:rFonts w:ascii="宋体" w:hAnsi="宋体"/>
        </w:rPr>
      </w:pPr>
    </w:p>
    <w:p w14:paraId="135523DB">
      <w:pPr>
        <w:spacing w:line="460" w:lineRule="exact"/>
        <w:jc w:val="center"/>
        <w:rPr>
          <w:rFonts w:ascii="宋体" w:hAnsi="宋体"/>
        </w:rPr>
      </w:pPr>
    </w:p>
    <w:p w14:paraId="191393C0">
      <w:pPr>
        <w:spacing w:line="460" w:lineRule="exact"/>
        <w:jc w:val="center"/>
        <w:rPr>
          <w:rFonts w:hint="eastAsia" w:ascii="宋体" w:hAnsi="宋体" w:eastAsia="宋体"/>
          <w:bCs/>
          <w:sz w:val="24"/>
          <w:szCs w:val="24"/>
          <w:lang w:eastAsia="zh-CN"/>
        </w:rPr>
      </w:pP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bCs/>
          <w:sz w:val="24"/>
          <w:szCs w:val="24"/>
        </w:rPr>
        <w:t>总经理：</w:t>
      </w:r>
      <w:r>
        <w:rPr>
          <w:rFonts w:hint="eastAsia" w:ascii="宋体" w:hAnsi="宋体"/>
          <w:bCs/>
          <w:sz w:val="24"/>
          <w:szCs w:val="24"/>
          <w:lang w:eastAsia="zh-CN"/>
        </w:rPr>
        <w:t>韩乐</w:t>
      </w:r>
    </w:p>
    <w:p w14:paraId="6486DBB4">
      <w:pPr>
        <w:pStyle w:val="22"/>
        <w:rPr>
          <w:rFonts w:ascii="宋体" w:hAnsi="宋体"/>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lang w:eastAsia="zh-CN"/>
        </w:rPr>
        <w:t>2025.2.12</w:t>
      </w:r>
      <w:r>
        <w:rPr>
          <w:rFonts w:ascii="宋体" w:hAnsi="宋体" w:cs="宋体"/>
          <w:szCs w:val="24"/>
        </w:rPr>
        <w:br w:type="page"/>
      </w:r>
      <w:bookmarkStart w:id="4" w:name="_Toc110460602"/>
      <w:r>
        <w:rPr>
          <w:rFonts w:ascii="宋体" w:hAnsi="宋体"/>
        </w:rPr>
        <w:t>0.5</w:t>
      </w:r>
      <w:r>
        <w:rPr>
          <w:rFonts w:hint="eastAsia" w:ascii="宋体" w:hAnsi="宋体"/>
        </w:rPr>
        <w:t>.任命书</w:t>
      </w:r>
      <w:bookmarkEnd w:id="4"/>
    </w:p>
    <w:p w14:paraId="5C7FF74F">
      <w:pPr>
        <w:pStyle w:val="2"/>
        <w:spacing w:line="480" w:lineRule="auto"/>
        <w:jc w:val="center"/>
        <w:rPr>
          <w:rFonts w:ascii="宋体" w:hAnsi="宋体"/>
          <w:b/>
          <w:color w:val="000000"/>
          <w:sz w:val="32"/>
          <w:szCs w:val="32"/>
        </w:rPr>
      </w:pPr>
      <w:r>
        <w:rPr>
          <w:rFonts w:hint="eastAsia" w:ascii="宋体" w:hAnsi="宋体"/>
          <w:b/>
          <w:color w:val="000000"/>
          <w:sz w:val="32"/>
          <w:szCs w:val="32"/>
        </w:rPr>
        <w:t>食品安全小组/管理者代表任命书</w:t>
      </w:r>
    </w:p>
    <w:p w14:paraId="5A678C71">
      <w:pPr>
        <w:spacing w:line="440" w:lineRule="exact"/>
        <w:ind w:firstLine="480"/>
        <w:rPr>
          <w:rFonts w:ascii="宋体" w:hAnsi="宋体"/>
        </w:rPr>
      </w:pPr>
      <w:r>
        <w:rPr>
          <w:rFonts w:hint="eastAsia" w:ascii="宋体" w:hAnsi="宋体"/>
        </w:rPr>
        <w:t>为建立、实施、保持、监视测量并实现持续改进本公司的质量环境职业健康安全/食品安全/HACCP体系，经研究决定建立本公司的食品安全小组：任命</w:t>
      </w:r>
      <w:r>
        <w:rPr>
          <w:rFonts w:hint="eastAsia" w:ascii="宋体" w:hAnsi="宋体"/>
          <w:b/>
          <w:bCs/>
          <w:color w:val="0000FF"/>
          <w:u w:val="single"/>
          <w:lang w:eastAsia="zh-CN"/>
        </w:rPr>
        <w:t>张为方</w:t>
      </w:r>
      <w:r>
        <w:rPr>
          <w:rFonts w:hint="eastAsia" w:ascii="宋体" w:hAnsi="宋体"/>
        </w:rPr>
        <w:t>为食品安全/HACCP组长及管理者代表。</w:t>
      </w:r>
    </w:p>
    <w:p w14:paraId="34B08ACF">
      <w:pPr>
        <w:spacing w:line="440" w:lineRule="exact"/>
        <w:ind w:firstLine="480"/>
        <w:rPr>
          <w:rFonts w:ascii="宋体" w:hAnsi="宋体"/>
        </w:rPr>
      </w:pPr>
      <w:r>
        <w:rPr>
          <w:rFonts w:hint="eastAsia" w:ascii="宋体" w:hAnsi="宋体"/>
          <w:szCs w:val="21"/>
        </w:rPr>
        <w:t>●</w:t>
      </w:r>
      <w:r>
        <w:rPr>
          <w:rFonts w:hint="eastAsia" w:ascii="宋体" w:hAnsi="宋体"/>
        </w:rPr>
        <w:t>组长职责是：</w:t>
      </w:r>
    </w:p>
    <w:p w14:paraId="65E8EB9F">
      <w:pPr>
        <w:spacing w:line="440" w:lineRule="exact"/>
        <w:ind w:firstLine="420" w:firstLineChars="200"/>
        <w:rPr>
          <w:rFonts w:ascii="宋体" w:hAnsi="宋体"/>
        </w:rPr>
      </w:pPr>
      <w:r>
        <w:rPr>
          <w:rFonts w:hint="eastAsia" w:ascii="宋体" w:hAnsi="宋体"/>
        </w:rPr>
        <w:t>a）管理食品安全小组，并组织其工作；</w:t>
      </w:r>
    </w:p>
    <w:p w14:paraId="678ECE99">
      <w:pPr>
        <w:spacing w:line="440" w:lineRule="exact"/>
        <w:ind w:firstLine="420" w:firstLineChars="200"/>
        <w:rPr>
          <w:rFonts w:ascii="宋体" w:hAnsi="宋体"/>
        </w:rPr>
      </w:pPr>
      <w:r>
        <w:rPr>
          <w:rFonts w:hint="eastAsia" w:ascii="宋体" w:hAnsi="宋体"/>
        </w:rPr>
        <w:t>b）确保食品安全小组成员安排相关的培训和教育；</w:t>
      </w:r>
    </w:p>
    <w:p w14:paraId="25F7842F">
      <w:pPr>
        <w:spacing w:line="440" w:lineRule="exact"/>
        <w:ind w:firstLine="420" w:firstLineChars="200"/>
        <w:rPr>
          <w:rFonts w:ascii="宋体" w:hAnsi="宋体"/>
        </w:rPr>
      </w:pPr>
      <w:r>
        <w:rPr>
          <w:rFonts w:hint="eastAsia" w:ascii="宋体" w:hAnsi="宋体"/>
        </w:rPr>
        <w:t>c）确保按照标准的要求建立、实施、保持和更新质量环境职业健康安全/食品安全/HACCP体系；</w:t>
      </w:r>
    </w:p>
    <w:p w14:paraId="796286F2">
      <w:pPr>
        <w:spacing w:line="440" w:lineRule="exact"/>
        <w:ind w:firstLine="420" w:firstLineChars="200"/>
        <w:rPr>
          <w:rFonts w:ascii="宋体" w:hAnsi="宋体"/>
        </w:rPr>
      </w:pPr>
      <w:r>
        <w:rPr>
          <w:rFonts w:hint="eastAsia" w:ascii="宋体" w:hAnsi="宋体"/>
        </w:rPr>
        <w:t>d）向公司的最高管理者报告质量环境职业健康安全/食品安全/HACCP体系的有效性和适宜性；</w:t>
      </w:r>
    </w:p>
    <w:p w14:paraId="709B486D">
      <w:pPr>
        <w:spacing w:line="440" w:lineRule="exact"/>
        <w:ind w:firstLine="420" w:firstLineChars="200"/>
        <w:rPr>
          <w:rFonts w:ascii="宋体" w:hAnsi="宋体"/>
        </w:rPr>
      </w:pPr>
      <w:r>
        <w:rPr>
          <w:rFonts w:hint="eastAsia" w:ascii="宋体" w:hAnsi="宋体"/>
        </w:rPr>
        <w:t>e）负责与质量环境职业健康安全/食品安全/HACCP体系有关事宜的外部联系。</w:t>
      </w:r>
    </w:p>
    <w:p w14:paraId="47E6528E">
      <w:pPr>
        <w:pStyle w:val="2"/>
        <w:spacing w:line="440" w:lineRule="exact"/>
        <w:rPr>
          <w:rFonts w:ascii="宋体" w:hAnsi="宋体"/>
        </w:rPr>
      </w:pPr>
    </w:p>
    <w:p w14:paraId="2A78CC70">
      <w:pPr>
        <w:spacing w:line="440" w:lineRule="exact"/>
        <w:jc w:val="center"/>
        <w:rPr>
          <w:rFonts w:hint="eastAsia" w:ascii="宋体" w:hAnsi="宋体" w:eastAsia="宋体"/>
          <w:bCs/>
          <w:sz w:val="24"/>
          <w:szCs w:val="24"/>
          <w:lang w:eastAsia="zh-CN"/>
        </w:rPr>
      </w:pPr>
      <w:r>
        <w:rPr>
          <w:rFonts w:hint="eastAsia" w:ascii="宋体" w:hAnsi="宋体"/>
        </w:rPr>
        <w:t xml:space="preserve">                           </w:t>
      </w:r>
      <w:r>
        <w:rPr>
          <w:rFonts w:ascii="宋体" w:hAnsi="宋体"/>
        </w:rPr>
        <w:t xml:space="preserve">                      </w:t>
      </w:r>
      <w:r>
        <w:rPr>
          <w:rFonts w:hint="eastAsia" w:ascii="宋体" w:hAnsi="宋体"/>
          <w:bCs/>
          <w:sz w:val="24"/>
          <w:szCs w:val="24"/>
        </w:rPr>
        <w:t>总经理：</w:t>
      </w:r>
      <w:r>
        <w:rPr>
          <w:rFonts w:hint="eastAsia" w:ascii="宋体" w:hAnsi="宋体"/>
          <w:bCs/>
          <w:sz w:val="24"/>
          <w:szCs w:val="24"/>
          <w:lang w:eastAsia="zh-CN"/>
        </w:rPr>
        <w:t>韩乐</w:t>
      </w:r>
    </w:p>
    <w:p w14:paraId="2AB69AE0">
      <w:pPr>
        <w:tabs>
          <w:tab w:val="left" w:pos="3675"/>
          <w:tab w:val="center" w:pos="4707"/>
        </w:tabs>
        <w:adjustRightInd w:val="0"/>
        <w:spacing w:line="500" w:lineRule="exact"/>
        <w:jc w:val="center"/>
        <w:rPr>
          <w:rFonts w:ascii="宋体" w:hAnsi="宋体"/>
          <w:b/>
          <w:color w:val="000000"/>
          <w:sz w:val="32"/>
          <w:szCs w:val="32"/>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lang w:eastAsia="zh-CN"/>
        </w:rPr>
        <w:t>2025.2.12</w:t>
      </w:r>
    </w:p>
    <w:p w14:paraId="30EE2E75">
      <w:pPr>
        <w:tabs>
          <w:tab w:val="left" w:pos="3675"/>
          <w:tab w:val="center" w:pos="4707"/>
        </w:tabs>
        <w:adjustRightInd w:val="0"/>
        <w:spacing w:line="500" w:lineRule="exact"/>
        <w:jc w:val="center"/>
        <w:rPr>
          <w:rFonts w:ascii="宋体" w:hAnsi="宋体"/>
          <w:b/>
          <w:color w:val="000000"/>
          <w:sz w:val="32"/>
          <w:szCs w:val="32"/>
        </w:rPr>
      </w:pPr>
      <w:r>
        <w:rPr>
          <w:rFonts w:hint="eastAsia" w:ascii="宋体" w:hAnsi="宋体"/>
          <w:b/>
          <w:color w:val="000000"/>
          <w:sz w:val="32"/>
          <w:szCs w:val="32"/>
        </w:rPr>
        <w:t>职业健康安全事务代表</w:t>
      </w:r>
    </w:p>
    <w:p w14:paraId="4C57A8F2">
      <w:pPr>
        <w:adjustRightInd w:val="0"/>
        <w:spacing w:line="500" w:lineRule="exact"/>
        <w:jc w:val="center"/>
        <w:rPr>
          <w:rFonts w:ascii="宋体" w:hAnsi="宋体"/>
          <w:color w:val="000000"/>
          <w:sz w:val="28"/>
          <w:szCs w:val="28"/>
        </w:rPr>
      </w:pPr>
    </w:p>
    <w:p w14:paraId="7B8824DF">
      <w:pPr>
        <w:spacing w:line="440" w:lineRule="exact"/>
        <w:ind w:firstLine="420" w:firstLineChars="200"/>
        <w:rPr>
          <w:rFonts w:ascii="宋体" w:hAnsi="宋体"/>
        </w:rPr>
      </w:pPr>
      <w:r>
        <w:rPr>
          <w:rFonts w:hint="eastAsia" w:ascii="宋体" w:hAnsi="宋体"/>
        </w:rPr>
        <w:t>经本公司职工代表大会一致通过，选举本公司</w:t>
      </w:r>
      <w:r>
        <w:rPr>
          <w:rFonts w:hint="eastAsia" w:ascii="宋体" w:hAnsi="宋体"/>
          <w:b/>
          <w:bCs/>
          <w:color w:val="0000FF"/>
          <w:u w:val="single"/>
        </w:rPr>
        <w:t xml:space="preserve"> </w:t>
      </w:r>
      <w:r>
        <w:rPr>
          <w:rFonts w:hint="eastAsia" w:ascii="宋体" w:hAnsi="宋体"/>
          <w:b/>
          <w:bCs/>
          <w:color w:val="0000FF"/>
          <w:u w:val="single"/>
          <w:lang w:val="en-US" w:eastAsia="zh-CN"/>
        </w:rPr>
        <w:t>王思雪</w:t>
      </w:r>
      <w:r>
        <w:rPr>
          <w:rFonts w:hint="eastAsia"/>
          <w:b/>
          <w:bCs/>
          <w:color w:val="0000FF"/>
          <w:u w:val="single"/>
        </w:rPr>
        <w:t xml:space="preserve"> </w:t>
      </w:r>
      <w:r>
        <w:rPr>
          <w:rFonts w:hint="eastAsia" w:ascii="宋体" w:hAnsi="宋体"/>
        </w:rPr>
        <w:t xml:space="preserve">为职业健康安全事务代表。协助管理者代表，参与职业健康安全方针、目标的制定和评审，参与风险管理和安全事务管理等。 </w:t>
      </w:r>
    </w:p>
    <w:p w14:paraId="3086960D">
      <w:pPr>
        <w:spacing w:line="440" w:lineRule="exact"/>
        <w:ind w:firstLine="420" w:firstLineChars="200"/>
        <w:rPr>
          <w:rFonts w:ascii="宋体" w:hAnsi="宋体"/>
        </w:rPr>
      </w:pPr>
    </w:p>
    <w:p w14:paraId="3BC364A4">
      <w:pPr>
        <w:spacing w:line="440" w:lineRule="exact"/>
        <w:ind w:firstLine="420" w:firstLineChars="200"/>
        <w:rPr>
          <w:rFonts w:ascii="宋体" w:hAnsi="宋体"/>
        </w:rPr>
      </w:pPr>
      <w:r>
        <w:rPr>
          <w:rFonts w:hint="eastAsia" w:ascii="宋体" w:hAnsi="宋体"/>
        </w:rPr>
        <w:t>特此公布。</w:t>
      </w:r>
    </w:p>
    <w:p w14:paraId="0F1896F2">
      <w:pPr>
        <w:spacing w:line="440" w:lineRule="exact"/>
        <w:ind w:firstLine="420" w:firstLineChars="200"/>
        <w:rPr>
          <w:rFonts w:ascii="宋体" w:hAnsi="宋体"/>
        </w:rPr>
      </w:pPr>
    </w:p>
    <w:p w14:paraId="215A2BF2">
      <w:pPr>
        <w:spacing w:line="440" w:lineRule="exact"/>
        <w:jc w:val="center"/>
        <w:rPr>
          <w:rFonts w:hint="eastAsia" w:ascii="宋体" w:hAnsi="宋体" w:eastAsia="宋体"/>
          <w:bCs/>
          <w:sz w:val="24"/>
          <w:szCs w:val="24"/>
          <w:lang w:eastAsia="zh-CN"/>
        </w:rPr>
      </w:pPr>
      <w:r>
        <w:rPr>
          <w:rFonts w:hint="eastAsia" w:ascii="宋体" w:hAnsi="宋体"/>
        </w:rPr>
        <w:t xml:space="preserve">                                              </w:t>
      </w:r>
      <w:r>
        <w:rPr>
          <w:rFonts w:hint="eastAsia" w:ascii="宋体" w:hAnsi="宋体"/>
          <w:bCs/>
          <w:sz w:val="24"/>
          <w:szCs w:val="24"/>
        </w:rPr>
        <w:t>总经理：</w:t>
      </w:r>
      <w:r>
        <w:rPr>
          <w:rFonts w:hint="eastAsia" w:ascii="宋体" w:hAnsi="宋体"/>
          <w:bCs/>
          <w:sz w:val="24"/>
          <w:szCs w:val="24"/>
          <w:lang w:eastAsia="zh-CN"/>
        </w:rPr>
        <w:t>韩乐</w:t>
      </w:r>
    </w:p>
    <w:p w14:paraId="0978578D">
      <w:pPr>
        <w:spacing w:line="440" w:lineRule="exact"/>
        <w:ind w:firstLine="480" w:firstLineChars="200"/>
        <w:rPr>
          <w:rFonts w:ascii="宋体" w:hAnsi="宋体"/>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lang w:eastAsia="zh-CN"/>
        </w:rPr>
        <w:t>2025.2.12</w:t>
      </w:r>
    </w:p>
    <w:p w14:paraId="5C80B2A4">
      <w:pPr>
        <w:pStyle w:val="2"/>
      </w:pPr>
    </w:p>
    <w:p w14:paraId="1CBE67EE">
      <w:pPr>
        <w:pStyle w:val="2"/>
      </w:pPr>
    </w:p>
    <w:p w14:paraId="4A90B2E1">
      <w:pPr>
        <w:pStyle w:val="2"/>
      </w:pPr>
    </w:p>
    <w:p w14:paraId="6B2E0677">
      <w:pPr>
        <w:pStyle w:val="2"/>
      </w:pPr>
    </w:p>
    <w:p w14:paraId="43194D60">
      <w:pPr>
        <w:pStyle w:val="2"/>
        <w:rPr>
          <w:rFonts w:ascii="宋体" w:hAnsi="宋体"/>
        </w:rPr>
      </w:pPr>
    </w:p>
    <w:p w14:paraId="35CE97C2">
      <w:pPr>
        <w:pStyle w:val="22"/>
        <w:rPr>
          <w:rFonts w:ascii="宋体" w:hAnsi="宋体"/>
        </w:rPr>
      </w:pPr>
      <w:bookmarkStart w:id="5" w:name="_Toc110460603"/>
      <w:r>
        <w:rPr>
          <w:rFonts w:hint="eastAsia" w:ascii="宋体" w:hAnsi="宋体"/>
        </w:rPr>
        <w:t>0</w:t>
      </w:r>
      <w:r>
        <w:rPr>
          <w:rFonts w:ascii="宋体" w:hAnsi="宋体"/>
        </w:rPr>
        <w:t xml:space="preserve">.6 </w:t>
      </w:r>
      <w:r>
        <w:rPr>
          <w:rFonts w:hint="eastAsia" w:ascii="宋体" w:hAnsi="宋体"/>
        </w:rPr>
        <w:t>食品安全小组成员名单及相关职责</w:t>
      </w:r>
      <w:bookmarkEnd w:id="5"/>
    </w:p>
    <w:tbl>
      <w:tblPr>
        <w:tblStyle w:val="23"/>
        <w:tblW w:w="10531" w:type="dxa"/>
        <w:tblInd w:w="-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7"/>
        <w:gridCol w:w="1008"/>
        <w:gridCol w:w="708"/>
        <w:gridCol w:w="2127"/>
        <w:gridCol w:w="992"/>
        <w:gridCol w:w="4819"/>
      </w:tblGrid>
      <w:tr w14:paraId="575E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877" w:type="dxa"/>
            <w:vAlign w:val="center"/>
          </w:tcPr>
          <w:p w14:paraId="7A2509BC">
            <w:pPr>
              <w:ind w:left="-2" w:leftChars="-1"/>
              <w:jc w:val="center"/>
              <w:rPr>
                <w:rFonts w:ascii="宋体" w:hAnsi="宋体"/>
                <w:sz w:val="18"/>
                <w:szCs w:val="18"/>
              </w:rPr>
            </w:pPr>
            <w:r>
              <w:rPr>
                <w:rFonts w:hint="eastAsia" w:ascii="宋体" w:hAnsi="宋体"/>
                <w:sz w:val="18"/>
                <w:szCs w:val="18"/>
              </w:rPr>
              <w:t>序号</w:t>
            </w:r>
          </w:p>
        </w:tc>
        <w:tc>
          <w:tcPr>
            <w:tcW w:w="1008" w:type="dxa"/>
            <w:vAlign w:val="center"/>
          </w:tcPr>
          <w:p w14:paraId="4E941BC6">
            <w:pPr>
              <w:jc w:val="center"/>
              <w:rPr>
                <w:rFonts w:ascii="宋体" w:hAnsi="宋体"/>
                <w:sz w:val="18"/>
                <w:szCs w:val="18"/>
              </w:rPr>
            </w:pPr>
            <w:r>
              <w:rPr>
                <w:rFonts w:hint="eastAsia" w:ascii="宋体" w:hAnsi="宋体"/>
                <w:sz w:val="18"/>
                <w:szCs w:val="18"/>
              </w:rPr>
              <w:t>姓名</w:t>
            </w:r>
          </w:p>
        </w:tc>
        <w:tc>
          <w:tcPr>
            <w:tcW w:w="708" w:type="dxa"/>
            <w:vAlign w:val="center"/>
          </w:tcPr>
          <w:p w14:paraId="2601DC78">
            <w:pPr>
              <w:jc w:val="center"/>
              <w:rPr>
                <w:rFonts w:ascii="宋体" w:hAnsi="宋体"/>
                <w:sz w:val="18"/>
                <w:szCs w:val="18"/>
              </w:rPr>
            </w:pPr>
            <w:r>
              <w:rPr>
                <w:rFonts w:hint="eastAsia" w:ascii="宋体" w:hAnsi="宋体"/>
                <w:sz w:val="18"/>
                <w:szCs w:val="18"/>
              </w:rPr>
              <w:t>学历</w:t>
            </w:r>
          </w:p>
        </w:tc>
        <w:tc>
          <w:tcPr>
            <w:tcW w:w="2127" w:type="dxa"/>
            <w:vAlign w:val="center"/>
          </w:tcPr>
          <w:p w14:paraId="05F54421">
            <w:pPr>
              <w:jc w:val="center"/>
              <w:rPr>
                <w:rFonts w:ascii="宋体" w:hAnsi="宋体"/>
                <w:sz w:val="18"/>
                <w:szCs w:val="18"/>
              </w:rPr>
            </w:pPr>
            <w:r>
              <w:rPr>
                <w:rFonts w:hint="eastAsia" w:ascii="宋体" w:hAnsi="宋体"/>
                <w:sz w:val="18"/>
                <w:szCs w:val="18"/>
              </w:rPr>
              <w:t>专业/技能/经验</w:t>
            </w:r>
          </w:p>
        </w:tc>
        <w:tc>
          <w:tcPr>
            <w:tcW w:w="992" w:type="dxa"/>
            <w:vAlign w:val="center"/>
          </w:tcPr>
          <w:p w14:paraId="1EE5C42F">
            <w:pPr>
              <w:jc w:val="center"/>
              <w:rPr>
                <w:rFonts w:ascii="宋体" w:hAnsi="宋体"/>
                <w:sz w:val="18"/>
                <w:szCs w:val="18"/>
              </w:rPr>
            </w:pPr>
            <w:r>
              <w:rPr>
                <w:rFonts w:hint="eastAsia" w:ascii="宋体" w:hAnsi="宋体"/>
                <w:sz w:val="18"/>
                <w:szCs w:val="18"/>
              </w:rPr>
              <w:t>公司职务</w:t>
            </w:r>
          </w:p>
        </w:tc>
        <w:tc>
          <w:tcPr>
            <w:tcW w:w="4819" w:type="dxa"/>
            <w:vAlign w:val="center"/>
          </w:tcPr>
          <w:p w14:paraId="10688E8B">
            <w:pPr>
              <w:jc w:val="center"/>
              <w:rPr>
                <w:rFonts w:ascii="宋体" w:hAnsi="宋体"/>
                <w:sz w:val="18"/>
                <w:szCs w:val="18"/>
              </w:rPr>
            </w:pPr>
            <w:r>
              <w:rPr>
                <w:rFonts w:hint="eastAsia" w:ascii="宋体" w:hAnsi="宋体"/>
                <w:sz w:val="18"/>
                <w:szCs w:val="18"/>
              </w:rPr>
              <w:t>组内主要职责</w:t>
            </w:r>
          </w:p>
        </w:tc>
      </w:tr>
      <w:tr w14:paraId="7FC0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36" w:hRule="atLeast"/>
        </w:trPr>
        <w:tc>
          <w:tcPr>
            <w:tcW w:w="877" w:type="dxa"/>
            <w:tcBorders>
              <w:top w:val="dotted" w:color="auto" w:sz="4" w:space="0"/>
            </w:tcBorders>
            <w:vAlign w:val="center"/>
          </w:tcPr>
          <w:p w14:paraId="262985B3">
            <w:pPr>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1008" w:type="dxa"/>
            <w:tcBorders>
              <w:top w:val="dotted" w:color="auto" w:sz="4" w:space="0"/>
            </w:tcBorders>
            <w:vAlign w:val="center"/>
          </w:tcPr>
          <w:p w14:paraId="147AA54B">
            <w:pPr>
              <w:rPr>
                <w:rFonts w:hint="eastAsia"/>
                <w:lang w:eastAsia="zh-CN"/>
              </w:rPr>
            </w:pPr>
            <w:r>
              <w:rPr>
                <w:rFonts w:hint="eastAsia"/>
                <w:lang w:eastAsia="zh-CN"/>
              </w:rPr>
              <w:t>韩乐</w:t>
            </w:r>
          </w:p>
        </w:tc>
        <w:tc>
          <w:tcPr>
            <w:tcW w:w="708" w:type="dxa"/>
            <w:tcBorders>
              <w:top w:val="dotted" w:color="auto" w:sz="4" w:space="0"/>
            </w:tcBorders>
            <w:vAlign w:val="center"/>
          </w:tcPr>
          <w:p w14:paraId="5E6634BC">
            <w:pPr>
              <w:jc w:val="center"/>
              <w:rPr>
                <w:rFonts w:hint="eastAsia" w:ascii="宋体" w:hAnsi="宋体" w:eastAsia="宋体"/>
                <w:sz w:val="18"/>
                <w:szCs w:val="18"/>
                <w:lang w:val="en-US" w:eastAsia="zh-CN"/>
              </w:rPr>
            </w:pPr>
            <w:r>
              <w:rPr>
                <w:rFonts w:hint="eastAsia" w:ascii="宋体" w:hAnsi="宋体"/>
                <w:sz w:val="18"/>
                <w:szCs w:val="18"/>
                <w:lang w:val="en-US" w:eastAsia="zh-CN"/>
              </w:rPr>
              <w:t>大专</w:t>
            </w:r>
          </w:p>
        </w:tc>
        <w:tc>
          <w:tcPr>
            <w:tcW w:w="2127" w:type="dxa"/>
            <w:tcBorders>
              <w:top w:val="dotted" w:color="auto" w:sz="4" w:space="0"/>
            </w:tcBorders>
            <w:vAlign w:val="center"/>
          </w:tcPr>
          <w:p w14:paraId="107FE9B1">
            <w:pPr>
              <w:pStyle w:val="2"/>
              <w:jc w:val="left"/>
              <w:rPr>
                <w:rFonts w:hint="default" w:ascii="宋体" w:hAnsi="宋体" w:eastAsia="宋体"/>
                <w:sz w:val="18"/>
                <w:szCs w:val="18"/>
                <w:lang w:val="en-US" w:eastAsia="zh-CN"/>
              </w:rPr>
            </w:pPr>
            <w:r>
              <w:rPr>
                <w:rFonts w:hint="eastAsia" w:ascii="宋体" w:hAnsi="宋体"/>
                <w:sz w:val="18"/>
                <w:szCs w:val="18"/>
                <w:lang w:val="en-US" w:eastAsia="zh-CN"/>
              </w:rPr>
              <w:t>管理经验15年</w:t>
            </w:r>
          </w:p>
        </w:tc>
        <w:tc>
          <w:tcPr>
            <w:tcW w:w="992" w:type="dxa"/>
            <w:tcBorders>
              <w:top w:val="dotted" w:color="auto" w:sz="4" w:space="0"/>
            </w:tcBorders>
            <w:vAlign w:val="center"/>
          </w:tcPr>
          <w:p w14:paraId="1E3C330A">
            <w:pPr>
              <w:jc w:val="center"/>
              <w:rPr>
                <w:rFonts w:hint="default" w:ascii="宋体" w:hAnsi="宋体"/>
                <w:sz w:val="18"/>
                <w:szCs w:val="18"/>
                <w:lang w:val="en-US" w:eastAsia="zh-CN"/>
              </w:rPr>
            </w:pPr>
            <w:r>
              <w:rPr>
                <w:rFonts w:hint="eastAsia" w:ascii="宋体" w:hAnsi="宋体"/>
                <w:sz w:val="18"/>
                <w:szCs w:val="18"/>
                <w:lang w:val="en-US" w:eastAsia="zh-CN"/>
              </w:rPr>
              <w:t>总经理</w:t>
            </w:r>
          </w:p>
        </w:tc>
        <w:tc>
          <w:tcPr>
            <w:tcW w:w="4819" w:type="dxa"/>
            <w:tcBorders>
              <w:top w:val="dotted" w:color="auto" w:sz="4" w:space="0"/>
            </w:tcBorders>
            <w:vAlign w:val="center"/>
          </w:tcPr>
          <w:p w14:paraId="5BE39FDE">
            <w:pPr>
              <w:pStyle w:val="2"/>
              <w:rPr>
                <w:rFonts w:hint="default" w:ascii="宋体" w:hAnsi="宋体"/>
                <w:sz w:val="18"/>
                <w:szCs w:val="18"/>
                <w:lang w:val="en-US" w:eastAsia="zh-CN"/>
              </w:rPr>
            </w:pPr>
            <w:r>
              <w:rPr>
                <w:rFonts w:hint="eastAsia" w:ascii="宋体" w:hAnsi="宋体"/>
                <w:sz w:val="18"/>
                <w:szCs w:val="18"/>
                <w:lang w:val="en-US" w:eastAsia="zh-CN"/>
              </w:rPr>
              <w:t>确保体系的顺利运行，确保资源、人力等满足体系的运行。</w:t>
            </w:r>
          </w:p>
        </w:tc>
      </w:tr>
      <w:tr w14:paraId="3324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36" w:hRule="atLeast"/>
        </w:trPr>
        <w:tc>
          <w:tcPr>
            <w:tcW w:w="877" w:type="dxa"/>
            <w:tcBorders>
              <w:top w:val="dotted" w:color="auto" w:sz="4" w:space="0"/>
            </w:tcBorders>
            <w:vAlign w:val="center"/>
          </w:tcPr>
          <w:p w14:paraId="516C6735">
            <w:pPr>
              <w:jc w:val="center"/>
              <w:rPr>
                <w:rFonts w:ascii="宋体" w:hAnsi="宋体"/>
                <w:sz w:val="18"/>
                <w:szCs w:val="18"/>
              </w:rPr>
            </w:pPr>
            <w:r>
              <w:rPr>
                <w:rFonts w:hint="eastAsia" w:ascii="宋体" w:hAnsi="宋体"/>
                <w:sz w:val="18"/>
                <w:szCs w:val="18"/>
              </w:rPr>
              <w:t>2</w:t>
            </w:r>
          </w:p>
        </w:tc>
        <w:tc>
          <w:tcPr>
            <w:tcW w:w="1008" w:type="dxa"/>
            <w:tcBorders>
              <w:top w:val="dotted" w:color="auto" w:sz="4" w:space="0"/>
            </w:tcBorders>
            <w:vAlign w:val="center"/>
          </w:tcPr>
          <w:p w14:paraId="3945D890">
            <w:pPr>
              <w:rPr>
                <w:rFonts w:hint="eastAsia" w:ascii="宋体" w:hAnsi="宋体" w:eastAsia="宋体"/>
                <w:sz w:val="18"/>
                <w:szCs w:val="18"/>
                <w:lang w:eastAsia="zh-CN"/>
              </w:rPr>
            </w:pPr>
            <w:r>
              <w:rPr>
                <w:rFonts w:hint="eastAsia"/>
                <w:lang w:eastAsia="zh-CN"/>
              </w:rPr>
              <w:t>张为方</w:t>
            </w:r>
            <w:r>
              <w:rPr>
                <w:rFonts w:hint="eastAsia"/>
              </w:rPr>
              <w:br w:type="textWrapping"/>
            </w:r>
            <w:r>
              <w:rPr>
                <w:rFonts w:hint="eastAsia"/>
                <w:lang w:eastAsia="zh-CN"/>
              </w:rPr>
              <w:t>（</w:t>
            </w:r>
            <w:r>
              <w:rPr>
                <w:rFonts w:hint="eastAsia"/>
                <w:lang w:val="en-US" w:eastAsia="zh-CN"/>
              </w:rPr>
              <w:t>组长</w:t>
            </w:r>
            <w:r>
              <w:rPr>
                <w:rFonts w:hint="eastAsia"/>
                <w:lang w:eastAsia="zh-CN"/>
              </w:rPr>
              <w:t>）</w:t>
            </w:r>
          </w:p>
        </w:tc>
        <w:tc>
          <w:tcPr>
            <w:tcW w:w="708" w:type="dxa"/>
            <w:tcBorders>
              <w:top w:val="dotted" w:color="auto" w:sz="4" w:space="0"/>
            </w:tcBorders>
            <w:vAlign w:val="center"/>
          </w:tcPr>
          <w:p w14:paraId="3DA5EA45">
            <w:pPr>
              <w:jc w:val="center"/>
              <w:rPr>
                <w:rFonts w:ascii="宋体" w:hAnsi="宋体"/>
                <w:sz w:val="18"/>
                <w:szCs w:val="18"/>
              </w:rPr>
            </w:pPr>
            <w:r>
              <w:rPr>
                <w:rFonts w:hint="eastAsia" w:ascii="宋体" w:hAnsi="宋体"/>
                <w:sz w:val="18"/>
                <w:szCs w:val="18"/>
              </w:rPr>
              <w:t>大专</w:t>
            </w:r>
          </w:p>
        </w:tc>
        <w:tc>
          <w:tcPr>
            <w:tcW w:w="2127" w:type="dxa"/>
            <w:tcBorders>
              <w:top w:val="dotted" w:color="auto" w:sz="4" w:space="0"/>
            </w:tcBorders>
            <w:vAlign w:val="center"/>
          </w:tcPr>
          <w:p w14:paraId="2FA3243B">
            <w:pPr>
              <w:jc w:val="left"/>
            </w:pPr>
            <w:r>
              <w:rPr>
                <w:rFonts w:hint="eastAsia"/>
              </w:rPr>
              <w:t xml:space="preserve">1．中专； </w:t>
            </w:r>
          </w:p>
          <w:p w14:paraId="024B376A">
            <w:pPr>
              <w:jc w:val="left"/>
            </w:pPr>
            <w:r>
              <w:rPr>
                <w:rFonts w:hint="eastAsia"/>
              </w:rPr>
              <w:t xml:space="preserve">2．十七年工作经验； </w:t>
            </w:r>
          </w:p>
          <w:p w14:paraId="4CA2481F">
            <w:pPr>
              <w:jc w:val="left"/>
            </w:pPr>
            <w:r>
              <w:rPr>
                <w:rFonts w:hint="eastAsia"/>
              </w:rPr>
              <w:t>3．具备食品企业领导和管理的能力；</w:t>
            </w:r>
          </w:p>
          <w:p w14:paraId="7996EB7F">
            <w:pPr>
              <w:jc w:val="left"/>
              <w:rPr>
                <w:rFonts w:ascii="宋体" w:hAnsi="宋体"/>
                <w:sz w:val="18"/>
                <w:szCs w:val="18"/>
              </w:rPr>
            </w:pPr>
            <w:r>
              <w:rPr>
                <w:rFonts w:hint="eastAsia" w:ascii="宋体" w:hAnsi="宋体"/>
                <w:sz w:val="18"/>
                <w:szCs w:val="18"/>
              </w:rPr>
              <w:t xml:space="preserve">4从业销售十多年，担任销售经理五年； </w:t>
            </w:r>
          </w:p>
          <w:p w14:paraId="3CAE4E2F">
            <w:pPr>
              <w:pStyle w:val="2"/>
              <w:jc w:val="left"/>
            </w:pPr>
            <w:r>
              <w:rPr>
                <w:rFonts w:hint="eastAsia" w:ascii="宋体" w:hAnsi="宋体"/>
                <w:sz w:val="18"/>
                <w:szCs w:val="18"/>
              </w:rPr>
              <w:t>5.对食品销售管理工作相当熟悉。</w:t>
            </w:r>
          </w:p>
        </w:tc>
        <w:tc>
          <w:tcPr>
            <w:tcW w:w="992" w:type="dxa"/>
            <w:tcBorders>
              <w:top w:val="dotted" w:color="auto" w:sz="4" w:space="0"/>
            </w:tcBorders>
            <w:vAlign w:val="center"/>
          </w:tcPr>
          <w:p w14:paraId="7FB6AE4B">
            <w:pPr>
              <w:jc w:val="center"/>
              <w:rPr>
                <w:rFonts w:ascii="宋体" w:hAnsi="宋体"/>
                <w:sz w:val="18"/>
                <w:szCs w:val="18"/>
              </w:rPr>
            </w:pPr>
            <w:r>
              <w:rPr>
                <w:rFonts w:hint="eastAsia" w:ascii="宋体" w:hAnsi="宋体"/>
                <w:sz w:val="18"/>
                <w:szCs w:val="18"/>
                <w:lang w:eastAsia="zh-CN"/>
              </w:rPr>
              <w:t>市场部</w:t>
            </w:r>
            <w:r>
              <w:rPr>
                <w:rFonts w:hint="eastAsia" w:ascii="宋体" w:hAnsi="宋体"/>
                <w:sz w:val="18"/>
                <w:szCs w:val="18"/>
              </w:rPr>
              <w:t>经理</w:t>
            </w:r>
          </w:p>
        </w:tc>
        <w:tc>
          <w:tcPr>
            <w:tcW w:w="4819" w:type="dxa"/>
            <w:tcBorders>
              <w:top w:val="dotted" w:color="auto" w:sz="4" w:space="0"/>
            </w:tcBorders>
            <w:vAlign w:val="center"/>
          </w:tcPr>
          <w:p w14:paraId="67AFC7E4">
            <w:pPr>
              <w:jc w:val="left"/>
              <w:rPr>
                <w:rFonts w:hint="eastAsia"/>
              </w:rPr>
            </w:pPr>
          </w:p>
          <w:p w14:paraId="2B984C73">
            <w:pPr>
              <w:jc w:val="left"/>
              <w:rPr>
                <w:rFonts w:ascii="宋体" w:hAnsi="宋体"/>
                <w:sz w:val="18"/>
                <w:szCs w:val="18"/>
              </w:rPr>
            </w:pPr>
            <w:r>
              <w:rPr>
                <w:rFonts w:hint="eastAsia" w:ascii="宋体" w:hAnsi="宋体"/>
                <w:sz w:val="18"/>
                <w:szCs w:val="18"/>
              </w:rPr>
              <w:t xml:space="preserve">1．负责审核相应的HACCP文件； </w:t>
            </w:r>
          </w:p>
          <w:p w14:paraId="3357642E">
            <w:pPr>
              <w:jc w:val="left"/>
              <w:rPr>
                <w:rFonts w:ascii="宋体" w:hAnsi="宋体"/>
                <w:sz w:val="18"/>
                <w:szCs w:val="18"/>
              </w:rPr>
            </w:pPr>
            <w:r>
              <w:rPr>
                <w:rFonts w:hint="eastAsia" w:ascii="宋体" w:hAnsi="宋体"/>
                <w:sz w:val="18"/>
                <w:szCs w:val="18"/>
              </w:rPr>
              <w:t xml:space="preserve">2．确保HACCP得到建立、保持、改进； </w:t>
            </w:r>
          </w:p>
          <w:p w14:paraId="0CE8E312">
            <w:pPr>
              <w:jc w:val="left"/>
              <w:rPr>
                <w:rFonts w:ascii="宋体" w:hAnsi="宋体"/>
                <w:sz w:val="18"/>
                <w:szCs w:val="18"/>
              </w:rPr>
            </w:pPr>
            <w:r>
              <w:rPr>
                <w:rFonts w:hint="eastAsia" w:ascii="宋体" w:hAnsi="宋体"/>
                <w:sz w:val="18"/>
                <w:szCs w:val="18"/>
              </w:rPr>
              <w:t xml:space="preserve">3．向最高管理者汇报HACCP实施的业绩，包括改进的需求； </w:t>
            </w:r>
          </w:p>
          <w:p w14:paraId="037884B3">
            <w:pPr>
              <w:jc w:val="left"/>
              <w:rPr>
                <w:rFonts w:ascii="宋体" w:hAnsi="宋体"/>
                <w:sz w:val="18"/>
                <w:szCs w:val="18"/>
              </w:rPr>
            </w:pPr>
            <w:r>
              <w:rPr>
                <w:rFonts w:hint="eastAsia" w:ascii="宋体" w:hAnsi="宋体"/>
                <w:sz w:val="18"/>
                <w:szCs w:val="18"/>
              </w:rPr>
              <w:t>4．负责提出原、辅料和生产工序的危害分折，确定CCP点的设置，确定关键限值；组织制定</w:t>
            </w:r>
            <w:r>
              <w:rPr>
                <w:rFonts w:ascii="宋体" w:hAnsi="宋体"/>
                <w:sz w:val="18"/>
                <w:szCs w:val="18"/>
              </w:rPr>
              <w:t>危害控制计划</w:t>
            </w:r>
            <w:r>
              <w:rPr>
                <w:rFonts w:hint="eastAsia" w:ascii="宋体" w:hAnsi="宋体"/>
                <w:sz w:val="18"/>
                <w:szCs w:val="18"/>
              </w:rPr>
              <w:t xml:space="preserve">及组织实施HACCP方案；  </w:t>
            </w:r>
          </w:p>
          <w:p w14:paraId="49BF3EF0">
            <w:pPr>
              <w:jc w:val="left"/>
              <w:rPr>
                <w:rFonts w:hint="eastAsia" w:ascii="宋体" w:hAnsi="宋体"/>
                <w:sz w:val="18"/>
                <w:szCs w:val="18"/>
              </w:rPr>
            </w:pPr>
            <w:r>
              <w:rPr>
                <w:rFonts w:hint="eastAsia" w:ascii="宋体" w:hAnsi="宋体"/>
                <w:sz w:val="18"/>
                <w:szCs w:val="18"/>
              </w:rPr>
              <w:t>5．提出监控方案及纠偏程序的持续性改进方案，负责体系的日常验证工作。</w:t>
            </w:r>
          </w:p>
          <w:p w14:paraId="5F5D120F">
            <w:pPr>
              <w:jc w:val="left"/>
            </w:pPr>
            <w:r>
              <w:rPr>
                <w:rFonts w:hint="eastAsia"/>
                <w:lang w:val="en-US" w:eastAsia="zh-CN"/>
              </w:rPr>
              <w:t>6</w:t>
            </w:r>
            <w:r>
              <w:rPr>
                <w:rFonts w:hint="eastAsia"/>
              </w:rPr>
              <w:t xml:space="preserve">.负责公司产品销售的管理工作； </w:t>
            </w:r>
          </w:p>
          <w:p w14:paraId="376AAA2A">
            <w:pPr>
              <w:jc w:val="left"/>
            </w:pPr>
            <w:r>
              <w:rPr>
                <w:rFonts w:hint="eastAsia"/>
                <w:lang w:val="en-US" w:eastAsia="zh-CN"/>
              </w:rPr>
              <w:t>7</w:t>
            </w:r>
            <w:r>
              <w:rPr>
                <w:rFonts w:hint="eastAsia"/>
              </w:rPr>
              <w:t>.负责公司产品销售配送过程的位卫生、资料符合要求；</w:t>
            </w:r>
          </w:p>
          <w:p w14:paraId="6A07FE6E">
            <w:pPr>
              <w:jc w:val="left"/>
            </w:pPr>
            <w:r>
              <w:rPr>
                <w:rFonts w:hint="eastAsia"/>
                <w:lang w:val="en-US" w:eastAsia="zh-CN"/>
              </w:rPr>
              <w:t>8</w:t>
            </w:r>
            <w:r>
              <w:rPr>
                <w:rFonts w:hint="eastAsia"/>
              </w:rPr>
              <w:t xml:space="preserve">. 负责公司原、辅料、包装材料的采购管理工作； </w:t>
            </w:r>
          </w:p>
          <w:p w14:paraId="2F948FCD">
            <w:pPr>
              <w:jc w:val="left"/>
              <w:rPr>
                <w:rFonts w:ascii="宋体" w:hAnsi="宋体"/>
                <w:sz w:val="18"/>
                <w:szCs w:val="18"/>
              </w:rPr>
            </w:pPr>
            <w:r>
              <w:rPr>
                <w:rFonts w:hint="eastAsia" w:ascii="宋体" w:hAnsi="宋体"/>
                <w:sz w:val="18"/>
                <w:szCs w:val="18"/>
                <w:lang w:val="en-US" w:eastAsia="zh-CN"/>
              </w:rPr>
              <w:t>9</w:t>
            </w:r>
            <w:r>
              <w:rPr>
                <w:rFonts w:hint="eastAsia" w:ascii="宋体" w:hAnsi="宋体"/>
                <w:sz w:val="18"/>
                <w:szCs w:val="18"/>
              </w:rPr>
              <w:t xml:space="preserve">.负责公司产品的销售以及销后用户对产品卫生质量反馈信息的收集； </w:t>
            </w:r>
          </w:p>
          <w:p w14:paraId="249ABD31">
            <w:pPr>
              <w:pStyle w:val="2"/>
            </w:pPr>
            <w:r>
              <w:rPr>
                <w:rFonts w:hint="eastAsia" w:ascii="宋体" w:hAnsi="宋体"/>
                <w:sz w:val="18"/>
                <w:szCs w:val="18"/>
                <w:lang w:val="en-US" w:eastAsia="zh-CN"/>
              </w:rPr>
              <w:t>10</w:t>
            </w:r>
            <w:r>
              <w:rPr>
                <w:rFonts w:hint="eastAsia" w:ascii="宋体" w:hAnsi="宋体"/>
                <w:sz w:val="18"/>
                <w:szCs w:val="18"/>
              </w:rPr>
              <w:t>．负责与顾客进行沟通及顾客满意的测量。</w:t>
            </w:r>
          </w:p>
        </w:tc>
      </w:tr>
      <w:tr w14:paraId="073E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3" w:hRule="atLeast"/>
        </w:trPr>
        <w:tc>
          <w:tcPr>
            <w:tcW w:w="877" w:type="dxa"/>
            <w:vAlign w:val="center"/>
          </w:tcPr>
          <w:p w14:paraId="181A01D1">
            <w:pPr>
              <w:jc w:val="center"/>
              <w:rPr>
                <w:rFonts w:ascii="宋体" w:hAnsi="宋体"/>
                <w:sz w:val="18"/>
                <w:szCs w:val="18"/>
              </w:rPr>
            </w:pPr>
            <w:r>
              <w:rPr>
                <w:rFonts w:hint="eastAsia" w:ascii="宋体" w:hAnsi="宋体"/>
                <w:sz w:val="18"/>
                <w:szCs w:val="18"/>
              </w:rPr>
              <w:t>3</w:t>
            </w:r>
          </w:p>
        </w:tc>
        <w:tc>
          <w:tcPr>
            <w:tcW w:w="1008" w:type="dxa"/>
            <w:vAlign w:val="center"/>
          </w:tcPr>
          <w:p w14:paraId="6125583F">
            <w:pPr>
              <w:jc w:val="center"/>
              <w:rPr>
                <w:rFonts w:hint="eastAsia" w:ascii="宋体" w:hAnsi="宋体" w:eastAsia="宋体"/>
                <w:sz w:val="18"/>
                <w:szCs w:val="18"/>
                <w:lang w:eastAsia="zh-CN"/>
              </w:rPr>
            </w:pPr>
            <w:r>
              <w:rPr>
                <w:rFonts w:hint="eastAsia"/>
                <w:lang w:eastAsia="zh-CN"/>
              </w:rPr>
              <w:t>颛孙恩睿</w:t>
            </w:r>
          </w:p>
        </w:tc>
        <w:tc>
          <w:tcPr>
            <w:tcW w:w="708" w:type="dxa"/>
            <w:vAlign w:val="center"/>
          </w:tcPr>
          <w:p w14:paraId="734D66EB">
            <w:pPr>
              <w:jc w:val="center"/>
              <w:rPr>
                <w:rFonts w:ascii="宋体" w:hAnsi="宋体"/>
                <w:sz w:val="18"/>
                <w:szCs w:val="18"/>
              </w:rPr>
            </w:pPr>
            <w:r>
              <w:rPr>
                <w:rFonts w:hint="eastAsia" w:ascii="宋体" w:hAnsi="宋体"/>
                <w:sz w:val="18"/>
                <w:szCs w:val="18"/>
              </w:rPr>
              <w:t>高中</w:t>
            </w:r>
          </w:p>
        </w:tc>
        <w:tc>
          <w:tcPr>
            <w:tcW w:w="2127" w:type="dxa"/>
            <w:vAlign w:val="center"/>
          </w:tcPr>
          <w:p w14:paraId="06187C69">
            <w:pPr>
              <w:jc w:val="center"/>
              <w:rPr>
                <w:rFonts w:ascii="宋体" w:hAnsi="宋体"/>
                <w:sz w:val="18"/>
                <w:szCs w:val="18"/>
              </w:rPr>
            </w:pPr>
            <w:r>
              <w:rPr>
                <w:rFonts w:hint="eastAsia" w:ascii="宋体" w:hAnsi="宋体"/>
                <w:sz w:val="18"/>
                <w:szCs w:val="18"/>
              </w:rPr>
              <w:t>1．人事行政管理相当熟悉</w:t>
            </w:r>
          </w:p>
        </w:tc>
        <w:tc>
          <w:tcPr>
            <w:tcW w:w="992" w:type="dxa"/>
            <w:vAlign w:val="center"/>
          </w:tcPr>
          <w:p w14:paraId="3C80591D">
            <w:pPr>
              <w:jc w:val="center"/>
              <w:rPr>
                <w:rFonts w:ascii="宋体" w:hAnsi="宋体"/>
                <w:sz w:val="18"/>
                <w:szCs w:val="18"/>
              </w:rPr>
            </w:pPr>
            <w:r>
              <w:rPr>
                <w:rFonts w:hint="eastAsia" w:ascii="宋体" w:hAnsi="宋体"/>
                <w:sz w:val="18"/>
                <w:szCs w:val="18"/>
              </w:rPr>
              <w:t>行政部经理</w:t>
            </w:r>
          </w:p>
        </w:tc>
        <w:tc>
          <w:tcPr>
            <w:tcW w:w="4819" w:type="dxa"/>
            <w:vAlign w:val="center"/>
          </w:tcPr>
          <w:p w14:paraId="03400728">
            <w:pPr>
              <w:jc w:val="left"/>
              <w:rPr>
                <w:rFonts w:ascii="宋体" w:hAnsi="宋体"/>
                <w:sz w:val="18"/>
                <w:szCs w:val="18"/>
              </w:rPr>
            </w:pPr>
            <w:r>
              <w:rPr>
                <w:rFonts w:hint="eastAsia" w:ascii="宋体" w:hAnsi="宋体"/>
                <w:sz w:val="18"/>
                <w:szCs w:val="18"/>
              </w:rPr>
              <w:t xml:space="preserve"> 1．负责公司资质管理与人员健康管理； </w:t>
            </w:r>
          </w:p>
          <w:p w14:paraId="35EB245C">
            <w:pPr>
              <w:jc w:val="left"/>
              <w:rPr>
                <w:rFonts w:ascii="宋体" w:hAnsi="宋体"/>
                <w:sz w:val="18"/>
                <w:szCs w:val="18"/>
              </w:rPr>
            </w:pPr>
            <w:r>
              <w:rPr>
                <w:rFonts w:hint="eastAsia" w:ascii="宋体" w:hAnsi="宋体"/>
                <w:sz w:val="18"/>
                <w:szCs w:val="18"/>
              </w:rPr>
              <w:t>2．负责人员进行培训；</w:t>
            </w:r>
          </w:p>
        </w:tc>
      </w:tr>
      <w:tr w14:paraId="429A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7" w:hRule="atLeast"/>
        </w:trPr>
        <w:tc>
          <w:tcPr>
            <w:tcW w:w="877" w:type="dxa"/>
            <w:vAlign w:val="center"/>
          </w:tcPr>
          <w:p w14:paraId="1D8F2AC8">
            <w:pPr>
              <w:jc w:val="center"/>
              <w:rPr>
                <w:rFonts w:ascii="宋体" w:hAnsi="宋体"/>
                <w:sz w:val="18"/>
                <w:szCs w:val="18"/>
              </w:rPr>
            </w:pPr>
            <w:r>
              <w:rPr>
                <w:rFonts w:hint="eastAsia" w:ascii="宋体" w:hAnsi="宋体"/>
                <w:sz w:val="18"/>
                <w:szCs w:val="18"/>
              </w:rPr>
              <w:t>4</w:t>
            </w:r>
          </w:p>
        </w:tc>
        <w:tc>
          <w:tcPr>
            <w:tcW w:w="1008" w:type="dxa"/>
            <w:vAlign w:val="center"/>
          </w:tcPr>
          <w:p w14:paraId="449F4A3E">
            <w:pPr>
              <w:jc w:val="center"/>
              <w:rPr>
                <w:rFonts w:hint="eastAsia" w:ascii="宋体" w:hAnsi="宋体" w:eastAsia="宋体"/>
                <w:sz w:val="18"/>
                <w:szCs w:val="18"/>
                <w:lang w:eastAsia="zh-CN"/>
              </w:rPr>
            </w:pPr>
            <w:r>
              <w:rPr>
                <w:rFonts w:hint="eastAsia"/>
                <w:lang w:eastAsia="zh-CN"/>
              </w:rPr>
              <w:t>颛孙恩睿</w:t>
            </w:r>
          </w:p>
        </w:tc>
        <w:tc>
          <w:tcPr>
            <w:tcW w:w="708" w:type="dxa"/>
            <w:vAlign w:val="center"/>
          </w:tcPr>
          <w:p w14:paraId="5023E72A">
            <w:pPr>
              <w:jc w:val="center"/>
              <w:rPr>
                <w:rFonts w:ascii="宋体" w:hAnsi="宋体"/>
                <w:sz w:val="18"/>
                <w:szCs w:val="18"/>
              </w:rPr>
            </w:pPr>
            <w:r>
              <w:rPr>
                <w:rFonts w:hint="eastAsia" w:ascii="宋体" w:hAnsi="宋体"/>
                <w:sz w:val="18"/>
                <w:szCs w:val="18"/>
              </w:rPr>
              <w:t>高中</w:t>
            </w:r>
          </w:p>
        </w:tc>
        <w:tc>
          <w:tcPr>
            <w:tcW w:w="2127" w:type="dxa"/>
            <w:vAlign w:val="center"/>
          </w:tcPr>
          <w:p w14:paraId="06AA89BE">
            <w:pPr>
              <w:jc w:val="center"/>
              <w:rPr>
                <w:rFonts w:ascii="宋体" w:hAnsi="宋体"/>
                <w:sz w:val="18"/>
                <w:szCs w:val="18"/>
              </w:rPr>
            </w:pPr>
            <w:r>
              <w:rPr>
                <w:rFonts w:hint="eastAsia" w:ascii="宋体" w:hAnsi="宋体"/>
                <w:sz w:val="18"/>
                <w:szCs w:val="18"/>
              </w:rPr>
              <w:t>同行业做技术</w:t>
            </w:r>
            <w:r>
              <w:rPr>
                <w:rFonts w:ascii="宋体" w:hAnsi="宋体"/>
                <w:sz w:val="18"/>
                <w:szCs w:val="18"/>
              </w:rPr>
              <w:t>/</w:t>
            </w:r>
            <w:r>
              <w:rPr>
                <w:rFonts w:hint="eastAsia" w:ascii="宋体" w:hAnsi="宋体"/>
                <w:sz w:val="18"/>
                <w:szCs w:val="18"/>
              </w:rPr>
              <w:t>财务管理工作五年多。</w:t>
            </w:r>
          </w:p>
        </w:tc>
        <w:tc>
          <w:tcPr>
            <w:tcW w:w="992" w:type="dxa"/>
            <w:vAlign w:val="center"/>
          </w:tcPr>
          <w:p w14:paraId="76566BD3">
            <w:pPr>
              <w:jc w:val="center"/>
              <w:rPr>
                <w:rFonts w:ascii="宋体" w:hAnsi="宋体"/>
                <w:sz w:val="18"/>
                <w:szCs w:val="18"/>
              </w:rPr>
            </w:pPr>
            <w:r>
              <w:rPr>
                <w:rFonts w:hint="eastAsia" w:ascii="宋体" w:hAnsi="宋体"/>
                <w:sz w:val="18"/>
                <w:szCs w:val="18"/>
              </w:rPr>
              <w:t>财务经理</w:t>
            </w:r>
          </w:p>
        </w:tc>
        <w:tc>
          <w:tcPr>
            <w:tcW w:w="4819" w:type="dxa"/>
            <w:vAlign w:val="center"/>
          </w:tcPr>
          <w:p w14:paraId="755EDA88">
            <w:pPr>
              <w:jc w:val="left"/>
              <w:rPr>
                <w:rFonts w:ascii="宋体" w:hAnsi="宋体"/>
                <w:sz w:val="18"/>
                <w:szCs w:val="18"/>
              </w:rPr>
            </w:pPr>
            <w:r>
              <w:rPr>
                <w:rFonts w:hint="eastAsia" w:ascii="宋体" w:hAnsi="宋体"/>
                <w:sz w:val="18"/>
                <w:szCs w:val="18"/>
              </w:rPr>
              <w:t xml:space="preserve">1．负责原、辅料、包装材料的进货记账工作； </w:t>
            </w:r>
          </w:p>
          <w:p w14:paraId="5C485B94">
            <w:pPr>
              <w:jc w:val="left"/>
              <w:rPr>
                <w:rFonts w:ascii="宋体" w:hAnsi="宋体"/>
                <w:sz w:val="18"/>
                <w:szCs w:val="18"/>
              </w:rPr>
            </w:pPr>
            <w:r>
              <w:rPr>
                <w:rFonts w:hint="eastAsia" w:ascii="宋体" w:hAnsi="宋体"/>
                <w:sz w:val="18"/>
                <w:szCs w:val="18"/>
              </w:rPr>
              <w:t xml:space="preserve">2．负责按规定校准各种生产和检测设备； </w:t>
            </w:r>
          </w:p>
          <w:p w14:paraId="5B5C6377">
            <w:pPr>
              <w:jc w:val="left"/>
              <w:rPr>
                <w:rFonts w:ascii="宋体" w:hAnsi="宋体"/>
                <w:sz w:val="18"/>
                <w:szCs w:val="18"/>
              </w:rPr>
            </w:pPr>
            <w:r>
              <w:rPr>
                <w:rFonts w:hint="eastAsia" w:ascii="宋体" w:hAnsi="宋体"/>
                <w:sz w:val="18"/>
                <w:szCs w:val="18"/>
              </w:rPr>
              <w:t>3．负责对</w:t>
            </w:r>
            <w:r>
              <w:rPr>
                <w:rFonts w:ascii="宋体" w:hAnsi="宋体"/>
                <w:sz w:val="18"/>
                <w:szCs w:val="18"/>
              </w:rPr>
              <w:t>危害控制计划</w:t>
            </w:r>
            <w:r>
              <w:rPr>
                <w:rFonts w:hint="eastAsia" w:ascii="宋体" w:hAnsi="宋体"/>
                <w:sz w:val="18"/>
                <w:szCs w:val="18"/>
              </w:rPr>
              <w:t xml:space="preserve">实施效果验证的实施检验； </w:t>
            </w:r>
          </w:p>
          <w:p w14:paraId="075DE22B">
            <w:pPr>
              <w:jc w:val="left"/>
              <w:rPr>
                <w:rFonts w:ascii="宋体" w:hAnsi="宋体"/>
                <w:sz w:val="18"/>
                <w:szCs w:val="18"/>
              </w:rPr>
            </w:pPr>
            <w:r>
              <w:rPr>
                <w:rFonts w:hint="eastAsia" w:ascii="宋体" w:hAnsi="宋体"/>
                <w:sz w:val="18"/>
                <w:szCs w:val="18"/>
              </w:rPr>
              <w:t>4．负责各种检验结果的记录及保管；</w:t>
            </w:r>
          </w:p>
          <w:p w14:paraId="1FC0C45D">
            <w:pPr>
              <w:jc w:val="left"/>
              <w:rPr>
                <w:rFonts w:ascii="宋体" w:hAnsi="宋体"/>
                <w:sz w:val="18"/>
                <w:szCs w:val="18"/>
              </w:rPr>
            </w:pPr>
            <w:r>
              <w:rPr>
                <w:rFonts w:hint="eastAsia" w:ascii="宋体" w:hAnsi="宋体"/>
                <w:sz w:val="18"/>
                <w:szCs w:val="18"/>
              </w:rPr>
              <w:t>5、负责产品生产的检验及化验工作和不合格品的评审与处置</w:t>
            </w:r>
          </w:p>
          <w:p w14:paraId="6159D541">
            <w:pPr>
              <w:jc w:val="left"/>
              <w:rPr>
                <w:rFonts w:ascii="宋体" w:hAnsi="宋体"/>
                <w:sz w:val="18"/>
                <w:szCs w:val="18"/>
              </w:rPr>
            </w:pPr>
            <w:r>
              <w:rPr>
                <w:rFonts w:hint="eastAsia" w:ascii="宋体" w:hAnsi="宋体"/>
                <w:sz w:val="18"/>
                <w:szCs w:val="18"/>
              </w:rPr>
              <w:t>6、参与危害分析，确定关键控制点和关键限值</w:t>
            </w:r>
          </w:p>
        </w:tc>
      </w:tr>
    </w:tbl>
    <w:p w14:paraId="7524FA12">
      <w:pPr>
        <w:pStyle w:val="22"/>
      </w:pPr>
      <w:r>
        <w:rPr>
          <w:rFonts w:hint="eastAsia"/>
          <w:sz w:val="18"/>
          <w:szCs w:val="18"/>
        </w:rPr>
        <w:br w:type="page"/>
      </w:r>
      <w:bookmarkStart w:id="6" w:name="_Toc110460604"/>
      <w:r>
        <w:rPr>
          <w:rFonts w:hint="eastAsia"/>
        </w:rPr>
        <w:t>1.范围</w:t>
      </w:r>
      <w:bookmarkEnd w:id="6"/>
    </w:p>
    <w:p w14:paraId="6864B55B">
      <w:pPr>
        <w:pStyle w:val="18"/>
        <w:outlineLvl w:val="9"/>
        <w:rPr>
          <w:rFonts w:ascii="宋体" w:hAnsi="宋体"/>
        </w:rPr>
      </w:pPr>
      <w:r>
        <w:rPr>
          <w:rFonts w:hint="eastAsia" w:ascii="宋体" w:hAnsi="宋体"/>
        </w:rPr>
        <w:t>1.1 总则</w:t>
      </w:r>
    </w:p>
    <w:p w14:paraId="761D2C1E">
      <w:pPr>
        <w:spacing w:line="360" w:lineRule="auto"/>
        <w:ind w:firstLine="420" w:firstLineChars="200"/>
        <w:rPr>
          <w:rFonts w:ascii="宋体" w:hAnsi="宋体"/>
        </w:rPr>
      </w:pPr>
      <w:r>
        <w:rPr>
          <w:rFonts w:hint="eastAsia" w:ascii="宋体" w:hAnsi="宋体"/>
        </w:rPr>
        <w:t>本手册规定了公司的质量环境职业健康安全/食品安全/HACCP体系通用要求，以：</w:t>
      </w:r>
    </w:p>
    <w:p w14:paraId="2FE1E077">
      <w:pPr>
        <w:spacing w:line="360" w:lineRule="auto"/>
        <w:ind w:firstLine="420" w:firstLineChars="200"/>
        <w:rPr>
          <w:rFonts w:ascii="宋体" w:hAnsi="宋体"/>
        </w:rPr>
      </w:pPr>
      <w:r>
        <w:rPr>
          <w:rFonts w:hint="eastAsia" w:ascii="宋体" w:hAnsi="宋体"/>
        </w:rPr>
        <w:t>a）证实公司有能力控制食品安全危害，以稳定地提供安全的终食品。同时有能力满足商定的顾客要求与适用和规定的食品安全法律法规要求。</w:t>
      </w:r>
    </w:p>
    <w:p w14:paraId="2FE9D7C3">
      <w:pPr>
        <w:spacing w:line="360" w:lineRule="auto"/>
        <w:ind w:firstLine="420" w:firstLineChars="200"/>
        <w:rPr>
          <w:rFonts w:ascii="宋体" w:hAnsi="宋体"/>
        </w:rPr>
      </w:pPr>
      <w:r>
        <w:rPr>
          <w:rFonts w:hint="eastAsia" w:ascii="宋体" w:hAnsi="宋体"/>
        </w:rPr>
        <w:t>b）通过公司质量环境职业健康安全/食品安全/HACCP体系的有效应用，控制食品安全危害，包括更新的过程，旨在增强顾客满意。</w:t>
      </w:r>
    </w:p>
    <w:p w14:paraId="0C85A84B">
      <w:pPr>
        <w:spacing w:line="360" w:lineRule="auto"/>
        <w:ind w:firstLine="420" w:firstLineChars="200"/>
        <w:rPr>
          <w:rFonts w:ascii="宋体" w:hAnsi="宋体"/>
        </w:rPr>
      </w:pPr>
      <w:r>
        <w:rPr>
          <w:rFonts w:hint="eastAsia" w:ascii="宋体" w:hAnsi="宋体"/>
        </w:rPr>
        <w:t>c）本质量环境职业健康安全/食品安全/HACCP体系适用于我公司</w:t>
      </w:r>
      <w:r>
        <w:rPr>
          <w:rFonts w:hint="eastAsia" w:ascii="宋体" w:hAnsi="宋体"/>
          <w:b/>
          <w:bCs/>
          <w:color w:val="0000FF"/>
          <w:lang w:eastAsia="zh-CN"/>
        </w:rPr>
        <w:t>预包装食品</w:t>
      </w:r>
      <w:r>
        <w:rPr>
          <w:rFonts w:hint="eastAsia" w:ascii="宋体" w:hAnsi="宋体"/>
          <w:b/>
          <w:bCs/>
          <w:color w:val="0000FF"/>
        </w:rPr>
        <w:t>的销售</w:t>
      </w:r>
      <w:r>
        <w:rPr>
          <w:rFonts w:hint="eastAsia" w:ascii="宋体" w:hAnsi="宋体"/>
        </w:rPr>
        <w:t>所涉及的食品安全管理过程等。</w:t>
      </w:r>
    </w:p>
    <w:p w14:paraId="0EE2C2A1">
      <w:pPr>
        <w:pStyle w:val="2"/>
        <w:ind w:firstLine="632" w:firstLineChars="300"/>
        <w:rPr>
          <w:rFonts w:ascii="宋体" w:hAnsi="宋体"/>
          <w:b/>
        </w:rPr>
      </w:pPr>
      <w:r>
        <w:rPr>
          <w:rFonts w:hint="eastAsia" w:ascii="宋体" w:hAnsi="宋体"/>
          <w:b/>
        </w:rPr>
        <w:t xml:space="preserve"> </w:t>
      </w:r>
    </w:p>
    <w:p w14:paraId="1335D9C0">
      <w:pPr>
        <w:pStyle w:val="18"/>
        <w:outlineLvl w:val="9"/>
        <w:rPr>
          <w:rFonts w:ascii="宋体" w:hAnsi="宋体"/>
        </w:rPr>
      </w:pPr>
      <w:r>
        <w:rPr>
          <w:rFonts w:hint="eastAsia" w:ascii="宋体" w:hAnsi="宋体"/>
        </w:rPr>
        <w:t>1.2 编制依据</w:t>
      </w:r>
    </w:p>
    <w:p w14:paraId="5933C6A6">
      <w:pPr>
        <w:spacing w:line="460" w:lineRule="exact"/>
        <w:ind w:firstLine="420" w:firstLineChars="200"/>
        <w:rPr>
          <w:rFonts w:ascii="宋体" w:hAnsi="宋体"/>
        </w:rPr>
      </w:pPr>
      <w:r>
        <w:rPr>
          <w:rFonts w:hint="eastAsia" w:ascii="宋体" w:hAnsi="宋体"/>
        </w:rPr>
        <w:t>本手册依据ISO9001:2015《质量管理体系要求》、ISO14001:2015《环境管理体系要求》、ISO45001:2018《职业健康安全管理体系要求》、ISO 22000:2018《食品安全管理体系、HACCP体系 食品链中各类组织的要求》、《危害分析与关键控制点（HACCP）体系认证要求（V1.0)》《危害分析与关键控制点》标准编制，明确其要求、目的，使公司能够：</w:t>
      </w:r>
    </w:p>
    <w:p w14:paraId="0F61638D">
      <w:pPr>
        <w:spacing w:line="460" w:lineRule="exact"/>
        <w:ind w:firstLine="420" w:firstLineChars="200"/>
        <w:rPr>
          <w:rFonts w:ascii="宋体" w:hAnsi="宋体"/>
        </w:rPr>
      </w:pPr>
      <w:r>
        <w:rPr>
          <w:rFonts w:hint="eastAsia" w:ascii="宋体" w:hAnsi="宋体"/>
        </w:rPr>
        <w:t>a）策划、实施、运行、保持和更新质量环境职业健康安全/食品安全/HACCP体系，确保公司提供的食品按预期用途食用时，对消费者是安全的；</w:t>
      </w:r>
    </w:p>
    <w:p w14:paraId="1C63D7A7">
      <w:pPr>
        <w:spacing w:line="460" w:lineRule="exact"/>
        <w:ind w:firstLine="420" w:firstLineChars="200"/>
        <w:rPr>
          <w:rFonts w:ascii="宋体" w:hAnsi="宋体"/>
        </w:rPr>
      </w:pPr>
      <w:r>
        <w:rPr>
          <w:rFonts w:hint="eastAsia" w:ascii="宋体" w:hAnsi="宋体"/>
        </w:rPr>
        <w:t>b）证实公司符合适用的食品安全法律法规要求；</w:t>
      </w:r>
    </w:p>
    <w:p w14:paraId="014A5659">
      <w:pPr>
        <w:spacing w:line="460" w:lineRule="exact"/>
        <w:ind w:firstLine="420" w:firstLineChars="200"/>
        <w:rPr>
          <w:rFonts w:ascii="宋体" w:hAnsi="宋体"/>
        </w:rPr>
      </w:pPr>
      <w:r>
        <w:rPr>
          <w:rFonts w:hint="eastAsia" w:ascii="宋体" w:hAnsi="宋体"/>
        </w:rPr>
        <w:t>c）评价和评估顾客要求，并证实其符合双方商定、与食品安全有关的顾客要求，以增强顾客满意；</w:t>
      </w:r>
    </w:p>
    <w:p w14:paraId="0330908B">
      <w:pPr>
        <w:spacing w:line="460" w:lineRule="exact"/>
        <w:ind w:firstLine="420" w:firstLineChars="200"/>
        <w:rPr>
          <w:rFonts w:ascii="宋体" w:hAnsi="宋体"/>
        </w:rPr>
      </w:pPr>
      <w:r>
        <w:rPr>
          <w:rFonts w:hint="eastAsia" w:ascii="宋体" w:hAnsi="宋体"/>
        </w:rPr>
        <w:t>d）与供方、顾客及其他相关方在食品安全方面进行有效的沟通；</w:t>
      </w:r>
    </w:p>
    <w:p w14:paraId="307DF8B4">
      <w:pPr>
        <w:spacing w:line="460" w:lineRule="exact"/>
        <w:ind w:firstLine="420" w:firstLineChars="200"/>
        <w:rPr>
          <w:rFonts w:ascii="宋体" w:hAnsi="宋体"/>
        </w:rPr>
      </w:pPr>
      <w:r>
        <w:rPr>
          <w:rFonts w:hint="eastAsia" w:ascii="宋体" w:hAnsi="宋体"/>
        </w:rPr>
        <w:t>e）确保符合公司声明的食品安全方针；</w:t>
      </w:r>
    </w:p>
    <w:p w14:paraId="5ECF46C8">
      <w:pPr>
        <w:spacing w:line="460" w:lineRule="exact"/>
        <w:ind w:firstLine="420" w:firstLineChars="200"/>
        <w:rPr>
          <w:rFonts w:ascii="宋体" w:hAnsi="宋体"/>
        </w:rPr>
      </w:pPr>
      <w:r>
        <w:rPr>
          <w:rFonts w:hint="eastAsia" w:ascii="宋体" w:hAnsi="宋体"/>
        </w:rPr>
        <w:t>f）证实符合其他相关方的要求；</w:t>
      </w:r>
    </w:p>
    <w:p w14:paraId="54045EF2">
      <w:pPr>
        <w:spacing w:line="360" w:lineRule="auto"/>
        <w:ind w:firstLine="420" w:firstLineChars="200"/>
        <w:rPr>
          <w:rFonts w:ascii="宋体" w:hAnsi="宋体"/>
        </w:rPr>
      </w:pPr>
      <w:r>
        <w:rPr>
          <w:rFonts w:hint="eastAsia" w:ascii="宋体" w:hAnsi="宋体"/>
        </w:rPr>
        <w:t>g）通过ISO9001:2015《质量管理体系要求》、ISO14001:2015《环境管理体系要求》、ISO45001:2018《职业健康安全管理体系要求》、ISO 22000:2018《食品安全管理体系、HACCP体系 食品链中各类组织的要求》、《危害分析与关键控制点（HACCP）体系认证要求（V1.0)》《危害分析与关键控制点》标准的认证。</w:t>
      </w:r>
    </w:p>
    <w:p w14:paraId="0D0356A5">
      <w:pPr>
        <w:pStyle w:val="2"/>
        <w:spacing w:line="460" w:lineRule="exact"/>
        <w:ind w:firstLine="480"/>
        <w:rPr>
          <w:rFonts w:ascii="宋体" w:hAnsi="宋体" w:cs="宋体"/>
          <w:sz w:val="24"/>
          <w:szCs w:val="24"/>
        </w:rPr>
      </w:pPr>
    </w:p>
    <w:p w14:paraId="68EC321D">
      <w:pPr>
        <w:pStyle w:val="22"/>
        <w:rPr>
          <w:rFonts w:ascii="宋体" w:hAnsi="宋体"/>
        </w:rPr>
      </w:pPr>
      <w:bookmarkStart w:id="7" w:name="_Toc110460605"/>
      <w:r>
        <w:rPr>
          <w:rFonts w:hint="eastAsia" w:ascii="宋体" w:hAnsi="宋体"/>
        </w:rPr>
        <w:t>2.规范性引用文件</w:t>
      </w:r>
      <w:bookmarkEnd w:id="7"/>
    </w:p>
    <w:p w14:paraId="4DCF2FAC">
      <w:pPr>
        <w:spacing w:line="360" w:lineRule="auto"/>
        <w:ind w:firstLine="420" w:firstLineChars="200"/>
        <w:rPr>
          <w:rFonts w:ascii="宋体" w:hAnsi="宋体"/>
        </w:rPr>
      </w:pPr>
      <w:r>
        <w:rPr>
          <w:rFonts w:hint="eastAsia" w:ascii="宋体" w:hAnsi="宋体"/>
        </w:rPr>
        <w:t>ISO 9000:2015   质量管理体系  基础和术语</w:t>
      </w:r>
    </w:p>
    <w:p w14:paraId="2482E84D">
      <w:pPr>
        <w:spacing w:line="360" w:lineRule="auto"/>
        <w:ind w:firstLine="420" w:firstLineChars="200"/>
        <w:rPr>
          <w:rFonts w:ascii="宋体" w:hAnsi="宋体"/>
        </w:rPr>
      </w:pPr>
      <w:r>
        <w:rPr>
          <w:rFonts w:hint="eastAsia" w:ascii="宋体" w:hAnsi="宋体"/>
        </w:rPr>
        <w:t>ISO 9001:2015   质量管理体系   要求</w:t>
      </w:r>
    </w:p>
    <w:p w14:paraId="5F7FACED">
      <w:pPr>
        <w:spacing w:line="360" w:lineRule="auto"/>
        <w:ind w:firstLine="420" w:firstLineChars="200"/>
        <w:rPr>
          <w:rFonts w:ascii="宋体" w:hAnsi="宋体"/>
        </w:rPr>
      </w:pPr>
      <w:r>
        <w:rPr>
          <w:rFonts w:hint="eastAsia" w:ascii="宋体" w:hAnsi="宋体"/>
        </w:rPr>
        <w:t>ISO 14001：2015 环境管理体系  要求及使用指南</w:t>
      </w:r>
    </w:p>
    <w:p w14:paraId="0435AAF7">
      <w:pPr>
        <w:spacing w:line="360" w:lineRule="auto"/>
        <w:ind w:firstLine="420" w:firstLineChars="200"/>
        <w:rPr>
          <w:rFonts w:ascii="宋体" w:hAnsi="宋体"/>
        </w:rPr>
      </w:pPr>
      <w:r>
        <w:rPr>
          <w:rFonts w:hint="eastAsia" w:ascii="宋体" w:hAnsi="宋体"/>
        </w:rPr>
        <w:t>ISO45001:2018  职业健康安全管理体系  要求</w:t>
      </w:r>
    </w:p>
    <w:p w14:paraId="4C16657A">
      <w:pPr>
        <w:spacing w:line="360" w:lineRule="auto"/>
        <w:ind w:firstLine="420" w:firstLineChars="200"/>
        <w:rPr>
          <w:rFonts w:ascii="宋体" w:hAnsi="宋体"/>
        </w:rPr>
      </w:pPr>
      <w:r>
        <w:rPr>
          <w:rFonts w:hint="eastAsia" w:ascii="宋体" w:hAnsi="宋体"/>
        </w:rPr>
        <w:t>ISO 22000:2018 食品安全管理体系-食品链中各类组织的要求</w:t>
      </w:r>
    </w:p>
    <w:p w14:paraId="4338F4F1">
      <w:pPr>
        <w:spacing w:line="360" w:lineRule="auto"/>
        <w:ind w:firstLine="420" w:firstLineChars="200"/>
        <w:rPr>
          <w:rFonts w:ascii="宋体" w:hAnsi="宋体"/>
        </w:rPr>
      </w:pPr>
      <w:r>
        <w:rPr>
          <w:rFonts w:hint="eastAsia" w:ascii="宋体" w:hAnsi="宋体"/>
        </w:rPr>
        <w:t xml:space="preserve">危害分析与关键控制点（HACCP）体系认证要求（V1.0)  </w:t>
      </w:r>
    </w:p>
    <w:p w14:paraId="5F9B946B">
      <w:pPr>
        <w:spacing w:line="360" w:lineRule="auto"/>
        <w:ind w:firstLine="420" w:firstLineChars="200"/>
        <w:rPr>
          <w:rFonts w:ascii="宋体" w:hAnsi="宋体"/>
        </w:rPr>
      </w:pPr>
      <w:r>
        <w:rPr>
          <w:rFonts w:hint="eastAsia" w:ascii="宋体" w:hAnsi="宋体"/>
        </w:rPr>
        <w:t>GB 14881-2013 食品生产通用卫生规范</w:t>
      </w:r>
    </w:p>
    <w:p w14:paraId="23100EDC">
      <w:pPr>
        <w:pStyle w:val="22"/>
        <w:rPr>
          <w:rFonts w:ascii="宋体" w:hAnsi="宋体"/>
        </w:rPr>
      </w:pPr>
      <w:bookmarkStart w:id="8" w:name="_Toc110460606"/>
      <w:r>
        <w:rPr>
          <w:rFonts w:hint="eastAsia" w:ascii="宋体" w:hAnsi="宋体"/>
        </w:rPr>
        <w:t>3.术语、定义和缩写</w:t>
      </w:r>
      <w:bookmarkEnd w:id="8"/>
    </w:p>
    <w:p w14:paraId="7559915E">
      <w:pPr>
        <w:spacing w:line="460" w:lineRule="exact"/>
        <w:rPr>
          <w:rFonts w:ascii="宋体" w:hAnsi="宋体"/>
          <w:b/>
          <w:bCs/>
        </w:rPr>
      </w:pPr>
      <w:r>
        <w:rPr>
          <w:rFonts w:hint="eastAsia" w:ascii="宋体" w:hAnsi="宋体"/>
          <w:b/>
          <w:bCs/>
        </w:rPr>
        <w:t>3.1原辅料  raw material</w:t>
      </w:r>
    </w:p>
    <w:p w14:paraId="28EBA53C">
      <w:pPr>
        <w:spacing w:line="460" w:lineRule="exact"/>
        <w:ind w:firstLine="420" w:firstLineChars="200"/>
        <w:rPr>
          <w:rFonts w:ascii="宋体" w:hAnsi="宋体"/>
        </w:rPr>
      </w:pPr>
      <w:r>
        <w:rPr>
          <w:rFonts w:hint="eastAsia" w:ascii="宋体" w:hAnsi="宋体"/>
        </w:rPr>
        <w:t>构成食品组分或成分的一切预期食品、物品或物质（包括食品内含有的原料、辅料、添加剂和其他来源的所有预期物质）。</w:t>
      </w:r>
    </w:p>
    <w:p w14:paraId="22E93180">
      <w:pPr>
        <w:spacing w:line="460" w:lineRule="exact"/>
        <w:rPr>
          <w:rFonts w:ascii="宋体" w:hAnsi="宋体"/>
          <w:b/>
          <w:bCs/>
        </w:rPr>
      </w:pPr>
      <w:r>
        <w:rPr>
          <w:rFonts w:hint="eastAsia" w:ascii="宋体" w:hAnsi="宋体"/>
          <w:b/>
          <w:bCs/>
        </w:rPr>
        <w:t>3.2潜在危害  potential hazard</w:t>
      </w:r>
    </w:p>
    <w:p w14:paraId="0EAA592B">
      <w:pPr>
        <w:spacing w:line="460" w:lineRule="exact"/>
        <w:ind w:firstLine="420" w:firstLineChars="200"/>
        <w:rPr>
          <w:rFonts w:ascii="宋体" w:hAnsi="宋体"/>
        </w:rPr>
      </w:pPr>
      <w:r>
        <w:rPr>
          <w:rFonts w:hint="eastAsia" w:ascii="宋体" w:hAnsi="宋体"/>
        </w:rPr>
        <w:t>如不加以预防，将可能发生的食品安全危害。</w:t>
      </w:r>
    </w:p>
    <w:p w14:paraId="2A22930E">
      <w:pPr>
        <w:spacing w:line="460" w:lineRule="exact"/>
        <w:rPr>
          <w:rFonts w:ascii="宋体" w:hAnsi="宋体"/>
          <w:b/>
          <w:bCs/>
        </w:rPr>
      </w:pPr>
      <w:r>
        <w:rPr>
          <w:rFonts w:hint="eastAsia" w:ascii="宋体" w:hAnsi="宋体"/>
          <w:b/>
          <w:bCs/>
        </w:rPr>
        <w:t>3.3显著危害  significant hazard</w:t>
      </w:r>
    </w:p>
    <w:p w14:paraId="001BA646">
      <w:pPr>
        <w:spacing w:line="460" w:lineRule="exact"/>
        <w:ind w:firstLine="420" w:firstLineChars="200"/>
        <w:rPr>
          <w:rFonts w:ascii="宋体" w:hAnsi="宋体"/>
        </w:rPr>
      </w:pPr>
      <w:r>
        <w:rPr>
          <w:rFonts w:hint="eastAsia" w:ascii="宋体" w:hAnsi="宋体"/>
        </w:rPr>
        <w:t>如不加以控制，将极可能发生并引起疾病或伤害的潜在危害。</w:t>
      </w:r>
    </w:p>
    <w:p w14:paraId="6A4F29F1">
      <w:pPr>
        <w:spacing w:line="460" w:lineRule="exact"/>
        <w:rPr>
          <w:rFonts w:ascii="宋体" w:hAnsi="宋体"/>
          <w:b/>
          <w:bCs/>
        </w:rPr>
      </w:pPr>
      <w:r>
        <w:rPr>
          <w:rFonts w:hint="eastAsia" w:ascii="宋体" w:hAnsi="宋体"/>
          <w:b/>
          <w:bCs/>
        </w:rPr>
        <w:t>3.4操作限值  operation limit</w:t>
      </w:r>
    </w:p>
    <w:p w14:paraId="250E063A">
      <w:pPr>
        <w:spacing w:line="460" w:lineRule="exact"/>
        <w:ind w:firstLine="420" w:firstLineChars="200"/>
        <w:rPr>
          <w:rFonts w:ascii="宋体" w:hAnsi="宋体"/>
        </w:rPr>
      </w:pPr>
      <w:r>
        <w:rPr>
          <w:rFonts w:hint="eastAsia" w:ascii="宋体" w:hAnsi="宋体"/>
        </w:rPr>
        <w:t>为了避免监控指数偏离关键限值而制定的操作指标。</w:t>
      </w:r>
    </w:p>
    <w:p w14:paraId="328C9D06">
      <w:pPr>
        <w:spacing w:line="460" w:lineRule="exact"/>
        <w:rPr>
          <w:rFonts w:ascii="宋体" w:hAnsi="宋体"/>
          <w:b/>
          <w:bCs/>
        </w:rPr>
      </w:pPr>
      <w:r>
        <w:rPr>
          <w:rFonts w:hint="eastAsia" w:ascii="宋体" w:hAnsi="宋体"/>
          <w:b/>
          <w:bCs/>
        </w:rPr>
        <w:t xml:space="preserve">3.5食品防护计划  food defense plan </w:t>
      </w:r>
    </w:p>
    <w:p w14:paraId="0C5DE3D0">
      <w:pPr>
        <w:spacing w:line="460" w:lineRule="exact"/>
        <w:ind w:firstLine="420" w:firstLineChars="200"/>
        <w:rPr>
          <w:rFonts w:ascii="宋体" w:hAnsi="宋体"/>
        </w:rPr>
      </w:pPr>
      <w:r>
        <w:rPr>
          <w:rFonts w:hint="eastAsia" w:ascii="宋体" w:hAnsi="宋体"/>
        </w:rPr>
        <w:t>为了保护食品供应，免于遭受生物的、化学的、物理的蓄意污染或人为破坏而制定并实施的措施。</w:t>
      </w:r>
    </w:p>
    <w:p w14:paraId="73B89025">
      <w:pPr>
        <w:spacing w:line="460" w:lineRule="exact"/>
        <w:rPr>
          <w:rFonts w:ascii="宋体" w:hAnsi="宋体"/>
          <w:b/>
          <w:bCs/>
        </w:rPr>
      </w:pPr>
      <w:r>
        <w:rPr>
          <w:rFonts w:hint="eastAsia" w:ascii="宋体" w:hAnsi="宋体"/>
          <w:b/>
          <w:bCs/>
        </w:rPr>
        <w:t>3.6缩写：</w:t>
      </w:r>
    </w:p>
    <w:p w14:paraId="16D0329F">
      <w:pPr>
        <w:spacing w:line="460" w:lineRule="exact"/>
        <w:ind w:firstLine="420" w:firstLineChars="200"/>
        <w:rPr>
          <w:rFonts w:ascii="宋体" w:hAnsi="宋体"/>
        </w:rPr>
      </w:pPr>
      <w:r>
        <w:rPr>
          <w:rFonts w:hint="eastAsia" w:ascii="宋体" w:hAnsi="宋体"/>
        </w:rPr>
        <w:t>CCP--关键控制点</w:t>
      </w:r>
    </w:p>
    <w:p w14:paraId="2CBD19D6">
      <w:pPr>
        <w:spacing w:line="460" w:lineRule="exact"/>
        <w:ind w:firstLine="420" w:firstLineChars="200"/>
        <w:rPr>
          <w:rFonts w:ascii="宋体" w:hAnsi="宋体"/>
        </w:rPr>
      </w:pPr>
      <w:r>
        <w:rPr>
          <w:rFonts w:hint="eastAsia" w:ascii="宋体" w:hAnsi="宋体"/>
        </w:rPr>
        <w:t>PRP--前提方案</w:t>
      </w:r>
    </w:p>
    <w:p w14:paraId="11CF32A2">
      <w:pPr>
        <w:spacing w:line="460" w:lineRule="exact"/>
        <w:ind w:firstLine="420" w:firstLineChars="200"/>
        <w:rPr>
          <w:rFonts w:ascii="宋体" w:hAnsi="宋体"/>
        </w:rPr>
      </w:pPr>
      <w:r>
        <w:rPr>
          <w:rFonts w:hint="eastAsia" w:ascii="宋体" w:hAnsi="宋体"/>
        </w:rPr>
        <w:t>OPRP--操作性前提方案</w:t>
      </w:r>
    </w:p>
    <w:p w14:paraId="735CBB8C">
      <w:pPr>
        <w:pStyle w:val="2"/>
        <w:spacing w:line="460" w:lineRule="exact"/>
        <w:ind w:firstLine="420" w:firstLineChars="200"/>
        <w:rPr>
          <w:rFonts w:ascii="宋体" w:hAnsi="宋体"/>
        </w:rPr>
      </w:pPr>
      <w:r>
        <w:rPr>
          <w:rFonts w:hint="eastAsia" w:ascii="宋体" w:hAnsi="宋体"/>
        </w:rPr>
        <w:t>CL--关键限值</w:t>
      </w:r>
    </w:p>
    <w:p w14:paraId="7E3BB4E5">
      <w:pPr>
        <w:pStyle w:val="22"/>
        <w:rPr>
          <w:rFonts w:ascii="宋体" w:hAnsi="宋体"/>
        </w:rPr>
      </w:pPr>
      <w:bookmarkStart w:id="9" w:name="_Toc110460607"/>
      <w:r>
        <w:rPr>
          <w:rFonts w:hint="eastAsia" w:ascii="宋体" w:hAnsi="宋体"/>
        </w:rPr>
        <w:t xml:space="preserve">4 </w:t>
      </w:r>
      <w:r>
        <w:rPr>
          <w:rFonts w:hint="eastAsia" w:ascii="宋体" w:hAnsi="宋体"/>
        </w:rPr>
        <w:tab/>
      </w:r>
      <w:r>
        <w:rPr>
          <w:rFonts w:hint="eastAsia" w:ascii="宋体" w:hAnsi="宋体"/>
        </w:rPr>
        <w:t>组织环境</w:t>
      </w:r>
      <w:bookmarkEnd w:id="9"/>
    </w:p>
    <w:p w14:paraId="05A35A53">
      <w:pPr>
        <w:pStyle w:val="18"/>
        <w:rPr>
          <w:rFonts w:ascii="宋体" w:hAnsi="宋体"/>
        </w:rPr>
      </w:pPr>
      <w:bookmarkStart w:id="10" w:name="_Toc110460608"/>
      <w:r>
        <w:rPr>
          <w:rFonts w:hint="eastAsia" w:ascii="宋体" w:hAnsi="宋体"/>
        </w:rPr>
        <w:t>4.1</w:t>
      </w:r>
      <w:r>
        <w:rPr>
          <w:rFonts w:hint="eastAsia" w:ascii="宋体" w:hAnsi="宋体"/>
        </w:rPr>
        <w:tab/>
      </w:r>
      <w:r>
        <w:rPr>
          <w:rFonts w:hint="eastAsia" w:ascii="宋体" w:hAnsi="宋体"/>
        </w:rPr>
        <w:t>理解组织及其环境</w:t>
      </w:r>
      <w:bookmarkEnd w:id="10"/>
    </w:p>
    <w:p w14:paraId="27E7BDF1">
      <w:pPr>
        <w:spacing w:line="460" w:lineRule="exact"/>
        <w:ind w:firstLine="420" w:firstLineChars="200"/>
        <w:rPr>
          <w:rFonts w:ascii="宋体" w:hAnsi="宋体"/>
        </w:rPr>
      </w:pPr>
      <w:r>
        <w:rPr>
          <w:rFonts w:hint="eastAsia" w:ascii="宋体" w:hAnsi="宋体"/>
        </w:rPr>
        <w:t>组织应确定与其宗旨相关并影响其实现质量环境职业健康安全/食品安全/HACCP体系预期结果的能力的各种外部和内部因素。</w:t>
      </w:r>
    </w:p>
    <w:p w14:paraId="22405521">
      <w:pPr>
        <w:spacing w:line="460" w:lineRule="exact"/>
        <w:ind w:firstLine="420" w:firstLineChars="200"/>
        <w:rPr>
          <w:rFonts w:ascii="宋体" w:hAnsi="宋体"/>
        </w:rPr>
      </w:pPr>
      <w:r>
        <w:rPr>
          <w:rFonts w:hint="eastAsia" w:ascii="宋体" w:hAnsi="宋体"/>
        </w:rPr>
        <w:t>组织应识别、评审和更新这些内部和外部因素的相关信息。</w:t>
      </w:r>
    </w:p>
    <w:p w14:paraId="73ADBFC7">
      <w:pPr>
        <w:spacing w:line="460" w:lineRule="exact"/>
        <w:ind w:firstLine="420" w:firstLineChars="200"/>
        <w:rPr>
          <w:rFonts w:ascii="宋体" w:hAnsi="宋体"/>
        </w:rPr>
      </w:pPr>
      <w:r>
        <w:rPr>
          <w:rFonts w:hint="eastAsia" w:ascii="宋体" w:hAnsi="宋体"/>
        </w:rPr>
        <w:t>公司致力于</w:t>
      </w:r>
      <w:r>
        <w:rPr>
          <w:rFonts w:hint="eastAsia" w:ascii="宋体" w:hAnsi="宋体"/>
          <w:b/>
          <w:bCs/>
          <w:color w:val="0000FF"/>
          <w:lang w:eastAsia="zh-CN"/>
        </w:rPr>
        <w:t>预包装食品的销售</w:t>
      </w:r>
      <w:r>
        <w:rPr>
          <w:rFonts w:hint="eastAsia" w:ascii="宋体" w:hAnsi="宋体"/>
        </w:rPr>
        <w:t>，精益求精，力争成为客户的最佳合作伙伴，为其实现质量环境职业健康安全/食品安全/HACCP目标，因此公司在人才、技术方面提供强有力的支持和保证，以便公司提供的能有更符合质量环境职业健康安全/食品安全/HACCP要求。</w:t>
      </w:r>
    </w:p>
    <w:p w14:paraId="2528D8EC">
      <w:pPr>
        <w:spacing w:line="460" w:lineRule="exact"/>
        <w:ind w:firstLine="420" w:firstLineChars="200"/>
        <w:rPr>
          <w:rFonts w:ascii="宋体" w:hAnsi="宋体"/>
        </w:rPr>
      </w:pPr>
      <w:r>
        <w:rPr>
          <w:rFonts w:hint="eastAsia" w:ascii="宋体" w:hAnsi="宋体"/>
        </w:rPr>
        <w:t>（1）公司根据自身实际进行内部因素和外部因素的识别、分析，对影响其实现质量环境职业健康安全/食品安全/HACCP管理体系预期结果的各种外部和内部因素进行必要的管控。这些内部因素和外部因素可以包括需要考虑的正面和负面要素或条件。</w:t>
      </w:r>
    </w:p>
    <w:p w14:paraId="7662FD97">
      <w:pPr>
        <w:spacing w:line="460" w:lineRule="exact"/>
        <w:ind w:firstLine="420" w:firstLineChars="200"/>
        <w:rPr>
          <w:rFonts w:ascii="宋体" w:hAnsi="宋体"/>
        </w:rPr>
      </w:pPr>
      <w:r>
        <w:rPr>
          <w:rFonts w:hint="eastAsia" w:ascii="宋体" w:hAnsi="宋体"/>
        </w:rPr>
        <w:t>（2）内部环境因素要考虑公司的内部管理、企业的知识和管理绩效</w:t>
      </w:r>
      <w:r>
        <w:rPr>
          <w:rFonts w:ascii="宋体" w:hAnsi="宋体"/>
        </w:rPr>
        <w:t>、食品防护和故意污染</w:t>
      </w:r>
      <w:r>
        <w:rPr>
          <w:rFonts w:hint="eastAsia" w:ascii="宋体" w:hAnsi="宋体"/>
        </w:rPr>
        <w:t>等相关因素。</w:t>
      </w:r>
    </w:p>
    <w:p w14:paraId="57E98F2A">
      <w:pPr>
        <w:spacing w:line="460" w:lineRule="exact"/>
        <w:ind w:firstLine="420" w:firstLineChars="200"/>
        <w:rPr>
          <w:rFonts w:ascii="宋体" w:hAnsi="宋体"/>
        </w:rPr>
      </w:pPr>
      <w:r>
        <w:rPr>
          <w:rFonts w:hint="eastAsia" w:ascii="宋体" w:hAnsi="宋体"/>
        </w:rPr>
        <w:t>（3）外部因素要考虑国际、国内、本地的各种法律法规、技术、外部文化因素、</w:t>
      </w:r>
      <w:r>
        <w:rPr>
          <w:rFonts w:ascii="宋体" w:hAnsi="宋体"/>
        </w:rPr>
        <w:t>网络安全和食品</w:t>
      </w:r>
      <w:r>
        <w:rPr>
          <w:rFonts w:hint="eastAsia" w:ascii="宋体" w:hAnsi="宋体"/>
        </w:rPr>
        <w:t>欺诈等相关因素。</w:t>
      </w:r>
    </w:p>
    <w:p w14:paraId="430C6F39">
      <w:pPr>
        <w:spacing w:line="460" w:lineRule="exact"/>
        <w:ind w:firstLine="420" w:firstLineChars="200"/>
        <w:rPr>
          <w:rFonts w:ascii="宋体" w:hAnsi="宋体"/>
        </w:rPr>
      </w:pPr>
      <w:r>
        <w:rPr>
          <w:rFonts w:hint="eastAsia" w:ascii="宋体" w:hAnsi="宋体"/>
        </w:rPr>
        <w:t>（4）内外部因素包括受公司影响的环境状况或能够影响公司的环境状况。</w:t>
      </w:r>
    </w:p>
    <w:p w14:paraId="3A3627B9">
      <w:pPr>
        <w:spacing w:line="460" w:lineRule="exact"/>
        <w:ind w:firstLine="420" w:firstLineChars="200"/>
        <w:rPr>
          <w:rFonts w:ascii="宋体" w:hAnsi="宋体"/>
        </w:rPr>
      </w:pPr>
      <w:r>
        <w:rPr>
          <w:rFonts w:hint="eastAsia" w:ascii="宋体" w:hAnsi="宋体"/>
        </w:rPr>
        <w:t>（5）公司每年定期对这些内部和外部因素的相关信息进行识别、评审。</w:t>
      </w:r>
    </w:p>
    <w:p w14:paraId="30B3B09E">
      <w:pPr>
        <w:spacing w:line="460" w:lineRule="exact"/>
        <w:ind w:firstLine="420" w:firstLineChars="200"/>
        <w:rPr>
          <w:rFonts w:ascii="宋体" w:hAnsi="宋体"/>
        </w:rPr>
      </w:pPr>
      <w:r>
        <w:rPr>
          <w:rFonts w:hint="eastAsia" w:ascii="宋体" w:hAnsi="宋体"/>
        </w:rPr>
        <w:t>公司应确保运用“SWOT”分析法对内、外部环境进行优势、劣势、威胁和机遇分析，对存在劣势和威胁的可能性方面应制定控制措施，尽可能将风险控制在可接受的范围内，对机遇出现时应及时把握，有效的利用机遇。</w:t>
      </w:r>
    </w:p>
    <w:p w14:paraId="06D687B7">
      <w:pPr>
        <w:pStyle w:val="18"/>
        <w:rPr>
          <w:rFonts w:ascii="宋体" w:hAnsi="宋体"/>
        </w:rPr>
      </w:pPr>
      <w:bookmarkStart w:id="11" w:name="_Toc110460609"/>
      <w:r>
        <w:rPr>
          <w:rFonts w:hint="eastAsia" w:ascii="宋体" w:hAnsi="宋体"/>
        </w:rPr>
        <w:t>4.2</w:t>
      </w:r>
      <w:r>
        <w:rPr>
          <w:rFonts w:hint="eastAsia" w:ascii="宋体" w:hAnsi="宋体"/>
        </w:rPr>
        <w:tab/>
      </w:r>
      <w:r>
        <w:rPr>
          <w:rFonts w:hint="eastAsia" w:ascii="宋体" w:hAnsi="宋体"/>
        </w:rPr>
        <w:t>理解相关方的需求和期望</w:t>
      </w:r>
      <w:bookmarkEnd w:id="11"/>
    </w:p>
    <w:p w14:paraId="152E84A7">
      <w:pPr>
        <w:spacing w:line="460" w:lineRule="exact"/>
        <w:ind w:firstLine="420" w:firstLineChars="200"/>
        <w:rPr>
          <w:rFonts w:ascii="宋体" w:hAnsi="宋体"/>
        </w:rPr>
      </w:pPr>
      <w:r>
        <w:rPr>
          <w:rFonts w:hint="eastAsia" w:ascii="宋体" w:hAnsi="宋体"/>
        </w:rPr>
        <w:t>为确保组织有能力持续提供符合有关质量环境职业健康安全/食品安全/HACCP体系适用法律法规要求和顾客要求的产品和服务，组织应确定：</w:t>
      </w:r>
    </w:p>
    <w:p w14:paraId="32A7C613">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与质量环境职业健康安全/食品安全/HACCP体系有关的相关方；</w:t>
      </w:r>
    </w:p>
    <w:p w14:paraId="38DB1AE6">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与质量环境职业健康安全/食品安全/HACCP体系的相关方的有关要求。</w:t>
      </w:r>
    </w:p>
    <w:p w14:paraId="5119D4F2">
      <w:pPr>
        <w:spacing w:line="460" w:lineRule="exact"/>
        <w:ind w:firstLine="420" w:firstLineChars="200"/>
        <w:rPr>
          <w:rFonts w:ascii="宋体" w:hAnsi="宋体"/>
        </w:rPr>
      </w:pPr>
      <w:r>
        <w:rPr>
          <w:rFonts w:hint="eastAsia" w:ascii="宋体" w:hAnsi="宋体"/>
        </w:rPr>
        <w:t>组织应识别、评审和更新相关方及其要求有关的信息。</w:t>
      </w:r>
    </w:p>
    <w:p w14:paraId="4BFBF482">
      <w:pPr>
        <w:spacing w:line="460" w:lineRule="exact"/>
        <w:ind w:firstLine="420" w:firstLineChars="200"/>
        <w:rPr>
          <w:rFonts w:ascii="宋体" w:hAnsi="宋体"/>
        </w:rPr>
      </w:pPr>
      <w:r>
        <w:rPr>
          <w:rFonts w:hint="eastAsia" w:ascii="宋体" w:hAnsi="宋体"/>
        </w:rPr>
        <w:t>公司应识别、确定对公司稳定提供符合顾客要求和适用法律法规要求的产品和服务能力，控制质量环境职业健康安全/食品安全/HACCP体系风险，并持续改进其绩效能力产生影响或潜在影响的相关方的需求和期望，并对其需求和期望予以应对。</w:t>
      </w:r>
      <w:r>
        <w:rPr>
          <w:rFonts w:ascii="宋体" w:hAnsi="宋体"/>
        </w:rPr>
        <w:t xml:space="preserve"> </w:t>
      </w:r>
      <w:r>
        <w:rPr>
          <w:rFonts w:hint="eastAsia" w:ascii="宋体" w:hAnsi="宋体"/>
        </w:rPr>
        <w:t>因此，公司应按相关程序确定:与质量环境职业健康安全/食品安全/HACCP体系有关的相关方，如顾客、最终用户、外部供应商及监管（政府）部门等；按相关文件的规定要求，确定这些相关方的需求和期望（即要求）。</w:t>
      </w:r>
      <w:r>
        <w:rPr>
          <w:rFonts w:ascii="宋体" w:hAnsi="宋体"/>
        </w:rPr>
        <w:t xml:space="preserve"> </w:t>
      </w:r>
    </w:p>
    <w:p w14:paraId="5B0CCA77">
      <w:pPr>
        <w:spacing w:line="460" w:lineRule="exact"/>
        <w:ind w:firstLine="420" w:firstLineChars="200"/>
        <w:rPr>
          <w:rFonts w:ascii="宋体" w:hAnsi="宋体"/>
        </w:rPr>
      </w:pPr>
      <w:r>
        <w:rPr>
          <w:rFonts w:hint="eastAsia" w:ascii="宋体" w:hAnsi="宋体"/>
        </w:rPr>
        <w:t>公司各部门按相关文件规定对这些相关方及其要求的相关信息进行定期的识别、评审，以便及时调整公司战略，适应变化的需求。</w:t>
      </w:r>
    </w:p>
    <w:p w14:paraId="7ECFC614">
      <w:pPr>
        <w:pStyle w:val="18"/>
        <w:rPr>
          <w:rFonts w:ascii="宋体" w:hAnsi="宋体"/>
        </w:rPr>
      </w:pPr>
      <w:bookmarkStart w:id="12" w:name="_Toc110460610"/>
      <w:r>
        <w:rPr>
          <w:rFonts w:hint="eastAsia" w:ascii="宋体" w:hAnsi="宋体"/>
        </w:rPr>
        <w:t>4.3</w:t>
      </w:r>
      <w:r>
        <w:rPr>
          <w:rFonts w:hint="eastAsia" w:ascii="宋体" w:hAnsi="宋体"/>
        </w:rPr>
        <w:tab/>
      </w:r>
      <w:r>
        <w:rPr>
          <w:rFonts w:hint="eastAsia" w:ascii="宋体" w:hAnsi="宋体"/>
        </w:rPr>
        <w:t>确定食品安全管理体系、HACCP体系的范围</w:t>
      </w:r>
      <w:bookmarkEnd w:id="12"/>
    </w:p>
    <w:p w14:paraId="31FBA47F">
      <w:pPr>
        <w:spacing w:line="460" w:lineRule="exact"/>
        <w:ind w:firstLine="420" w:firstLineChars="200"/>
        <w:rPr>
          <w:rFonts w:hint="eastAsia" w:ascii="宋体" w:hAnsi="宋体"/>
        </w:rPr>
      </w:pPr>
      <w:r>
        <w:rPr>
          <w:rFonts w:hint="eastAsia" w:ascii="宋体" w:hAnsi="宋体"/>
        </w:rPr>
        <w:t>组织应确定质量环境职业健康安全/食品安全/HACCP体系的界限和适宜性，以建立体系范围。范围应规定质量环境职业健康安全/食品安全/HACCP体系中包含的产品和服务、过程和服务现场。 范围应包括可能对其最终产品的质量食品安全产生影响的活动、过程、产品或服务。</w:t>
      </w:r>
    </w:p>
    <w:p w14:paraId="0362A93C">
      <w:pPr>
        <w:spacing w:line="460" w:lineRule="exact"/>
        <w:rPr>
          <w:rFonts w:ascii="宋体" w:hAnsi="宋体"/>
        </w:rPr>
      </w:pPr>
      <w:r>
        <w:rPr>
          <w:rFonts w:hint="eastAsia" w:ascii="宋体" w:hAnsi="宋体"/>
        </w:rPr>
        <w:t>在确定范围时，组织应考虑：</w:t>
      </w:r>
    </w:p>
    <w:p w14:paraId="6DE37D9B">
      <w:pPr>
        <w:spacing w:line="460" w:lineRule="exact"/>
        <w:ind w:firstLine="420" w:firstLineChars="200"/>
        <w:rPr>
          <w:rFonts w:ascii="宋体" w:hAnsi="宋体"/>
        </w:rPr>
      </w:pPr>
      <w:r>
        <w:rPr>
          <w:rFonts w:hint="eastAsia" w:ascii="宋体" w:hAnsi="宋体"/>
        </w:rPr>
        <w:t>a）4.1中提到的外部和内部问题：</w:t>
      </w:r>
    </w:p>
    <w:p w14:paraId="5A037AEB">
      <w:pPr>
        <w:spacing w:line="460" w:lineRule="exact"/>
        <w:ind w:firstLine="420" w:firstLineChars="200"/>
        <w:rPr>
          <w:rFonts w:ascii="宋体" w:hAnsi="宋体"/>
        </w:rPr>
      </w:pPr>
      <w:r>
        <w:rPr>
          <w:rFonts w:hint="eastAsia" w:ascii="宋体" w:hAnsi="宋体"/>
        </w:rPr>
        <w:t>b）4.2中提到的要求；</w:t>
      </w:r>
    </w:p>
    <w:p w14:paraId="53B160B0">
      <w:pPr>
        <w:spacing w:line="460" w:lineRule="exact"/>
        <w:ind w:firstLine="420" w:firstLineChars="200"/>
        <w:rPr>
          <w:rFonts w:ascii="宋体" w:hAnsi="宋体"/>
        </w:rPr>
      </w:pPr>
      <w:r>
        <w:rPr>
          <w:rFonts w:hint="eastAsia" w:ascii="宋体" w:hAnsi="宋体"/>
        </w:rPr>
        <w:t>范围应作为成文信息予以提供和保持。</w:t>
      </w:r>
    </w:p>
    <w:p w14:paraId="22C24CA0">
      <w:pPr>
        <w:pStyle w:val="53"/>
        <w:bidi w:val="0"/>
        <w:rPr>
          <w:b/>
          <w:bCs/>
          <w:color w:val="1D41D5"/>
          <w:spacing w:val="-7"/>
          <w:sz w:val="24"/>
          <w:szCs w:val="24"/>
        </w:rPr>
      </w:pPr>
      <w:r>
        <w:rPr>
          <w:rFonts w:hint="eastAsia"/>
          <w:b/>
          <w:bCs/>
          <w:color w:val="1D41D5"/>
          <w:spacing w:val="-7"/>
          <w:sz w:val="24"/>
          <w:szCs w:val="24"/>
        </w:rPr>
        <w:t>QESFH管理体系的认证范围</w:t>
      </w:r>
      <w:r>
        <w:rPr>
          <w:rFonts w:hint="eastAsia"/>
          <w:b/>
          <w:bCs/>
          <w:color w:val="1D41D5"/>
          <w:spacing w:val="-7"/>
          <w:sz w:val="21"/>
          <w:szCs w:val="21"/>
        </w:rPr>
        <w:t>：</w:t>
      </w:r>
      <w:r>
        <w:rPr>
          <w:rFonts w:hint="eastAsia" w:ascii="宋体" w:hAnsi="宋体"/>
          <w:b/>
          <w:bCs/>
          <w:color w:val="0000FF"/>
          <w:sz w:val="21"/>
          <w:szCs w:val="21"/>
          <w:lang w:eastAsia="zh-CN"/>
        </w:rPr>
        <w:t>预包装食品</w:t>
      </w:r>
      <w:r>
        <w:rPr>
          <w:rFonts w:hint="eastAsia" w:ascii="宋体" w:hAnsi="宋体"/>
          <w:b/>
          <w:bCs/>
          <w:color w:val="0000FF"/>
          <w:sz w:val="21"/>
          <w:szCs w:val="21"/>
        </w:rPr>
        <w:t>的销售</w:t>
      </w:r>
      <w:r>
        <w:rPr>
          <w:rFonts w:hint="eastAsia"/>
          <w:b/>
          <w:bCs/>
          <w:color w:val="1D41D5"/>
          <w:sz w:val="24"/>
          <w:szCs w:val="24"/>
        </w:rPr>
        <w:t>所涉及的管理活动</w:t>
      </w:r>
    </w:p>
    <w:p w14:paraId="25622D05">
      <w:pPr>
        <w:pStyle w:val="55"/>
        <w:adjustRightInd w:val="0"/>
        <w:snapToGrid w:val="0"/>
        <w:spacing w:line="360" w:lineRule="auto"/>
        <w:rPr>
          <w:rFonts w:cs="宋体"/>
          <w:b/>
          <w:bCs/>
          <w:color w:val="1D41D5"/>
          <w:spacing w:val="-7"/>
          <w:sz w:val="24"/>
          <w:szCs w:val="24"/>
        </w:rPr>
      </w:pPr>
      <w:r>
        <w:rPr>
          <w:rFonts w:hint="eastAsia" w:cs="宋体"/>
          <w:b/>
          <w:bCs/>
          <w:color w:val="1D41D5"/>
          <w:spacing w:val="-7"/>
          <w:sz w:val="24"/>
          <w:szCs w:val="24"/>
        </w:rPr>
        <w:t>QESFH管理体系的边界：</w:t>
      </w:r>
      <w:r>
        <w:rPr>
          <w:rFonts w:hint="eastAsia" w:hAnsi="宋体" w:cs="宋体"/>
          <w:b/>
          <w:bCs/>
          <w:color w:val="1D41D5"/>
          <w:sz w:val="24"/>
          <w:szCs w:val="24"/>
          <w:lang w:eastAsia="zh-CN"/>
        </w:rPr>
        <w:t>湖北省武汉市硚口区韩家墩街解放大道213号楚天创新园附楼4楼</w:t>
      </w:r>
      <w:r>
        <w:rPr>
          <w:rFonts w:hint="eastAsia" w:hAnsi="宋体" w:cs="宋体"/>
          <w:b/>
          <w:bCs/>
          <w:color w:val="1D41D5"/>
          <w:sz w:val="24"/>
          <w:szCs w:val="24"/>
        </w:rPr>
        <w:t>。</w:t>
      </w:r>
    </w:p>
    <w:p w14:paraId="70FFF8F4">
      <w:pPr>
        <w:pStyle w:val="55"/>
        <w:adjustRightInd w:val="0"/>
        <w:snapToGrid w:val="0"/>
        <w:spacing w:line="360" w:lineRule="auto"/>
      </w:pPr>
      <w:r>
        <w:rPr>
          <w:rFonts w:hint="eastAsia" w:cs="宋体"/>
          <w:b/>
          <w:bCs/>
          <w:color w:val="1D41D5"/>
          <w:spacing w:val="-7"/>
          <w:sz w:val="24"/>
          <w:szCs w:val="24"/>
        </w:rPr>
        <w:t>经识别，本公司外包过程为：</w:t>
      </w:r>
      <w:r>
        <w:rPr>
          <w:rFonts w:hint="eastAsia" w:cs="宋体"/>
          <w:b/>
          <w:bCs/>
          <w:color w:val="1D41D5"/>
          <w:spacing w:val="-7"/>
          <w:sz w:val="24"/>
          <w:szCs w:val="24"/>
          <w:lang w:val="en-US" w:eastAsia="zh-CN"/>
        </w:rPr>
        <w:t>无</w:t>
      </w:r>
      <w:r>
        <w:rPr>
          <w:rFonts w:hint="eastAsia" w:cs="宋体"/>
          <w:b/>
          <w:bCs/>
          <w:color w:val="1D41D5"/>
          <w:spacing w:val="-7"/>
          <w:sz w:val="24"/>
          <w:szCs w:val="24"/>
        </w:rPr>
        <w:t>。</w:t>
      </w:r>
    </w:p>
    <w:p w14:paraId="62A673F5">
      <w:pPr>
        <w:spacing w:line="360" w:lineRule="auto"/>
        <w:rPr>
          <w:rFonts w:ascii="宋体" w:hAns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合规义务</w:t>
      </w:r>
    </w:p>
    <w:p w14:paraId="6BB4C424">
      <w:pPr>
        <w:spacing w:line="360" w:lineRule="auto"/>
        <w:ind w:firstLine="315" w:firstLineChars="15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本公司</w:t>
      </w:r>
      <w:r>
        <w:rPr>
          <w:rFonts w:hint="eastAsia" w:ascii="宋体" w:hAnsi="宋体"/>
          <w:color w:val="000000" w:themeColor="text1"/>
          <w14:textFill>
            <w14:solidFill>
              <w14:schemeClr w14:val="tx1"/>
            </w14:solidFill>
          </w14:textFill>
        </w:rPr>
        <w:t>识别了法律法规要求、顾客要求及与 HACCP 体系有关的相关方的需求和期望，并从中识别确定其合规义务。</w:t>
      </w:r>
    </w:p>
    <w:p w14:paraId="71CBC7D4">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本公司</w:t>
      </w:r>
      <w:r>
        <w:rPr>
          <w:rFonts w:hint="eastAsia" w:ascii="宋体" w:hAnsi="宋体"/>
          <w:color w:val="000000" w:themeColor="text1"/>
          <w14:textFill>
            <w14:solidFill>
              <w14:schemeClr w14:val="tx1"/>
            </w14:solidFill>
          </w14:textFill>
        </w:rPr>
        <w:t>保留确定合规义务的文件和记录，并保持更新。</w:t>
      </w:r>
    </w:p>
    <w:p w14:paraId="033DBB40">
      <w:pPr>
        <w:spacing w:line="360" w:lineRule="auto"/>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5</w:t>
      </w:r>
      <w:r>
        <w:rPr>
          <w:rFonts w:hint="eastAsia" w:ascii="宋体" w:hAnsi="宋体"/>
          <w:b/>
          <w:bCs/>
          <w:color w:val="000000" w:themeColor="text1"/>
          <w14:textFill>
            <w14:solidFill>
              <w14:schemeClr w14:val="tx1"/>
            </w14:solidFill>
          </w14:textFill>
        </w:rPr>
        <w:t>食品安全文化</w:t>
      </w:r>
    </w:p>
    <w:p w14:paraId="5DE66BEF">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公司最高管理者确保了履行食品安全责任，建立企业的食品安全文化，包括以下几个方面内容：</w:t>
      </w:r>
    </w:p>
    <w:p w14:paraId="4D3F2BE4">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a）通过培训让员工知晓企业食品安全文化，形成良好的食品安全意识；</w:t>
      </w:r>
    </w:p>
    <w:p w14:paraId="5291B53E">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b）传播和有效沟通企业的价值观，确保各级员工积极参与企业的食品安全文化建设，及时获得员工的反馈信息；</w:t>
      </w:r>
    </w:p>
    <w:p w14:paraId="1E623636">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c）对食品安全文化活动及绩效进行评价，必要时加以改进。</w:t>
      </w:r>
    </w:p>
    <w:p w14:paraId="43582CE4">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本公司</w:t>
      </w:r>
      <w:r>
        <w:rPr>
          <w:rFonts w:hint="eastAsia" w:ascii="宋体" w:hAnsi="宋体"/>
          <w:color w:val="000000" w:themeColor="text1"/>
          <w14:textFill>
            <w14:solidFill>
              <w14:schemeClr w14:val="tx1"/>
            </w14:solidFill>
          </w14:textFill>
        </w:rPr>
        <w:t>将保留构建及改进食品安全文化的记录。</w:t>
      </w:r>
    </w:p>
    <w:p w14:paraId="5FB61F1A">
      <w:pPr>
        <w:pStyle w:val="22"/>
        <w:rPr>
          <w:rFonts w:ascii="宋体" w:hAnsi="宋体"/>
        </w:rPr>
      </w:pPr>
      <w:bookmarkStart w:id="13" w:name="_Toc110460611"/>
      <w:r>
        <w:rPr>
          <w:rFonts w:hint="eastAsia" w:ascii="宋体" w:hAnsi="宋体"/>
        </w:rPr>
        <w:t>5</w:t>
      </w:r>
      <w:r>
        <w:rPr>
          <w:rFonts w:hint="eastAsia" w:ascii="宋体" w:hAnsi="宋体"/>
        </w:rPr>
        <w:tab/>
      </w:r>
      <w:r>
        <w:rPr>
          <w:rFonts w:hint="eastAsia" w:ascii="宋体" w:hAnsi="宋体"/>
        </w:rPr>
        <w:t>领导作用</w:t>
      </w:r>
      <w:bookmarkEnd w:id="13"/>
    </w:p>
    <w:p w14:paraId="7166A3CD">
      <w:pPr>
        <w:pStyle w:val="18"/>
        <w:rPr>
          <w:rFonts w:ascii="宋体" w:hAnsi="宋体"/>
        </w:rPr>
      </w:pPr>
      <w:bookmarkStart w:id="14" w:name="_Toc110460612"/>
      <w:r>
        <w:rPr>
          <w:rFonts w:hint="eastAsia" w:ascii="宋体" w:hAnsi="宋体"/>
        </w:rPr>
        <w:t>5.1</w:t>
      </w:r>
      <w:r>
        <w:rPr>
          <w:rFonts w:ascii="宋体" w:hAnsi="宋体"/>
        </w:rPr>
        <w:t xml:space="preserve"> </w:t>
      </w:r>
      <w:r>
        <w:rPr>
          <w:rFonts w:hint="eastAsia" w:ascii="宋体" w:hAnsi="宋体"/>
        </w:rPr>
        <w:t>领导作用和承诺</w:t>
      </w:r>
      <w:bookmarkEnd w:id="14"/>
    </w:p>
    <w:p w14:paraId="65812F1A">
      <w:pPr>
        <w:spacing w:line="460" w:lineRule="exact"/>
        <w:ind w:firstLine="420" w:firstLineChars="200"/>
        <w:rPr>
          <w:rFonts w:ascii="宋体" w:hAnsi="宋体"/>
        </w:rPr>
      </w:pPr>
      <w:r>
        <w:rPr>
          <w:rFonts w:hint="eastAsia" w:ascii="宋体" w:hAnsi="宋体"/>
        </w:rPr>
        <w:t>最高管理者应通过下述方式，证明其对质量环境职业健康安全/食品安全/HACCP体系的领导作用和承诺：</w:t>
      </w:r>
    </w:p>
    <w:p w14:paraId="73427195">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确保制定质量环境职业健康安全/食品安全/HACCP体系的目标，并与组织的战略方向相一致；</w:t>
      </w:r>
    </w:p>
    <w:p w14:paraId="2BA38529">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确保质量环境职业健康安全/食品安全/HACCP体系要求融入于组织的业务过程；</w:t>
      </w:r>
    </w:p>
    <w:p w14:paraId="1B4AA5FC">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确保获得质量环境职业健康安全/食品安全/HACCP体系所需的资源；</w:t>
      </w:r>
    </w:p>
    <w:p w14:paraId="6F032D6C">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沟通有效质量环境职业健康安全/食品安全/HACCP体系以及符合质量环境职业健康安全/食品安全/HACCP体系要求、适用的法律法规要求和双方约定的与质量环境职业健康安全/食品安全/HACCP体系有关的顾客要求的重要性；</w:t>
      </w:r>
    </w:p>
    <w:p w14:paraId="1C4F23FA">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确保评价和维护质量环境职业健康安全/食品安全/HACCP体系，以达到预期结果；</w:t>
      </w:r>
    </w:p>
    <w:p w14:paraId="7CC9600F">
      <w:pPr>
        <w:spacing w:line="460" w:lineRule="exact"/>
        <w:ind w:firstLine="420" w:firstLineChars="200"/>
        <w:rPr>
          <w:rFonts w:ascii="宋体" w:hAnsi="宋体"/>
        </w:rPr>
      </w:pPr>
      <w:r>
        <w:rPr>
          <w:rFonts w:hint="eastAsia" w:ascii="宋体" w:hAnsi="宋体"/>
        </w:rPr>
        <w:t>f）</w:t>
      </w:r>
      <w:r>
        <w:rPr>
          <w:rFonts w:hint="eastAsia" w:ascii="宋体" w:hAnsi="宋体"/>
        </w:rPr>
        <w:tab/>
      </w:r>
      <w:r>
        <w:rPr>
          <w:rFonts w:hint="eastAsia" w:ascii="宋体" w:hAnsi="宋体"/>
        </w:rPr>
        <w:t>指导和支持员工为质量环境职业健康安全/食品安全/HACCP体系的有效性作出贡献；</w:t>
      </w:r>
    </w:p>
    <w:p w14:paraId="459B4BD5">
      <w:pPr>
        <w:spacing w:line="460" w:lineRule="exact"/>
        <w:ind w:firstLine="420" w:firstLineChars="200"/>
        <w:rPr>
          <w:rFonts w:ascii="宋体" w:hAnsi="宋体"/>
        </w:rPr>
      </w:pPr>
      <w:r>
        <w:rPr>
          <w:rFonts w:hint="eastAsia" w:ascii="宋体" w:hAnsi="宋体"/>
        </w:rPr>
        <w:t>g）</w:t>
      </w:r>
      <w:r>
        <w:rPr>
          <w:rFonts w:hint="eastAsia" w:ascii="宋体" w:hAnsi="宋体"/>
        </w:rPr>
        <w:tab/>
      </w:r>
      <w:r>
        <w:rPr>
          <w:rFonts w:hint="eastAsia" w:ascii="宋体" w:hAnsi="宋体"/>
        </w:rPr>
        <w:t>推动持续改进；</w:t>
      </w:r>
    </w:p>
    <w:p w14:paraId="02378F49">
      <w:pPr>
        <w:spacing w:line="460" w:lineRule="exact"/>
        <w:ind w:firstLine="420" w:firstLineChars="200"/>
        <w:rPr>
          <w:rFonts w:ascii="宋体" w:hAnsi="宋体"/>
        </w:rPr>
      </w:pPr>
      <w:r>
        <w:rPr>
          <w:rFonts w:hint="eastAsia" w:ascii="宋体" w:hAnsi="宋体"/>
        </w:rPr>
        <w:t>h）</w:t>
      </w:r>
      <w:r>
        <w:rPr>
          <w:rFonts w:hint="eastAsia" w:ascii="宋体" w:hAnsi="宋体"/>
        </w:rPr>
        <w:tab/>
      </w:r>
      <w:r>
        <w:rPr>
          <w:rFonts w:hint="eastAsia" w:ascii="宋体" w:hAnsi="宋体"/>
        </w:rPr>
        <w:t>支持其他相关管理者在其职责范围内时发挥领导作用。</w:t>
      </w:r>
    </w:p>
    <w:p w14:paraId="2A8EFB20">
      <w:pPr>
        <w:pStyle w:val="18"/>
        <w:rPr>
          <w:rFonts w:ascii="宋体" w:hAnsi="宋体"/>
        </w:rPr>
      </w:pPr>
      <w:bookmarkStart w:id="15" w:name="_Toc110460613"/>
      <w:r>
        <w:rPr>
          <w:rFonts w:hint="eastAsia" w:ascii="宋体" w:hAnsi="宋体"/>
        </w:rPr>
        <w:t>5.2</w:t>
      </w:r>
      <w:r>
        <w:rPr>
          <w:rFonts w:hint="eastAsia" w:ascii="宋体" w:hAnsi="宋体"/>
        </w:rPr>
        <w:tab/>
      </w:r>
      <w:r>
        <w:rPr>
          <w:rFonts w:hint="eastAsia" w:ascii="宋体" w:hAnsi="宋体"/>
        </w:rPr>
        <w:t>方针</w:t>
      </w:r>
      <w:bookmarkEnd w:id="15"/>
    </w:p>
    <w:p w14:paraId="1FC2F833">
      <w:pPr>
        <w:spacing w:line="460" w:lineRule="exact"/>
        <w:ind w:firstLine="420" w:firstLineChars="200"/>
        <w:rPr>
          <w:rFonts w:ascii="宋体" w:hAnsi="宋体"/>
        </w:rPr>
      </w:pPr>
      <w:r>
        <w:rPr>
          <w:rFonts w:hint="eastAsia" w:ascii="宋体" w:hAnsi="宋体"/>
        </w:rPr>
        <w:t>5.2.1</w:t>
      </w:r>
      <w:r>
        <w:rPr>
          <w:rFonts w:hint="eastAsia" w:ascii="宋体" w:hAnsi="宋体"/>
        </w:rPr>
        <w:tab/>
      </w:r>
      <w:r>
        <w:rPr>
          <w:rFonts w:hint="eastAsia" w:ascii="宋体" w:hAnsi="宋体"/>
        </w:rPr>
        <w:t>制定方针</w:t>
      </w:r>
    </w:p>
    <w:p w14:paraId="17A9622F">
      <w:pPr>
        <w:spacing w:line="460" w:lineRule="exact"/>
        <w:ind w:firstLine="420" w:firstLineChars="200"/>
        <w:rPr>
          <w:rFonts w:ascii="宋体" w:hAnsi="宋体"/>
        </w:rPr>
      </w:pPr>
      <w:r>
        <w:rPr>
          <w:rFonts w:hint="eastAsia" w:ascii="宋体" w:hAnsi="宋体"/>
        </w:rPr>
        <w:t>总经理制定、实施和保持方针，方针应：</w:t>
      </w:r>
    </w:p>
    <w:p w14:paraId="650BFF0C">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适应组织的宗旨和环境；</w:t>
      </w:r>
    </w:p>
    <w:p w14:paraId="3026722B">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为制定和评审质量环境职业健康安全/食品安全/HACCP体系目标提供框架；</w:t>
      </w:r>
    </w:p>
    <w:p w14:paraId="0ADD969E">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包括满足适用食品安全要求的承诺，如法律法规要求和双方约定的与食品安全有关的顾客要求；</w:t>
      </w:r>
    </w:p>
    <w:p w14:paraId="145E4F0C">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应对内外部沟通；</w:t>
      </w:r>
    </w:p>
    <w:p w14:paraId="62983651">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包括持续改进质量环境职业健康安全/食品安全/HACCP体系的承诺；</w:t>
      </w:r>
    </w:p>
    <w:p w14:paraId="2CF50D1B">
      <w:pPr>
        <w:spacing w:line="460" w:lineRule="exact"/>
        <w:ind w:firstLine="420" w:firstLineChars="200"/>
        <w:rPr>
          <w:rFonts w:ascii="宋体" w:hAnsi="宋体"/>
        </w:rPr>
      </w:pPr>
      <w:r>
        <w:rPr>
          <w:rFonts w:hint="eastAsia" w:ascii="宋体" w:hAnsi="宋体"/>
        </w:rPr>
        <w:t>f）</w:t>
      </w:r>
      <w:r>
        <w:rPr>
          <w:rFonts w:hint="eastAsia" w:ascii="宋体" w:hAnsi="宋体"/>
        </w:rPr>
        <w:tab/>
      </w:r>
      <w:r>
        <w:rPr>
          <w:rFonts w:hint="eastAsia" w:ascii="宋体" w:hAnsi="宋体"/>
        </w:rPr>
        <w:t>应对确保与质量环境职业健康安全/食品安全/HACCP体系相关能力的需求。</w:t>
      </w:r>
    </w:p>
    <w:p w14:paraId="1928C5EB">
      <w:pPr>
        <w:spacing w:line="360" w:lineRule="auto"/>
        <w:ind w:firstLine="420" w:firstLineChars="200"/>
        <w:rPr>
          <w:rFonts w:ascii="宋体" w:hAnsi="宋体"/>
        </w:rPr>
      </w:pPr>
      <w:r>
        <w:rPr>
          <w:rFonts w:hint="eastAsia" w:ascii="宋体" w:hAnsi="宋体"/>
        </w:rPr>
        <w:t>g）在持续适宜性方面得到评审。</w:t>
      </w:r>
    </w:p>
    <w:p w14:paraId="4805A9AC">
      <w:pPr>
        <w:spacing w:line="460" w:lineRule="exact"/>
        <w:ind w:firstLine="420" w:firstLineChars="200"/>
        <w:rPr>
          <w:rFonts w:ascii="宋体" w:hAnsi="宋体"/>
        </w:rPr>
      </w:pPr>
      <w:r>
        <w:rPr>
          <w:rFonts w:hint="eastAsia" w:ascii="宋体" w:hAnsi="宋体"/>
        </w:rPr>
        <w:t>具体方针见本手册的</w:t>
      </w:r>
      <w:r>
        <w:rPr>
          <w:rFonts w:ascii="宋体" w:hAnsi="宋体"/>
        </w:rPr>
        <w:t>0.4</w:t>
      </w:r>
      <w:r>
        <w:rPr>
          <w:rFonts w:hint="eastAsia" w:ascii="宋体" w:hAnsi="宋体"/>
        </w:rPr>
        <w:t>章节</w:t>
      </w:r>
    </w:p>
    <w:p w14:paraId="0DEA6D94">
      <w:pPr>
        <w:spacing w:line="460" w:lineRule="exact"/>
        <w:ind w:firstLine="420" w:firstLineChars="200"/>
        <w:rPr>
          <w:rFonts w:ascii="宋体" w:hAnsi="宋体"/>
        </w:rPr>
      </w:pPr>
      <w:r>
        <w:rPr>
          <w:rFonts w:hint="eastAsia" w:ascii="宋体" w:hAnsi="宋体"/>
        </w:rPr>
        <w:t>5.2.2</w:t>
      </w:r>
      <w:r>
        <w:rPr>
          <w:rFonts w:hint="eastAsia" w:ascii="宋体" w:hAnsi="宋体"/>
        </w:rPr>
        <w:tab/>
      </w:r>
      <w:r>
        <w:rPr>
          <w:rFonts w:hint="eastAsia" w:ascii="宋体" w:hAnsi="宋体"/>
        </w:rPr>
        <w:t>沟通食品安全方针</w:t>
      </w:r>
    </w:p>
    <w:p w14:paraId="50D9448E">
      <w:pPr>
        <w:spacing w:line="460" w:lineRule="exact"/>
        <w:ind w:firstLine="420" w:firstLineChars="200"/>
        <w:rPr>
          <w:rFonts w:ascii="宋体" w:hAnsi="宋体"/>
        </w:rPr>
      </w:pPr>
      <w:r>
        <w:rPr>
          <w:rFonts w:hint="eastAsia" w:ascii="宋体" w:hAnsi="宋体"/>
        </w:rPr>
        <w:t>食品安全方针应：</w:t>
      </w:r>
    </w:p>
    <w:p w14:paraId="75615BD5">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可获得并保持成文信息；</w:t>
      </w:r>
    </w:p>
    <w:p w14:paraId="14E452F0">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在组织内所有层级得到沟通、理解和应用；</w:t>
      </w:r>
    </w:p>
    <w:p w14:paraId="1A70929B">
      <w:pPr>
        <w:spacing w:line="460" w:lineRule="exact"/>
        <w:ind w:firstLine="420" w:firstLineChars="200"/>
        <w:rPr>
          <w:rFonts w:ascii="宋体" w:hAnsi="宋体"/>
        </w:rPr>
      </w:pPr>
      <w:r>
        <w:rPr>
          <w:rFonts w:hint="eastAsia" w:ascii="宋体" w:hAnsi="宋体"/>
        </w:rPr>
        <w:t>c）适宜时，可为有关相关方获取。</w:t>
      </w:r>
    </w:p>
    <w:p w14:paraId="71EBD404">
      <w:pPr>
        <w:pStyle w:val="18"/>
        <w:rPr>
          <w:rFonts w:ascii="宋体" w:hAnsi="宋体"/>
        </w:rPr>
      </w:pPr>
      <w:bookmarkStart w:id="16" w:name="_Toc110460614"/>
      <w:r>
        <w:rPr>
          <w:rFonts w:hint="eastAsia" w:ascii="宋体" w:hAnsi="宋体"/>
        </w:rPr>
        <w:t>5.3</w:t>
      </w:r>
      <w:r>
        <w:rPr>
          <w:rFonts w:hint="eastAsia" w:ascii="宋体" w:hAnsi="宋体"/>
        </w:rPr>
        <w:tab/>
      </w:r>
      <w:r>
        <w:rPr>
          <w:rFonts w:hint="eastAsia" w:ascii="宋体" w:hAnsi="宋体"/>
        </w:rPr>
        <w:t>组织的岗位、职责和权限</w:t>
      </w:r>
      <w:bookmarkEnd w:id="16"/>
    </w:p>
    <w:p w14:paraId="384CC681">
      <w:pPr>
        <w:spacing w:line="460" w:lineRule="exact"/>
        <w:ind w:firstLine="420" w:firstLineChars="200"/>
        <w:rPr>
          <w:rFonts w:ascii="宋体" w:hAnsi="宋体"/>
        </w:rPr>
      </w:pPr>
      <w:r>
        <w:rPr>
          <w:rFonts w:hint="eastAsia" w:ascii="宋体" w:hAnsi="宋体"/>
        </w:rPr>
        <w:t>5.3.1</w:t>
      </w:r>
      <w:r>
        <w:rPr>
          <w:rFonts w:hint="eastAsia" w:ascii="宋体" w:hAnsi="宋体"/>
        </w:rPr>
        <w:tab/>
      </w:r>
      <w:r>
        <w:rPr>
          <w:rFonts w:hint="eastAsia" w:ascii="宋体" w:hAnsi="宋体"/>
        </w:rPr>
        <w:t>最高管理者应确保在组织相关岗位的职责和权限得到分配、沟通和理解。</w:t>
      </w:r>
    </w:p>
    <w:p w14:paraId="2682099B">
      <w:pPr>
        <w:spacing w:line="460" w:lineRule="exact"/>
        <w:ind w:firstLine="420" w:firstLineChars="200"/>
        <w:rPr>
          <w:rFonts w:ascii="宋体" w:hAnsi="宋体"/>
        </w:rPr>
      </w:pPr>
      <w:r>
        <w:rPr>
          <w:rFonts w:hint="eastAsia" w:ascii="宋体" w:hAnsi="宋体"/>
        </w:rPr>
        <w:t>最高管理者应分配职责和权限，以：</w:t>
      </w:r>
    </w:p>
    <w:p w14:paraId="0650233A">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确保质量环境职业健康安全/食品安全/HACCP体系符合本标准的要求；</w:t>
      </w:r>
    </w:p>
    <w:p w14:paraId="72D9FBA3">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向最高管理者报告质量环境职业健康安全/食品安全/HACCP体系的绩效；</w:t>
      </w:r>
    </w:p>
    <w:p w14:paraId="2603A125">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任命食品安全小组和食品安全小组组长以及管理者代表；</w:t>
      </w:r>
    </w:p>
    <w:p w14:paraId="5FF64E07">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指定具有明确责职和权限的人员启动和记录措施。。</w:t>
      </w:r>
    </w:p>
    <w:p w14:paraId="72256054">
      <w:pPr>
        <w:spacing w:line="460" w:lineRule="exact"/>
        <w:ind w:firstLine="420" w:firstLineChars="200"/>
        <w:rPr>
          <w:rFonts w:ascii="宋体" w:hAnsi="宋体"/>
        </w:rPr>
      </w:pPr>
      <w:r>
        <w:rPr>
          <w:rFonts w:hint="eastAsia" w:ascii="宋体" w:hAnsi="宋体"/>
        </w:rPr>
        <w:t>5.3.2</w:t>
      </w:r>
      <w:r>
        <w:rPr>
          <w:rFonts w:hint="eastAsia" w:ascii="宋体" w:hAnsi="宋体"/>
        </w:rPr>
        <w:tab/>
      </w:r>
      <w:r>
        <w:rPr>
          <w:rFonts w:hint="eastAsia" w:ascii="宋体" w:hAnsi="宋体"/>
        </w:rPr>
        <w:t>食品安全小组长/管理者代表应负责：</w:t>
      </w:r>
    </w:p>
    <w:p w14:paraId="7E80B87F">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确保建立、实施、保持和更新质量环境职业健康安全/食品安全/HACCP体系；</w:t>
      </w:r>
    </w:p>
    <w:p w14:paraId="5FF1489A">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 xml:space="preserve">管理和组织食品安全小组的工作； </w:t>
      </w:r>
    </w:p>
    <w:p w14:paraId="48AB80FA">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确保食品安全小组获得相关培训并具有相关能力。</w:t>
      </w:r>
    </w:p>
    <w:p w14:paraId="0F57987D">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向最高管理者报告质量环境职业健康安全/食品安全/HACCP体系的有效性和适宜性。</w:t>
      </w:r>
    </w:p>
    <w:p w14:paraId="4DD434E2">
      <w:pPr>
        <w:spacing w:line="460" w:lineRule="exact"/>
        <w:ind w:firstLine="420" w:firstLineChars="200"/>
        <w:rPr>
          <w:rFonts w:ascii="宋体" w:hAnsi="宋体"/>
        </w:rPr>
      </w:pPr>
      <w:r>
        <w:rPr>
          <w:rFonts w:hint="eastAsia" w:ascii="宋体" w:hAnsi="宋体"/>
        </w:rPr>
        <w:t>5.3.3所有人员应负责向指定人员报告质量环境职业健康安全/食品安全/HACCP体系有关的问题。</w:t>
      </w:r>
    </w:p>
    <w:p w14:paraId="4DA7832E">
      <w:pPr>
        <w:spacing w:line="460" w:lineRule="exact"/>
        <w:ind w:firstLine="420" w:firstLineChars="200"/>
        <w:rPr>
          <w:rFonts w:ascii="宋体" w:hAnsi="宋体"/>
        </w:rPr>
      </w:pPr>
      <w:r>
        <w:rPr>
          <w:rFonts w:hint="eastAsia" w:ascii="宋体" w:hAnsi="宋体"/>
        </w:rPr>
        <w:t>5.3.</w:t>
      </w:r>
      <w:r>
        <w:rPr>
          <w:rFonts w:ascii="宋体" w:hAnsi="宋体"/>
        </w:rPr>
        <w:t>4</w:t>
      </w:r>
      <w:r>
        <w:rPr>
          <w:rFonts w:hint="eastAsia" w:ascii="宋体" w:hAnsi="宋体"/>
        </w:rPr>
        <w:t>各岗位员工职责与权</w:t>
      </w:r>
    </w:p>
    <w:p w14:paraId="253E95AA">
      <w:pPr>
        <w:spacing w:line="460" w:lineRule="exact"/>
        <w:rPr>
          <w:rFonts w:ascii="宋体" w:hAnsi="宋体"/>
          <w:b/>
          <w:bCs/>
        </w:rPr>
      </w:pPr>
      <w:r>
        <w:rPr>
          <w:rFonts w:hint="eastAsia" w:ascii="宋体" w:hAnsi="宋体"/>
          <w:b/>
          <w:bCs/>
        </w:rPr>
        <w:t>总经理</w:t>
      </w:r>
    </w:p>
    <w:p w14:paraId="4A32391A">
      <w:pPr>
        <w:numPr>
          <w:ilvl w:val="0"/>
          <w:numId w:val="2"/>
        </w:numPr>
        <w:spacing w:line="460" w:lineRule="exact"/>
        <w:rPr>
          <w:rFonts w:ascii="宋体" w:hAnsi="宋体"/>
        </w:rPr>
      </w:pPr>
      <w:r>
        <w:rPr>
          <w:rFonts w:hint="eastAsia" w:ascii="宋体" w:hAnsi="宋体"/>
        </w:rPr>
        <w:t>总经理向公司内部和外部做出建立、实施质量环境职业健康安全/食品安全/HACCP体系并持续改进其有效性的承诺，通过以下活动作为其履行职责的证据：</w:t>
      </w:r>
    </w:p>
    <w:p w14:paraId="4F1E638A">
      <w:pPr>
        <w:numPr>
          <w:ilvl w:val="0"/>
          <w:numId w:val="2"/>
        </w:numPr>
        <w:spacing w:line="460" w:lineRule="exact"/>
        <w:rPr>
          <w:rFonts w:ascii="宋体" w:hAnsi="宋体"/>
        </w:rPr>
      </w:pPr>
      <w:r>
        <w:rPr>
          <w:rFonts w:hint="eastAsia" w:ascii="宋体" w:hAnsi="宋体"/>
        </w:rPr>
        <w:t>通过内部沟通向全体员工传达满足顾客和相关法律法规要求的重要性；</w:t>
      </w:r>
    </w:p>
    <w:p w14:paraId="2F8AC9A0">
      <w:pPr>
        <w:numPr>
          <w:ilvl w:val="0"/>
          <w:numId w:val="2"/>
        </w:numPr>
        <w:spacing w:line="460" w:lineRule="exact"/>
        <w:rPr>
          <w:rFonts w:ascii="宋体" w:hAnsi="宋体"/>
        </w:rPr>
      </w:pPr>
      <w:r>
        <w:rPr>
          <w:rFonts w:hint="eastAsia" w:ascii="宋体" w:hAnsi="宋体"/>
        </w:rPr>
        <w:t>制定方针和目标；</w:t>
      </w:r>
    </w:p>
    <w:p w14:paraId="165FDD67">
      <w:pPr>
        <w:numPr>
          <w:ilvl w:val="0"/>
          <w:numId w:val="2"/>
        </w:numPr>
        <w:spacing w:line="460" w:lineRule="exact"/>
        <w:rPr>
          <w:rFonts w:ascii="宋体" w:hAnsi="宋体"/>
        </w:rPr>
      </w:pPr>
      <w:r>
        <w:rPr>
          <w:rFonts w:hint="eastAsia" w:ascii="宋体" w:hAnsi="宋体"/>
        </w:rPr>
        <w:t>策划建立并持续改进公司的质量环境职业健康安全/食品安全/HACCP体系；</w:t>
      </w:r>
    </w:p>
    <w:p w14:paraId="67AFF8CA">
      <w:pPr>
        <w:numPr>
          <w:ilvl w:val="0"/>
          <w:numId w:val="2"/>
        </w:numPr>
        <w:spacing w:line="460" w:lineRule="exact"/>
        <w:rPr>
          <w:rFonts w:ascii="宋体" w:hAnsi="宋体"/>
        </w:rPr>
      </w:pPr>
      <w:r>
        <w:rPr>
          <w:rFonts w:hint="eastAsia" w:ascii="宋体" w:hAnsi="宋体"/>
        </w:rPr>
        <w:t>决定公司的机构设置、只能划分和相互关系；</w:t>
      </w:r>
    </w:p>
    <w:p w14:paraId="5D8EAA1A">
      <w:pPr>
        <w:numPr>
          <w:ilvl w:val="0"/>
          <w:numId w:val="2"/>
        </w:numPr>
        <w:spacing w:line="460" w:lineRule="exact"/>
        <w:rPr>
          <w:rFonts w:ascii="宋体" w:hAnsi="宋体"/>
        </w:rPr>
      </w:pPr>
      <w:r>
        <w:rPr>
          <w:rFonts w:hint="eastAsia" w:ascii="宋体" w:hAnsi="宋体"/>
        </w:rPr>
        <w:t>建立沟通过程，以确保全员参与质量环境职业健康安全/食品安全/HACCP体系的建立和保持；</w:t>
      </w:r>
    </w:p>
    <w:p w14:paraId="155D2B40">
      <w:pPr>
        <w:numPr>
          <w:ilvl w:val="0"/>
          <w:numId w:val="2"/>
        </w:numPr>
        <w:spacing w:line="460" w:lineRule="exact"/>
        <w:rPr>
          <w:rFonts w:ascii="宋体" w:hAnsi="宋体"/>
        </w:rPr>
      </w:pPr>
      <w:r>
        <w:rPr>
          <w:rFonts w:hint="eastAsia" w:ascii="宋体" w:hAnsi="宋体"/>
        </w:rPr>
        <w:t>为质量环境职业健康安全/食品安全/HACCP体系的建立、实施和改进提供必要的资源；</w:t>
      </w:r>
    </w:p>
    <w:p w14:paraId="17B29D18">
      <w:pPr>
        <w:numPr>
          <w:ilvl w:val="0"/>
          <w:numId w:val="2"/>
        </w:numPr>
        <w:spacing w:line="460" w:lineRule="exact"/>
        <w:rPr>
          <w:rFonts w:ascii="宋体" w:hAnsi="宋体"/>
        </w:rPr>
      </w:pPr>
      <w:r>
        <w:rPr>
          <w:rFonts w:hint="eastAsia" w:ascii="宋体" w:hAnsi="宋体"/>
        </w:rPr>
        <w:t>任命食品安全/HACCP组长，具体负责质量环境职业健康安全/食品安全/HACCP体系的建立和保持；</w:t>
      </w:r>
    </w:p>
    <w:p w14:paraId="534E7939">
      <w:pPr>
        <w:numPr>
          <w:ilvl w:val="0"/>
          <w:numId w:val="2"/>
        </w:numPr>
        <w:spacing w:line="460" w:lineRule="exact"/>
        <w:rPr>
          <w:rFonts w:ascii="宋体" w:hAnsi="宋体"/>
        </w:rPr>
      </w:pPr>
      <w:r>
        <w:rPr>
          <w:rFonts w:hint="eastAsia" w:ascii="宋体" w:hAnsi="宋体"/>
        </w:rPr>
        <w:t>组织管理评审，实现持续改进。</w:t>
      </w:r>
    </w:p>
    <w:p w14:paraId="6A047DC9">
      <w:pPr>
        <w:pStyle w:val="2"/>
      </w:pPr>
    </w:p>
    <w:p w14:paraId="272D2BD8">
      <w:pPr>
        <w:pStyle w:val="2"/>
        <w:rPr>
          <w:rFonts w:ascii="宋体" w:hAnsi="宋体"/>
          <w:b/>
          <w:bCs/>
        </w:rPr>
      </w:pPr>
      <w:r>
        <w:rPr>
          <w:rFonts w:hint="eastAsia" w:ascii="宋体" w:hAnsi="宋体"/>
          <w:b/>
          <w:bCs/>
          <w:lang w:eastAsia="zh-CN"/>
        </w:rPr>
        <w:t>市场部</w:t>
      </w:r>
      <w:r>
        <w:rPr>
          <w:rFonts w:hint="eastAsia" w:ascii="宋体" w:hAnsi="宋体"/>
          <w:b/>
          <w:bCs/>
        </w:rPr>
        <w:t>：</w:t>
      </w:r>
    </w:p>
    <w:p w14:paraId="79DBDFC0">
      <w:pPr>
        <w:numPr>
          <w:ilvl w:val="0"/>
          <w:numId w:val="3"/>
        </w:numPr>
        <w:spacing w:line="440" w:lineRule="exact"/>
        <w:rPr>
          <w:rFonts w:ascii="宋体" w:hAnsi="宋体"/>
        </w:rPr>
      </w:pPr>
      <w:r>
        <w:rPr>
          <w:rFonts w:hint="eastAsia" w:ascii="宋体" w:hAnsi="宋体"/>
        </w:rPr>
        <w:t>负责组织对供方的评价及合格供方的评定。建立合格供方名录并按规定时间组织供方评审。</w:t>
      </w:r>
    </w:p>
    <w:p w14:paraId="7EFE5052">
      <w:pPr>
        <w:numPr>
          <w:ilvl w:val="0"/>
          <w:numId w:val="3"/>
        </w:numPr>
        <w:spacing w:line="440" w:lineRule="exact"/>
        <w:rPr>
          <w:rFonts w:ascii="宋体" w:hAnsi="宋体"/>
        </w:rPr>
      </w:pPr>
      <w:r>
        <w:rPr>
          <w:rFonts w:hint="eastAsia" w:ascii="宋体" w:hAnsi="宋体"/>
        </w:rPr>
        <w:t>负责组织的采购合同的编制、评审与签订。确保采购原辅材料、包装材料、其它生产资料均符合质量和安全标准要求。</w:t>
      </w:r>
    </w:p>
    <w:p w14:paraId="4A964AC5">
      <w:pPr>
        <w:numPr>
          <w:ilvl w:val="0"/>
          <w:numId w:val="3"/>
        </w:numPr>
        <w:spacing w:line="440" w:lineRule="exact"/>
        <w:rPr>
          <w:rFonts w:ascii="宋体" w:hAnsi="宋体"/>
        </w:rPr>
      </w:pPr>
      <w:r>
        <w:rPr>
          <w:rFonts w:hint="eastAsia" w:ascii="宋体" w:hAnsi="宋体"/>
        </w:rPr>
        <w:t>负责对供方供货业绩进行评价，包括进货的安全、卫生、质量、供货及时等信息统计与分析。</w:t>
      </w:r>
    </w:p>
    <w:p w14:paraId="2D7ACC86">
      <w:pPr>
        <w:numPr>
          <w:ilvl w:val="0"/>
          <w:numId w:val="3"/>
        </w:numPr>
        <w:spacing w:line="440" w:lineRule="exact"/>
        <w:rPr>
          <w:rFonts w:ascii="宋体" w:hAnsi="宋体"/>
        </w:rPr>
      </w:pPr>
      <w:r>
        <w:rPr>
          <w:rFonts w:hint="eastAsia" w:ascii="宋体" w:hAnsi="宋体"/>
        </w:rPr>
        <w:t>负责索取、收集供方的产品检验报告、产品合格证书、法定机构检验合格证明、以及进货产品相关使用说明等。</w:t>
      </w:r>
    </w:p>
    <w:p w14:paraId="057DC046">
      <w:pPr>
        <w:numPr>
          <w:ilvl w:val="0"/>
          <w:numId w:val="3"/>
        </w:numPr>
        <w:spacing w:line="440" w:lineRule="exact"/>
        <w:rPr>
          <w:rFonts w:ascii="宋体" w:hAnsi="宋体"/>
        </w:rPr>
      </w:pPr>
      <w:r>
        <w:rPr>
          <w:rFonts w:hint="eastAsia" w:ascii="宋体" w:hAnsi="宋体"/>
        </w:rPr>
        <w:t>根据供货合格要求，参与对供方能力验证、评价、现场审核。</w:t>
      </w:r>
    </w:p>
    <w:p w14:paraId="27AE8D5F">
      <w:pPr>
        <w:numPr>
          <w:ilvl w:val="0"/>
          <w:numId w:val="3"/>
        </w:numPr>
        <w:spacing w:line="440" w:lineRule="exact"/>
        <w:rPr>
          <w:rFonts w:ascii="宋体" w:hAnsi="宋体"/>
        </w:rPr>
      </w:pPr>
      <w:r>
        <w:rPr>
          <w:rFonts w:hint="eastAsia" w:ascii="宋体" w:hAnsi="宋体"/>
        </w:rPr>
        <w:t>负责对采购产品安全装运，确保安全到厂，保证生产需要。</w:t>
      </w:r>
    </w:p>
    <w:p w14:paraId="24726669">
      <w:pPr>
        <w:numPr>
          <w:ilvl w:val="0"/>
          <w:numId w:val="3"/>
        </w:numPr>
        <w:spacing w:line="440" w:lineRule="exact"/>
        <w:rPr>
          <w:rFonts w:ascii="宋体" w:hAnsi="宋体"/>
        </w:rPr>
      </w:pPr>
      <w:r>
        <w:rPr>
          <w:rFonts w:hint="eastAsia" w:ascii="宋体" w:hAnsi="宋体"/>
        </w:rPr>
        <w:t>负责进货不合格的处理。</w:t>
      </w:r>
    </w:p>
    <w:p w14:paraId="40E20B03">
      <w:pPr>
        <w:numPr>
          <w:ilvl w:val="0"/>
          <w:numId w:val="3"/>
        </w:numPr>
        <w:spacing w:line="440" w:lineRule="exact"/>
        <w:rPr>
          <w:rFonts w:ascii="宋体" w:hAnsi="宋体"/>
        </w:rPr>
      </w:pPr>
      <w:r>
        <w:rPr>
          <w:rFonts w:hint="eastAsia" w:ascii="宋体" w:hAnsi="宋体"/>
        </w:rPr>
        <w:t>负责与供方沟通，及时获取产品安全卫生、质量信息，包括潜在不安全隐患或趋势。</w:t>
      </w:r>
    </w:p>
    <w:p w14:paraId="60B05AD5">
      <w:pPr>
        <w:numPr>
          <w:ilvl w:val="0"/>
          <w:numId w:val="3"/>
        </w:numPr>
        <w:spacing w:line="440" w:lineRule="exact"/>
        <w:rPr>
          <w:rFonts w:ascii="宋体" w:hAnsi="宋体"/>
        </w:rPr>
      </w:pPr>
      <w:r>
        <w:rPr>
          <w:rFonts w:hint="eastAsia" w:ascii="宋体" w:hAnsi="宋体"/>
        </w:rPr>
        <w:t>当产品召回、产品安全事故发生时，若涉及到供方的供货原因时，应及时与供方沟通，按要求实施。</w:t>
      </w:r>
    </w:p>
    <w:p w14:paraId="5C5C4FD2">
      <w:pPr>
        <w:numPr>
          <w:ilvl w:val="0"/>
          <w:numId w:val="3"/>
        </w:numPr>
        <w:spacing w:line="440" w:lineRule="exact"/>
        <w:rPr>
          <w:rFonts w:ascii="宋体" w:hAnsi="宋体"/>
        </w:rPr>
      </w:pPr>
      <w:r>
        <w:rPr>
          <w:rFonts w:hint="eastAsia" w:ascii="宋体" w:hAnsi="宋体"/>
        </w:rPr>
        <w:t>做好供方的的财产防护，包括未正式交付的产品、样本、技术资料等。</w:t>
      </w:r>
    </w:p>
    <w:p w14:paraId="33BD7A46">
      <w:pPr>
        <w:numPr>
          <w:ilvl w:val="0"/>
          <w:numId w:val="3"/>
        </w:numPr>
        <w:spacing w:line="440" w:lineRule="exact"/>
        <w:rPr>
          <w:rFonts w:ascii="宋体" w:hAnsi="宋体"/>
        </w:rPr>
      </w:pPr>
      <w:r>
        <w:rPr>
          <w:rFonts w:hint="eastAsia" w:ascii="宋体" w:hAnsi="宋体"/>
        </w:rPr>
        <w:t>负责收集有关产品标准、检验标准、检验方法，并按受控文件要求进行管理。</w:t>
      </w:r>
    </w:p>
    <w:p w14:paraId="1CE1ACC7">
      <w:pPr>
        <w:numPr>
          <w:ilvl w:val="0"/>
          <w:numId w:val="3"/>
        </w:numPr>
        <w:spacing w:line="440" w:lineRule="exact"/>
        <w:rPr>
          <w:rFonts w:ascii="宋体" w:hAnsi="宋体"/>
        </w:rPr>
      </w:pPr>
      <w:r>
        <w:rPr>
          <w:rFonts w:hint="eastAsia" w:ascii="宋体" w:hAnsi="宋体"/>
        </w:rPr>
        <w:t>负责编制公司的各类产品安全卫生标准、产品质量标准，并按各项标准对经检验的产品进行检验判定。</w:t>
      </w:r>
    </w:p>
    <w:p w14:paraId="1A75E28E">
      <w:pPr>
        <w:numPr>
          <w:ilvl w:val="0"/>
          <w:numId w:val="3"/>
        </w:numPr>
        <w:spacing w:line="440" w:lineRule="exact"/>
        <w:rPr>
          <w:rFonts w:ascii="宋体" w:hAnsi="宋体"/>
        </w:rPr>
      </w:pPr>
      <w:r>
        <w:rPr>
          <w:rFonts w:hint="eastAsia" w:ascii="宋体" w:hAnsi="宋体"/>
        </w:rPr>
        <w:t>负责公司各项原辅材料、包料材料、生产辅助材料等进货检验、验收。</w:t>
      </w:r>
    </w:p>
    <w:p w14:paraId="37543E00">
      <w:pPr>
        <w:numPr>
          <w:ilvl w:val="0"/>
          <w:numId w:val="3"/>
        </w:numPr>
        <w:spacing w:line="440" w:lineRule="exact"/>
        <w:rPr>
          <w:rFonts w:ascii="宋体" w:hAnsi="宋体"/>
        </w:rPr>
      </w:pPr>
      <w:r>
        <w:rPr>
          <w:rFonts w:hint="eastAsia" w:ascii="宋体" w:hAnsi="宋体"/>
        </w:rPr>
        <w:t>负责各项生产过程的卫生指标检测，包括：人手、设备、工器具、车间空气等。</w:t>
      </w:r>
    </w:p>
    <w:p w14:paraId="3FE717D9">
      <w:pPr>
        <w:numPr>
          <w:ilvl w:val="0"/>
          <w:numId w:val="3"/>
        </w:numPr>
        <w:spacing w:line="440" w:lineRule="exact"/>
        <w:rPr>
          <w:rFonts w:ascii="宋体" w:hAnsi="宋体"/>
        </w:rPr>
      </w:pPr>
      <w:r>
        <w:rPr>
          <w:rFonts w:hint="eastAsia" w:ascii="宋体" w:hAnsi="宋体"/>
        </w:rPr>
        <w:t>负责全公司范围的检测仪器、计量器具的法定校检管理。</w:t>
      </w:r>
    </w:p>
    <w:p w14:paraId="25B4BF42">
      <w:pPr>
        <w:numPr>
          <w:ilvl w:val="0"/>
          <w:numId w:val="3"/>
        </w:numPr>
        <w:spacing w:line="440" w:lineRule="exact"/>
        <w:rPr>
          <w:rFonts w:ascii="宋体" w:hAnsi="宋体"/>
        </w:rPr>
      </w:pPr>
      <w:r>
        <w:rPr>
          <w:rFonts w:hint="eastAsia" w:ascii="宋体" w:hAnsi="宋体"/>
        </w:rPr>
        <w:t>负责服务现场使用的消毒液的浓度检测工作。</w:t>
      </w:r>
    </w:p>
    <w:p w14:paraId="4D1372AE">
      <w:pPr>
        <w:numPr>
          <w:ilvl w:val="0"/>
          <w:numId w:val="3"/>
        </w:numPr>
        <w:spacing w:line="440" w:lineRule="exact"/>
        <w:rPr>
          <w:rFonts w:ascii="宋体" w:hAnsi="宋体"/>
        </w:rPr>
      </w:pPr>
      <w:r>
        <w:rPr>
          <w:rFonts w:hint="eastAsia" w:ascii="宋体" w:hAnsi="宋体"/>
        </w:rPr>
        <w:t>负责产品留样管理工作。</w:t>
      </w:r>
    </w:p>
    <w:p w14:paraId="0B565E1D">
      <w:pPr>
        <w:numPr>
          <w:ilvl w:val="0"/>
          <w:numId w:val="3"/>
        </w:numPr>
        <w:spacing w:line="440" w:lineRule="exact"/>
        <w:rPr>
          <w:rFonts w:ascii="宋体" w:hAnsi="宋体"/>
        </w:rPr>
      </w:pPr>
      <w:r>
        <w:rPr>
          <w:rFonts w:hint="eastAsia" w:ascii="宋体" w:hAnsi="宋体"/>
        </w:rPr>
        <w:t>负责按食品安全/</w:t>
      </w:r>
      <w:r>
        <w:rPr>
          <w:rFonts w:ascii="宋体" w:hAnsi="宋体"/>
        </w:rPr>
        <w:t>危害控制计划</w:t>
      </w:r>
      <w:r>
        <w:rPr>
          <w:rFonts w:hint="eastAsia" w:ascii="宋体" w:hAnsi="宋体"/>
        </w:rPr>
        <w:t>对过程数据验证测量，负责单项验证，控制措施组合验证等。</w:t>
      </w:r>
    </w:p>
    <w:p w14:paraId="4D361C38">
      <w:pPr>
        <w:numPr>
          <w:ilvl w:val="0"/>
          <w:numId w:val="3"/>
        </w:numPr>
        <w:spacing w:line="440" w:lineRule="exact"/>
        <w:rPr>
          <w:rFonts w:ascii="宋体" w:hAnsi="宋体"/>
        </w:rPr>
      </w:pPr>
      <w:r>
        <w:rPr>
          <w:rFonts w:hint="eastAsia" w:ascii="宋体" w:hAnsi="宋体"/>
        </w:rPr>
        <w:t>负责新产品、改良产品的产品描述内容的相关检测与验证。</w:t>
      </w:r>
    </w:p>
    <w:p w14:paraId="52429365">
      <w:pPr>
        <w:numPr>
          <w:ilvl w:val="0"/>
          <w:numId w:val="3"/>
        </w:numPr>
        <w:spacing w:line="440" w:lineRule="exact"/>
        <w:rPr>
          <w:rFonts w:ascii="宋体" w:hAnsi="宋体"/>
        </w:rPr>
      </w:pPr>
      <w:r>
        <w:rPr>
          <w:rFonts w:hint="eastAsia" w:ascii="宋体" w:hAnsi="宋体"/>
        </w:rPr>
        <w:t>负责对公司范围的各类弃置物处理监督。</w:t>
      </w:r>
    </w:p>
    <w:p w14:paraId="13BB82FA">
      <w:pPr>
        <w:numPr>
          <w:ilvl w:val="0"/>
          <w:numId w:val="3"/>
        </w:numPr>
        <w:spacing w:line="440" w:lineRule="exact"/>
        <w:rPr>
          <w:rFonts w:ascii="宋体" w:hAnsi="宋体"/>
        </w:rPr>
      </w:pPr>
      <w:r>
        <w:rPr>
          <w:rFonts w:hint="eastAsia" w:ascii="宋体" w:hAnsi="宋体"/>
        </w:rPr>
        <w:t>负责公司范围的卫生监督检查，并及时提出纠正，以及实施验证。</w:t>
      </w:r>
    </w:p>
    <w:p w14:paraId="1524210F">
      <w:pPr>
        <w:numPr>
          <w:ilvl w:val="0"/>
          <w:numId w:val="3"/>
        </w:numPr>
        <w:spacing w:line="440" w:lineRule="exact"/>
        <w:rPr>
          <w:rFonts w:ascii="宋体" w:hAnsi="宋体"/>
        </w:rPr>
      </w:pPr>
      <w:r>
        <w:rPr>
          <w:rFonts w:hint="eastAsia" w:ascii="宋体" w:hAnsi="宋体"/>
        </w:rPr>
        <w:t>公司产品召回、或发生食品安全事故时，负责按照相关要求做好各项检验、验证，并做好相关的不安全产品、潜在不安全产品的控制。</w:t>
      </w:r>
    </w:p>
    <w:p w14:paraId="420C795C">
      <w:pPr>
        <w:numPr>
          <w:ilvl w:val="0"/>
          <w:numId w:val="3"/>
        </w:numPr>
        <w:spacing w:line="440" w:lineRule="exact"/>
        <w:rPr>
          <w:rFonts w:ascii="宋体" w:hAnsi="宋体"/>
        </w:rPr>
      </w:pPr>
      <w:r>
        <w:rPr>
          <w:rFonts w:hint="eastAsia" w:ascii="宋体" w:hAnsi="宋体"/>
        </w:rPr>
        <w:t>按检验制度做好各项检验原始记录，检验结果台帐，检验报告编制。</w:t>
      </w:r>
    </w:p>
    <w:p w14:paraId="7F5A9B35">
      <w:pPr>
        <w:numPr>
          <w:ilvl w:val="0"/>
          <w:numId w:val="3"/>
        </w:numPr>
        <w:spacing w:line="440" w:lineRule="exact"/>
        <w:rPr>
          <w:rFonts w:ascii="宋体" w:hAnsi="宋体"/>
        </w:rPr>
      </w:pPr>
      <w:r>
        <w:rPr>
          <w:rFonts w:hint="eastAsia" w:ascii="宋体" w:hAnsi="宋体"/>
        </w:rPr>
        <w:t>按照食品安全目标管理方法要求，做好公司、部门食品安全目标的统计分析工作。</w:t>
      </w:r>
    </w:p>
    <w:p w14:paraId="753F6D99">
      <w:pPr>
        <w:numPr>
          <w:ilvl w:val="0"/>
          <w:numId w:val="3"/>
        </w:numPr>
        <w:spacing w:line="440" w:lineRule="exact"/>
        <w:rPr>
          <w:rFonts w:ascii="宋体" w:hAnsi="宋体"/>
        </w:rPr>
      </w:pPr>
      <w:r>
        <w:rPr>
          <w:rFonts w:hint="eastAsia" w:ascii="宋体" w:hAnsi="宋体"/>
        </w:rPr>
        <w:t>负责与食品安全卫生、产品质量、标准与技术等的对外联络沟通工作。</w:t>
      </w:r>
    </w:p>
    <w:p w14:paraId="3F887727">
      <w:pPr>
        <w:numPr>
          <w:ilvl w:val="0"/>
          <w:numId w:val="3"/>
        </w:numPr>
        <w:spacing w:line="440" w:lineRule="exact"/>
        <w:rPr>
          <w:rFonts w:ascii="宋体" w:hAnsi="宋体"/>
        </w:rPr>
      </w:pPr>
      <w:r>
        <w:rPr>
          <w:rFonts w:hint="eastAsia" w:ascii="宋体" w:hAnsi="宋体"/>
        </w:rPr>
        <w:t>按照食品安全及H</w:t>
      </w:r>
      <w:r>
        <w:rPr>
          <w:rFonts w:ascii="宋体" w:hAnsi="宋体"/>
        </w:rPr>
        <w:t>ACCP</w:t>
      </w:r>
      <w:r>
        <w:rPr>
          <w:rFonts w:hint="eastAsia" w:ascii="宋体" w:hAnsi="宋体"/>
        </w:rPr>
        <w:t>管理体系要求，做好各项相关的信息收集、系统更新工作。</w:t>
      </w:r>
    </w:p>
    <w:p w14:paraId="7CBAC83D">
      <w:pPr>
        <w:numPr>
          <w:ilvl w:val="0"/>
          <w:numId w:val="3"/>
        </w:numPr>
        <w:spacing w:line="440" w:lineRule="exact"/>
        <w:rPr>
          <w:rFonts w:ascii="宋体" w:hAnsi="宋体"/>
        </w:rPr>
      </w:pPr>
      <w:r>
        <w:rPr>
          <w:rFonts w:hint="eastAsia" w:ascii="宋体" w:hAnsi="宋体"/>
        </w:rPr>
        <w:t>按照政府监管要求，负责产品销售台账的登记与管理工作。</w:t>
      </w:r>
    </w:p>
    <w:p w14:paraId="094F9CC9">
      <w:pPr>
        <w:numPr>
          <w:ilvl w:val="0"/>
          <w:numId w:val="3"/>
        </w:numPr>
        <w:spacing w:line="440" w:lineRule="exact"/>
        <w:rPr>
          <w:rFonts w:ascii="宋体" w:hAnsi="宋体"/>
        </w:rPr>
      </w:pPr>
      <w:r>
        <w:rPr>
          <w:rFonts w:hint="eastAsia" w:ascii="宋体" w:hAnsi="宋体"/>
        </w:rPr>
        <w:t>当食品安全、卫生或质量问题发生时，如属于产品召回时，应及时做好产品召回。</w:t>
      </w:r>
    </w:p>
    <w:p w14:paraId="60991E17">
      <w:pPr>
        <w:numPr>
          <w:ilvl w:val="0"/>
          <w:numId w:val="3"/>
        </w:numPr>
        <w:spacing w:line="440" w:lineRule="exact"/>
        <w:rPr>
          <w:rFonts w:ascii="宋体" w:hAnsi="宋体"/>
        </w:rPr>
      </w:pPr>
      <w:r>
        <w:rPr>
          <w:rFonts w:hint="eastAsia" w:ascii="宋体" w:hAnsi="宋体"/>
        </w:rPr>
        <w:t>按照食品安全卫生管理体系要求，按规定时间做好产品召回模拟测试工作，确保产品召回机制运作有效。</w:t>
      </w:r>
    </w:p>
    <w:p w14:paraId="608656F5">
      <w:pPr>
        <w:numPr>
          <w:ilvl w:val="0"/>
          <w:numId w:val="3"/>
        </w:numPr>
        <w:spacing w:line="440" w:lineRule="exact"/>
        <w:rPr>
          <w:rFonts w:ascii="宋体" w:hAnsi="宋体"/>
        </w:rPr>
      </w:pPr>
      <w:r>
        <w:rPr>
          <w:rFonts w:hint="eastAsia" w:ascii="宋体" w:hAnsi="宋体"/>
        </w:rPr>
        <w:t>食品安全事故发生时，立即发挥部门职能作用，按要求做好规定的工作。</w:t>
      </w:r>
    </w:p>
    <w:p w14:paraId="43D0DF28">
      <w:pPr>
        <w:numPr>
          <w:ilvl w:val="0"/>
          <w:numId w:val="3"/>
        </w:numPr>
        <w:spacing w:line="440" w:lineRule="exact"/>
        <w:rPr>
          <w:rFonts w:ascii="宋体" w:hAnsi="宋体"/>
        </w:rPr>
      </w:pPr>
      <w:r>
        <w:rPr>
          <w:rFonts w:hint="eastAsia" w:ascii="宋体" w:hAnsi="宋体"/>
        </w:rPr>
        <w:t>负责前提方案PRP（S）、可操作性前提方案OPRP（S）的实施、验证、更新与改进。</w:t>
      </w:r>
    </w:p>
    <w:p w14:paraId="52BB528F">
      <w:pPr>
        <w:numPr>
          <w:ilvl w:val="0"/>
          <w:numId w:val="3"/>
        </w:numPr>
        <w:spacing w:line="440" w:lineRule="exact"/>
        <w:rPr>
          <w:rFonts w:ascii="宋体" w:hAnsi="宋体"/>
        </w:rPr>
      </w:pPr>
      <w:r>
        <w:rPr>
          <w:rFonts w:hint="eastAsia" w:ascii="宋体" w:hAnsi="宋体"/>
        </w:rPr>
        <w:t>负责食品安全/</w:t>
      </w:r>
      <w:r>
        <w:rPr>
          <w:rFonts w:ascii="宋体" w:hAnsi="宋体"/>
        </w:rPr>
        <w:t>危害控制计划</w:t>
      </w:r>
      <w:r>
        <w:rPr>
          <w:rFonts w:hint="eastAsia" w:ascii="宋体" w:hAnsi="宋体"/>
        </w:rPr>
        <w:t>实施过程的监督，检查、纠正、纠正措施、验证的实施。</w:t>
      </w:r>
    </w:p>
    <w:p w14:paraId="3B5FE984">
      <w:pPr>
        <w:numPr>
          <w:ilvl w:val="0"/>
          <w:numId w:val="3"/>
        </w:numPr>
        <w:spacing w:line="440" w:lineRule="exact"/>
        <w:rPr>
          <w:rFonts w:ascii="宋体" w:hAnsi="宋体"/>
        </w:rPr>
      </w:pPr>
      <w:r>
        <w:rPr>
          <w:rFonts w:hint="eastAsia" w:ascii="宋体" w:hAnsi="宋体"/>
        </w:rPr>
        <w:t>负责初加工设施设备使用、维护，确保各项状况符合食品安全、职业健康、环保卫生、配送安全。</w:t>
      </w:r>
    </w:p>
    <w:p w14:paraId="0E3E611E">
      <w:pPr>
        <w:numPr>
          <w:ilvl w:val="0"/>
          <w:numId w:val="3"/>
        </w:numPr>
        <w:spacing w:line="440" w:lineRule="exact"/>
        <w:rPr>
          <w:rFonts w:ascii="宋体" w:hAnsi="宋体"/>
        </w:rPr>
      </w:pPr>
      <w:r>
        <w:rPr>
          <w:rFonts w:hint="eastAsia" w:ascii="宋体" w:hAnsi="宋体"/>
        </w:rPr>
        <w:t>严格按照操作性方案OPRP（S）要求，做好各项卫生控制，防止各类交叉污染的发生，确保符合食品安全卫生要求。</w:t>
      </w:r>
    </w:p>
    <w:p w14:paraId="637CD245">
      <w:pPr>
        <w:numPr>
          <w:ilvl w:val="0"/>
          <w:numId w:val="3"/>
        </w:numPr>
        <w:spacing w:line="440" w:lineRule="exact"/>
        <w:rPr>
          <w:rFonts w:ascii="宋体" w:hAnsi="宋体"/>
        </w:rPr>
      </w:pPr>
      <w:r>
        <w:rPr>
          <w:rFonts w:hint="eastAsia" w:ascii="宋体" w:hAnsi="宋体"/>
        </w:rPr>
        <w:t>负责来料的接收和分发的安全、准确和及时性；</w:t>
      </w:r>
    </w:p>
    <w:p w14:paraId="39618666">
      <w:pPr>
        <w:numPr>
          <w:ilvl w:val="0"/>
          <w:numId w:val="3"/>
        </w:numPr>
        <w:spacing w:line="440" w:lineRule="exact"/>
        <w:rPr>
          <w:rFonts w:ascii="宋体" w:hAnsi="宋体"/>
        </w:rPr>
      </w:pPr>
      <w:r>
        <w:rPr>
          <w:rFonts w:hint="eastAsia" w:ascii="宋体" w:hAnsi="宋体"/>
        </w:rPr>
        <w:t>负责服务现场的5S（整理、整顿、清扫、清洁、素养）；</w:t>
      </w:r>
    </w:p>
    <w:p w14:paraId="47E977FB">
      <w:pPr>
        <w:numPr>
          <w:ilvl w:val="0"/>
          <w:numId w:val="3"/>
        </w:numPr>
        <w:spacing w:line="440" w:lineRule="exact"/>
        <w:rPr>
          <w:rFonts w:ascii="宋体" w:hAnsi="宋体"/>
        </w:rPr>
      </w:pPr>
      <w:r>
        <w:rPr>
          <w:rFonts w:hint="eastAsia" w:ascii="宋体" w:hAnsi="宋体"/>
        </w:rPr>
        <w:t>制定部门营销战略规划策略</w:t>
      </w:r>
      <w:r>
        <w:rPr>
          <w:rFonts w:ascii="宋体" w:hAnsi="宋体"/>
        </w:rPr>
        <w:t> </w:t>
      </w:r>
    </w:p>
    <w:p w14:paraId="5334ABAA">
      <w:pPr>
        <w:numPr>
          <w:ilvl w:val="0"/>
          <w:numId w:val="3"/>
        </w:numPr>
        <w:spacing w:line="440" w:lineRule="exact"/>
        <w:rPr>
          <w:rFonts w:ascii="宋体" w:hAnsi="宋体"/>
        </w:rPr>
      </w:pPr>
      <w:r>
        <w:rPr>
          <w:rFonts w:hint="eastAsia" w:ascii="宋体" w:hAnsi="宋体"/>
        </w:rPr>
        <w:t>完成市场开发工作</w:t>
      </w:r>
      <w:r>
        <w:rPr>
          <w:rFonts w:ascii="宋体" w:hAnsi="宋体"/>
        </w:rPr>
        <w:t> </w:t>
      </w:r>
    </w:p>
    <w:p w14:paraId="342E4C3F">
      <w:pPr>
        <w:numPr>
          <w:ilvl w:val="0"/>
          <w:numId w:val="3"/>
        </w:numPr>
        <w:spacing w:line="440" w:lineRule="exact"/>
        <w:rPr>
          <w:rFonts w:ascii="宋体" w:hAnsi="宋体"/>
        </w:rPr>
      </w:pPr>
      <w:r>
        <w:rPr>
          <w:rFonts w:hint="eastAsia" w:ascii="宋体" w:hAnsi="宋体"/>
        </w:rPr>
        <w:t>组织进行顾客满意度调查，汇总调查结果并对其进行分析；</w:t>
      </w:r>
    </w:p>
    <w:p w14:paraId="296A13F2">
      <w:pPr>
        <w:numPr>
          <w:ilvl w:val="0"/>
          <w:numId w:val="3"/>
        </w:numPr>
        <w:spacing w:line="440" w:lineRule="exact"/>
        <w:rPr>
          <w:rFonts w:ascii="宋体" w:hAnsi="宋体"/>
        </w:rPr>
      </w:pPr>
      <w:r>
        <w:rPr>
          <w:rFonts w:hint="eastAsia" w:ascii="宋体" w:hAnsi="宋体"/>
        </w:rPr>
        <w:t>负责协调处理客户反馈；</w:t>
      </w:r>
    </w:p>
    <w:p w14:paraId="30483DD0">
      <w:pPr>
        <w:numPr>
          <w:ilvl w:val="0"/>
          <w:numId w:val="3"/>
        </w:numPr>
        <w:spacing w:line="440" w:lineRule="exact"/>
        <w:rPr>
          <w:rFonts w:ascii="宋体" w:hAnsi="宋体"/>
        </w:rPr>
      </w:pPr>
      <w:r>
        <w:rPr>
          <w:rFonts w:hint="eastAsia" w:ascii="宋体" w:hAnsi="宋体"/>
        </w:rPr>
        <w:t>负责客户合同、订单评审与签订，保持与内部各部门沟通，确保按合同/订单要求向客户交付产品。</w:t>
      </w:r>
    </w:p>
    <w:p w14:paraId="709D2ADD">
      <w:pPr>
        <w:numPr>
          <w:ilvl w:val="0"/>
          <w:numId w:val="3"/>
        </w:numPr>
        <w:spacing w:line="440" w:lineRule="exact"/>
        <w:rPr>
          <w:rFonts w:ascii="宋体" w:hAnsi="宋体"/>
        </w:rPr>
      </w:pPr>
      <w:r>
        <w:rPr>
          <w:rFonts w:hint="eastAsia" w:ascii="宋体" w:hAnsi="宋体"/>
        </w:rPr>
        <w:t>做好与客户的沟通，及时收集客户、消费者的投诉、意见；做好市场调查，获取相关食品安全信息。做好客户投诉的处置与改进。</w:t>
      </w:r>
    </w:p>
    <w:p w14:paraId="34FF5D75">
      <w:pPr>
        <w:numPr>
          <w:ilvl w:val="0"/>
          <w:numId w:val="3"/>
        </w:numPr>
        <w:spacing w:line="440" w:lineRule="exact"/>
        <w:rPr>
          <w:rFonts w:ascii="宋体" w:hAnsi="宋体"/>
        </w:rPr>
      </w:pPr>
      <w:r>
        <w:rPr>
          <w:rFonts w:hint="eastAsia" w:ascii="宋体" w:hAnsi="宋体"/>
        </w:rPr>
        <w:t>负责产品销售期间的食品安全、卫生质量、货架寿命等变化趋势的监视。</w:t>
      </w:r>
    </w:p>
    <w:p w14:paraId="652377F2">
      <w:pPr>
        <w:spacing w:line="460" w:lineRule="exact"/>
        <w:rPr>
          <w:rFonts w:ascii="宋体" w:hAnsi="宋体"/>
          <w:b/>
          <w:bCs/>
        </w:rPr>
      </w:pPr>
      <w:r>
        <w:rPr>
          <w:rFonts w:hint="eastAsia" w:ascii="宋体" w:hAnsi="宋体"/>
          <w:b/>
          <w:bCs/>
        </w:rPr>
        <w:t>行政部</w:t>
      </w:r>
    </w:p>
    <w:p w14:paraId="480329C5">
      <w:pPr>
        <w:numPr>
          <w:ilvl w:val="0"/>
          <w:numId w:val="3"/>
        </w:numPr>
        <w:spacing w:line="440" w:lineRule="exact"/>
        <w:rPr>
          <w:rFonts w:ascii="宋体" w:hAnsi="宋体"/>
        </w:rPr>
      </w:pPr>
      <w:r>
        <w:rPr>
          <w:rFonts w:hint="eastAsia" w:ascii="宋体" w:hAnsi="宋体"/>
        </w:rPr>
        <w:t>负责建立公司的人事制度，并组织实施；负责建立公司的行政制度，并组织实施；负责制定员工的培训制度，并组织实施。</w:t>
      </w:r>
    </w:p>
    <w:p w14:paraId="790E5721">
      <w:pPr>
        <w:numPr>
          <w:ilvl w:val="0"/>
          <w:numId w:val="3"/>
        </w:numPr>
        <w:spacing w:line="440" w:lineRule="exact"/>
        <w:rPr>
          <w:rFonts w:ascii="宋体" w:hAnsi="宋体"/>
        </w:rPr>
      </w:pPr>
      <w:r>
        <w:rPr>
          <w:rFonts w:hint="eastAsia" w:ascii="宋体" w:hAnsi="宋体"/>
        </w:rPr>
        <w:t>负责建立员工人事档案</w:t>
      </w:r>
      <w:r>
        <w:rPr>
          <w:rFonts w:ascii="宋体" w:hAnsi="宋体"/>
        </w:rPr>
        <w:t>(</w:t>
      </w:r>
      <w:r>
        <w:rPr>
          <w:rFonts w:hint="eastAsia" w:ascii="宋体" w:hAnsi="宋体"/>
        </w:rPr>
        <w:t>包含员工的教育、培训、技能、经历的记录</w:t>
      </w:r>
      <w:r>
        <w:rPr>
          <w:rFonts w:ascii="宋体" w:hAnsi="宋体"/>
        </w:rPr>
        <w:t>)</w:t>
      </w:r>
      <w:r>
        <w:rPr>
          <w:rFonts w:hint="eastAsia" w:ascii="宋体" w:hAnsi="宋体"/>
        </w:rPr>
        <w:t>。</w:t>
      </w:r>
    </w:p>
    <w:p w14:paraId="5B6374F4">
      <w:pPr>
        <w:numPr>
          <w:ilvl w:val="0"/>
          <w:numId w:val="3"/>
        </w:numPr>
        <w:spacing w:line="440" w:lineRule="exact"/>
        <w:rPr>
          <w:rFonts w:ascii="宋体" w:hAnsi="宋体"/>
        </w:rPr>
      </w:pPr>
      <w:r>
        <w:rPr>
          <w:rFonts w:hint="eastAsia" w:ascii="宋体" w:hAnsi="宋体"/>
        </w:rPr>
        <w:t>负责考勤、工资、福利管理；</w:t>
      </w:r>
    </w:p>
    <w:p w14:paraId="4FD30734">
      <w:pPr>
        <w:numPr>
          <w:ilvl w:val="0"/>
          <w:numId w:val="3"/>
        </w:numPr>
        <w:spacing w:line="440" w:lineRule="exact"/>
        <w:rPr>
          <w:rFonts w:ascii="宋体" w:hAnsi="宋体"/>
        </w:rPr>
      </w:pPr>
      <w:r>
        <w:rPr>
          <w:rFonts w:hint="eastAsia" w:ascii="宋体" w:hAnsi="宋体"/>
        </w:rPr>
        <w:t>负责消防与安全管理；负责办公用品、劳保用品的申购、发放。</w:t>
      </w:r>
    </w:p>
    <w:p w14:paraId="0C6CDF41">
      <w:pPr>
        <w:numPr>
          <w:ilvl w:val="0"/>
          <w:numId w:val="3"/>
        </w:numPr>
        <w:spacing w:line="440" w:lineRule="exact"/>
        <w:rPr>
          <w:rFonts w:ascii="宋体" w:hAnsi="宋体"/>
        </w:rPr>
      </w:pPr>
      <w:r>
        <w:rPr>
          <w:rFonts w:hint="eastAsia" w:ascii="宋体" w:hAnsi="宋体"/>
        </w:rPr>
        <w:t>负责所有受控文件的发放和管理并指导各部门进行文件管理。</w:t>
      </w:r>
    </w:p>
    <w:p w14:paraId="2177F00F">
      <w:pPr>
        <w:numPr>
          <w:ilvl w:val="0"/>
          <w:numId w:val="3"/>
        </w:numPr>
        <w:spacing w:line="440" w:lineRule="exact"/>
        <w:rPr>
          <w:rFonts w:ascii="宋体" w:hAnsi="宋体"/>
        </w:rPr>
      </w:pPr>
      <w:r>
        <w:rPr>
          <w:rFonts w:hint="eastAsia" w:ascii="宋体" w:hAnsi="宋体"/>
        </w:rPr>
        <w:t>负责组织员工的健康检查；负责公共环境的卫生清理、清扫；负责组织灭鼠、灭蚊。</w:t>
      </w:r>
    </w:p>
    <w:p w14:paraId="60D4E334">
      <w:pPr>
        <w:numPr>
          <w:ilvl w:val="0"/>
          <w:numId w:val="3"/>
        </w:numPr>
        <w:spacing w:line="440" w:lineRule="exact"/>
        <w:rPr>
          <w:rFonts w:ascii="宋体" w:hAnsi="宋体"/>
        </w:rPr>
      </w:pPr>
      <w:r>
        <w:rPr>
          <w:rFonts w:hint="eastAsia" w:ascii="宋体" w:hAnsi="宋体"/>
        </w:rPr>
        <w:t>负责公司废弃物的分类、管理、处理；复印机废旧墨盒、硒鼓及废纸处理；</w:t>
      </w:r>
      <w:r>
        <w:rPr>
          <w:rFonts w:ascii="宋体" w:hAnsi="宋体"/>
        </w:rPr>
        <w:t xml:space="preserve"> </w:t>
      </w:r>
    </w:p>
    <w:p w14:paraId="5808F44E">
      <w:pPr>
        <w:numPr>
          <w:ilvl w:val="0"/>
          <w:numId w:val="3"/>
        </w:numPr>
        <w:spacing w:line="440" w:lineRule="exact"/>
        <w:rPr>
          <w:rFonts w:ascii="宋体" w:hAnsi="宋体"/>
        </w:rPr>
      </w:pPr>
      <w:r>
        <w:rPr>
          <w:rFonts w:hint="eastAsia" w:ascii="宋体" w:hAnsi="宋体"/>
        </w:rPr>
        <w:t>负责组织员工开展遵章守纪和预防事故的群众性活动。关心员工安全条件的改善，加强女工保护，并做好伤亡事故的善后处理工作。</w:t>
      </w:r>
    </w:p>
    <w:p w14:paraId="6E924B05">
      <w:pPr>
        <w:pStyle w:val="28"/>
        <w:rPr>
          <w:rFonts w:hAnsi="宋体"/>
        </w:rPr>
      </w:pPr>
    </w:p>
    <w:p w14:paraId="2E0A6010">
      <w:pPr>
        <w:rPr>
          <w:b/>
          <w:bCs/>
        </w:rPr>
      </w:pPr>
      <w:r>
        <w:rPr>
          <w:rFonts w:hint="eastAsia"/>
          <w:b/>
          <w:bCs/>
        </w:rPr>
        <w:t>财务部：</w:t>
      </w:r>
    </w:p>
    <w:p w14:paraId="72BB324A">
      <w:pPr>
        <w:numPr>
          <w:ilvl w:val="0"/>
          <w:numId w:val="3"/>
        </w:numPr>
        <w:spacing w:line="440" w:lineRule="exact"/>
        <w:rPr>
          <w:rFonts w:ascii="宋体" w:hAnsi="宋体"/>
        </w:rPr>
      </w:pPr>
      <w:r>
        <w:rPr>
          <w:rFonts w:hint="eastAsia" w:ascii="宋体" w:hAnsi="宋体"/>
        </w:rPr>
        <w:t>--负责公司的财务管理，进行公司财务风险分析，定期编制财务报表及时作出经济分析报告(包括项目成本控制分析，质量成本趋势和环境控制、安全技术措施费用的投入趋势和各类事故处理费用的趋势分析等），及时反映公司的财务状况；</w:t>
      </w:r>
    </w:p>
    <w:p w14:paraId="52E8CE72">
      <w:pPr>
        <w:numPr>
          <w:ilvl w:val="0"/>
          <w:numId w:val="3"/>
        </w:numPr>
        <w:spacing w:line="440" w:lineRule="exact"/>
        <w:rPr>
          <w:rFonts w:ascii="宋体" w:hAnsi="宋体"/>
        </w:rPr>
      </w:pPr>
      <w:r>
        <w:rPr>
          <w:rFonts w:hint="eastAsia" w:ascii="宋体" w:hAnsi="宋体"/>
        </w:rPr>
        <w:t>--为质量、环境和职业健康安全管理体系的正常运行提供财力保障；</w:t>
      </w:r>
    </w:p>
    <w:p w14:paraId="481AFDC6">
      <w:pPr>
        <w:numPr>
          <w:ilvl w:val="0"/>
          <w:numId w:val="3"/>
        </w:numPr>
        <w:spacing w:line="440" w:lineRule="exact"/>
        <w:rPr>
          <w:rFonts w:ascii="宋体" w:hAnsi="宋体"/>
        </w:rPr>
      </w:pPr>
      <w:r>
        <w:rPr>
          <w:rFonts w:hint="eastAsia" w:ascii="宋体" w:hAnsi="宋体"/>
        </w:rPr>
        <w:t>--负责本部门环境因素、危险源的识别及评价工作</w:t>
      </w:r>
    </w:p>
    <w:p w14:paraId="57695C3B"/>
    <w:p w14:paraId="50135142">
      <w:pPr>
        <w:spacing w:line="460" w:lineRule="exact"/>
        <w:rPr>
          <w:rFonts w:ascii="宋体" w:hAnsi="宋体"/>
          <w:b/>
          <w:bCs/>
        </w:rPr>
      </w:pPr>
      <w:r>
        <w:rPr>
          <w:rFonts w:hint="eastAsia" w:ascii="宋体" w:hAnsi="宋体"/>
          <w:b/>
          <w:bCs/>
        </w:rPr>
        <w:t>内审员</w:t>
      </w:r>
    </w:p>
    <w:p w14:paraId="5E99812B">
      <w:pPr>
        <w:pStyle w:val="50"/>
        <w:numPr>
          <w:ilvl w:val="2"/>
          <w:numId w:val="4"/>
        </w:numPr>
        <w:spacing w:line="440" w:lineRule="exact"/>
        <w:ind w:firstLineChars="0"/>
        <w:jc w:val="left"/>
        <w:rPr>
          <w:rFonts w:ascii="宋体" w:hAnsi="宋体"/>
        </w:rPr>
      </w:pPr>
      <w:r>
        <w:rPr>
          <w:rFonts w:hint="eastAsia" w:ascii="宋体" w:hAnsi="宋体"/>
        </w:rPr>
        <w:t>审核组长根据内部审核方案的安排，制定审核计划，全面负责审核各阶段的工作，对审核结果的正确性负责，并向行政部提供审核报告和全部审核记录；</w:t>
      </w:r>
    </w:p>
    <w:p w14:paraId="7DB8482C">
      <w:pPr>
        <w:pStyle w:val="50"/>
        <w:numPr>
          <w:ilvl w:val="2"/>
          <w:numId w:val="4"/>
        </w:numPr>
        <w:spacing w:line="440" w:lineRule="exact"/>
        <w:ind w:firstLineChars="0"/>
        <w:jc w:val="left"/>
        <w:rPr>
          <w:rFonts w:ascii="宋体" w:hAnsi="宋体"/>
        </w:rPr>
      </w:pPr>
      <w:r>
        <w:rPr>
          <w:rFonts w:hint="eastAsia" w:ascii="宋体" w:hAnsi="宋体"/>
        </w:rPr>
        <w:t>内审员根据审核计划按程序要求完成所承担的审核任务；</w:t>
      </w:r>
    </w:p>
    <w:p w14:paraId="0E8430E5">
      <w:pPr>
        <w:pStyle w:val="50"/>
        <w:numPr>
          <w:ilvl w:val="2"/>
          <w:numId w:val="4"/>
        </w:numPr>
        <w:spacing w:line="440" w:lineRule="exact"/>
        <w:ind w:firstLineChars="0"/>
        <w:jc w:val="left"/>
        <w:rPr>
          <w:rFonts w:ascii="宋体" w:hAnsi="宋体"/>
        </w:rPr>
      </w:pPr>
      <w:r>
        <w:rPr>
          <w:rFonts w:hint="eastAsia" w:ascii="宋体" w:hAnsi="宋体"/>
        </w:rPr>
        <w:t>内审组成员负责对审核结果中不符合项导致纠正措施的有效性进行验证；</w:t>
      </w:r>
    </w:p>
    <w:p w14:paraId="0BB5FB4D">
      <w:pPr>
        <w:pStyle w:val="50"/>
        <w:numPr>
          <w:ilvl w:val="2"/>
          <w:numId w:val="4"/>
        </w:numPr>
        <w:spacing w:line="440" w:lineRule="exact"/>
        <w:ind w:firstLineChars="0"/>
        <w:jc w:val="left"/>
        <w:rPr>
          <w:rFonts w:ascii="宋体" w:hAnsi="宋体"/>
        </w:rPr>
      </w:pPr>
      <w:r>
        <w:rPr>
          <w:rFonts w:hint="eastAsia" w:ascii="宋体" w:hAnsi="宋体"/>
        </w:rPr>
        <w:t>内审员不能审核自己所在部门的工作。</w:t>
      </w:r>
    </w:p>
    <w:p w14:paraId="2C151C62">
      <w:pPr>
        <w:spacing w:line="460" w:lineRule="exact"/>
        <w:jc w:val="left"/>
        <w:rPr>
          <w:rFonts w:ascii="宋体" w:hAnsi="宋体"/>
          <w:b/>
          <w:bCs/>
        </w:rPr>
      </w:pPr>
      <w:r>
        <w:rPr>
          <w:rFonts w:hint="eastAsia" w:ascii="宋体" w:hAnsi="宋体"/>
          <w:b/>
          <w:bCs/>
        </w:rPr>
        <w:t>全体员工</w:t>
      </w:r>
    </w:p>
    <w:p w14:paraId="1BCE2C18">
      <w:pPr>
        <w:pStyle w:val="50"/>
        <w:numPr>
          <w:ilvl w:val="2"/>
          <w:numId w:val="4"/>
        </w:numPr>
        <w:spacing w:line="440" w:lineRule="exact"/>
        <w:ind w:firstLineChars="0"/>
        <w:jc w:val="left"/>
        <w:rPr>
          <w:rFonts w:ascii="宋体" w:hAnsi="宋体"/>
        </w:rPr>
      </w:pPr>
      <w:r>
        <w:rPr>
          <w:rFonts w:hint="eastAsia" w:ascii="宋体" w:hAnsi="宋体"/>
        </w:rPr>
        <w:t>正确掌握和理解公司方针目标，并自觉贯彻执行；</w:t>
      </w:r>
    </w:p>
    <w:p w14:paraId="5B39D6D4">
      <w:pPr>
        <w:pStyle w:val="50"/>
        <w:numPr>
          <w:ilvl w:val="2"/>
          <w:numId w:val="4"/>
        </w:numPr>
        <w:spacing w:line="440" w:lineRule="exact"/>
        <w:ind w:firstLineChars="0"/>
        <w:jc w:val="left"/>
        <w:rPr>
          <w:rFonts w:ascii="宋体" w:hAnsi="宋体"/>
        </w:rPr>
      </w:pPr>
      <w:r>
        <w:rPr>
          <w:rFonts w:hint="eastAsia" w:ascii="宋体" w:hAnsi="宋体"/>
        </w:rPr>
        <w:t>坚持以顾客为关注焦点，自觉执行所承担的质量环境职业健康安全/食品安全/HACCP体系职能，并对其工作质量负责；</w:t>
      </w:r>
    </w:p>
    <w:p w14:paraId="6BEEBE1C">
      <w:pPr>
        <w:pStyle w:val="50"/>
        <w:numPr>
          <w:ilvl w:val="2"/>
          <w:numId w:val="4"/>
        </w:numPr>
        <w:spacing w:line="440" w:lineRule="exact"/>
        <w:ind w:firstLineChars="0"/>
        <w:jc w:val="left"/>
        <w:rPr>
          <w:rFonts w:ascii="宋体" w:hAnsi="宋体"/>
        </w:rPr>
      </w:pPr>
      <w:r>
        <w:rPr>
          <w:rFonts w:hint="eastAsia" w:ascii="宋体" w:hAnsi="宋体"/>
        </w:rPr>
        <w:t>严格执行“管理手册”和相关的程序文件所规定的与自己有关的要求，使其所开展的活动处于受控状态；</w:t>
      </w:r>
    </w:p>
    <w:p w14:paraId="69A988BB">
      <w:pPr>
        <w:pStyle w:val="50"/>
        <w:numPr>
          <w:ilvl w:val="2"/>
          <w:numId w:val="4"/>
        </w:numPr>
        <w:spacing w:line="440" w:lineRule="exact"/>
        <w:ind w:firstLineChars="0"/>
        <w:jc w:val="left"/>
        <w:rPr>
          <w:rFonts w:ascii="宋体" w:hAnsi="宋体"/>
        </w:rPr>
      </w:pPr>
      <w:r>
        <w:rPr>
          <w:rFonts w:hint="eastAsia" w:ascii="宋体" w:hAnsi="宋体"/>
        </w:rPr>
        <w:t>积极开展质量攻关和质量改进活动，对所自爱区域内的食品卫生进行控制，防止不合格品和潜在不安全食品的发生。</w:t>
      </w:r>
    </w:p>
    <w:p w14:paraId="3EAEEEBA">
      <w:pPr>
        <w:pStyle w:val="4"/>
      </w:pPr>
      <w:bookmarkStart w:id="17" w:name="_Toc56146378"/>
      <w:bookmarkStart w:id="18" w:name="_Toc110460615"/>
      <w:r>
        <w:rPr>
          <w:rFonts w:hint="eastAsia"/>
        </w:rPr>
        <w:t>5.4　工作人员的协商和参与</w:t>
      </w:r>
      <w:bookmarkEnd w:id="17"/>
      <w:bookmarkEnd w:id="18"/>
    </w:p>
    <w:p w14:paraId="7D118CFD">
      <w:pPr>
        <w:spacing w:line="360" w:lineRule="auto"/>
        <w:ind w:firstLine="480" w:firstLineChars="200"/>
        <w:rPr>
          <w:rFonts w:ascii="宋体" w:hAnsi="宋体" w:cs="宋体"/>
          <w:sz w:val="24"/>
          <w:szCs w:val="24"/>
        </w:rPr>
      </w:pPr>
      <w:r>
        <w:rPr>
          <w:rFonts w:hint="eastAsia" w:ascii="宋体" w:hAnsi="宋体" w:cs="宋体"/>
          <w:sz w:val="24"/>
          <w:szCs w:val="24"/>
        </w:rPr>
        <w:t>公司应建立、实施和保持过程，让所有适用层次和职能的工作人员及其代表（若有）协商和参与职业健康安全管理体系的开发、策划、实施、绩效评价和改进。</w:t>
      </w:r>
    </w:p>
    <w:p w14:paraId="78D08C65">
      <w:pPr>
        <w:spacing w:line="360" w:lineRule="auto"/>
        <w:rPr>
          <w:rFonts w:ascii="宋体" w:hAnsi="宋体" w:cs="宋体"/>
          <w:sz w:val="24"/>
          <w:szCs w:val="24"/>
        </w:rPr>
      </w:pPr>
      <w:r>
        <w:rPr>
          <w:rFonts w:hint="eastAsia" w:ascii="宋体" w:hAnsi="宋体" w:cs="宋体"/>
          <w:sz w:val="24"/>
          <w:szCs w:val="24"/>
        </w:rPr>
        <w:t>公司应：</w:t>
      </w:r>
    </w:p>
    <w:p w14:paraId="6EBFE51D">
      <w:pPr>
        <w:spacing w:line="360" w:lineRule="auto"/>
        <w:ind w:firstLine="480" w:firstLineChars="200"/>
        <w:rPr>
          <w:rFonts w:ascii="宋体" w:hAnsi="宋体" w:cs="宋体"/>
          <w:sz w:val="24"/>
          <w:szCs w:val="24"/>
        </w:rPr>
      </w:pPr>
      <w:r>
        <w:rPr>
          <w:rFonts w:hint="eastAsia" w:ascii="宋体" w:hAnsi="宋体" w:cs="宋体"/>
          <w:sz w:val="24"/>
          <w:szCs w:val="24"/>
        </w:rPr>
        <w:t>a）为协商和参与提供必要的机制、时间、培训和资源；</w:t>
      </w:r>
    </w:p>
    <w:p w14:paraId="146A29AA">
      <w:pPr>
        <w:spacing w:line="360" w:lineRule="auto"/>
        <w:ind w:firstLine="480" w:firstLineChars="200"/>
        <w:rPr>
          <w:rFonts w:ascii="宋体" w:hAnsi="宋体" w:cs="宋体"/>
          <w:sz w:val="24"/>
          <w:szCs w:val="24"/>
        </w:rPr>
      </w:pPr>
      <w:r>
        <w:rPr>
          <w:rFonts w:hint="eastAsia" w:ascii="宋体" w:hAnsi="宋体" w:cs="宋体"/>
          <w:sz w:val="24"/>
          <w:szCs w:val="24"/>
        </w:rPr>
        <w:t>b）及时提供渠道，以获取清晰的、可理解的和相关的职业健康安全管理体系信息；</w:t>
      </w:r>
    </w:p>
    <w:p w14:paraId="5521EA98">
      <w:pPr>
        <w:spacing w:line="360" w:lineRule="auto"/>
        <w:ind w:firstLine="480" w:firstLineChars="200"/>
        <w:rPr>
          <w:rFonts w:ascii="宋体" w:hAnsi="宋体" w:cs="宋体"/>
          <w:sz w:val="24"/>
          <w:szCs w:val="24"/>
        </w:rPr>
      </w:pPr>
      <w:r>
        <w:rPr>
          <w:rFonts w:hint="eastAsia" w:ascii="宋体" w:hAnsi="宋体" w:cs="宋体"/>
          <w:sz w:val="24"/>
          <w:szCs w:val="24"/>
        </w:rPr>
        <w:t>c）确定和消除妨碍参与的障碍或壁垒，并尽可能减少那些无法消除的障碍或壁垒；</w:t>
      </w:r>
    </w:p>
    <w:p w14:paraId="62A12F16">
      <w:pPr>
        <w:spacing w:line="360" w:lineRule="auto"/>
        <w:ind w:firstLine="480" w:firstLineChars="200"/>
        <w:rPr>
          <w:rFonts w:ascii="宋体" w:hAnsi="宋体" w:cs="宋体"/>
          <w:sz w:val="24"/>
          <w:szCs w:val="24"/>
        </w:rPr>
      </w:pPr>
      <w:r>
        <w:rPr>
          <w:rFonts w:hint="eastAsia" w:ascii="宋体" w:hAnsi="宋体" w:cs="宋体"/>
          <w:sz w:val="24"/>
          <w:szCs w:val="24"/>
        </w:rPr>
        <w:t>d）强调与非管理类工作人员在如下方面的协商：</w:t>
      </w:r>
    </w:p>
    <w:p w14:paraId="17E6D7D2">
      <w:pPr>
        <w:spacing w:line="360" w:lineRule="auto"/>
        <w:ind w:firstLine="480" w:firstLineChars="200"/>
        <w:rPr>
          <w:rFonts w:ascii="宋体" w:hAnsi="宋体" w:cs="宋体"/>
          <w:sz w:val="24"/>
          <w:szCs w:val="24"/>
        </w:rPr>
      </w:pPr>
      <w:r>
        <w:rPr>
          <w:rFonts w:hint="eastAsia" w:ascii="宋体" w:hAnsi="宋体" w:cs="宋体"/>
          <w:sz w:val="24"/>
          <w:szCs w:val="24"/>
        </w:rPr>
        <w:t>1）确定相关方的需求和期望；</w:t>
      </w:r>
    </w:p>
    <w:p w14:paraId="5CF1BBBD">
      <w:pPr>
        <w:spacing w:line="360" w:lineRule="auto"/>
        <w:ind w:firstLine="480" w:firstLineChars="200"/>
        <w:rPr>
          <w:rFonts w:ascii="宋体" w:hAnsi="宋体" w:cs="宋体"/>
          <w:sz w:val="24"/>
          <w:szCs w:val="24"/>
        </w:rPr>
      </w:pPr>
      <w:r>
        <w:rPr>
          <w:rFonts w:hint="eastAsia" w:ascii="宋体" w:hAnsi="宋体" w:cs="宋体"/>
          <w:sz w:val="24"/>
          <w:szCs w:val="24"/>
        </w:rPr>
        <w:t>2）建立职业健康安全方针；</w:t>
      </w:r>
    </w:p>
    <w:p w14:paraId="6F8BA72E">
      <w:pPr>
        <w:spacing w:line="360" w:lineRule="auto"/>
        <w:ind w:firstLine="480" w:firstLineChars="200"/>
        <w:rPr>
          <w:rFonts w:ascii="宋体" w:hAnsi="宋体" w:cs="宋体"/>
          <w:sz w:val="24"/>
          <w:szCs w:val="24"/>
        </w:rPr>
      </w:pPr>
      <w:r>
        <w:rPr>
          <w:rFonts w:hint="eastAsia" w:ascii="宋体" w:hAnsi="宋体" w:cs="宋体"/>
          <w:sz w:val="24"/>
          <w:szCs w:val="24"/>
        </w:rPr>
        <w:t>3）适用时，分配公司的角色、职责和权限；</w:t>
      </w:r>
    </w:p>
    <w:p w14:paraId="7394C25F">
      <w:pPr>
        <w:spacing w:line="360" w:lineRule="auto"/>
        <w:ind w:firstLine="480" w:firstLineChars="200"/>
        <w:rPr>
          <w:rFonts w:ascii="宋体" w:hAnsi="宋体" w:cs="宋体"/>
          <w:sz w:val="24"/>
          <w:szCs w:val="24"/>
        </w:rPr>
      </w:pPr>
      <w:r>
        <w:rPr>
          <w:rFonts w:hint="eastAsia" w:ascii="宋体" w:hAnsi="宋体" w:cs="宋体"/>
          <w:sz w:val="24"/>
          <w:szCs w:val="24"/>
        </w:rPr>
        <w:t>4）确定如何满足法律法规要求和其他要求；</w:t>
      </w:r>
    </w:p>
    <w:p w14:paraId="02E73DE6">
      <w:pPr>
        <w:spacing w:line="360" w:lineRule="auto"/>
        <w:ind w:firstLine="480" w:firstLineChars="200"/>
        <w:rPr>
          <w:rFonts w:ascii="宋体" w:hAnsi="宋体" w:cs="宋体"/>
          <w:sz w:val="24"/>
          <w:szCs w:val="24"/>
        </w:rPr>
      </w:pPr>
      <w:r>
        <w:rPr>
          <w:rFonts w:hint="eastAsia" w:ascii="宋体" w:hAnsi="宋体" w:cs="宋体"/>
          <w:sz w:val="24"/>
          <w:szCs w:val="24"/>
        </w:rPr>
        <w:t>5）制定职业健康安全目标并为其实现进行策划；</w:t>
      </w:r>
    </w:p>
    <w:p w14:paraId="52F822A4">
      <w:pPr>
        <w:spacing w:line="360" w:lineRule="auto"/>
        <w:ind w:firstLine="480" w:firstLineChars="200"/>
        <w:rPr>
          <w:rFonts w:ascii="宋体" w:hAnsi="宋体" w:cs="宋体"/>
          <w:sz w:val="24"/>
          <w:szCs w:val="24"/>
        </w:rPr>
      </w:pPr>
      <w:r>
        <w:rPr>
          <w:rFonts w:hint="eastAsia" w:ascii="宋体" w:hAnsi="宋体" w:cs="宋体"/>
          <w:sz w:val="24"/>
          <w:szCs w:val="24"/>
        </w:rPr>
        <w:t xml:space="preserve">6）确定对外包、采购和承包方的适用控制； </w:t>
      </w:r>
    </w:p>
    <w:p w14:paraId="58380280">
      <w:pPr>
        <w:spacing w:line="360" w:lineRule="auto"/>
        <w:ind w:firstLine="480" w:firstLineChars="200"/>
        <w:rPr>
          <w:rFonts w:ascii="宋体" w:hAnsi="宋体" w:cs="宋体"/>
          <w:sz w:val="24"/>
          <w:szCs w:val="24"/>
        </w:rPr>
      </w:pPr>
      <w:r>
        <w:rPr>
          <w:rFonts w:hint="eastAsia" w:ascii="宋体" w:hAnsi="宋体" w:cs="宋体"/>
          <w:sz w:val="24"/>
          <w:szCs w:val="24"/>
        </w:rPr>
        <w:t>7）确定所需监视、测量和评价的内容；</w:t>
      </w:r>
    </w:p>
    <w:p w14:paraId="7102A56B">
      <w:pPr>
        <w:spacing w:line="360" w:lineRule="auto"/>
        <w:ind w:firstLine="480" w:firstLineChars="200"/>
        <w:rPr>
          <w:rFonts w:ascii="宋体" w:hAnsi="宋体" w:cs="宋体"/>
          <w:sz w:val="24"/>
          <w:szCs w:val="24"/>
        </w:rPr>
      </w:pPr>
      <w:r>
        <w:rPr>
          <w:rFonts w:hint="eastAsia" w:ascii="宋体" w:hAnsi="宋体" w:cs="宋体"/>
          <w:sz w:val="24"/>
          <w:szCs w:val="24"/>
        </w:rPr>
        <w:t>8）策划、建立、实施和保持审核方案；</w:t>
      </w:r>
    </w:p>
    <w:p w14:paraId="054A8D7B">
      <w:pPr>
        <w:spacing w:line="360" w:lineRule="auto"/>
        <w:ind w:firstLine="480" w:firstLineChars="200"/>
        <w:rPr>
          <w:rFonts w:ascii="宋体" w:hAnsi="宋体" w:cs="宋体"/>
          <w:sz w:val="24"/>
          <w:szCs w:val="24"/>
        </w:rPr>
      </w:pPr>
      <w:r>
        <w:rPr>
          <w:rFonts w:hint="eastAsia" w:ascii="宋体" w:hAnsi="宋体" w:cs="宋体"/>
          <w:sz w:val="24"/>
          <w:szCs w:val="24"/>
        </w:rPr>
        <w:t>9）确保持续改进。</w:t>
      </w:r>
    </w:p>
    <w:p w14:paraId="5BB1438C">
      <w:pPr>
        <w:spacing w:line="360" w:lineRule="auto"/>
        <w:ind w:firstLine="480" w:firstLineChars="200"/>
        <w:rPr>
          <w:rFonts w:ascii="宋体" w:hAnsi="宋体" w:cs="宋体"/>
          <w:sz w:val="24"/>
          <w:szCs w:val="24"/>
        </w:rPr>
      </w:pPr>
      <w:r>
        <w:rPr>
          <w:rFonts w:hint="eastAsia" w:ascii="宋体" w:hAnsi="宋体" w:cs="宋体"/>
          <w:sz w:val="24"/>
          <w:szCs w:val="24"/>
        </w:rPr>
        <w:t>e）强调非管理类工作人员在如下方面的参与：</w:t>
      </w:r>
    </w:p>
    <w:p w14:paraId="1A7455C1">
      <w:pPr>
        <w:spacing w:line="360" w:lineRule="auto"/>
        <w:ind w:firstLine="480" w:firstLineChars="200"/>
        <w:rPr>
          <w:rFonts w:ascii="宋体" w:hAnsi="宋体" w:cs="宋体"/>
          <w:sz w:val="24"/>
          <w:szCs w:val="24"/>
        </w:rPr>
      </w:pPr>
      <w:r>
        <w:rPr>
          <w:rFonts w:hint="eastAsia" w:ascii="宋体" w:hAnsi="宋体" w:cs="宋体"/>
          <w:sz w:val="24"/>
          <w:szCs w:val="24"/>
        </w:rPr>
        <w:t>1）确定其协商和参与的机制；</w:t>
      </w:r>
    </w:p>
    <w:p w14:paraId="64D804AD">
      <w:pPr>
        <w:spacing w:line="360" w:lineRule="auto"/>
        <w:ind w:firstLine="480" w:firstLineChars="200"/>
        <w:rPr>
          <w:rFonts w:ascii="宋体" w:hAnsi="宋体" w:cs="宋体"/>
          <w:sz w:val="24"/>
          <w:szCs w:val="24"/>
        </w:rPr>
      </w:pPr>
      <w:r>
        <w:rPr>
          <w:rFonts w:hint="eastAsia" w:ascii="宋体" w:hAnsi="宋体" w:cs="宋体"/>
          <w:sz w:val="24"/>
          <w:szCs w:val="24"/>
        </w:rPr>
        <w:t>2）辨识危险源并评价风险和机遇；</w:t>
      </w:r>
    </w:p>
    <w:p w14:paraId="1302D5E0">
      <w:pPr>
        <w:spacing w:line="360" w:lineRule="auto"/>
        <w:ind w:firstLine="480" w:firstLineChars="200"/>
        <w:rPr>
          <w:rFonts w:ascii="宋体" w:hAnsi="宋体" w:cs="宋体"/>
          <w:sz w:val="24"/>
          <w:szCs w:val="24"/>
        </w:rPr>
      </w:pPr>
      <w:r>
        <w:rPr>
          <w:rFonts w:hint="eastAsia" w:ascii="宋体" w:hAnsi="宋体" w:cs="宋体"/>
          <w:sz w:val="24"/>
          <w:szCs w:val="24"/>
        </w:rPr>
        <w:t>3）确定消除危险源和降低职业健康安全风险的措施；</w:t>
      </w:r>
    </w:p>
    <w:p w14:paraId="28A33972">
      <w:pPr>
        <w:spacing w:line="360" w:lineRule="auto"/>
        <w:ind w:firstLine="480" w:firstLineChars="200"/>
        <w:rPr>
          <w:rFonts w:ascii="宋体" w:hAnsi="宋体" w:cs="宋体"/>
          <w:sz w:val="24"/>
          <w:szCs w:val="24"/>
        </w:rPr>
      </w:pPr>
      <w:r>
        <w:rPr>
          <w:rFonts w:hint="eastAsia" w:ascii="宋体" w:hAnsi="宋体" w:cs="宋体"/>
          <w:sz w:val="24"/>
          <w:szCs w:val="24"/>
        </w:rPr>
        <w:t>4）确定能力要求、培训需求、培训和培训效果评价；</w:t>
      </w:r>
    </w:p>
    <w:p w14:paraId="2AAB6E13">
      <w:pPr>
        <w:spacing w:line="360" w:lineRule="auto"/>
        <w:ind w:firstLine="480" w:firstLineChars="200"/>
        <w:rPr>
          <w:rFonts w:ascii="宋体" w:hAnsi="宋体" w:cs="宋体"/>
          <w:sz w:val="24"/>
          <w:szCs w:val="24"/>
        </w:rPr>
      </w:pPr>
      <w:r>
        <w:rPr>
          <w:rFonts w:hint="eastAsia" w:ascii="宋体" w:hAnsi="宋体" w:cs="宋体"/>
          <w:sz w:val="24"/>
          <w:szCs w:val="24"/>
        </w:rPr>
        <w:t>5）确定沟通的内容和方式；</w:t>
      </w:r>
    </w:p>
    <w:p w14:paraId="7ADFE6C4">
      <w:pPr>
        <w:spacing w:line="360" w:lineRule="auto"/>
        <w:ind w:firstLine="480" w:firstLineChars="200"/>
        <w:rPr>
          <w:rFonts w:ascii="宋体" w:hAnsi="宋体" w:cs="宋体"/>
          <w:sz w:val="24"/>
          <w:szCs w:val="24"/>
        </w:rPr>
      </w:pPr>
      <w:r>
        <w:rPr>
          <w:rFonts w:hint="eastAsia" w:ascii="宋体" w:hAnsi="宋体" w:cs="宋体"/>
          <w:sz w:val="24"/>
          <w:szCs w:val="24"/>
        </w:rPr>
        <w:t>6）确定控制及其有效实施和应用；</w:t>
      </w:r>
    </w:p>
    <w:p w14:paraId="1552C8B5">
      <w:pPr>
        <w:pStyle w:val="50"/>
        <w:spacing w:line="440" w:lineRule="exact"/>
        <w:ind w:firstLine="0" w:firstLineChars="0"/>
        <w:jc w:val="left"/>
        <w:rPr>
          <w:rFonts w:ascii="宋体" w:hAnsi="宋体"/>
        </w:rPr>
      </w:pPr>
      <w:r>
        <w:rPr>
          <w:rFonts w:hint="eastAsia" w:ascii="宋体" w:hAnsi="宋体" w:cs="宋体"/>
          <w:sz w:val="24"/>
          <w:szCs w:val="24"/>
        </w:rPr>
        <w:t>7）调查事件和不符合并确定纠正措施。</w:t>
      </w:r>
    </w:p>
    <w:p w14:paraId="230CE9A9">
      <w:pPr>
        <w:pStyle w:val="22"/>
        <w:rPr>
          <w:rFonts w:ascii="宋体" w:hAnsi="宋体"/>
        </w:rPr>
      </w:pPr>
      <w:bookmarkStart w:id="19" w:name="_Toc110460616"/>
      <w:r>
        <w:rPr>
          <w:rFonts w:hint="eastAsia" w:ascii="宋体" w:hAnsi="宋体"/>
        </w:rPr>
        <w:t>6</w:t>
      </w:r>
      <w:r>
        <w:rPr>
          <w:rFonts w:hint="eastAsia" w:ascii="宋体" w:hAnsi="宋体"/>
        </w:rPr>
        <w:tab/>
      </w:r>
      <w:r>
        <w:rPr>
          <w:rFonts w:hint="eastAsia" w:ascii="宋体" w:hAnsi="宋体"/>
        </w:rPr>
        <w:t>策划</w:t>
      </w:r>
      <w:bookmarkEnd w:id="19"/>
    </w:p>
    <w:p w14:paraId="33716CF7">
      <w:pPr>
        <w:pStyle w:val="18"/>
        <w:rPr>
          <w:rFonts w:ascii="宋体" w:hAnsi="宋体"/>
        </w:rPr>
      </w:pPr>
      <w:bookmarkStart w:id="20" w:name="_Toc110460617"/>
      <w:r>
        <w:rPr>
          <w:rFonts w:hint="eastAsia" w:ascii="宋体" w:hAnsi="宋体"/>
        </w:rPr>
        <w:t>6.1</w:t>
      </w:r>
      <w:r>
        <w:rPr>
          <w:rFonts w:hint="eastAsia" w:ascii="宋体" w:hAnsi="宋体"/>
        </w:rPr>
        <w:tab/>
      </w:r>
      <w:r>
        <w:rPr>
          <w:rFonts w:hint="eastAsia" w:ascii="宋体" w:hAnsi="宋体"/>
        </w:rPr>
        <w:t>应对风险和机遇的措施</w:t>
      </w:r>
      <w:bookmarkEnd w:id="20"/>
    </w:p>
    <w:p w14:paraId="5B52DFB9">
      <w:pPr>
        <w:spacing w:line="460" w:lineRule="exact"/>
        <w:ind w:firstLine="420" w:firstLineChars="200"/>
        <w:rPr>
          <w:rFonts w:ascii="宋体" w:hAnsi="宋体"/>
        </w:rPr>
      </w:pPr>
      <w:r>
        <w:rPr>
          <w:rFonts w:hint="eastAsia" w:ascii="宋体" w:hAnsi="宋体"/>
        </w:rPr>
        <w:t xml:space="preserve">6.1.1 </w:t>
      </w:r>
      <w:r>
        <w:rPr>
          <w:rFonts w:hint="eastAsia" w:ascii="宋体" w:hAnsi="宋体"/>
        </w:rPr>
        <w:tab/>
      </w:r>
      <w:r>
        <w:rPr>
          <w:rFonts w:hint="eastAsia" w:ascii="宋体" w:hAnsi="宋体"/>
        </w:rPr>
        <w:t>策划质量环境职业健康安全/食品安全/HACCP体系时，组织应考虑到4.1所提及的因素和4.2和4.3所提及的要求，并确定需要应对的风险和机遇，以：</w:t>
      </w:r>
    </w:p>
    <w:p w14:paraId="41BD7BB4">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确保质量环境职业健康安全/食品安全/HACCP体系能够实现其预期结果；</w:t>
      </w:r>
    </w:p>
    <w:p w14:paraId="3E579B62">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增进有利影响；</w:t>
      </w:r>
    </w:p>
    <w:p w14:paraId="300CCFDC">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避免或减少不利影响；</w:t>
      </w:r>
    </w:p>
    <w:p w14:paraId="33FB19B5">
      <w:pPr>
        <w:spacing w:line="460" w:lineRule="exact"/>
        <w:ind w:firstLine="420" w:firstLineChars="200"/>
        <w:rPr>
          <w:rFonts w:ascii="宋体" w:hAnsi="宋体"/>
        </w:rPr>
      </w:pPr>
      <w:r>
        <w:rPr>
          <w:rFonts w:hint="eastAsia" w:ascii="宋体" w:hAnsi="宋体"/>
        </w:rPr>
        <w:t>d)  实现持续改进。</w:t>
      </w:r>
    </w:p>
    <w:p w14:paraId="359921AB">
      <w:pPr>
        <w:spacing w:line="460" w:lineRule="exact"/>
        <w:ind w:firstLine="420" w:firstLineChars="200"/>
        <w:rPr>
          <w:rFonts w:ascii="宋体" w:hAnsi="宋体"/>
        </w:rPr>
      </w:pPr>
      <w:r>
        <w:rPr>
          <w:rFonts w:hint="eastAsia" w:ascii="宋体" w:hAnsi="宋体"/>
        </w:rPr>
        <w:t>6.1.2</w:t>
      </w:r>
      <w:r>
        <w:rPr>
          <w:rFonts w:hint="eastAsia" w:ascii="宋体" w:hAnsi="宋体"/>
        </w:rPr>
        <w:tab/>
      </w:r>
      <w:r>
        <w:rPr>
          <w:rFonts w:hint="eastAsia" w:ascii="宋体" w:hAnsi="宋体"/>
        </w:rPr>
        <w:t>组织应策划：</w:t>
      </w:r>
    </w:p>
    <w:p w14:paraId="4820FBFE">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应对这些风险和机遇的措施；</w:t>
      </w:r>
    </w:p>
    <w:p w14:paraId="6F79AF89">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如何：</w:t>
      </w:r>
    </w:p>
    <w:p w14:paraId="6ABCBB75">
      <w:pPr>
        <w:spacing w:line="460" w:lineRule="exact"/>
        <w:ind w:firstLine="420" w:firstLineChars="200"/>
        <w:rPr>
          <w:rFonts w:ascii="宋体" w:hAnsi="宋体"/>
        </w:rPr>
      </w:pPr>
      <w:r>
        <w:rPr>
          <w:rFonts w:hint="eastAsia" w:ascii="宋体" w:hAnsi="宋体"/>
        </w:rPr>
        <w:t>1）</w:t>
      </w:r>
      <w:r>
        <w:rPr>
          <w:rFonts w:hint="eastAsia" w:ascii="宋体" w:hAnsi="宋体"/>
        </w:rPr>
        <w:tab/>
      </w:r>
      <w:r>
        <w:rPr>
          <w:rFonts w:hint="eastAsia" w:ascii="宋体" w:hAnsi="宋体"/>
        </w:rPr>
        <w:t>在质量环境职业健康安全/食品安全/HACCP体系过程中整合并实施这些措施；</w:t>
      </w:r>
    </w:p>
    <w:p w14:paraId="24184C2A">
      <w:pPr>
        <w:spacing w:line="460" w:lineRule="exact"/>
        <w:ind w:firstLine="420" w:firstLineChars="200"/>
        <w:rPr>
          <w:rFonts w:ascii="宋体" w:hAnsi="宋体"/>
        </w:rPr>
      </w:pPr>
      <w:r>
        <w:rPr>
          <w:rFonts w:hint="eastAsia" w:ascii="宋体" w:hAnsi="宋体"/>
        </w:rPr>
        <w:t>2）</w:t>
      </w:r>
      <w:r>
        <w:rPr>
          <w:rFonts w:hint="eastAsia" w:ascii="宋体" w:hAnsi="宋体"/>
        </w:rPr>
        <w:tab/>
      </w:r>
      <w:r>
        <w:rPr>
          <w:rFonts w:hint="eastAsia" w:ascii="宋体" w:hAnsi="宋体"/>
        </w:rPr>
        <w:t>评价这些措施的有效性。</w:t>
      </w:r>
    </w:p>
    <w:p w14:paraId="2AD27E70">
      <w:pPr>
        <w:spacing w:line="460" w:lineRule="exact"/>
        <w:ind w:firstLine="420" w:firstLineChars="200"/>
        <w:rPr>
          <w:rFonts w:ascii="宋体" w:hAnsi="宋体"/>
        </w:rPr>
      </w:pPr>
      <w:r>
        <w:rPr>
          <w:rFonts w:hint="eastAsia" w:ascii="宋体" w:hAnsi="宋体"/>
        </w:rPr>
        <w:t>6.1.3</w:t>
      </w:r>
      <w:r>
        <w:rPr>
          <w:rFonts w:hint="eastAsia" w:ascii="宋体" w:hAnsi="宋体"/>
        </w:rPr>
        <w:tab/>
      </w:r>
      <w:r>
        <w:rPr>
          <w:rFonts w:hint="eastAsia" w:ascii="宋体" w:hAnsi="宋体"/>
        </w:rPr>
        <w:t>组织为应对风险和机遇而采取的措施应与下述情况相适应：</w:t>
      </w:r>
    </w:p>
    <w:p w14:paraId="54E4CCCA">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对食品安全要求的影响；</w:t>
      </w:r>
    </w:p>
    <w:p w14:paraId="1CAB5647">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符合顾客对食品产品和服务的要求；</w:t>
      </w:r>
    </w:p>
    <w:p w14:paraId="418F773C">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食品链上相关方的要求。</w:t>
      </w:r>
    </w:p>
    <w:p w14:paraId="11714F7F">
      <w:pPr>
        <w:pStyle w:val="18"/>
        <w:rPr>
          <w:rFonts w:ascii="宋体" w:hAnsi="宋体"/>
        </w:rPr>
      </w:pPr>
      <w:bookmarkStart w:id="21" w:name="_Toc110460618"/>
      <w:r>
        <w:rPr>
          <w:rFonts w:hint="eastAsia" w:ascii="宋体" w:hAnsi="宋体"/>
        </w:rPr>
        <w:t>6.2</w:t>
      </w:r>
      <w:r>
        <w:rPr>
          <w:rFonts w:hint="eastAsia" w:ascii="宋体" w:hAnsi="宋体"/>
        </w:rPr>
        <w:tab/>
      </w:r>
      <w:r>
        <w:rPr>
          <w:rFonts w:hint="eastAsia" w:ascii="宋体" w:hAnsi="宋体"/>
        </w:rPr>
        <w:t>管理体系目标及其实现的策划</w:t>
      </w:r>
      <w:bookmarkEnd w:id="21"/>
    </w:p>
    <w:p w14:paraId="3B429F15">
      <w:pPr>
        <w:spacing w:line="460" w:lineRule="exact"/>
        <w:ind w:firstLine="420" w:firstLineChars="200"/>
        <w:rPr>
          <w:rFonts w:ascii="宋体" w:hAnsi="宋体"/>
        </w:rPr>
      </w:pPr>
      <w:r>
        <w:rPr>
          <w:rFonts w:hint="eastAsia" w:ascii="宋体" w:hAnsi="宋体"/>
        </w:rPr>
        <w:t>6.2.1</w:t>
      </w:r>
      <w:r>
        <w:rPr>
          <w:rFonts w:hint="eastAsia" w:ascii="宋体" w:hAnsi="宋体"/>
        </w:rPr>
        <w:tab/>
      </w:r>
      <w:r>
        <w:rPr>
          <w:rFonts w:hint="eastAsia" w:ascii="宋体" w:hAnsi="宋体"/>
        </w:rPr>
        <w:t>组织应对质量环境职业健康安全/食品安全/HACCP体系所需的相关职能和层次建立目标。</w:t>
      </w:r>
    </w:p>
    <w:p w14:paraId="03A80728">
      <w:pPr>
        <w:spacing w:line="460" w:lineRule="exact"/>
        <w:ind w:firstLine="420" w:firstLineChars="200"/>
        <w:rPr>
          <w:rFonts w:ascii="宋体" w:hAnsi="宋体"/>
        </w:rPr>
      </w:pPr>
      <w:r>
        <w:rPr>
          <w:rFonts w:hint="eastAsia" w:ascii="宋体" w:hAnsi="宋体"/>
        </w:rPr>
        <w:t>质量环境职业健康安全/食品安全/HACCP体系的目标应：</w:t>
      </w:r>
    </w:p>
    <w:p w14:paraId="674A9896">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与食品安全方针保持一致；</w:t>
      </w:r>
    </w:p>
    <w:p w14:paraId="02E47831">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可测量（如可行）；</w:t>
      </w:r>
    </w:p>
    <w:p w14:paraId="11FCD555">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考虑适用食品安全要求，包括法律法规要求和顾客要求；</w:t>
      </w:r>
    </w:p>
    <w:p w14:paraId="601AFBDF">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予以监视和验证；</w:t>
      </w:r>
    </w:p>
    <w:p w14:paraId="26A63339">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予以沟通；</w:t>
      </w:r>
    </w:p>
    <w:p w14:paraId="51330CC4">
      <w:pPr>
        <w:spacing w:line="460" w:lineRule="exact"/>
        <w:ind w:firstLine="420" w:firstLineChars="200"/>
        <w:rPr>
          <w:rFonts w:ascii="宋体" w:hAnsi="宋体"/>
        </w:rPr>
      </w:pPr>
      <w:r>
        <w:rPr>
          <w:rFonts w:hint="eastAsia" w:ascii="宋体" w:hAnsi="宋体"/>
        </w:rPr>
        <w:t>f）</w:t>
      </w:r>
      <w:r>
        <w:rPr>
          <w:rFonts w:hint="eastAsia" w:ascii="宋体" w:hAnsi="宋体"/>
        </w:rPr>
        <w:tab/>
      </w:r>
      <w:r>
        <w:rPr>
          <w:rFonts w:hint="eastAsia" w:ascii="宋体" w:hAnsi="宋体"/>
        </w:rPr>
        <w:t>予以保持并适时更新。</w:t>
      </w:r>
    </w:p>
    <w:p w14:paraId="6A13A38B">
      <w:pPr>
        <w:spacing w:line="460" w:lineRule="exact"/>
        <w:ind w:firstLine="420" w:firstLineChars="200"/>
        <w:rPr>
          <w:rFonts w:ascii="宋体" w:hAnsi="宋体"/>
        </w:rPr>
      </w:pPr>
      <w:r>
        <w:rPr>
          <w:rFonts w:hint="eastAsia" w:ascii="宋体" w:hAnsi="宋体"/>
        </w:rPr>
        <w:t>组织应保留有关质量环境职业健康安全/食品安全/HACCP体系目标的成文信息。</w:t>
      </w:r>
    </w:p>
    <w:p w14:paraId="43CE6ED9">
      <w:pPr>
        <w:spacing w:line="460" w:lineRule="exact"/>
        <w:ind w:firstLine="420" w:firstLineChars="200"/>
        <w:rPr>
          <w:rFonts w:ascii="宋体" w:hAnsi="宋体"/>
        </w:rPr>
      </w:pPr>
      <w:r>
        <w:rPr>
          <w:rFonts w:hint="eastAsia" w:ascii="宋体" w:hAnsi="宋体"/>
        </w:rPr>
        <w:t>6.2.2</w:t>
      </w:r>
      <w:r>
        <w:rPr>
          <w:rFonts w:hint="eastAsia" w:ascii="宋体" w:hAnsi="宋体"/>
        </w:rPr>
        <w:tab/>
      </w:r>
      <w:r>
        <w:rPr>
          <w:rFonts w:hint="eastAsia" w:ascii="宋体" w:hAnsi="宋体"/>
        </w:rPr>
        <w:t>策划如何实现质量环境职业健康安全/食品安全/HACCP体系目标时，组织应确定：</w:t>
      </w:r>
    </w:p>
    <w:p w14:paraId="256AD690">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要做什么；</w:t>
      </w:r>
    </w:p>
    <w:p w14:paraId="3997624D">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需要什么资源；</w:t>
      </w:r>
    </w:p>
    <w:p w14:paraId="22631F6E">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由谁负责；</w:t>
      </w:r>
    </w:p>
    <w:p w14:paraId="2FC11D61">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何时完成；</w:t>
      </w:r>
    </w:p>
    <w:p w14:paraId="3DC9AED7">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如何评价结果。</w:t>
      </w:r>
    </w:p>
    <w:p w14:paraId="7E05EACC">
      <w:pPr>
        <w:pStyle w:val="18"/>
        <w:rPr>
          <w:rFonts w:ascii="宋体" w:hAnsi="宋体"/>
        </w:rPr>
      </w:pPr>
      <w:bookmarkStart w:id="22" w:name="_Toc110460619"/>
      <w:r>
        <w:rPr>
          <w:rFonts w:hint="eastAsia" w:ascii="宋体" w:hAnsi="宋体"/>
        </w:rPr>
        <w:t>6.3</w:t>
      </w:r>
      <w:r>
        <w:rPr>
          <w:rFonts w:hint="eastAsia" w:ascii="宋体" w:hAnsi="宋体"/>
        </w:rPr>
        <w:tab/>
      </w:r>
      <w:r>
        <w:rPr>
          <w:rFonts w:hint="eastAsia" w:ascii="宋体" w:hAnsi="宋体"/>
        </w:rPr>
        <w:t>变更的策划</w:t>
      </w:r>
      <w:bookmarkEnd w:id="22"/>
    </w:p>
    <w:p w14:paraId="163A37A0">
      <w:pPr>
        <w:spacing w:line="460" w:lineRule="exact"/>
        <w:ind w:firstLine="420" w:firstLineChars="200"/>
        <w:rPr>
          <w:rFonts w:ascii="宋体" w:hAnsi="宋体"/>
        </w:rPr>
      </w:pPr>
      <w:r>
        <w:rPr>
          <w:rFonts w:hint="eastAsia" w:ascii="宋体" w:hAnsi="宋体"/>
        </w:rPr>
        <w:t>当组织确定需要对质量环境职业健康安全/食品安全/HACCP体系进行变更时，包括人员变更，变更应按所策划的方式实施和沟通。</w:t>
      </w:r>
    </w:p>
    <w:p w14:paraId="0E6F4584">
      <w:pPr>
        <w:spacing w:line="460" w:lineRule="exact"/>
        <w:ind w:firstLine="420" w:firstLineChars="200"/>
        <w:rPr>
          <w:rFonts w:ascii="宋体" w:hAnsi="宋体"/>
        </w:rPr>
      </w:pPr>
      <w:r>
        <w:rPr>
          <w:rFonts w:hint="eastAsia" w:ascii="宋体" w:hAnsi="宋体"/>
        </w:rPr>
        <w:t>组织应考虑：</w:t>
      </w:r>
    </w:p>
    <w:p w14:paraId="14DDAAA7">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变更目的及其潜在后果；</w:t>
      </w:r>
    </w:p>
    <w:p w14:paraId="072145F4">
      <w:pPr>
        <w:spacing w:line="460" w:lineRule="exact"/>
        <w:ind w:firstLine="420" w:firstLineChars="200"/>
        <w:rPr>
          <w:rFonts w:ascii="宋体" w:hAnsi="宋体"/>
        </w:rPr>
      </w:pPr>
      <w:r>
        <w:rPr>
          <w:rFonts w:hint="eastAsia" w:ascii="宋体" w:hAnsi="宋体"/>
        </w:rPr>
        <w:t>b）质量环境职业健康安全/食品安全/HACCP体系的持续完整性；</w:t>
      </w:r>
    </w:p>
    <w:p w14:paraId="2B3C1A34">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为有效实施变更资源的可获得性；</w:t>
      </w:r>
    </w:p>
    <w:p w14:paraId="16D9E092">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责职和权限的分配或再分配。</w:t>
      </w:r>
    </w:p>
    <w:p w14:paraId="2967F37C">
      <w:pPr>
        <w:pStyle w:val="22"/>
        <w:rPr>
          <w:rFonts w:ascii="宋体" w:hAnsi="宋体"/>
        </w:rPr>
      </w:pPr>
      <w:bookmarkStart w:id="23" w:name="_Toc110460620"/>
      <w:r>
        <w:rPr>
          <w:rFonts w:hint="eastAsia" w:ascii="宋体" w:hAnsi="宋体"/>
        </w:rPr>
        <w:t xml:space="preserve">7 </w:t>
      </w:r>
      <w:r>
        <w:rPr>
          <w:rFonts w:hint="eastAsia" w:ascii="宋体" w:hAnsi="宋体"/>
        </w:rPr>
        <w:tab/>
      </w:r>
      <w:r>
        <w:rPr>
          <w:rFonts w:hint="eastAsia" w:ascii="宋体" w:hAnsi="宋体"/>
        </w:rPr>
        <w:t>支持</w:t>
      </w:r>
      <w:bookmarkEnd w:id="23"/>
    </w:p>
    <w:p w14:paraId="770579BE">
      <w:pPr>
        <w:pStyle w:val="18"/>
        <w:rPr>
          <w:rFonts w:ascii="宋体" w:hAnsi="宋体"/>
        </w:rPr>
      </w:pPr>
      <w:bookmarkStart w:id="24" w:name="_Toc110460621"/>
      <w:r>
        <w:rPr>
          <w:rFonts w:hint="eastAsia" w:ascii="宋体" w:hAnsi="宋体"/>
        </w:rPr>
        <w:t>7.1</w:t>
      </w:r>
      <w:r>
        <w:rPr>
          <w:rFonts w:hint="eastAsia" w:ascii="宋体" w:hAnsi="宋体"/>
        </w:rPr>
        <w:tab/>
      </w:r>
      <w:r>
        <w:rPr>
          <w:rFonts w:hint="eastAsia" w:ascii="宋体" w:hAnsi="宋体"/>
        </w:rPr>
        <w:t>资源</w:t>
      </w:r>
      <w:bookmarkEnd w:id="24"/>
    </w:p>
    <w:p w14:paraId="05313F0A">
      <w:pPr>
        <w:pStyle w:val="5"/>
        <w:rPr>
          <w:rFonts w:ascii="宋体" w:hAnsi="宋体"/>
        </w:rPr>
      </w:pPr>
      <w:bookmarkStart w:id="25" w:name="_Toc110460622"/>
      <w:r>
        <w:rPr>
          <w:rFonts w:hint="eastAsia" w:ascii="宋体" w:hAnsi="宋体"/>
        </w:rPr>
        <w:t>7.1.1 总则</w:t>
      </w:r>
      <w:bookmarkEnd w:id="25"/>
    </w:p>
    <w:p w14:paraId="02C4A851">
      <w:pPr>
        <w:spacing w:line="460" w:lineRule="exact"/>
        <w:rPr>
          <w:rFonts w:ascii="宋体" w:hAnsi="宋体"/>
        </w:rPr>
      </w:pPr>
      <w:r>
        <w:rPr>
          <w:rFonts w:hint="eastAsia" w:ascii="宋体" w:hAnsi="宋体"/>
        </w:rPr>
        <w:t>组织应确定并提供,以建立、实施、保持、更新和持续改进质量环境职业健康安全/食品安全/HACCP体系。</w:t>
      </w:r>
    </w:p>
    <w:p w14:paraId="4CA2885E">
      <w:pPr>
        <w:spacing w:line="460" w:lineRule="exact"/>
        <w:ind w:firstLine="420" w:firstLineChars="200"/>
        <w:rPr>
          <w:rFonts w:ascii="宋体" w:hAnsi="宋体"/>
        </w:rPr>
      </w:pPr>
      <w:r>
        <w:rPr>
          <w:rFonts w:hint="eastAsia" w:ascii="宋体" w:hAnsi="宋体"/>
        </w:rPr>
        <w:t>组织应考虑：</w:t>
      </w:r>
    </w:p>
    <w:p w14:paraId="3FE9E00A">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现有内部资源的能力和局限；</w:t>
      </w:r>
    </w:p>
    <w:p w14:paraId="59D51F85">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需要从外部获取的资源。</w:t>
      </w:r>
    </w:p>
    <w:p w14:paraId="57D05F33">
      <w:pPr>
        <w:pStyle w:val="5"/>
        <w:rPr>
          <w:rFonts w:ascii="宋体" w:hAnsi="宋体"/>
        </w:rPr>
      </w:pPr>
      <w:bookmarkStart w:id="26" w:name="_Toc110460623"/>
      <w:r>
        <w:rPr>
          <w:rFonts w:hint="eastAsia" w:ascii="宋体" w:hAnsi="宋体"/>
        </w:rPr>
        <w:t>7.1.2</w:t>
      </w:r>
      <w:r>
        <w:rPr>
          <w:rFonts w:hint="eastAsia" w:ascii="宋体" w:hAnsi="宋体"/>
        </w:rPr>
        <w:tab/>
      </w:r>
      <w:r>
        <w:rPr>
          <w:rFonts w:hint="eastAsia" w:ascii="宋体" w:hAnsi="宋体"/>
        </w:rPr>
        <w:t>人员</w:t>
      </w:r>
      <w:bookmarkEnd w:id="26"/>
    </w:p>
    <w:p w14:paraId="0C3C609C">
      <w:pPr>
        <w:spacing w:line="460" w:lineRule="exact"/>
        <w:ind w:firstLine="420" w:firstLineChars="200"/>
        <w:rPr>
          <w:rFonts w:ascii="宋体" w:hAnsi="宋体"/>
        </w:rPr>
      </w:pPr>
      <w:r>
        <w:rPr>
          <w:rFonts w:hint="eastAsia" w:ascii="宋体" w:hAnsi="宋体"/>
        </w:rPr>
        <w:t>组织应确保运行和保持有效质量环境职业健康安全/食品安全/HACCP体系所需人员是胜任的（7.2）。</w:t>
      </w:r>
    </w:p>
    <w:p w14:paraId="1EACFF65">
      <w:pPr>
        <w:spacing w:line="460" w:lineRule="exact"/>
        <w:ind w:firstLine="420" w:firstLineChars="200"/>
        <w:rPr>
          <w:rFonts w:ascii="宋体" w:hAnsi="宋体"/>
        </w:rPr>
      </w:pPr>
      <w:r>
        <w:rPr>
          <w:rFonts w:hint="eastAsia" w:ascii="宋体" w:hAnsi="宋体"/>
        </w:rPr>
        <w:t>如果借助外部专家的协助进行质量环境职业健康安全/食品安全/HACCP体系的建立、实施、运行或评估，确定外部专家能力、职责和权限的协议或合同证据应保留作为成文信息。</w:t>
      </w:r>
    </w:p>
    <w:p w14:paraId="4D6A4B90">
      <w:pPr>
        <w:pStyle w:val="5"/>
        <w:rPr>
          <w:rFonts w:ascii="宋体" w:hAnsi="宋体"/>
        </w:rPr>
      </w:pPr>
      <w:bookmarkStart w:id="27" w:name="_Toc110460624"/>
      <w:r>
        <w:rPr>
          <w:rFonts w:hint="eastAsia" w:ascii="宋体" w:hAnsi="宋体"/>
        </w:rPr>
        <w:t>7.1.3 基础设施</w:t>
      </w:r>
      <w:bookmarkEnd w:id="27"/>
    </w:p>
    <w:p w14:paraId="1F58F46B">
      <w:pPr>
        <w:spacing w:line="460" w:lineRule="exact"/>
        <w:ind w:firstLine="420" w:firstLineChars="200"/>
        <w:rPr>
          <w:rFonts w:ascii="宋体" w:hAnsi="宋体"/>
        </w:rPr>
      </w:pPr>
      <w:r>
        <w:rPr>
          <w:rFonts w:hint="eastAsia" w:ascii="宋体" w:hAnsi="宋体"/>
        </w:rPr>
        <w:t>组织应提供资源，确定、建立和维护必要的基础设施，以确保符合食品安全管理体系、HACCP体系的要求。</w:t>
      </w:r>
    </w:p>
    <w:p w14:paraId="6D3C0C20">
      <w:pPr>
        <w:spacing w:line="460" w:lineRule="exact"/>
        <w:ind w:firstLine="420" w:firstLineChars="200"/>
        <w:rPr>
          <w:rFonts w:ascii="宋体" w:hAnsi="宋体"/>
        </w:rPr>
      </w:pPr>
      <w:r>
        <w:rPr>
          <w:rFonts w:hint="eastAsia" w:ascii="宋体" w:hAnsi="宋体"/>
        </w:rPr>
        <w:t>公司制定了加工设备和基础设施的维护保养计划，实施对初加工车间、加工设施、设备等的维护保养，使之保持良好状态，并防止对食品的污染。</w:t>
      </w:r>
    </w:p>
    <w:p w14:paraId="4E6D3B83">
      <w:pPr>
        <w:spacing w:line="460" w:lineRule="exact"/>
        <w:ind w:firstLine="420" w:firstLineChars="200"/>
        <w:rPr>
          <w:rFonts w:ascii="宋体" w:hAnsi="宋体"/>
        </w:rPr>
      </w:pPr>
      <w:r>
        <w:rPr>
          <w:rFonts w:hint="eastAsia" w:ascii="宋体" w:hAnsi="宋体"/>
        </w:rPr>
        <w:t>执行公司发布并实施的《设备设施维护保养控制程序》。</w:t>
      </w:r>
    </w:p>
    <w:p w14:paraId="6A64505B">
      <w:pPr>
        <w:pStyle w:val="5"/>
        <w:rPr>
          <w:rFonts w:ascii="宋体" w:hAnsi="宋体"/>
        </w:rPr>
      </w:pPr>
      <w:bookmarkStart w:id="28" w:name="_Toc110460625"/>
      <w:r>
        <w:rPr>
          <w:rFonts w:hint="eastAsia" w:ascii="宋体" w:hAnsi="宋体"/>
        </w:rPr>
        <w:t>7.1.4</w:t>
      </w:r>
      <w:r>
        <w:rPr>
          <w:rFonts w:hint="eastAsia" w:ascii="宋体" w:hAnsi="宋体"/>
        </w:rPr>
        <w:tab/>
      </w:r>
      <w:r>
        <w:rPr>
          <w:rFonts w:hint="eastAsia" w:ascii="宋体" w:hAnsi="宋体"/>
        </w:rPr>
        <w:t>工作环境</w:t>
      </w:r>
      <w:bookmarkEnd w:id="28"/>
    </w:p>
    <w:p w14:paraId="1462D137">
      <w:pPr>
        <w:spacing w:line="460" w:lineRule="exact"/>
        <w:ind w:firstLine="420" w:firstLineChars="200"/>
        <w:rPr>
          <w:rFonts w:ascii="宋体" w:hAnsi="宋体"/>
        </w:rPr>
      </w:pPr>
      <w:r>
        <w:rPr>
          <w:rFonts w:hint="eastAsia" w:ascii="宋体" w:hAnsi="宋体"/>
        </w:rPr>
        <w:t>组织应确定、提供和维护资源，建立、管理和维护必要的工作环境，以确保符合质量环境职业健康安全/食品安全/HACCP体系的要求。</w:t>
      </w:r>
    </w:p>
    <w:p w14:paraId="5E443F88">
      <w:pPr>
        <w:pStyle w:val="5"/>
      </w:pPr>
      <w:bookmarkStart w:id="29" w:name="_Toc110460626"/>
      <w:r>
        <w:t xml:space="preserve">7.1.5 </w:t>
      </w:r>
      <w:r>
        <w:rPr>
          <w:rFonts w:hint="eastAsia"/>
        </w:rPr>
        <w:t>监视和测量资源</w:t>
      </w:r>
      <w:bookmarkEnd w:id="29"/>
      <w:r>
        <w:t xml:space="preserve"> </w:t>
      </w:r>
    </w:p>
    <w:p w14:paraId="796B8415">
      <w:pPr>
        <w:autoSpaceDE w:val="0"/>
        <w:autoSpaceDN w:val="0"/>
        <w:adjustRightInd w:val="0"/>
        <w:spacing w:line="440" w:lineRule="exact"/>
        <w:ind w:firstLine="519"/>
        <w:jc w:val="left"/>
        <w:rPr>
          <w:rFonts w:ascii="宋体" w:hAnsi="宋体" w:cs="黑体"/>
          <w:b/>
          <w:color w:val="000000"/>
          <w:kern w:val="0"/>
          <w:sz w:val="24"/>
        </w:rPr>
      </w:pPr>
      <w:r>
        <w:rPr>
          <w:rFonts w:ascii="宋体" w:hAnsi="宋体" w:cs="黑体"/>
          <w:b/>
          <w:color w:val="000000"/>
          <w:kern w:val="0"/>
          <w:sz w:val="24"/>
        </w:rPr>
        <w:t>7.1.5.1</w:t>
      </w:r>
      <w:r>
        <w:rPr>
          <w:rFonts w:hint="eastAsia" w:ascii="宋体" w:hAnsi="宋体" w:cs="黑体"/>
          <w:b/>
          <w:color w:val="000000"/>
          <w:kern w:val="0"/>
          <w:sz w:val="24"/>
        </w:rPr>
        <w:t>总则</w:t>
      </w:r>
      <w:r>
        <w:rPr>
          <w:rFonts w:ascii="宋体" w:hAnsi="宋体" w:cs="黑体"/>
          <w:b/>
          <w:color w:val="000000"/>
          <w:kern w:val="0"/>
          <w:sz w:val="24"/>
        </w:rPr>
        <w:t xml:space="preserve"> </w:t>
      </w:r>
    </w:p>
    <w:p w14:paraId="2FA331C6">
      <w:pPr>
        <w:spacing w:line="460" w:lineRule="exact"/>
        <w:ind w:firstLine="420" w:firstLineChars="200"/>
        <w:rPr>
          <w:rFonts w:ascii="宋体" w:hAnsi="宋体"/>
        </w:rPr>
      </w:pPr>
      <w:r>
        <w:rPr>
          <w:rFonts w:hint="eastAsia" w:ascii="宋体" w:hAnsi="宋体"/>
        </w:rPr>
        <w:t>技术应对产品和服务的监视和测量要求和方法作出规定，同时要申请配置用于证实产品和服务符合规定要求的监视和测量资源。使用并控制监视和测量设施以保证测量能力与测量要求保持一致，从而保证产品和服务符合要求。</w:t>
      </w:r>
    </w:p>
    <w:p w14:paraId="28C1B7FF">
      <w:pPr>
        <w:autoSpaceDE w:val="0"/>
        <w:autoSpaceDN w:val="0"/>
        <w:adjustRightInd w:val="0"/>
        <w:spacing w:line="440" w:lineRule="exact"/>
        <w:ind w:firstLine="482" w:firstLineChars="200"/>
        <w:jc w:val="left"/>
        <w:rPr>
          <w:rFonts w:ascii="宋体" w:hAnsi="宋体" w:cs="黑体"/>
          <w:b/>
          <w:color w:val="000000"/>
          <w:kern w:val="0"/>
          <w:sz w:val="24"/>
        </w:rPr>
      </w:pPr>
      <w:r>
        <w:rPr>
          <w:rFonts w:ascii="宋体" w:hAnsi="宋体" w:cs="黑体"/>
          <w:b/>
          <w:color w:val="000000"/>
          <w:kern w:val="0"/>
          <w:sz w:val="24"/>
        </w:rPr>
        <w:t xml:space="preserve">7.1.5.2 </w:t>
      </w:r>
      <w:r>
        <w:rPr>
          <w:rFonts w:hint="eastAsia" w:ascii="宋体" w:hAnsi="宋体" w:cs="黑体"/>
          <w:b/>
          <w:color w:val="000000"/>
          <w:kern w:val="0"/>
          <w:sz w:val="24"/>
        </w:rPr>
        <w:t>测量溯源</w:t>
      </w:r>
      <w:r>
        <w:rPr>
          <w:rFonts w:ascii="宋体" w:hAnsi="宋体" w:cs="黑体"/>
          <w:b/>
          <w:color w:val="000000"/>
          <w:kern w:val="0"/>
          <w:sz w:val="24"/>
        </w:rPr>
        <w:t xml:space="preserve"> </w:t>
      </w:r>
    </w:p>
    <w:p w14:paraId="6A2DCC72">
      <w:pPr>
        <w:spacing w:line="460" w:lineRule="exact"/>
        <w:ind w:firstLine="420" w:firstLineChars="200"/>
        <w:rPr>
          <w:rFonts w:ascii="宋体" w:hAnsi="宋体"/>
        </w:rPr>
      </w:pPr>
      <w:r>
        <w:rPr>
          <w:rFonts w:hint="eastAsia" w:ascii="宋体" w:hAnsi="宋体"/>
        </w:rPr>
        <w:t>当要求测量溯源时，或公司认为测量溯源是信任测量结果有效的前提时，对监视和测量资源控制应：</w:t>
      </w:r>
    </w:p>
    <w:p w14:paraId="1BC80490">
      <w:pPr>
        <w:spacing w:line="460" w:lineRule="exact"/>
        <w:ind w:left="630" w:leftChars="200" w:hanging="210" w:hangingChars="100"/>
        <w:rPr>
          <w:rFonts w:ascii="宋体" w:hAnsi="宋体"/>
        </w:rPr>
      </w:pPr>
      <w:r>
        <w:rPr>
          <w:rFonts w:hint="eastAsia" w:ascii="宋体" w:hAnsi="宋体"/>
        </w:rPr>
        <w:t>a) 定期检定或在使用前进行校正。送外检定时，应选择计量所或被政府认可的计量单位；自己检定的，应规定校准的基准并记录，其基础应可溯源至国际或国家标准；</w:t>
      </w:r>
    </w:p>
    <w:p w14:paraId="43CA58A3">
      <w:pPr>
        <w:spacing w:line="460" w:lineRule="exact"/>
        <w:ind w:firstLine="420" w:firstLineChars="200"/>
        <w:rPr>
          <w:rFonts w:ascii="宋体" w:hAnsi="宋体"/>
        </w:rPr>
      </w:pPr>
      <w:r>
        <w:rPr>
          <w:rFonts w:hint="eastAsia" w:ascii="宋体" w:hAnsi="宋体"/>
        </w:rPr>
        <w:t>b) 为防止因校正不当而造成校准失效，必要时应规定作业规程，包括工作环境；</w:t>
      </w:r>
    </w:p>
    <w:p w14:paraId="79EFA10F">
      <w:pPr>
        <w:spacing w:line="460" w:lineRule="exact"/>
        <w:ind w:firstLine="420" w:firstLineChars="200"/>
        <w:rPr>
          <w:rFonts w:ascii="宋体" w:hAnsi="宋体"/>
        </w:rPr>
      </w:pPr>
      <w:r>
        <w:rPr>
          <w:rFonts w:hint="eastAsia" w:ascii="宋体" w:hAnsi="宋体"/>
        </w:rPr>
        <w:t>c) 在搬运、维修和储存时，应妥善保护、防止损坏失准；</w:t>
      </w:r>
    </w:p>
    <w:p w14:paraId="3255BC97">
      <w:pPr>
        <w:spacing w:line="460" w:lineRule="exact"/>
        <w:ind w:firstLine="420" w:firstLineChars="200"/>
        <w:rPr>
          <w:rFonts w:ascii="宋体" w:hAnsi="宋体"/>
        </w:rPr>
      </w:pPr>
      <w:r>
        <w:rPr>
          <w:rFonts w:hint="eastAsia" w:ascii="宋体" w:hAnsi="宋体"/>
        </w:rPr>
        <w:t>d) 做好状态标识并保留检定记录；</w:t>
      </w:r>
    </w:p>
    <w:p w14:paraId="0F17CA16">
      <w:pPr>
        <w:spacing w:line="460" w:lineRule="exact"/>
        <w:ind w:firstLine="420" w:firstLineChars="200"/>
        <w:rPr>
          <w:rFonts w:ascii="宋体" w:hAnsi="宋体"/>
        </w:rPr>
      </w:pPr>
      <w:r>
        <w:rPr>
          <w:rFonts w:hint="eastAsia" w:ascii="宋体" w:hAnsi="宋体"/>
        </w:rPr>
        <w:t>e) 当失准时，应重新评估先前测量结果的有效性，并采取纠正措施。</w:t>
      </w:r>
    </w:p>
    <w:p w14:paraId="677488D2">
      <w:pPr>
        <w:spacing w:line="460" w:lineRule="exact"/>
        <w:ind w:left="630" w:leftChars="200" w:hanging="210" w:hangingChars="100"/>
        <w:rPr>
          <w:rFonts w:ascii="宋体" w:hAnsi="宋体"/>
        </w:rPr>
      </w:pPr>
      <w:r>
        <w:rPr>
          <w:rFonts w:hint="eastAsia" w:ascii="宋体" w:hAnsi="宋体"/>
        </w:rPr>
        <w:t>f) 当计算机软件用于规定要求的监视和测量时，应确认其满足预期用途的能力。确认应在初次使用前进行，必要时再确认。</w:t>
      </w:r>
    </w:p>
    <w:p w14:paraId="40F40C8A">
      <w:pPr>
        <w:pStyle w:val="5"/>
      </w:pPr>
      <w:bookmarkStart w:id="30" w:name="_Toc110460627"/>
      <w:r>
        <w:t xml:space="preserve">7.1.6 </w:t>
      </w:r>
      <w:r>
        <w:rPr>
          <w:rFonts w:hint="eastAsia"/>
        </w:rPr>
        <w:t>公司的知识</w:t>
      </w:r>
      <w:bookmarkEnd w:id="30"/>
      <w:r>
        <w:t xml:space="preserve"> </w:t>
      </w:r>
    </w:p>
    <w:p w14:paraId="1EF5E993">
      <w:pPr>
        <w:autoSpaceDE w:val="0"/>
        <w:autoSpaceDN w:val="0"/>
        <w:adjustRightInd w:val="0"/>
        <w:snapToGrid w:val="0"/>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公司应确定质量、环境和职业健康安全管理体系运行、过程、确保产品和服务符合性及顾客满意所需的知识。这些知识应得到保持、保护、需要时便于获取。企业的知识包括：</w:t>
      </w:r>
    </w:p>
    <w:p w14:paraId="58E8A26F">
      <w:pPr>
        <w:numPr>
          <w:ilvl w:val="0"/>
          <w:numId w:val="5"/>
        </w:numPr>
        <w:autoSpaceDE w:val="0"/>
        <w:autoSpaceDN w:val="0"/>
        <w:adjustRightInd w:val="0"/>
        <w:snapToGrid w:val="0"/>
        <w:spacing w:line="440" w:lineRule="exact"/>
        <w:jc w:val="left"/>
        <w:rPr>
          <w:rFonts w:ascii="宋体" w:hAnsi="宋体" w:cs="宋体"/>
          <w:color w:val="000000"/>
          <w:kern w:val="0"/>
          <w:sz w:val="24"/>
        </w:rPr>
      </w:pPr>
      <w:r>
        <w:rPr>
          <w:rFonts w:hint="eastAsia" w:ascii="宋体" w:hAnsi="宋体" w:cs="宋体"/>
          <w:color w:val="000000"/>
          <w:kern w:val="0"/>
          <w:sz w:val="24"/>
        </w:rPr>
        <w:t>从失败、临近失败的情况和成功中吸取经验教训；</w:t>
      </w:r>
    </w:p>
    <w:p w14:paraId="4EDDC649">
      <w:pPr>
        <w:numPr>
          <w:ilvl w:val="0"/>
          <w:numId w:val="5"/>
        </w:numPr>
        <w:autoSpaceDE w:val="0"/>
        <w:autoSpaceDN w:val="0"/>
        <w:adjustRightInd w:val="0"/>
        <w:snapToGrid w:val="0"/>
        <w:spacing w:line="440" w:lineRule="exact"/>
        <w:jc w:val="left"/>
        <w:rPr>
          <w:rFonts w:ascii="宋体" w:hAnsi="宋体" w:cs="宋体"/>
          <w:color w:val="000000"/>
          <w:kern w:val="0"/>
          <w:sz w:val="24"/>
        </w:rPr>
      </w:pPr>
      <w:r>
        <w:rPr>
          <w:rFonts w:hint="eastAsia" w:ascii="宋体" w:hAnsi="宋体" w:cs="宋体"/>
          <w:color w:val="000000"/>
          <w:kern w:val="0"/>
          <w:sz w:val="24"/>
        </w:rPr>
        <w:t>获取公司内部人员的知识和经验；</w:t>
      </w:r>
    </w:p>
    <w:p w14:paraId="7B7A904B">
      <w:pPr>
        <w:numPr>
          <w:ilvl w:val="0"/>
          <w:numId w:val="5"/>
        </w:numPr>
        <w:autoSpaceDE w:val="0"/>
        <w:autoSpaceDN w:val="0"/>
        <w:adjustRightInd w:val="0"/>
        <w:snapToGrid w:val="0"/>
        <w:spacing w:line="440" w:lineRule="exact"/>
        <w:jc w:val="left"/>
        <w:rPr>
          <w:rFonts w:ascii="宋体" w:hAnsi="宋体" w:cs="宋体"/>
          <w:color w:val="000000"/>
          <w:kern w:val="0"/>
          <w:sz w:val="24"/>
        </w:rPr>
      </w:pPr>
      <w:r>
        <w:rPr>
          <w:rFonts w:hint="eastAsia" w:ascii="宋体" w:hAnsi="宋体" w:cs="宋体"/>
          <w:color w:val="000000"/>
          <w:kern w:val="0"/>
          <w:sz w:val="24"/>
        </w:rPr>
        <w:t>从顾客、供应商和合作伙伴方面收集知识；</w:t>
      </w:r>
    </w:p>
    <w:p w14:paraId="53EE2945">
      <w:pPr>
        <w:numPr>
          <w:ilvl w:val="0"/>
          <w:numId w:val="5"/>
        </w:numPr>
        <w:autoSpaceDE w:val="0"/>
        <w:autoSpaceDN w:val="0"/>
        <w:adjustRightInd w:val="0"/>
        <w:snapToGrid w:val="0"/>
        <w:spacing w:line="440" w:lineRule="exact"/>
        <w:jc w:val="left"/>
        <w:rPr>
          <w:rFonts w:ascii="宋体" w:hAnsi="宋体" w:cs="宋体"/>
          <w:color w:val="000000"/>
          <w:kern w:val="0"/>
          <w:sz w:val="24"/>
        </w:rPr>
      </w:pPr>
      <w:r>
        <w:rPr>
          <w:rFonts w:hint="eastAsia" w:ascii="宋体" w:hAnsi="宋体" w:cs="宋体"/>
          <w:color w:val="000000"/>
          <w:kern w:val="0"/>
          <w:sz w:val="24"/>
        </w:rPr>
        <w:t>获取</w:t>
      </w:r>
      <w:r>
        <w:rPr>
          <w:rFonts w:ascii="宋体" w:hAnsi="宋体" w:cs="宋体"/>
          <w:color w:val="000000"/>
          <w:kern w:val="0"/>
          <w:sz w:val="24"/>
        </w:rPr>
        <w:t>公司</w:t>
      </w:r>
      <w:r>
        <w:rPr>
          <w:rFonts w:hint="eastAsia" w:ascii="宋体" w:hAnsi="宋体" w:cs="宋体"/>
          <w:color w:val="000000"/>
          <w:kern w:val="0"/>
          <w:sz w:val="24"/>
        </w:rPr>
        <w:t>内部存在的知识（隐性的和显性的），如辅导计划、继任计划等；</w:t>
      </w:r>
    </w:p>
    <w:p w14:paraId="20335C76">
      <w:pPr>
        <w:numPr>
          <w:ilvl w:val="0"/>
          <w:numId w:val="5"/>
        </w:numPr>
        <w:autoSpaceDE w:val="0"/>
        <w:autoSpaceDN w:val="0"/>
        <w:adjustRightInd w:val="0"/>
        <w:snapToGrid w:val="0"/>
        <w:spacing w:line="440" w:lineRule="exact"/>
        <w:jc w:val="left"/>
        <w:rPr>
          <w:rFonts w:ascii="宋体" w:hAnsi="宋体" w:cs="宋体"/>
          <w:color w:val="000000"/>
          <w:kern w:val="0"/>
          <w:sz w:val="24"/>
        </w:rPr>
      </w:pPr>
      <w:r>
        <w:rPr>
          <w:rFonts w:hint="eastAsia" w:ascii="宋体" w:hAnsi="宋体" w:cs="宋体"/>
          <w:color w:val="000000"/>
          <w:kern w:val="0"/>
          <w:sz w:val="24"/>
        </w:rPr>
        <w:t>与竞争对手或标杆企业的比较；</w:t>
      </w:r>
    </w:p>
    <w:p w14:paraId="70CB5B4E">
      <w:pPr>
        <w:numPr>
          <w:ilvl w:val="0"/>
          <w:numId w:val="5"/>
        </w:numPr>
        <w:autoSpaceDE w:val="0"/>
        <w:autoSpaceDN w:val="0"/>
        <w:adjustRightInd w:val="0"/>
        <w:snapToGrid w:val="0"/>
        <w:spacing w:line="440" w:lineRule="exact"/>
        <w:jc w:val="left"/>
        <w:rPr>
          <w:rFonts w:ascii="宋体" w:hAnsi="宋体" w:cs="宋体"/>
          <w:color w:val="000000"/>
          <w:kern w:val="0"/>
          <w:sz w:val="24"/>
        </w:rPr>
      </w:pPr>
      <w:r>
        <w:rPr>
          <w:rFonts w:hint="eastAsia" w:ascii="宋体" w:hAnsi="宋体" w:cs="宋体"/>
          <w:color w:val="000000"/>
          <w:kern w:val="0"/>
          <w:sz w:val="24"/>
        </w:rPr>
        <w:t>与相关方分享公司知识，以确保公司发展的可持续性；</w:t>
      </w:r>
    </w:p>
    <w:p w14:paraId="0D1B4ED5">
      <w:pPr>
        <w:numPr>
          <w:ilvl w:val="0"/>
          <w:numId w:val="5"/>
        </w:numPr>
        <w:autoSpaceDE w:val="0"/>
        <w:autoSpaceDN w:val="0"/>
        <w:adjustRightInd w:val="0"/>
        <w:snapToGrid w:val="0"/>
        <w:spacing w:line="440" w:lineRule="exact"/>
        <w:jc w:val="left"/>
        <w:rPr>
          <w:rFonts w:ascii="宋体" w:hAnsi="宋体" w:cs="宋体"/>
          <w:color w:val="000000"/>
          <w:kern w:val="0"/>
          <w:sz w:val="24"/>
        </w:rPr>
      </w:pPr>
      <w:r>
        <w:rPr>
          <w:rFonts w:hint="eastAsia" w:ascii="宋体" w:hAnsi="宋体" w:cs="宋体"/>
          <w:color w:val="000000"/>
          <w:kern w:val="0"/>
          <w:sz w:val="24"/>
        </w:rPr>
        <w:t>根据改进的结果更新必要的企业知识。</w:t>
      </w:r>
    </w:p>
    <w:p w14:paraId="21B60441">
      <w:pPr>
        <w:autoSpaceDE w:val="0"/>
        <w:autoSpaceDN w:val="0"/>
        <w:adjustRightInd w:val="0"/>
        <w:snapToGrid w:val="0"/>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在应对变化的需求和趋势时，</w:t>
      </w:r>
      <w:r>
        <w:rPr>
          <w:rFonts w:ascii="宋体" w:hAnsi="宋体" w:cs="宋体"/>
          <w:color w:val="000000"/>
          <w:kern w:val="0"/>
          <w:sz w:val="24"/>
        </w:rPr>
        <w:t>公司</w:t>
      </w:r>
      <w:r>
        <w:rPr>
          <w:rFonts w:hint="eastAsia" w:ascii="宋体" w:hAnsi="宋体" w:cs="宋体"/>
          <w:color w:val="000000"/>
          <w:kern w:val="0"/>
          <w:sz w:val="24"/>
        </w:rPr>
        <w:t>应考虑现有的知识基础，确定如何获取必需的更多知识。 </w:t>
      </w:r>
    </w:p>
    <w:p w14:paraId="1CE03C44">
      <w:pPr>
        <w:autoSpaceDE w:val="0"/>
        <w:autoSpaceDN w:val="0"/>
        <w:adjustRightInd w:val="0"/>
        <w:snapToGrid w:val="0"/>
        <w:spacing w:line="440" w:lineRule="exact"/>
        <w:ind w:firstLine="720"/>
        <w:jc w:val="left"/>
        <w:rPr>
          <w:rFonts w:ascii="宋体" w:hAnsi="宋体" w:cs="宋体"/>
          <w:color w:val="000000"/>
          <w:kern w:val="0"/>
          <w:sz w:val="24"/>
        </w:rPr>
      </w:pPr>
      <w:r>
        <w:rPr>
          <w:rFonts w:hint="eastAsia" w:ascii="宋体" w:hAnsi="宋体" w:cs="宋体"/>
          <w:color w:val="000000"/>
          <w:kern w:val="0"/>
          <w:sz w:val="24"/>
        </w:rPr>
        <w:t> a)质量、环境和职业健康安全管理体系运行所需的知识；</w:t>
      </w:r>
    </w:p>
    <w:p w14:paraId="5E5BFE51">
      <w:pPr>
        <w:adjustRightInd w:val="0"/>
        <w:snapToGrid w:val="0"/>
        <w:spacing w:line="440" w:lineRule="exact"/>
        <w:ind w:right="-45" w:firstLine="720"/>
        <w:rPr>
          <w:rFonts w:ascii="宋体" w:hAnsi="宋体"/>
          <w:b/>
          <w:color w:val="000000"/>
          <w:sz w:val="24"/>
        </w:rPr>
      </w:pPr>
      <w:r>
        <w:rPr>
          <w:rFonts w:hint="eastAsia" w:ascii="宋体" w:hAnsi="宋体" w:cs="宋体"/>
          <w:color w:val="000000"/>
          <w:kern w:val="0"/>
          <w:sz w:val="24"/>
        </w:rPr>
        <w:t>b)过程所需的知识； </w:t>
      </w:r>
    </w:p>
    <w:p w14:paraId="3DEADB52">
      <w:pPr>
        <w:autoSpaceDE w:val="0"/>
        <w:autoSpaceDN w:val="0"/>
        <w:adjustRightInd w:val="0"/>
        <w:snapToGrid w:val="0"/>
        <w:spacing w:line="440" w:lineRule="exact"/>
        <w:ind w:firstLine="720"/>
        <w:jc w:val="left"/>
        <w:rPr>
          <w:rFonts w:ascii="宋体" w:hAnsi="宋体" w:cs="宋体"/>
          <w:color w:val="000000"/>
          <w:kern w:val="0"/>
          <w:sz w:val="24"/>
        </w:rPr>
      </w:pPr>
      <w:r>
        <w:rPr>
          <w:rFonts w:hint="eastAsia" w:ascii="宋体" w:hAnsi="宋体" w:cs="宋体"/>
          <w:color w:val="000000"/>
          <w:kern w:val="0"/>
          <w:sz w:val="24"/>
        </w:rPr>
        <w:t>d)顾客满意所需的知识； </w:t>
      </w:r>
    </w:p>
    <w:p w14:paraId="1627F549">
      <w:pPr>
        <w:autoSpaceDE w:val="0"/>
        <w:autoSpaceDN w:val="0"/>
        <w:adjustRightInd w:val="0"/>
        <w:snapToGrid w:val="0"/>
        <w:spacing w:line="440" w:lineRule="exact"/>
        <w:ind w:firstLine="720"/>
        <w:jc w:val="left"/>
        <w:rPr>
          <w:rFonts w:ascii="宋体" w:hAnsi="宋体" w:cs="宋体"/>
          <w:color w:val="000000"/>
          <w:kern w:val="0"/>
          <w:sz w:val="24"/>
        </w:rPr>
      </w:pPr>
      <w:r>
        <w:rPr>
          <w:rFonts w:hint="eastAsia" w:ascii="宋体" w:hAnsi="宋体" w:cs="宋体"/>
          <w:color w:val="000000"/>
          <w:kern w:val="0"/>
          <w:sz w:val="24"/>
        </w:rPr>
        <w:t>e)员工岗位技能所需的知识； </w:t>
      </w:r>
    </w:p>
    <w:p w14:paraId="75000C32">
      <w:pPr>
        <w:autoSpaceDE w:val="0"/>
        <w:autoSpaceDN w:val="0"/>
        <w:adjustRightInd w:val="0"/>
        <w:snapToGrid w:val="0"/>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 xml:space="preserve">  f)体系变化时，评估所需更多的知识。</w:t>
      </w:r>
    </w:p>
    <w:p w14:paraId="51E0C3F9">
      <w:pPr>
        <w:autoSpaceDE w:val="0"/>
        <w:autoSpaceDN w:val="0"/>
        <w:adjustRightInd w:val="0"/>
        <w:snapToGrid w:val="0"/>
        <w:spacing w:line="440" w:lineRule="exact"/>
        <w:ind w:firstLine="720"/>
        <w:jc w:val="left"/>
        <w:rPr>
          <w:rFonts w:ascii="宋体" w:hAnsi="宋体" w:cs="宋体"/>
          <w:color w:val="000000"/>
          <w:kern w:val="0"/>
          <w:sz w:val="24"/>
        </w:rPr>
      </w:pPr>
      <w:bookmarkStart w:id="31" w:name="_Toc110460628"/>
      <w:r>
        <w:rPr>
          <w:rFonts w:hint="eastAsia" w:ascii="宋体" w:hAnsi="宋体" w:cs="宋体"/>
          <w:color w:val="000000"/>
          <w:kern w:val="0"/>
          <w:sz w:val="24"/>
        </w:rPr>
        <w:t>7.1.7食品安全管理体系外部开发要素</w:t>
      </w:r>
      <w:bookmarkEnd w:id="31"/>
    </w:p>
    <w:p w14:paraId="18651DE8">
      <w:pPr>
        <w:autoSpaceDE w:val="0"/>
        <w:autoSpaceDN w:val="0"/>
        <w:adjustRightInd w:val="0"/>
        <w:snapToGrid w:val="0"/>
        <w:spacing w:line="440" w:lineRule="exact"/>
        <w:ind w:firstLine="720"/>
        <w:jc w:val="left"/>
        <w:rPr>
          <w:rFonts w:ascii="宋体" w:hAnsi="宋体" w:cs="宋体"/>
          <w:color w:val="000000"/>
          <w:kern w:val="0"/>
          <w:sz w:val="24"/>
        </w:rPr>
      </w:pPr>
      <w:r>
        <w:rPr>
          <w:rFonts w:hint="eastAsia" w:ascii="宋体" w:hAnsi="宋体" w:cs="宋体"/>
          <w:color w:val="000000"/>
          <w:kern w:val="0"/>
          <w:sz w:val="24"/>
        </w:rPr>
        <w:t>当组织利用食品安全管理体系的外部开发要素，包括前提方案和危害控制计划等，建立、保持、更新和持续改进其食品安全管理体系、HACCP体系时，组织应确保所提供的要素：</w:t>
      </w:r>
    </w:p>
    <w:p w14:paraId="0AF9E8ED">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符合本标准要求；</w:t>
      </w:r>
    </w:p>
    <w:p w14:paraId="602311A4">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适用于组织场地、过程和产品；</w:t>
      </w:r>
    </w:p>
    <w:p w14:paraId="30BB8886">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经过食品安全小组特别调整，适用于组织的过程和产品；</w:t>
      </w:r>
    </w:p>
    <w:p w14:paraId="7DD719A0">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按本标准要求予以实施、保持和更新；</w:t>
      </w:r>
    </w:p>
    <w:p w14:paraId="204DED5A">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保留作为成文信息。</w:t>
      </w:r>
    </w:p>
    <w:p w14:paraId="293F740A">
      <w:pPr>
        <w:pStyle w:val="2"/>
        <w:spacing w:line="360" w:lineRule="auto"/>
        <w:rPr>
          <w:rFonts w:ascii="宋体" w:hAnsi="宋体"/>
        </w:rPr>
      </w:pPr>
      <w:r>
        <w:t xml:space="preserve">    </w:t>
      </w:r>
      <w:r>
        <w:rPr>
          <w:rFonts w:hint="eastAsia" w:ascii="宋体" w:hAnsi="宋体"/>
        </w:rPr>
        <w:t>适用时，企业应建立、实施和保持产品设计和开发程序，以确保新产品研发、产品发生变化或产品生产工艺发生变更时，能够持续生产符合食品安全法规要求的产品。</w:t>
      </w:r>
    </w:p>
    <w:p w14:paraId="4879AB6D">
      <w:pPr>
        <w:pStyle w:val="18"/>
        <w:rPr>
          <w:rFonts w:ascii="宋体" w:hAnsi="宋体"/>
        </w:rPr>
      </w:pPr>
      <w:bookmarkStart w:id="32" w:name="_Toc110460629"/>
      <w:r>
        <w:rPr>
          <w:rFonts w:hint="eastAsia" w:ascii="宋体" w:hAnsi="宋体"/>
        </w:rPr>
        <w:t>7.2  能力</w:t>
      </w:r>
      <w:bookmarkEnd w:id="32"/>
    </w:p>
    <w:p w14:paraId="4F6E6C2F">
      <w:pPr>
        <w:spacing w:line="460" w:lineRule="exact"/>
        <w:ind w:firstLine="420" w:firstLineChars="200"/>
        <w:rPr>
          <w:rFonts w:ascii="宋体" w:hAnsi="宋体"/>
        </w:rPr>
      </w:pPr>
      <w:r>
        <w:rPr>
          <w:rFonts w:hint="eastAsia" w:ascii="宋体" w:hAnsi="宋体"/>
        </w:rPr>
        <w:t>组织应：</w:t>
      </w:r>
    </w:p>
    <w:p w14:paraId="36AEADD2">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确定在其控制下工作的人员（包括外部供方）所需具备的能力，这些人员从事的工作影响食品安全绩效和质量环境职业健康安全/食品安全/HACCP体系的有效性；</w:t>
      </w:r>
    </w:p>
    <w:p w14:paraId="03EDE09D">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基于适宜的教育、培训和/或经验，确保这些人员(包括食品安全小组和负责实施危害控制计划的人员)是胜任的；</w:t>
      </w:r>
    </w:p>
    <w:p w14:paraId="07E137EB">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确保食品安全小组在建立和实施FSMS方面拥有多学科知识和经验（包括但不限于组织在质量环境职业健康安全/食品安全/HACCP体系范围内的产品、过程、设备和食品安全危害）；</w:t>
      </w:r>
    </w:p>
    <w:p w14:paraId="3C24AF08">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适用时，采取措施获得所需的能力，并评价采取措施的有效性；</w:t>
      </w:r>
    </w:p>
    <w:p w14:paraId="37998E02">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保留适宜的成文信息，作为人员能力的证据。</w:t>
      </w:r>
    </w:p>
    <w:p w14:paraId="15395265">
      <w:pPr>
        <w:pStyle w:val="18"/>
        <w:rPr>
          <w:rFonts w:ascii="宋体" w:hAnsi="宋体"/>
        </w:rPr>
      </w:pPr>
      <w:bookmarkStart w:id="33" w:name="_Toc110460630"/>
      <w:r>
        <w:rPr>
          <w:rFonts w:hint="eastAsia" w:ascii="宋体" w:hAnsi="宋体"/>
        </w:rPr>
        <w:t>7.3</w:t>
      </w:r>
      <w:r>
        <w:rPr>
          <w:rFonts w:hint="eastAsia" w:ascii="宋体" w:hAnsi="宋体"/>
        </w:rPr>
        <w:tab/>
      </w:r>
      <w:r>
        <w:rPr>
          <w:rFonts w:hint="eastAsia" w:ascii="宋体" w:hAnsi="宋体"/>
        </w:rPr>
        <w:t>意识</w:t>
      </w:r>
      <w:bookmarkEnd w:id="33"/>
    </w:p>
    <w:p w14:paraId="35B5FA71">
      <w:pPr>
        <w:spacing w:line="460" w:lineRule="exact"/>
        <w:ind w:firstLine="420" w:firstLineChars="200"/>
        <w:rPr>
          <w:rFonts w:ascii="宋体" w:hAnsi="宋体"/>
        </w:rPr>
      </w:pPr>
      <w:r>
        <w:rPr>
          <w:rFonts w:hint="eastAsia" w:ascii="宋体" w:hAnsi="宋体"/>
        </w:rPr>
        <w:t>组织应确保在其控制下工作的所有相关人员知晓：</w:t>
      </w:r>
    </w:p>
    <w:p w14:paraId="72CF9C9A">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食品安全方针；</w:t>
      </w:r>
    </w:p>
    <w:p w14:paraId="2F3F04AB">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与其任务有关的质量环境职业健康安全/食品安全/HACCP体系目标；</w:t>
      </w:r>
    </w:p>
    <w:p w14:paraId="3C3E1A5D">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他们对质量环境职业健康安全/食品安全/HACCP体系有效性的贡献，包括改进食品安全绩效的益处；</w:t>
      </w:r>
    </w:p>
    <w:p w14:paraId="094E60DF">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不符合质量环境职业健康安全/食品安全/HACCP体系要求的后果。</w:t>
      </w:r>
    </w:p>
    <w:p w14:paraId="4C148608">
      <w:pPr>
        <w:pStyle w:val="18"/>
        <w:rPr>
          <w:rFonts w:ascii="宋体" w:hAnsi="宋体"/>
        </w:rPr>
      </w:pPr>
      <w:bookmarkStart w:id="34" w:name="_Toc110460631"/>
      <w:r>
        <w:rPr>
          <w:rFonts w:hint="eastAsia" w:ascii="宋体" w:hAnsi="宋体"/>
        </w:rPr>
        <w:t>7.4</w:t>
      </w:r>
      <w:r>
        <w:rPr>
          <w:rFonts w:hint="eastAsia" w:ascii="宋体" w:hAnsi="宋体"/>
        </w:rPr>
        <w:tab/>
      </w:r>
      <w:r>
        <w:rPr>
          <w:rFonts w:hint="eastAsia" w:ascii="宋体" w:hAnsi="宋体"/>
        </w:rPr>
        <w:t>沟通</w:t>
      </w:r>
      <w:bookmarkEnd w:id="34"/>
    </w:p>
    <w:p w14:paraId="7320F276">
      <w:pPr>
        <w:spacing w:line="460" w:lineRule="exact"/>
        <w:ind w:firstLine="420" w:firstLineChars="200"/>
        <w:rPr>
          <w:rFonts w:ascii="宋体" w:hAnsi="宋体"/>
        </w:rPr>
      </w:pPr>
      <w:r>
        <w:rPr>
          <w:rFonts w:hint="eastAsia" w:ascii="宋体" w:hAnsi="宋体"/>
        </w:rPr>
        <w:t>7.4.1 总则</w:t>
      </w:r>
    </w:p>
    <w:p w14:paraId="6B92F019">
      <w:pPr>
        <w:spacing w:line="460" w:lineRule="exact"/>
        <w:ind w:firstLine="420" w:firstLineChars="200"/>
        <w:rPr>
          <w:rFonts w:ascii="宋体" w:hAnsi="宋体"/>
        </w:rPr>
      </w:pPr>
      <w:r>
        <w:rPr>
          <w:rFonts w:hint="eastAsia" w:ascii="宋体" w:hAnsi="宋体"/>
        </w:rPr>
        <w:t>组织应确定与质量环境职业健康安全/食品安全/HACCP体系相关的内部和外部沟通，包括：</w:t>
      </w:r>
    </w:p>
    <w:p w14:paraId="70E84C38">
      <w:pPr>
        <w:spacing w:line="460" w:lineRule="exact"/>
        <w:ind w:firstLine="420" w:firstLineChars="200"/>
        <w:rPr>
          <w:rFonts w:ascii="宋体" w:hAnsi="宋体"/>
        </w:rPr>
      </w:pPr>
      <w:r>
        <w:rPr>
          <w:rFonts w:hint="eastAsia" w:ascii="宋体" w:hAnsi="宋体"/>
        </w:rPr>
        <w:t>a）沟通什么；</w:t>
      </w:r>
    </w:p>
    <w:p w14:paraId="65BFDB75">
      <w:pPr>
        <w:spacing w:line="460" w:lineRule="exact"/>
        <w:ind w:firstLine="420" w:firstLineChars="200"/>
        <w:rPr>
          <w:rFonts w:ascii="宋体" w:hAnsi="宋体"/>
        </w:rPr>
      </w:pPr>
      <w:r>
        <w:rPr>
          <w:rFonts w:hint="eastAsia" w:ascii="宋体" w:hAnsi="宋体"/>
        </w:rPr>
        <w:t>b）何时沟通；</w:t>
      </w:r>
    </w:p>
    <w:p w14:paraId="4CD0E229">
      <w:pPr>
        <w:spacing w:line="460" w:lineRule="exact"/>
        <w:ind w:firstLine="420" w:firstLineChars="200"/>
        <w:rPr>
          <w:rFonts w:ascii="宋体" w:hAnsi="宋体"/>
        </w:rPr>
      </w:pPr>
      <w:r>
        <w:rPr>
          <w:rFonts w:hint="eastAsia" w:ascii="宋体" w:hAnsi="宋体"/>
        </w:rPr>
        <w:t>c）与谁沟通；</w:t>
      </w:r>
    </w:p>
    <w:p w14:paraId="0305FDBE">
      <w:pPr>
        <w:spacing w:line="460" w:lineRule="exact"/>
        <w:ind w:firstLine="420" w:firstLineChars="200"/>
        <w:rPr>
          <w:rFonts w:ascii="宋体" w:hAnsi="宋体"/>
        </w:rPr>
      </w:pPr>
      <w:r>
        <w:rPr>
          <w:rFonts w:hint="eastAsia" w:ascii="宋体" w:hAnsi="宋体"/>
        </w:rPr>
        <w:t>d）如何沟通；</w:t>
      </w:r>
    </w:p>
    <w:p w14:paraId="3C913101">
      <w:pPr>
        <w:spacing w:line="460" w:lineRule="exact"/>
        <w:ind w:firstLine="420" w:firstLineChars="200"/>
        <w:rPr>
          <w:rFonts w:ascii="宋体" w:hAnsi="宋体"/>
        </w:rPr>
      </w:pPr>
      <w:r>
        <w:rPr>
          <w:rFonts w:hint="eastAsia" w:ascii="宋体" w:hAnsi="宋体"/>
        </w:rPr>
        <w:t>e）谁来沟通。</w:t>
      </w:r>
    </w:p>
    <w:p w14:paraId="18772B96">
      <w:pPr>
        <w:spacing w:line="460" w:lineRule="exact"/>
        <w:ind w:firstLine="420" w:firstLineChars="200"/>
        <w:rPr>
          <w:rFonts w:ascii="宋体" w:hAnsi="宋体"/>
        </w:rPr>
      </w:pPr>
      <w:r>
        <w:rPr>
          <w:rFonts w:hint="eastAsia" w:ascii="宋体" w:hAnsi="宋体"/>
        </w:rPr>
        <w:t>组织应确保所有其活动对食品安全产生影响的人员理解有效沟通的要求。</w:t>
      </w:r>
    </w:p>
    <w:p w14:paraId="183D927D">
      <w:pPr>
        <w:spacing w:line="460" w:lineRule="exact"/>
        <w:ind w:firstLine="420" w:firstLineChars="200"/>
        <w:rPr>
          <w:rFonts w:ascii="宋体" w:hAnsi="宋体"/>
        </w:rPr>
      </w:pPr>
      <w:r>
        <w:rPr>
          <w:rFonts w:hint="eastAsia" w:ascii="宋体" w:hAnsi="宋体"/>
        </w:rPr>
        <w:t>7.4.2外部沟通</w:t>
      </w:r>
    </w:p>
    <w:p w14:paraId="591F6649">
      <w:pPr>
        <w:spacing w:line="460" w:lineRule="exact"/>
        <w:ind w:firstLine="420" w:firstLineChars="200"/>
        <w:rPr>
          <w:rFonts w:ascii="宋体" w:hAnsi="宋体"/>
        </w:rPr>
      </w:pPr>
      <w:r>
        <w:rPr>
          <w:rFonts w:hint="eastAsia" w:ascii="宋体" w:hAnsi="宋体"/>
        </w:rPr>
        <w:t>组织应确保向外部沟通并向食品链的相关方提供了充分信息。</w:t>
      </w:r>
    </w:p>
    <w:p w14:paraId="7C44520C">
      <w:pPr>
        <w:spacing w:line="460" w:lineRule="exact"/>
        <w:ind w:firstLine="420" w:firstLineChars="200"/>
        <w:rPr>
          <w:rFonts w:ascii="宋体" w:hAnsi="宋体"/>
        </w:rPr>
      </w:pPr>
      <w:r>
        <w:rPr>
          <w:rFonts w:hint="eastAsia" w:ascii="宋体" w:hAnsi="宋体"/>
        </w:rPr>
        <w:t>组织应与下述各方建立、实施并保持有效沟通：</w:t>
      </w:r>
    </w:p>
    <w:p w14:paraId="18B0D1F1">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外部供方和承包方；</w:t>
      </w:r>
    </w:p>
    <w:p w14:paraId="795261FC">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顾客和/或消费者，沟通下述方面的内容：</w:t>
      </w:r>
    </w:p>
    <w:p w14:paraId="319E34E0">
      <w:pPr>
        <w:spacing w:line="460" w:lineRule="exact"/>
        <w:ind w:firstLine="420" w:firstLineChars="200"/>
        <w:rPr>
          <w:rFonts w:ascii="宋体" w:hAnsi="宋体"/>
        </w:rPr>
      </w:pPr>
      <w:r>
        <w:rPr>
          <w:rFonts w:hint="eastAsia" w:ascii="宋体" w:hAnsi="宋体"/>
        </w:rPr>
        <w:t>1）</w:t>
      </w:r>
      <w:r>
        <w:rPr>
          <w:rFonts w:hint="eastAsia" w:ascii="宋体" w:hAnsi="宋体"/>
        </w:rPr>
        <w:tab/>
      </w:r>
      <w:r>
        <w:rPr>
          <w:rFonts w:hint="eastAsia" w:ascii="宋体" w:hAnsi="宋体"/>
        </w:rPr>
        <w:t>使产品在食品链内或由消费者处理、陈列、储存、制备、分发和使用与食品安全有关的产品信息；</w:t>
      </w:r>
    </w:p>
    <w:p w14:paraId="4162BD69">
      <w:pPr>
        <w:spacing w:line="460" w:lineRule="exact"/>
        <w:ind w:firstLine="420" w:firstLineChars="200"/>
        <w:rPr>
          <w:rFonts w:ascii="宋体" w:hAnsi="宋体"/>
        </w:rPr>
      </w:pPr>
      <w:r>
        <w:rPr>
          <w:rFonts w:hint="eastAsia" w:ascii="宋体" w:hAnsi="宋体"/>
        </w:rPr>
        <w:t>2）</w:t>
      </w:r>
      <w:r>
        <w:rPr>
          <w:rFonts w:hint="eastAsia" w:ascii="宋体" w:hAnsi="宋体"/>
        </w:rPr>
        <w:tab/>
      </w:r>
      <w:r>
        <w:rPr>
          <w:rFonts w:hint="eastAsia" w:ascii="宋体" w:hAnsi="宋体"/>
        </w:rPr>
        <w:t>需要由食品链内其他组织和/或消费者控制的已确定食品安全危害；</w:t>
      </w:r>
    </w:p>
    <w:p w14:paraId="34FE3E7F">
      <w:pPr>
        <w:spacing w:line="460" w:lineRule="exact"/>
        <w:ind w:firstLine="420" w:firstLineChars="200"/>
        <w:rPr>
          <w:rFonts w:ascii="宋体" w:hAnsi="宋体"/>
        </w:rPr>
      </w:pPr>
      <w:r>
        <w:rPr>
          <w:rFonts w:hint="eastAsia" w:ascii="宋体" w:hAnsi="宋体"/>
        </w:rPr>
        <w:t>3）</w:t>
      </w:r>
      <w:r>
        <w:rPr>
          <w:rFonts w:hint="eastAsia" w:ascii="宋体" w:hAnsi="宋体"/>
        </w:rPr>
        <w:tab/>
      </w:r>
      <w:r>
        <w:rPr>
          <w:rFonts w:hint="eastAsia" w:ascii="宋体" w:hAnsi="宋体"/>
        </w:rPr>
        <w:t xml:space="preserve">合同约定、问询和订单及其修改； </w:t>
      </w:r>
    </w:p>
    <w:p w14:paraId="17EE702E">
      <w:pPr>
        <w:spacing w:line="460" w:lineRule="exact"/>
        <w:ind w:firstLine="420" w:firstLineChars="200"/>
        <w:rPr>
          <w:rFonts w:ascii="宋体" w:hAnsi="宋体"/>
        </w:rPr>
      </w:pPr>
      <w:r>
        <w:rPr>
          <w:rFonts w:hint="eastAsia" w:ascii="宋体" w:hAnsi="宋体"/>
        </w:rPr>
        <w:t>4）</w:t>
      </w:r>
      <w:r>
        <w:rPr>
          <w:rFonts w:hint="eastAsia" w:ascii="宋体" w:hAnsi="宋体"/>
        </w:rPr>
        <w:tab/>
      </w:r>
      <w:r>
        <w:rPr>
          <w:rFonts w:hint="eastAsia" w:ascii="宋体" w:hAnsi="宋体"/>
        </w:rPr>
        <w:t>顾客和/或顾客反馈信息，包括抱怨；</w:t>
      </w:r>
    </w:p>
    <w:p w14:paraId="5DA20D1C">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 xml:space="preserve">立法/监管部门； </w:t>
      </w:r>
    </w:p>
    <w:p w14:paraId="14C81E9D">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对质量环境职业健康安全/食品安全/HACCP体系的有效性或更新具有影响或将受其影响的其他组织。</w:t>
      </w:r>
    </w:p>
    <w:p w14:paraId="27665801">
      <w:pPr>
        <w:spacing w:line="460" w:lineRule="exact"/>
        <w:ind w:firstLine="420" w:firstLineChars="200"/>
        <w:rPr>
          <w:rFonts w:ascii="宋体" w:hAnsi="宋体"/>
        </w:rPr>
      </w:pPr>
      <w:r>
        <w:rPr>
          <w:rFonts w:hint="eastAsia" w:ascii="宋体" w:hAnsi="宋体"/>
        </w:rPr>
        <w:t>指定人员应具有规定的职责和权限以进行有关食品安全信息的对外沟通。在相关的情况下，通过外部沟通获得的信息应作为质量环境职业健康安全/食品安全/HACCP体系更新和管理评审的输入。</w:t>
      </w:r>
    </w:p>
    <w:p w14:paraId="3EFD3DA7">
      <w:pPr>
        <w:spacing w:line="460" w:lineRule="exact"/>
        <w:ind w:firstLine="420" w:firstLineChars="200"/>
        <w:rPr>
          <w:rFonts w:ascii="宋体" w:hAnsi="宋体"/>
        </w:rPr>
      </w:pPr>
      <w:r>
        <w:rPr>
          <w:rFonts w:hint="eastAsia" w:ascii="宋体" w:hAnsi="宋体"/>
        </w:rPr>
        <w:t>外部沟通的证据应作为成文信息保留。</w:t>
      </w:r>
    </w:p>
    <w:p w14:paraId="2D3263DE">
      <w:pPr>
        <w:spacing w:line="460" w:lineRule="exact"/>
        <w:ind w:firstLine="420" w:firstLineChars="200"/>
        <w:rPr>
          <w:rFonts w:ascii="宋体" w:hAnsi="宋体"/>
        </w:rPr>
      </w:pPr>
      <w:r>
        <w:rPr>
          <w:rFonts w:hint="eastAsia" w:ascii="宋体" w:hAnsi="宋体"/>
        </w:rPr>
        <w:t>7.4.3</w:t>
      </w:r>
      <w:r>
        <w:rPr>
          <w:rFonts w:hint="eastAsia" w:ascii="宋体" w:hAnsi="宋体"/>
        </w:rPr>
        <w:tab/>
      </w:r>
      <w:r>
        <w:rPr>
          <w:rFonts w:hint="eastAsia" w:ascii="宋体" w:hAnsi="宋体"/>
        </w:rPr>
        <w:t>内部沟通</w:t>
      </w:r>
    </w:p>
    <w:p w14:paraId="732E0495">
      <w:pPr>
        <w:spacing w:line="460" w:lineRule="exact"/>
        <w:ind w:firstLine="420" w:firstLineChars="200"/>
        <w:rPr>
          <w:rFonts w:ascii="宋体" w:hAnsi="宋体"/>
        </w:rPr>
      </w:pPr>
      <w:r>
        <w:rPr>
          <w:rFonts w:hint="eastAsia" w:ascii="宋体" w:hAnsi="宋体"/>
        </w:rPr>
        <w:t>对于人员之间就食品安全影响因素的，组织应建立、实施和保持有效的系统，以沟通对食品安全有影响的问题。</w:t>
      </w:r>
    </w:p>
    <w:p w14:paraId="67CE7B5C">
      <w:pPr>
        <w:spacing w:line="460" w:lineRule="exact"/>
        <w:ind w:firstLine="420" w:firstLineChars="200"/>
        <w:rPr>
          <w:rFonts w:ascii="宋体" w:hAnsi="宋体"/>
        </w:rPr>
      </w:pPr>
      <w:r>
        <w:rPr>
          <w:rFonts w:hint="eastAsia" w:ascii="宋体" w:hAnsi="宋体"/>
        </w:rPr>
        <w:t>为了保持质量环境职业健康安全/食品安全/HACCP体系的有效性，组织应确保食品安全小组及时了解以下变更：</w:t>
      </w:r>
    </w:p>
    <w:p w14:paraId="6135D59A">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产品或新产品；</w:t>
      </w:r>
    </w:p>
    <w:p w14:paraId="64BB5B09">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原材料、辅料和服务；</w:t>
      </w:r>
    </w:p>
    <w:p w14:paraId="49766688">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生产系统和设备；</w:t>
      </w:r>
    </w:p>
    <w:p w14:paraId="08C836C9">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生产场所、设备位置、周边环境；</w:t>
      </w:r>
    </w:p>
    <w:p w14:paraId="30167D0F">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清洁和卫生程序；</w:t>
      </w:r>
    </w:p>
    <w:p w14:paraId="27A39488">
      <w:pPr>
        <w:spacing w:line="460" w:lineRule="exact"/>
        <w:ind w:firstLine="420" w:firstLineChars="200"/>
        <w:rPr>
          <w:rFonts w:ascii="宋体" w:hAnsi="宋体"/>
        </w:rPr>
      </w:pPr>
      <w:r>
        <w:rPr>
          <w:rFonts w:hint="eastAsia" w:ascii="宋体" w:hAnsi="宋体"/>
        </w:rPr>
        <w:t>f）</w:t>
      </w:r>
      <w:r>
        <w:rPr>
          <w:rFonts w:hint="eastAsia" w:ascii="宋体" w:hAnsi="宋体"/>
        </w:rPr>
        <w:tab/>
      </w:r>
      <w:r>
        <w:rPr>
          <w:rFonts w:hint="eastAsia" w:ascii="宋体" w:hAnsi="宋体"/>
        </w:rPr>
        <w:t>包装、储存和分配系统；</w:t>
      </w:r>
    </w:p>
    <w:p w14:paraId="7794BAFD">
      <w:pPr>
        <w:spacing w:line="460" w:lineRule="exact"/>
        <w:ind w:firstLine="420" w:firstLineChars="200"/>
        <w:rPr>
          <w:rFonts w:ascii="宋体" w:hAnsi="宋体"/>
        </w:rPr>
      </w:pPr>
      <w:r>
        <w:rPr>
          <w:rFonts w:hint="eastAsia" w:ascii="宋体" w:hAnsi="宋体"/>
        </w:rPr>
        <w:t>g）</w:t>
      </w:r>
      <w:r>
        <w:rPr>
          <w:rFonts w:hint="eastAsia" w:ascii="宋体" w:hAnsi="宋体"/>
        </w:rPr>
        <w:tab/>
      </w:r>
      <w:r>
        <w:rPr>
          <w:rFonts w:hint="eastAsia" w:ascii="宋体" w:hAnsi="宋体"/>
        </w:rPr>
        <w:t>能力和/或职责和权限分配；</w:t>
      </w:r>
    </w:p>
    <w:p w14:paraId="60A1CAAD">
      <w:pPr>
        <w:spacing w:line="460" w:lineRule="exact"/>
        <w:ind w:firstLine="420" w:firstLineChars="200"/>
        <w:rPr>
          <w:rFonts w:ascii="宋体" w:hAnsi="宋体"/>
        </w:rPr>
      </w:pPr>
      <w:r>
        <w:rPr>
          <w:rFonts w:hint="eastAsia" w:ascii="宋体" w:hAnsi="宋体"/>
        </w:rPr>
        <w:t>h）</w:t>
      </w:r>
      <w:r>
        <w:rPr>
          <w:rFonts w:hint="eastAsia" w:ascii="宋体" w:hAnsi="宋体"/>
        </w:rPr>
        <w:tab/>
      </w:r>
      <w:r>
        <w:rPr>
          <w:rFonts w:hint="eastAsia" w:ascii="宋体" w:hAnsi="宋体"/>
        </w:rPr>
        <w:t>适用的法律法规要求；</w:t>
      </w:r>
    </w:p>
    <w:p w14:paraId="1B05846E">
      <w:pPr>
        <w:spacing w:line="460" w:lineRule="exact"/>
        <w:ind w:firstLine="420" w:firstLineChars="200"/>
        <w:rPr>
          <w:rFonts w:ascii="宋体" w:hAnsi="宋体"/>
        </w:rPr>
      </w:pPr>
      <w:r>
        <w:rPr>
          <w:rFonts w:hint="eastAsia" w:ascii="宋体" w:hAnsi="宋体"/>
        </w:rPr>
        <w:t>i）</w:t>
      </w:r>
      <w:r>
        <w:rPr>
          <w:rFonts w:hint="eastAsia" w:ascii="宋体" w:hAnsi="宋体"/>
        </w:rPr>
        <w:tab/>
      </w:r>
      <w:r>
        <w:rPr>
          <w:rFonts w:hint="eastAsia" w:ascii="宋体" w:hAnsi="宋体"/>
        </w:rPr>
        <w:t>食品安全危害和控制措施方面的知识；</w:t>
      </w:r>
    </w:p>
    <w:p w14:paraId="330A153C">
      <w:pPr>
        <w:spacing w:line="460" w:lineRule="exact"/>
        <w:ind w:firstLine="420" w:firstLineChars="200"/>
        <w:rPr>
          <w:rFonts w:ascii="宋体" w:hAnsi="宋体"/>
        </w:rPr>
      </w:pPr>
      <w:r>
        <w:rPr>
          <w:rFonts w:hint="eastAsia" w:ascii="宋体" w:hAnsi="宋体"/>
        </w:rPr>
        <w:t>j）</w:t>
      </w:r>
      <w:r>
        <w:rPr>
          <w:rFonts w:hint="eastAsia" w:ascii="宋体" w:hAnsi="宋体"/>
        </w:rPr>
        <w:tab/>
      </w:r>
      <w:r>
        <w:rPr>
          <w:rFonts w:hint="eastAsia" w:ascii="宋体" w:hAnsi="宋体"/>
        </w:rPr>
        <w:t>组织遵守的顾客、行业和其它要求；</w:t>
      </w:r>
    </w:p>
    <w:p w14:paraId="78BF077E">
      <w:pPr>
        <w:spacing w:line="460" w:lineRule="exact"/>
        <w:ind w:firstLine="420" w:firstLineChars="200"/>
        <w:rPr>
          <w:rFonts w:ascii="宋体" w:hAnsi="宋体"/>
        </w:rPr>
      </w:pPr>
      <w:r>
        <w:rPr>
          <w:rFonts w:hint="eastAsia" w:ascii="宋体" w:hAnsi="宋体"/>
        </w:rPr>
        <w:t>k）</w:t>
      </w:r>
      <w:r>
        <w:rPr>
          <w:rFonts w:hint="eastAsia" w:ascii="宋体" w:hAnsi="宋体"/>
        </w:rPr>
        <w:tab/>
      </w:r>
      <w:r>
        <w:rPr>
          <w:rFonts w:hint="eastAsia" w:ascii="宋体" w:hAnsi="宋体"/>
        </w:rPr>
        <w:t>外部相关方的有关询问和沟通；</w:t>
      </w:r>
    </w:p>
    <w:p w14:paraId="11A39BF6">
      <w:pPr>
        <w:spacing w:line="460" w:lineRule="exact"/>
        <w:ind w:firstLine="420" w:firstLineChars="200"/>
        <w:rPr>
          <w:rFonts w:ascii="宋体" w:hAnsi="宋体"/>
        </w:rPr>
      </w:pPr>
      <w:r>
        <w:rPr>
          <w:rFonts w:hint="eastAsia" w:ascii="宋体" w:hAnsi="宋体"/>
        </w:rPr>
        <w:t>l）</w:t>
      </w:r>
      <w:r>
        <w:rPr>
          <w:rFonts w:hint="eastAsia" w:ascii="宋体" w:hAnsi="宋体"/>
        </w:rPr>
        <w:tab/>
      </w:r>
      <w:r>
        <w:rPr>
          <w:rFonts w:hint="eastAsia" w:ascii="宋体" w:hAnsi="宋体"/>
        </w:rPr>
        <w:t>表明与终产品相关食品安全危害的抱怨和警示；</w:t>
      </w:r>
    </w:p>
    <w:p w14:paraId="36C12843">
      <w:pPr>
        <w:spacing w:line="460" w:lineRule="exact"/>
        <w:ind w:firstLine="420" w:firstLineChars="200"/>
        <w:rPr>
          <w:rFonts w:ascii="宋体" w:hAnsi="宋体"/>
        </w:rPr>
      </w:pPr>
      <w:r>
        <w:rPr>
          <w:rFonts w:hint="eastAsia" w:ascii="宋体" w:hAnsi="宋体"/>
        </w:rPr>
        <w:t>m）</w:t>
      </w:r>
      <w:r>
        <w:rPr>
          <w:rFonts w:hint="eastAsia" w:ascii="宋体" w:hAnsi="宋体"/>
        </w:rPr>
        <w:tab/>
      </w:r>
      <w:r>
        <w:rPr>
          <w:rFonts w:hint="eastAsia" w:ascii="宋体" w:hAnsi="宋体"/>
        </w:rPr>
        <w:t>影响食品安全的其它条件。</w:t>
      </w:r>
    </w:p>
    <w:p w14:paraId="18BAED79">
      <w:pPr>
        <w:spacing w:line="460" w:lineRule="exact"/>
        <w:ind w:firstLine="420" w:firstLineChars="200"/>
        <w:rPr>
          <w:rFonts w:ascii="宋体" w:hAnsi="宋体"/>
        </w:rPr>
      </w:pPr>
      <w:r>
        <w:rPr>
          <w:rFonts w:hint="eastAsia" w:ascii="宋体" w:hAnsi="宋体"/>
        </w:rPr>
        <w:t>食品安全小组应确保质量环境职业健康安全/食品安全/HACCP体系的更新包括上述信息。</w:t>
      </w:r>
    </w:p>
    <w:p w14:paraId="4A4DDCB0">
      <w:pPr>
        <w:spacing w:line="460" w:lineRule="exact"/>
        <w:ind w:firstLine="420" w:firstLineChars="200"/>
        <w:rPr>
          <w:rFonts w:ascii="宋体" w:hAnsi="宋体"/>
        </w:rPr>
      </w:pPr>
      <w:r>
        <w:rPr>
          <w:rFonts w:hint="eastAsia" w:ascii="宋体" w:hAnsi="宋体"/>
        </w:rPr>
        <w:t>最高管理者应确保将相关信息作为管理评审的输入。</w:t>
      </w:r>
    </w:p>
    <w:p w14:paraId="7A827B0A">
      <w:pPr>
        <w:pStyle w:val="18"/>
        <w:rPr>
          <w:rFonts w:ascii="宋体" w:hAnsi="宋体"/>
        </w:rPr>
      </w:pPr>
      <w:bookmarkStart w:id="35" w:name="_Toc110460632"/>
      <w:r>
        <w:rPr>
          <w:rFonts w:hint="eastAsia" w:ascii="宋体" w:hAnsi="宋体"/>
        </w:rPr>
        <w:t>7.5</w:t>
      </w:r>
      <w:r>
        <w:rPr>
          <w:rFonts w:hint="eastAsia" w:ascii="宋体" w:hAnsi="宋体"/>
        </w:rPr>
        <w:tab/>
      </w:r>
      <w:r>
        <w:rPr>
          <w:rFonts w:hint="eastAsia" w:ascii="宋体" w:hAnsi="宋体"/>
        </w:rPr>
        <w:t>成文信息</w:t>
      </w:r>
      <w:bookmarkEnd w:id="35"/>
    </w:p>
    <w:p w14:paraId="129C05E1">
      <w:pPr>
        <w:spacing w:line="460" w:lineRule="exact"/>
        <w:ind w:firstLine="420" w:firstLineChars="200"/>
        <w:rPr>
          <w:rFonts w:ascii="宋体" w:hAnsi="宋体"/>
        </w:rPr>
      </w:pPr>
      <w:r>
        <w:rPr>
          <w:rFonts w:hint="eastAsia" w:ascii="宋体" w:hAnsi="宋体"/>
        </w:rPr>
        <w:t>7.5.1</w:t>
      </w:r>
      <w:r>
        <w:rPr>
          <w:rFonts w:hint="eastAsia" w:ascii="宋体" w:hAnsi="宋体"/>
        </w:rPr>
        <w:tab/>
      </w:r>
      <w:r>
        <w:rPr>
          <w:rFonts w:hint="eastAsia" w:ascii="宋体" w:hAnsi="宋体"/>
        </w:rPr>
        <w:t>总则</w:t>
      </w:r>
    </w:p>
    <w:p w14:paraId="19C42EBC">
      <w:pPr>
        <w:spacing w:line="460" w:lineRule="exact"/>
        <w:ind w:firstLine="420" w:firstLineChars="200"/>
        <w:rPr>
          <w:rFonts w:ascii="宋体" w:hAnsi="宋体"/>
        </w:rPr>
      </w:pPr>
      <w:r>
        <w:rPr>
          <w:rFonts w:hint="eastAsia" w:ascii="宋体" w:hAnsi="宋体"/>
        </w:rPr>
        <w:t>组织的质量环境职业健康安全/食品安全/HACCP体系应包括：</w:t>
      </w:r>
    </w:p>
    <w:p w14:paraId="08155A2A">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本标准要求成文信息；</w:t>
      </w:r>
    </w:p>
    <w:p w14:paraId="28D79C1B">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组织确定的，为确保质量环境职业健康安全/食品安全/HACCP体系有效性所需的成文信息；</w:t>
      </w:r>
    </w:p>
    <w:p w14:paraId="1F4C4FF1">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立法/监管部门和顾客要求的成文信息和食品安全要求。</w:t>
      </w:r>
    </w:p>
    <w:p w14:paraId="19DDC21E">
      <w:pPr>
        <w:spacing w:line="460" w:lineRule="exact"/>
        <w:ind w:firstLine="420" w:firstLineChars="200"/>
        <w:rPr>
          <w:rFonts w:ascii="宋体" w:hAnsi="宋体"/>
        </w:rPr>
      </w:pPr>
      <w:r>
        <w:rPr>
          <w:rFonts w:hint="eastAsia" w:ascii="宋体" w:hAnsi="宋体"/>
        </w:rPr>
        <w:t>7.5.2</w:t>
      </w:r>
      <w:r>
        <w:rPr>
          <w:rFonts w:hint="eastAsia" w:ascii="宋体" w:hAnsi="宋体"/>
        </w:rPr>
        <w:tab/>
      </w:r>
      <w:r>
        <w:rPr>
          <w:rFonts w:hint="eastAsia" w:ascii="宋体" w:hAnsi="宋体"/>
        </w:rPr>
        <w:t>创建和更新</w:t>
      </w:r>
    </w:p>
    <w:p w14:paraId="187DAA79">
      <w:pPr>
        <w:spacing w:line="460" w:lineRule="exact"/>
        <w:ind w:firstLine="420" w:firstLineChars="200"/>
        <w:rPr>
          <w:rFonts w:ascii="宋体" w:hAnsi="宋体"/>
        </w:rPr>
      </w:pPr>
      <w:r>
        <w:rPr>
          <w:rFonts w:hint="eastAsia" w:ascii="宋体" w:hAnsi="宋体"/>
        </w:rPr>
        <w:t>在创建和更新成文信息时，组织应确保适宜的：</w:t>
      </w:r>
    </w:p>
    <w:p w14:paraId="7AE7D22A">
      <w:pPr>
        <w:spacing w:line="460" w:lineRule="exact"/>
        <w:ind w:firstLine="420" w:firstLineChars="200"/>
        <w:rPr>
          <w:rFonts w:ascii="宋体" w:hAnsi="宋体"/>
        </w:rPr>
      </w:pPr>
      <w:r>
        <w:rPr>
          <w:rFonts w:hint="eastAsia" w:ascii="宋体" w:hAnsi="宋体"/>
        </w:rPr>
        <w:t>a） 标识和说明（如：标题、日期、作者、索引编号等）；</w:t>
      </w:r>
    </w:p>
    <w:p w14:paraId="75C3B9EF">
      <w:pPr>
        <w:spacing w:line="460" w:lineRule="exact"/>
        <w:ind w:firstLine="420" w:firstLineChars="200"/>
        <w:rPr>
          <w:rFonts w:ascii="宋体" w:hAnsi="宋体"/>
        </w:rPr>
      </w:pPr>
      <w:r>
        <w:rPr>
          <w:rFonts w:hint="eastAsia" w:ascii="宋体" w:hAnsi="宋体"/>
        </w:rPr>
        <w:t>b） 格式（如：语言、软件版本、图示）和媒介（如：纸质、电子格式）；</w:t>
      </w:r>
    </w:p>
    <w:p w14:paraId="3EB42159">
      <w:pPr>
        <w:spacing w:line="460" w:lineRule="exact"/>
        <w:ind w:firstLine="420" w:firstLineChars="200"/>
        <w:rPr>
          <w:rFonts w:ascii="宋体" w:hAnsi="宋体"/>
        </w:rPr>
      </w:pPr>
      <w:r>
        <w:rPr>
          <w:rFonts w:hint="eastAsia" w:ascii="宋体" w:hAnsi="宋体"/>
        </w:rPr>
        <w:t>c） 评审和批准，以确保适宜性和充分性。</w:t>
      </w:r>
    </w:p>
    <w:p w14:paraId="0BA0E9DD">
      <w:pPr>
        <w:spacing w:line="460" w:lineRule="exact"/>
        <w:ind w:firstLine="420" w:firstLineChars="200"/>
        <w:rPr>
          <w:rFonts w:ascii="宋体" w:hAnsi="宋体"/>
        </w:rPr>
      </w:pPr>
      <w:r>
        <w:rPr>
          <w:rFonts w:hint="eastAsia" w:ascii="宋体" w:hAnsi="宋体"/>
        </w:rPr>
        <w:t>7.5.3 成文信息的控制</w:t>
      </w:r>
    </w:p>
    <w:p w14:paraId="4AEC63A4">
      <w:pPr>
        <w:spacing w:line="460" w:lineRule="exact"/>
        <w:ind w:firstLine="420" w:firstLineChars="200"/>
        <w:rPr>
          <w:rFonts w:ascii="宋体" w:hAnsi="宋体"/>
        </w:rPr>
      </w:pPr>
      <w:r>
        <w:rPr>
          <w:rFonts w:hint="eastAsia" w:ascii="宋体" w:hAnsi="宋体"/>
        </w:rPr>
        <w:t>7.5.3.1 应控制质量环境职业健康安全/食品安全/HACCP体系和本标准所要求的成文信息，以确保：</w:t>
      </w:r>
    </w:p>
    <w:p w14:paraId="39FEB5B6">
      <w:pPr>
        <w:spacing w:line="460" w:lineRule="exact"/>
        <w:ind w:firstLine="420" w:firstLineChars="200"/>
        <w:rPr>
          <w:rFonts w:ascii="宋体" w:hAnsi="宋体"/>
        </w:rPr>
      </w:pPr>
      <w:r>
        <w:rPr>
          <w:rFonts w:hint="eastAsia" w:ascii="宋体" w:hAnsi="宋体"/>
        </w:rPr>
        <w:t>a） 无论何时何处需要这些信息，均可获得并适用；</w:t>
      </w:r>
    </w:p>
    <w:p w14:paraId="181ECD79">
      <w:pPr>
        <w:spacing w:line="460" w:lineRule="exact"/>
        <w:ind w:firstLine="420" w:firstLineChars="200"/>
        <w:rPr>
          <w:rFonts w:ascii="宋体" w:hAnsi="宋体"/>
        </w:rPr>
      </w:pPr>
      <w:r>
        <w:rPr>
          <w:rFonts w:hint="eastAsia" w:ascii="宋体" w:hAnsi="宋体"/>
        </w:rPr>
        <w:t>b） 予以妥善保护（如：防止失密、不当使用或不完整）。</w:t>
      </w:r>
    </w:p>
    <w:p w14:paraId="13A29661">
      <w:pPr>
        <w:spacing w:line="460" w:lineRule="exact"/>
        <w:ind w:firstLine="420" w:firstLineChars="200"/>
        <w:rPr>
          <w:rFonts w:ascii="宋体" w:hAnsi="宋体"/>
        </w:rPr>
      </w:pPr>
      <w:r>
        <w:rPr>
          <w:rFonts w:hint="eastAsia" w:ascii="宋体" w:hAnsi="宋体"/>
        </w:rPr>
        <w:t>7.5.3.2</w:t>
      </w:r>
      <w:r>
        <w:rPr>
          <w:rFonts w:hint="eastAsia" w:ascii="宋体" w:hAnsi="宋体"/>
        </w:rPr>
        <w:tab/>
      </w:r>
      <w:r>
        <w:rPr>
          <w:rFonts w:hint="eastAsia" w:ascii="宋体" w:hAnsi="宋体"/>
        </w:rPr>
        <w:t>为控制成文信息，适用时，组织应关注下列活动：</w:t>
      </w:r>
    </w:p>
    <w:p w14:paraId="358FE68C">
      <w:pPr>
        <w:spacing w:line="460" w:lineRule="exact"/>
        <w:ind w:firstLine="420" w:firstLineChars="200"/>
        <w:rPr>
          <w:rFonts w:ascii="宋体" w:hAnsi="宋体"/>
        </w:rPr>
      </w:pPr>
      <w:r>
        <w:rPr>
          <w:rFonts w:hint="eastAsia" w:ascii="宋体" w:hAnsi="宋体"/>
        </w:rPr>
        <w:t>a） 分发、访问、检索和使用；</w:t>
      </w:r>
    </w:p>
    <w:p w14:paraId="48778DC5">
      <w:pPr>
        <w:spacing w:line="460" w:lineRule="exact"/>
        <w:ind w:firstLine="420" w:firstLineChars="200"/>
        <w:rPr>
          <w:rFonts w:ascii="宋体" w:hAnsi="宋体"/>
        </w:rPr>
      </w:pPr>
      <w:r>
        <w:rPr>
          <w:rFonts w:hint="eastAsia" w:ascii="宋体" w:hAnsi="宋体"/>
        </w:rPr>
        <w:t>b） 存储和防护，包括保持可读性；</w:t>
      </w:r>
    </w:p>
    <w:p w14:paraId="1F8ACE7F">
      <w:pPr>
        <w:spacing w:line="460" w:lineRule="exact"/>
        <w:ind w:firstLine="420" w:firstLineChars="200"/>
        <w:rPr>
          <w:rFonts w:ascii="宋体" w:hAnsi="宋体"/>
        </w:rPr>
      </w:pPr>
      <w:r>
        <w:rPr>
          <w:rFonts w:hint="eastAsia" w:ascii="宋体" w:hAnsi="宋体"/>
        </w:rPr>
        <w:t>c） 变更控制（比如版本控制）；</w:t>
      </w:r>
    </w:p>
    <w:p w14:paraId="1094EE88">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保留和处置。</w:t>
      </w:r>
    </w:p>
    <w:p w14:paraId="2AFD35F2">
      <w:pPr>
        <w:spacing w:line="460" w:lineRule="exact"/>
        <w:ind w:firstLine="420" w:firstLineChars="200"/>
        <w:rPr>
          <w:rFonts w:ascii="宋体" w:hAnsi="宋体"/>
        </w:rPr>
      </w:pPr>
      <w:r>
        <w:rPr>
          <w:rFonts w:hint="eastAsia" w:ascii="宋体" w:hAnsi="宋体"/>
        </w:rPr>
        <w:t>对于组织确定的策划和运行质量环境职业健康安全/食品安全/HACCP体系所必需的来自外部的成文信息，组织应进行适宜识别，并予以控制。</w:t>
      </w:r>
    </w:p>
    <w:p w14:paraId="3F96DB54">
      <w:pPr>
        <w:spacing w:line="460" w:lineRule="exact"/>
        <w:ind w:firstLine="420" w:firstLineChars="200"/>
        <w:rPr>
          <w:rFonts w:ascii="宋体" w:hAnsi="宋体"/>
        </w:rPr>
      </w:pPr>
      <w:r>
        <w:rPr>
          <w:rFonts w:hint="eastAsia" w:ascii="宋体" w:hAnsi="宋体"/>
        </w:rPr>
        <w:t>对所保留的、作为符合性证据的成文信息应予以保护，防止非预期的更改。</w:t>
      </w:r>
    </w:p>
    <w:p w14:paraId="082BBCC7">
      <w:pPr>
        <w:pStyle w:val="22"/>
        <w:rPr>
          <w:rFonts w:ascii="宋体" w:hAnsi="宋体"/>
        </w:rPr>
      </w:pPr>
      <w:bookmarkStart w:id="36" w:name="_Toc110460633"/>
      <w:r>
        <w:rPr>
          <w:rFonts w:hint="eastAsia" w:ascii="宋体" w:hAnsi="宋体"/>
        </w:rPr>
        <w:t>8</w:t>
      </w:r>
      <w:r>
        <w:rPr>
          <w:rFonts w:hint="eastAsia" w:ascii="宋体" w:hAnsi="宋体"/>
        </w:rPr>
        <w:tab/>
      </w:r>
      <w:r>
        <w:rPr>
          <w:rFonts w:hint="eastAsia" w:ascii="宋体" w:hAnsi="宋体"/>
        </w:rPr>
        <w:t>运行</w:t>
      </w:r>
      <w:bookmarkEnd w:id="36"/>
    </w:p>
    <w:p w14:paraId="43C2DD0F">
      <w:pPr>
        <w:pStyle w:val="18"/>
        <w:rPr>
          <w:rFonts w:ascii="宋体" w:hAnsi="宋体"/>
        </w:rPr>
      </w:pPr>
      <w:bookmarkStart w:id="37" w:name="_Toc110460634"/>
      <w:r>
        <w:rPr>
          <w:rFonts w:hint="eastAsia" w:ascii="宋体" w:hAnsi="宋体"/>
        </w:rPr>
        <w:t>8.1</w:t>
      </w:r>
      <w:r>
        <w:rPr>
          <w:rFonts w:hint="eastAsia" w:ascii="宋体" w:hAnsi="宋体"/>
        </w:rPr>
        <w:tab/>
      </w:r>
      <w:r>
        <w:rPr>
          <w:rFonts w:hint="eastAsia" w:ascii="宋体" w:hAnsi="宋体"/>
        </w:rPr>
        <w:t>运行策划和控制</w:t>
      </w:r>
      <w:bookmarkEnd w:id="37"/>
    </w:p>
    <w:p w14:paraId="5BD43636">
      <w:pPr>
        <w:spacing w:line="460" w:lineRule="exact"/>
        <w:ind w:firstLine="420" w:firstLineChars="200"/>
        <w:rPr>
          <w:rFonts w:ascii="宋体" w:hAnsi="宋体"/>
        </w:rPr>
      </w:pPr>
      <w:r>
        <w:rPr>
          <w:rFonts w:hint="eastAsia" w:ascii="宋体" w:hAnsi="宋体"/>
        </w:rPr>
        <w:t>为满足安全产品提供要求，并实施6.1所确定的措施，组织应通过实施以下措施对所需的过程进行策划、实施、控制、保持和更新：</w:t>
      </w:r>
    </w:p>
    <w:p w14:paraId="0C910769">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建立各种过程的准则；</w:t>
      </w:r>
    </w:p>
    <w:p w14:paraId="4C8DD3EE">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按照准则实施过程控制；</w:t>
      </w:r>
    </w:p>
    <w:p w14:paraId="541FF3EB">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在必要的范围和程度上，保持、保留成文信息，以确信过程已经按策划进行；。</w:t>
      </w:r>
    </w:p>
    <w:p w14:paraId="141224ED">
      <w:pPr>
        <w:spacing w:line="460" w:lineRule="exact"/>
        <w:ind w:firstLine="420" w:firstLineChars="200"/>
        <w:rPr>
          <w:rFonts w:ascii="宋体" w:hAnsi="宋体"/>
        </w:rPr>
      </w:pPr>
      <w:r>
        <w:rPr>
          <w:rFonts w:hint="eastAsia" w:ascii="宋体" w:hAnsi="宋体"/>
        </w:rPr>
        <w:t>组织应控制策划的变更，评审非预期变更的后果，必要时，采取措施减轻不利影响。组织应确保外包过程受控。</w:t>
      </w:r>
    </w:p>
    <w:p w14:paraId="4089E620">
      <w:pPr>
        <w:pStyle w:val="5"/>
        <w:rPr>
          <w:rFonts w:ascii="宋体" w:hAnsi="宋体"/>
        </w:rPr>
      </w:pPr>
      <w:bookmarkStart w:id="38" w:name="_Toc110460635"/>
      <w:r>
        <w:rPr>
          <w:rFonts w:ascii="宋体" w:hAnsi="宋体"/>
        </w:rPr>
        <w:t>8.1.1</w:t>
      </w:r>
      <w:r>
        <w:rPr>
          <w:rFonts w:hint="eastAsia" w:ascii="宋体" w:hAnsi="宋体"/>
        </w:rPr>
        <w:t>良好加工规范（GHP）</w:t>
      </w:r>
      <w:bookmarkEnd w:id="38"/>
    </w:p>
    <w:p w14:paraId="7A7B8B85">
      <w:pPr>
        <w:spacing w:line="460" w:lineRule="exact"/>
        <w:ind w:firstLine="420" w:firstLineChars="200"/>
        <w:rPr>
          <w:rFonts w:ascii="宋体" w:hAnsi="宋体"/>
        </w:rPr>
      </w:pPr>
      <w:r>
        <w:rPr>
          <w:rFonts w:hint="eastAsia" w:ascii="宋体" w:hAnsi="宋体"/>
        </w:rPr>
        <w:t>公司按照食品法规规定和相应卫生规范要求建立并实施良好加工规范（GHP），编制并发布实施了文件《良好操作规范GHP（前提方案PRP）》。</w:t>
      </w:r>
    </w:p>
    <w:p w14:paraId="513BFE2A">
      <w:pPr>
        <w:spacing w:line="460" w:lineRule="exact"/>
        <w:ind w:firstLine="420" w:firstLineChars="200"/>
        <w:rPr>
          <w:rFonts w:ascii="宋体" w:hAnsi="宋体"/>
        </w:rPr>
      </w:pPr>
      <w:r>
        <w:rPr>
          <w:rFonts w:hint="eastAsia" w:ascii="宋体" w:hAnsi="宋体"/>
        </w:rPr>
        <w:t>公司编制的《良好操作规范GHP（前提方案PRP）》分别对以下人员提出要求：</w:t>
      </w:r>
    </w:p>
    <w:p w14:paraId="06BC52AF">
      <w:pPr>
        <w:numPr>
          <w:ilvl w:val="0"/>
          <w:numId w:val="6"/>
        </w:numPr>
        <w:spacing w:line="460" w:lineRule="exact"/>
        <w:ind w:left="-360" w:firstLine="1260" w:firstLineChars="600"/>
        <w:rPr>
          <w:rFonts w:ascii="宋体" w:hAnsi="宋体"/>
        </w:rPr>
      </w:pPr>
      <w:r>
        <w:rPr>
          <w:rFonts w:hint="eastAsia" w:ascii="宋体" w:hAnsi="宋体"/>
        </w:rPr>
        <w:t>加工人员要求；</w:t>
      </w:r>
    </w:p>
    <w:p w14:paraId="37DED9F7">
      <w:pPr>
        <w:numPr>
          <w:ilvl w:val="0"/>
          <w:numId w:val="6"/>
        </w:numPr>
        <w:spacing w:line="460" w:lineRule="exact"/>
        <w:ind w:left="-360" w:firstLine="1260" w:firstLineChars="600"/>
        <w:rPr>
          <w:rFonts w:ascii="宋体" w:hAnsi="宋体"/>
        </w:rPr>
      </w:pPr>
      <w:r>
        <w:rPr>
          <w:rFonts w:hint="eastAsia" w:ascii="宋体" w:hAnsi="宋体"/>
        </w:rPr>
        <w:t>环境卫生要求；</w:t>
      </w:r>
    </w:p>
    <w:p w14:paraId="276C0C91">
      <w:pPr>
        <w:numPr>
          <w:ilvl w:val="0"/>
          <w:numId w:val="6"/>
        </w:numPr>
        <w:spacing w:line="460" w:lineRule="exact"/>
        <w:ind w:left="-360" w:firstLine="1260" w:firstLineChars="600"/>
        <w:rPr>
          <w:rFonts w:ascii="宋体" w:hAnsi="宋体"/>
        </w:rPr>
      </w:pPr>
      <w:r>
        <w:rPr>
          <w:rFonts w:hint="eastAsia" w:ascii="宋体" w:hAnsi="宋体"/>
          <w:lang w:eastAsia="zh-CN"/>
        </w:rPr>
        <w:t>市场部</w:t>
      </w:r>
      <w:r>
        <w:rPr>
          <w:rFonts w:hint="eastAsia" w:ascii="宋体" w:hAnsi="宋体"/>
        </w:rPr>
        <w:t>及设置的要求,包括：</w:t>
      </w:r>
      <w:r>
        <w:rPr>
          <w:rFonts w:hint="eastAsia" w:ascii="宋体" w:hAnsi="宋体"/>
          <w:lang w:eastAsia="zh-CN"/>
        </w:rPr>
        <w:t>市场部</w:t>
      </w:r>
      <w:r>
        <w:rPr>
          <w:rFonts w:hint="eastAsia" w:ascii="宋体" w:hAnsi="宋体"/>
        </w:rPr>
        <w:t>配置与空间、</w:t>
      </w:r>
      <w:r>
        <w:rPr>
          <w:rFonts w:hint="eastAsia" w:ascii="宋体" w:hAnsi="宋体"/>
          <w:lang w:eastAsia="zh-CN"/>
        </w:rPr>
        <w:t>市场部</w:t>
      </w:r>
      <w:r>
        <w:rPr>
          <w:rFonts w:hint="eastAsia" w:ascii="宋体" w:hAnsi="宋体"/>
        </w:rPr>
        <w:t>区划、</w:t>
      </w:r>
      <w:r>
        <w:rPr>
          <w:rFonts w:hint="eastAsia" w:ascii="宋体" w:hAnsi="宋体"/>
          <w:lang w:eastAsia="zh-CN"/>
        </w:rPr>
        <w:t>市场部</w:t>
      </w:r>
      <w:r>
        <w:rPr>
          <w:rFonts w:hint="eastAsia" w:ascii="宋体" w:hAnsi="宋体"/>
        </w:rPr>
        <w:t>结构、安全。</w:t>
      </w:r>
    </w:p>
    <w:p w14:paraId="2D501DFF">
      <w:pPr>
        <w:numPr>
          <w:ilvl w:val="0"/>
          <w:numId w:val="6"/>
        </w:numPr>
        <w:spacing w:line="460" w:lineRule="exact"/>
        <w:ind w:left="-360" w:firstLine="1260" w:firstLineChars="600"/>
        <w:rPr>
          <w:rFonts w:ascii="宋体" w:hAnsi="宋体"/>
        </w:rPr>
      </w:pPr>
      <w:r>
        <w:rPr>
          <w:rFonts w:hint="eastAsia" w:ascii="宋体" w:hAnsi="宋体"/>
        </w:rPr>
        <w:t>设施、地面与排水、屋顶（或天花板）、墙壁和门窗、照明设施、通风设施、供水设施、洗手设施、更衣室、制作间、工器具清洗消毒间、仓库、洗手间（厕所）；</w:t>
      </w:r>
    </w:p>
    <w:p w14:paraId="5792909B">
      <w:pPr>
        <w:numPr>
          <w:ilvl w:val="0"/>
          <w:numId w:val="6"/>
        </w:numPr>
        <w:spacing w:line="460" w:lineRule="exact"/>
        <w:ind w:left="-360" w:firstLine="1260" w:firstLineChars="600"/>
        <w:rPr>
          <w:rFonts w:ascii="宋体" w:hAnsi="宋体"/>
        </w:rPr>
      </w:pPr>
      <w:r>
        <w:rPr>
          <w:rFonts w:hint="eastAsia" w:ascii="宋体" w:hAnsi="宋体"/>
        </w:rPr>
        <w:t>食品配送设备的要求；</w:t>
      </w:r>
    </w:p>
    <w:p w14:paraId="4AD26497">
      <w:pPr>
        <w:numPr>
          <w:ilvl w:val="0"/>
          <w:numId w:val="6"/>
        </w:numPr>
        <w:spacing w:line="460" w:lineRule="exact"/>
        <w:ind w:left="-360" w:firstLine="1260" w:firstLineChars="600"/>
        <w:rPr>
          <w:rFonts w:ascii="宋体" w:hAnsi="宋体"/>
        </w:rPr>
      </w:pPr>
      <w:r>
        <w:rPr>
          <w:rFonts w:hint="eastAsia" w:ascii="宋体" w:hAnsi="宋体"/>
        </w:rPr>
        <w:t>原料、配料的卫生要求；</w:t>
      </w:r>
    </w:p>
    <w:p w14:paraId="540F9844">
      <w:pPr>
        <w:numPr>
          <w:ilvl w:val="0"/>
          <w:numId w:val="6"/>
        </w:numPr>
        <w:spacing w:line="460" w:lineRule="exact"/>
        <w:ind w:left="-360" w:firstLine="1260" w:firstLineChars="600"/>
        <w:rPr>
          <w:rFonts w:ascii="宋体" w:hAnsi="宋体"/>
        </w:rPr>
      </w:pPr>
      <w:r>
        <w:rPr>
          <w:rFonts w:hint="eastAsia" w:ascii="宋体" w:hAnsi="宋体"/>
        </w:rPr>
        <w:t>食品配送的卫生要求；</w:t>
      </w:r>
    </w:p>
    <w:p w14:paraId="1D2DD17C">
      <w:pPr>
        <w:numPr>
          <w:ilvl w:val="0"/>
          <w:numId w:val="6"/>
        </w:numPr>
        <w:spacing w:line="460" w:lineRule="exact"/>
        <w:ind w:left="-360" w:firstLine="1260" w:firstLineChars="600"/>
        <w:rPr>
          <w:rFonts w:ascii="宋体" w:hAnsi="宋体"/>
        </w:rPr>
      </w:pPr>
      <w:r>
        <w:rPr>
          <w:rFonts w:hint="eastAsia" w:ascii="宋体" w:hAnsi="宋体"/>
        </w:rPr>
        <w:t>储运与运输的要求；</w:t>
      </w:r>
    </w:p>
    <w:p w14:paraId="12AB20FF">
      <w:pPr>
        <w:numPr>
          <w:ilvl w:val="0"/>
          <w:numId w:val="6"/>
        </w:numPr>
        <w:spacing w:line="460" w:lineRule="exact"/>
        <w:ind w:left="-360" w:firstLine="1260" w:firstLineChars="600"/>
        <w:rPr>
          <w:rFonts w:ascii="宋体" w:hAnsi="宋体"/>
        </w:rPr>
      </w:pPr>
      <w:r>
        <w:rPr>
          <w:rFonts w:hint="eastAsia" w:ascii="宋体" w:hAnsi="宋体"/>
        </w:rPr>
        <w:t>有害物品的管理；</w:t>
      </w:r>
    </w:p>
    <w:p w14:paraId="0184EB92">
      <w:pPr>
        <w:numPr>
          <w:ilvl w:val="0"/>
          <w:numId w:val="6"/>
        </w:numPr>
        <w:spacing w:line="460" w:lineRule="exact"/>
        <w:ind w:left="-360" w:firstLine="1260" w:firstLineChars="600"/>
        <w:rPr>
          <w:rFonts w:ascii="宋体" w:hAnsi="宋体"/>
        </w:rPr>
      </w:pPr>
      <w:r>
        <w:rPr>
          <w:rFonts w:hint="eastAsia" w:ascii="宋体" w:hAnsi="宋体"/>
        </w:rPr>
        <w:t>检验检测要求；</w:t>
      </w:r>
    </w:p>
    <w:p w14:paraId="72882BB6">
      <w:pPr>
        <w:numPr>
          <w:ilvl w:val="0"/>
          <w:numId w:val="6"/>
        </w:numPr>
        <w:spacing w:line="460" w:lineRule="exact"/>
        <w:ind w:left="-360" w:firstLine="1260" w:firstLineChars="600"/>
        <w:rPr>
          <w:rFonts w:ascii="宋体" w:hAnsi="宋体"/>
        </w:rPr>
      </w:pPr>
      <w:r>
        <w:rPr>
          <w:rFonts w:hint="eastAsia" w:ascii="宋体" w:hAnsi="宋体"/>
        </w:rPr>
        <w:t>保证质量环境职业健康安全/食品安全/HACCP体系有效运行的要求；</w:t>
      </w:r>
    </w:p>
    <w:p w14:paraId="3D5B214B">
      <w:pPr>
        <w:numPr>
          <w:ilvl w:val="0"/>
          <w:numId w:val="6"/>
        </w:numPr>
        <w:spacing w:line="460" w:lineRule="exact"/>
        <w:ind w:left="-360" w:firstLine="1260" w:firstLineChars="600"/>
        <w:rPr>
          <w:rFonts w:ascii="宋体" w:hAnsi="宋体"/>
        </w:rPr>
      </w:pPr>
      <w:r>
        <w:rPr>
          <w:rFonts w:hint="eastAsia" w:ascii="宋体" w:hAnsi="宋体"/>
        </w:rPr>
        <w:t>记录的具体要求。</w:t>
      </w:r>
    </w:p>
    <w:p w14:paraId="26F98485">
      <w:pPr>
        <w:spacing w:line="460" w:lineRule="exact"/>
        <w:ind w:firstLine="420" w:firstLineChars="200"/>
        <w:rPr>
          <w:rFonts w:ascii="宋体" w:hAnsi="宋体"/>
        </w:rPr>
      </w:pPr>
      <w:r>
        <w:rPr>
          <w:rFonts w:hint="eastAsia" w:ascii="宋体" w:hAnsi="宋体"/>
        </w:rPr>
        <w:t>公司还编制了所有加工设备的安全操作规程，指导员工执行良好加工规范。</w:t>
      </w:r>
    </w:p>
    <w:p w14:paraId="59DFBE42">
      <w:pPr>
        <w:spacing w:line="460" w:lineRule="exact"/>
        <w:rPr>
          <w:rFonts w:ascii="宋体" w:hAnsi="宋体"/>
        </w:rPr>
      </w:pPr>
    </w:p>
    <w:p w14:paraId="41198CA5">
      <w:pPr>
        <w:pStyle w:val="5"/>
        <w:rPr>
          <w:rFonts w:ascii="宋体" w:hAnsi="宋体"/>
        </w:rPr>
      </w:pPr>
      <w:bookmarkStart w:id="39" w:name="_Toc110460636"/>
      <w:r>
        <w:rPr>
          <w:rFonts w:ascii="宋体" w:hAnsi="宋体"/>
        </w:rPr>
        <w:t>8.1.2</w:t>
      </w:r>
      <w:r>
        <w:rPr>
          <w:rFonts w:hint="eastAsia" w:ascii="宋体" w:hAnsi="宋体"/>
        </w:rPr>
        <w:t>卫生操作规范制度（OPRP ）(操作性前提方案OPRP)</w:t>
      </w:r>
      <w:bookmarkEnd w:id="39"/>
    </w:p>
    <w:p w14:paraId="5C46033D">
      <w:pPr>
        <w:spacing w:line="460" w:lineRule="exact"/>
        <w:ind w:firstLine="420" w:firstLineChars="200"/>
        <w:rPr>
          <w:rFonts w:ascii="宋体" w:hAnsi="宋体"/>
        </w:rPr>
      </w:pPr>
      <w:r>
        <w:rPr>
          <w:rFonts w:hint="eastAsia" w:ascii="宋体" w:hAnsi="宋体"/>
        </w:rPr>
        <w:t>公司制定并发布实施了《卫生操作规范制度（OPRP ）(操作性前提方案OPRP)》，规定并满足以下方面的要求：</w:t>
      </w:r>
    </w:p>
    <w:p w14:paraId="200B602C">
      <w:pPr>
        <w:spacing w:line="460" w:lineRule="exact"/>
        <w:ind w:firstLine="420" w:firstLineChars="200"/>
        <w:rPr>
          <w:rFonts w:ascii="宋体" w:hAnsi="宋体"/>
        </w:rPr>
      </w:pPr>
      <w:r>
        <w:rPr>
          <w:rFonts w:hint="eastAsia" w:ascii="宋体" w:hAnsi="宋体"/>
        </w:rPr>
        <w:t>a) 接触食品（包括原料、半成品、成品）或与食品有接触的物品符合安全、卫生要求；</w:t>
      </w:r>
    </w:p>
    <w:p w14:paraId="795F7D1D">
      <w:pPr>
        <w:spacing w:line="460" w:lineRule="exact"/>
        <w:ind w:firstLine="420" w:firstLineChars="200"/>
        <w:rPr>
          <w:rFonts w:ascii="宋体" w:hAnsi="宋体"/>
        </w:rPr>
      </w:pPr>
      <w:r>
        <w:rPr>
          <w:rFonts w:hint="eastAsia" w:ascii="宋体" w:hAnsi="宋体"/>
        </w:rPr>
        <w:t>b) 接触食品的器具、手套和内外包装材料等应清洁、卫生和安全；</w:t>
      </w:r>
    </w:p>
    <w:p w14:paraId="19ACBE01">
      <w:pPr>
        <w:spacing w:line="460" w:lineRule="exact"/>
        <w:ind w:firstLine="420" w:firstLineChars="200"/>
        <w:rPr>
          <w:rFonts w:ascii="宋体" w:hAnsi="宋体"/>
        </w:rPr>
      </w:pPr>
      <w:r>
        <w:rPr>
          <w:rFonts w:hint="eastAsia" w:ascii="宋体" w:hAnsi="宋体"/>
        </w:rPr>
        <w:t>c) 确保食品免受交叉污染；</w:t>
      </w:r>
    </w:p>
    <w:p w14:paraId="5288FD90">
      <w:pPr>
        <w:spacing w:line="460" w:lineRule="exact"/>
        <w:ind w:firstLine="420" w:firstLineChars="200"/>
        <w:rPr>
          <w:rFonts w:ascii="宋体" w:hAnsi="宋体"/>
        </w:rPr>
      </w:pPr>
      <w:r>
        <w:rPr>
          <w:rFonts w:hint="eastAsia" w:ascii="宋体" w:hAnsi="宋体"/>
        </w:rPr>
        <w:t>d) 保证操作人员手的清洗消毒，保持洗手间设施的清洁；</w:t>
      </w:r>
    </w:p>
    <w:p w14:paraId="62BC38A9">
      <w:pPr>
        <w:spacing w:line="460" w:lineRule="exact"/>
        <w:ind w:firstLine="420" w:firstLineChars="200"/>
        <w:rPr>
          <w:rFonts w:ascii="宋体" w:hAnsi="宋体"/>
        </w:rPr>
      </w:pPr>
      <w:r>
        <w:rPr>
          <w:rFonts w:hint="eastAsia" w:ascii="宋体" w:hAnsi="宋体"/>
        </w:rPr>
        <w:t>e) 防止清洗消毒用品、物理和生物等污染物对食品造成安全危害；</w:t>
      </w:r>
    </w:p>
    <w:p w14:paraId="3BE8EB8C">
      <w:pPr>
        <w:spacing w:line="460" w:lineRule="exact"/>
        <w:ind w:firstLine="420" w:firstLineChars="200"/>
        <w:rPr>
          <w:rFonts w:ascii="宋体" w:hAnsi="宋体"/>
        </w:rPr>
      </w:pPr>
      <w:r>
        <w:rPr>
          <w:rFonts w:hint="eastAsia" w:ascii="宋体" w:hAnsi="宋体"/>
        </w:rPr>
        <w:t>f) 正确标注、存放和使用各类化学品；</w:t>
      </w:r>
    </w:p>
    <w:p w14:paraId="715640C3">
      <w:pPr>
        <w:spacing w:line="460" w:lineRule="exact"/>
        <w:ind w:firstLine="420" w:firstLineChars="200"/>
        <w:rPr>
          <w:rFonts w:ascii="宋体" w:hAnsi="宋体"/>
        </w:rPr>
      </w:pPr>
      <w:r>
        <w:rPr>
          <w:rFonts w:hint="eastAsia" w:ascii="宋体" w:hAnsi="宋体"/>
        </w:rPr>
        <w:t>g) 保证与食品接触的员工的身体健康和卫生；</w:t>
      </w:r>
    </w:p>
    <w:p w14:paraId="24E94621">
      <w:pPr>
        <w:spacing w:line="460" w:lineRule="exact"/>
        <w:ind w:firstLine="420" w:firstLineChars="200"/>
        <w:rPr>
          <w:rFonts w:ascii="宋体" w:hAnsi="宋体"/>
        </w:rPr>
      </w:pPr>
      <w:r>
        <w:rPr>
          <w:rFonts w:hint="eastAsia" w:ascii="宋体" w:hAnsi="宋体"/>
        </w:rPr>
        <w:t>h) 清除和预防鼠害、虫害。</w:t>
      </w:r>
    </w:p>
    <w:p w14:paraId="08C01B80">
      <w:pPr>
        <w:spacing w:line="460" w:lineRule="exact"/>
        <w:ind w:firstLine="420" w:firstLineChars="200"/>
        <w:rPr>
          <w:rFonts w:ascii="宋体" w:hAnsi="宋体"/>
        </w:rPr>
      </w:pPr>
      <w:r>
        <w:rPr>
          <w:rFonts w:hint="eastAsia" w:ascii="宋体" w:hAnsi="宋体"/>
        </w:rPr>
        <w:t>保存OPRP 的相关记录。</w:t>
      </w:r>
    </w:p>
    <w:p w14:paraId="10E06E48">
      <w:pPr>
        <w:spacing w:line="460" w:lineRule="exact"/>
        <w:ind w:firstLine="420" w:firstLineChars="200"/>
        <w:rPr>
          <w:rFonts w:ascii="宋体" w:hAnsi="宋体"/>
        </w:rPr>
      </w:pPr>
      <w:r>
        <w:rPr>
          <w:rFonts w:hint="eastAsia" w:ascii="宋体" w:hAnsi="宋体"/>
        </w:rPr>
        <w:t>公司制定的《卫生操作规范制度（OPRP ）(操作性前提方案OPRP)》分别对水的安全；食品接触表面的清洁和卫生、防止交叉污染；洗手、手的消毒和卫生间设施的维护；防止外来污染物造成的污染；化学品标识、贮存和使用；员工的健康及个人卫生状况；蚊虫和鼠类的扑灭及控制；食品包装物的卫生；废弃物的处理；运输与贮存的卫生等方面实施控制。</w:t>
      </w:r>
    </w:p>
    <w:p w14:paraId="05A41FA3">
      <w:pPr>
        <w:spacing w:line="440" w:lineRule="exact"/>
        <w:rPr>
          <w:rFonts w:ascii="宋体" w:hAnsi="宋体"/>
          <w:b/>
          <w:color w:val="000000"/>
          <w:sz w:val="24"/>
        </w:rPr>
      </w:pPr>
      <w:r>
        <w:rPr>
          <w:rFonts w:hint="eastAsia" w:ascii="宋体" w:hAnsi="宋体"/>
          <w:b/>
          <w:color w:val="000000"/>
          <w:sz w:val="24"/>
        </w:rPr>
        <w:t>8.2产品和服务要求</w:t>
      </w:r>
    </w:p>
    <w:p w14:paraId="3E8D9E63">
      <w:pPr>
        <w:spacing w:line="440" w:lineRule="exact"/>
        <w:rPr>
          <w:rFonts w:ascii="宋体" w:hAnsi="宋体"/>
          <w:color w:val="000000"/>
          <w:sz w:val="24"/>
        </w:rPr>
      </w:pPr>
      <w:r>
        <w:rPr>
          <w:rFonts w:hint="eastAsia" w:ascii="宋体" w:hAnsi="宋体"/>
          <w:b/>
          <w:color w:val="000000"/>
          <w:sz w:val="24"/>
        </w:rPr>
        <w:t xml:space="preserve">  </w:t>
      </w:r>
      <w:r>
        <w:rPr>
          <w:rFonts w:ascii="宋体" w:hAnsi="宋体"/>
          <w:b/>
          <w:color w:val="000000"/>
          <w:sz w:val="24"/>
        </w:rPr>
        <w:t xml:space="preserve">8.2.1 </w:t>
      </w:r>
      <w:r>
        <w:rPr>
          <w:rFonts w:hint="eastAsia" w:ascii="宋体" w:hAnsi="宋体"/>
          <w:b/>
          <w:color w:val="000000"/>
          <w:sz w:val="24"/>
        </w:rPr>
        <w:t>顾客沟通</w:t>
      </w:r>
    </w:p>
    <w:p w14:paraId="7997ABB5">
      <w:pPr>
        <w:spacing w:line="460" w:lineRule="exact"/>
        <w:ind w:firstLine="420" w:firstLineChars="200"/>
        <w:rPr>
          <w:rFonts w:ascii="宋体" w:hAnsi="宋体"/>
        </w:rPr>
      </w:pPr>
      <w:r>
        <w:rPr>
          <w:rFonts w:hint="eastAsia" w:ascii="宋体" w:hAnsi="宋体"/>
        </w:rPr>
        <w:t>8.2.1.1</w:t>
      </w:r>
      <w:r>
        <w:rPr>
          <w:rFonts w:hint="eastAsia" w:ascii="宋体" w:hAnsi="宋体"/>
          <w:lang w:eastAsia="zh-CN"/>
        </w:rPr>
        <w:t>市场部</w:t>
      </w:r>
      <w:r>
        <w:rPr>
          <w:rFonts w:hint="eastAsia" w:ascii="宋体" w:hAnsi="宋体"/>
        </w:rPr>
        <w:t>编制《顾客满意度测量控制程序》，并实施。</w:t>
      </w:r>
    </w:p>
    <w:p w14:paraId="2FEEBE40">
      <w:pPr>
        <w:spacing w:line="460" w:lineRule="exact"/>
        <w:ind w:firstLine="420" w:firstLineChars="200"/>
        <w:rPr>
          <w:rFonts w:ascii="宋体" w:hAnsi="宋体"/>
        </w:rPr>
      </w:pPr>
      <w:r>
        <w:rPr>
          <w:rFonts w:hint="eastAsia" w:ascii="宋体" w:hAnsi="宋体"/>
        </w:rPr>
        <w:t xml:space="preserve">    8.2.1.2 应进行以下活动，实施与顾客沟通：</w:t>
      </w:r>
    </w:p>
    <w:p w14:paraId="29B00015">
      <w:pPr>
        <w:spacing w:line="460" w:lineRule="exact"/>
        <w:ind w:firstLine="420" w:firstLineChars="200"/>
        <w:rPr>
          <w:rFonts w:ascii="宋体" w:hAnsi="宋体"/>
        </w:rPr>
      </w:pPr>
      <w:r>
        <w:rPr>
          <w:rFonts w:hint="eastAsia" w:ascii="宋体" w:hAnsi="宋体"/>
        </w:rPr>
        <w:t xml:space="preserve">       1) 向顾客提供产品和服务信息，包括样品、产品性能、技术指标、广告宣传，提供产品和服务样本目录等；</w:t>
      </w:r>
    </w:p>
    <w:p w14:paraId="09AE52A4">
      <w:pPr>
        <w:spacing w:line="460" w:lineRule="exact"/>
        <w:ind w:firstLine="420" w:firstLineChars="200"/>
        <w:rPr>
          <w:rFonts w:ascii="宋体" w:hAnsi="宋体"/>
        </w:rPr>
      </w:pPr>
      <w:r>
        <w:rPr>
          <w:rFonts w:hint="eastAsia" w:ascii="宋体" w:hAnsi="宋体"/>
        </w:rPr>
        <w:t xml:space="preserve">       2) 收集顾客对产品和服务要求的合同或订单信息，处理顾客意见，解答顾客的问询；评审顾客产品和服务合同或订单的要求，做好合同更改时与顾客的沟通；</w:t>
      </w:r>
    </w:p>
    <w:p w14:paraId="5822196D">
      <w:pPr>
        <w:spacing w:line="460" w:lineRule="exact"/>
        <w:ind w:firstLine="420" w:firstLineChars="200"/>
        <w:rPr>
          <w:rFonts w:ascii="宋体" w:hAnsi="宋体"/>
        </w:rPr>
      </w:pPr>
      <w:r>
        <w:rPr>
          <w:rFonts w:hint="eastAsia" w:ascii="宋体" w:hAnsi="宋体"/>
        </w:rPr>
        <w:t xml:space="preserve">       3) 获取有关产品和服务的顾客反馈，包括顾客抱怨；</w:t>
      </w:r>
    </w:p>
    <w:p w14:paraId="335BD1DD">
      <w:pPr>
        <w:spacing w:line="460" w:lineRule="exact"/>
        <w:ind w:firstLine="420" w:firstLineChars="200"/>
        <w:rPr>
          <w:rFonts w:ascii="宋体" w:hAnsi="宋体"/>
        </w:rPr>
      </w:pPr>
      <w:r>
        <w:rPr>
          <w:rFonts w:hint="eastAsia" w:ascii="宋体" w:hAnsi="宋体"/>
        </w:rPr>
        <w:t xml:space="preserve">       4）处置或控制顾客财产；</w:t>
      </w:r>
    </w:p>
    <w:p w14:paraId="1C868EDB">
      <w:pPr>
        <w:spacing w:line="460" w:lineRule="exact"/>
        <w:ind w:firstLine="420" w:firstLineChars="200"/>
        <w:rPr>
          <w:rFonts w:ascii="宋体" w:hAnsi="宋体"/>
        </w:rPr>
      </w:pPr>
      <w:r>
        <w:rPr>
          <w:rFonts w:hint="eastAsia" w:ascii="宋体" w:hAnsi="宋体"/>
        </w:rPr>
        <w:t xml:space="preserve">       5) 开展顾客满意/不满意信息调查收集；</w:t>
      </w:r>
    </w:p>
    <w:p w14:paraId="58670752">
      <w:pPr>
        <w:spacing w:line="460" w:lineRule="exact"/>
        <w:ind w:firstLine="420" w:firstLineChars="200"/>
        <w:rPr>
          <w:rFonts w:ascii="宋体" w:hAnsi="宋体"/>
        </w:rPr>
      </w:pPr>
      <w:r>
        <w:rPr>
          <w:rFonts w:hint="eastAsia" w:ascii="宋体" w:hAnsi="宋体"/>
        </w:rPr>
        <w:t xml:space="preserve">       6) 现场宣传介绍产品和服务使用方法、产品和服务性能等。</w:t>
      </w:r>
    </w:p>
    <w:p w14:paraId="6B0C5C93">
      <w:pPr>
        <w:spacing w:line="460" w:lineRule="exact"/>
        <w:ind w:firstLine="420" w:firstLineChars="200"/>
        <w:rPr>
          <w:rFonts w:ascii="宋体" w:hAnsi="宋体"/>
        </w:rPr>
      </w:pPr>
      <w:r>
        <w:rPr>
          <w:rFonts w:hint="eastAsia" w:ascii="宋体" w:hAnsi="宋体"/>
        </w:rPr>
        <w:t xml:space="preserve">       7）关系重大时，制定有关应急措施的特定要求。</w:t>
      </w:r>
    </w:p>
    <w:p w14:paraId="5D1597B9">
      <w:pPr>
        <w:spacing w:line="460" w:lineRule="exact"/>
        <w:ind w:firstLine="420" w:firstLineChars="200"/>
        <w:rPr>
          <w:rFonts w:ascii="宋体" w:hAnsi="宋体"/>
        </w:rPr>
      </w:pPr>
      <w:r>
        <w:rPr>
          <w:rFonts w:hint="eastAsia" w:ascii="宋体" w:hAnsi="宋体"/>
        </w:rPr>
        <w:t xml:space="preserve">   8.2.1.3 行政部与有关部门按《顾客满意度控制程序》要求，对顾客沟通的信息收集、整理、分析、评价、汇总，作好记录。</w:t>
      </w:r>
    </w:p>
    <w:p w14:paraId="43F30E28">
      <w:pPr>
        <w:spacing w:line="460" w:lineRule="exact"/>
        <w:ind w:firstLine="420" w:firstLineChars="200"/>
        <w:rPr>
          <w:rFonts w:ascii="宋体" w:hAnsi="宋体"/>
        </w:rPr>
      </w:pPr>
      <w:r>
        <w:rPr>
          <w:rFonts w:hint="eastAsia" w:ascii="宋体" w:hAnsi="宋体"/>
        </w:rPr>
        <w:t>8.2.1.4 顾客沟通信息作为产品和服务的改进和管理评审的输入。</w:t>
      </w:r>
    </w:p>
    <w:p w14:paraId="70DE7B9C">
      <w:pPr>
        <w:adjustRightInd w:val="0"/>
        <w:snapToGrid w:val="0"/>
        <w:spacing w:line="440" w:lineRule="exact"/>
        <w:ind w:right="-44"/>
        <w:rPr>
          <w:rFonts w:ascii="宋体" w:hAnsi="宋体"/>
          <w:b/>
          <w:color w:val="000000"/>
          <w:sz w:val="24"/>
        </w:rPr>
      </w:pPr>
      <w:r>
        <w:rPr>
          <w:rFonts w:hint="eastAsia" w:ascii="宋体" w:hAnsi="宋体"/>
          <w:b/>
          <w:color w:val="000000"/>
          <w:sz w:val="24"/>
        </w:rPr>
        <w:t xml:space="preserve">  8.2.2 与产品和服务有关的要求的确定</w:t>
      </w:r>
    </w:p>
    <w:p w14:paraId="69179D89">
      <w:pPr>
        <w:adjustRightInd w:val="0"/>
        <w:snapToGrid w:val="0"/>
        <w:spacing w:line="440" w:lineRule="exact"/>
        <w:ind w:firstLine="480"/>
        <w:rPr>
          <w:rFonts w:ascii="宋体" w:hAnsi="宋体"/>
          <w:color w:val="000000"/>
          <w:sz w:val="24"/>
        </w:rPr>
      </w:pPr>
      <w:r>
        <w:rPr>
          <w:rFonts w:hint="eastAsia" w:ascii="宋体" w:hAnsi="宋体"/>
          <w:color w:val="000000"/>
          <w:sz w:val="24"/>
        </w:rPr>
        <w:t>8.2.2.1</w:t>
      </w:r>
      <w:r>
        <w:rPr>
          <w:rFonts w:hint="eastAsia" w:ascii="宋体" w:hAnsi="宋体"/>
          <w:color w:val="000000"/>
          <w:sz w:val="24"/>
          <w:lang w:eastAsia="zh-CN"/>
        </w:rPr>
        <w:t>市场部</w:t>
      </w:r>
      <w:r>
        <w:rPr>
          <w:rFonts w:hint="eastAsia" w:ascii="宋体" w:hAnsi="宋体"/>
          <w:color w:val="000000"/>
          <w:sz w:val="24"/>
        </w:rPr>
        <w:t>应明确顾客对公司提供产品和服务的各项要求，应获得的信息包括：</w:t>
      </w:r>
    </w:p>
    <w:p w14:paraId="5EA70EF2">
      <w:pPr>
        <w:adjustRightInd w:val="0"/>
        <w:snapToGrid w:val="0"/>
        <w:spacing w:line="440" w:lineRule="exact"/>
        <w:ind w:firstLine="600"/>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1) </w:t>
      </w:r>
      <w:r>
        <w:rPr>
          <w:rFonts w:hint="eastAsia" w:ascii="宋体" w:hAnsi="宋体"/>
          <w:color w:val="000000"/>
          <w:sz w:val="24"/>
        </w:rPr>
        <w:t>产品和服务标准，包括法律法规的要求、公司认为必要的要求；</w:t>
      </w:r>
    </w:p>
    <w:p w14:paraId="681C4411">
      <w:pPr>
        <w:adjustRightInd w:val="0"/>
        <w:snapToGrid w:val="0"/>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2) </w:t>
      </w:r>
      <w:r>
        <w:rPr>
          <w:rFonts w:hint="eastAsia" w:ascii="宋体" w:hAnsi="宋体"/>
          <w:color w:val="000000"/>
          <w:sz w:val="24"/>
        </w:rPr>
        <w:t>合同意向书、订单，一般以具体的合同条款为准；</w:t>
      </w:r>
    </w:p>
    <w:p w14:paraId="49C8D818">
      <w:pPr>
        <w:adjustRightInd w:val="0"/>
        <w:snapToGrid w:val="0"/>
        <w:spacing w:line="440" w:lineRule="exact"/>
        <w:ind w:left="1080" w:hanging="1080"/>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3) </w:t>
      </w:r>
      <w:r>
        <w:rPr>
          <w:rFonts w:hint="eastAsia" w:ascii="宋体" w:hAnsi="宋体"/>
          <w:color w:val="000000"/>
          <w:sz w:val="24"/>
        </w:rPr>
        <w:t>顾客规定的产品和服务要求，包括有关可用性、交付和支持方面的要求及价格、交货期、服务等要求；</w:t>
      </w:r>
    </w:p>
    <w:p w14:paraId="2887BEBD">
      <w:pPr>
        <w:adjustRightInd w:val="0"/>
        <w:snapToGrid w:val="0"/>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4) </w:t>
      </w:r>
      <w:r>
        <w:rPr>
          <w:rFonts w:hint="eastAsia" w:ascii="宋体" w:hAnsi="宋体"/>
          <w:color w:val="000000"/>
          <w:sz w:val="24"/>
        </w:rPr>
        <w:t>产品和服务预期用途所必需的要求；</w:t>
      </w:r>
    </w:p>
    <w:p w14:paraId="0776BD0E">
      <w:pPr>
        <w:adjustRightInd w:val="0"/>
        <w:snapToGrid w:val="0"/>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5) </w:t>
      </w:r>
      <w:r>
        <w:rPr>
          <w:rFonts w:hint="eastAsia" w:ascii="宋体" w:hAnsi="宋体"/>
          <w:color w:val="000000"/>
          <w:sz w:val="24"/>
        </w:rPr>
        <w:t>公司确定的附加要求。</w:t>
      </w:r>
    </w:p>
    <w:p w14:paraId="31D109F8">
      <w:pPr>
        <w:adjustRightInd w:val="0"/>
        <w:snapToGrid w:val="0"/>
        <w:spacing w:line="440" w:lineRule="exact"/>
        <w:ind w:firstLine="600"/>
        <w:rPr>
          <w:rFonts w:ascii="宋体" w:hAnsi="宋体"/>
          <w:color w:val="000000"/>
          <w:sz w:val="24"/>
        </w:rPr>
      </w:pPr>
      <w:r>
        <w:rPr>
          <w:rFonts w:hint="eastAsia" w:ascii="宋体" w:hAnsi="宋体"/>
          <w:color w:val="000000"/>
          <w:sz w:val="24"/>
        </w:rPr>
        <w:t>8.2.2.2 常规要求的识别</w:t>
      </w:r>
    </w:p>
    <w:p w14:paraId="7D854967">
      <w:pPr>
        <w:adjustRightInd w:val="0"/>
        <w:snapToGrid w:val="0"/>
        <w:spacing w:line="440" w:lineRule="exact"/>
        <w:ind w:firstLine="960"/>
        <w:rPr>
          <w:rFonts w:ascii="宋体" w:hAnsi="宋体"/>
          <w:color w:val="000000"/>
          <w:sz w:val="24"/>
        </w:rPr>
      </w:pPr>
      <w:r>
        <w:rPr>
          <w:rFonts w:hint="eastAsia" w:ascii="宋体" w:hAnsi="宋体"/>
          <w:color w:val="000000"/>
          <w:sz w:val="24"/>
          <w:lang w:eastAsia="zh-CN"/>
        </w:rPr>
        <w:t>市场部</w:t>
      </w:r>
      <w:r>
        <w:rPr>
          <w:rFonts w:hint="eastAsia" w:ascii="宋体" w:hAnsi="宋体"/>
          <w:color w:val="000000"/>
          <w:sz w:val="24"/>
        </w:rPr>
        <w:t>对顾客提出的常规要求（指对本公司按标准生产的产品和服务要求）的识别，按《合同评审控制程序》执行。</w:t>
      </w:r>
    </w:p>
    <w:p w14:paraId="7CD30733">
      <w:pPr>
        <w:spacing w:line="440" w:lineRule="exact"/>
        <w:rPr>
          <w:rFonts w:ascii="宋体" w:hAnsi="宋体"/>
          <w:b/>
          <w:color w:val="000000"/>
          <w:sz w:val="24"/>
        </w:rPr>
      </w:pPr>
      <w:r>
        <w:rPr>
          <w:rFonts w:hint="eastAsia" w:ascii="宋体" w:hAnsi="宋体"/>
          <w:color w:val="000000"/>
          <w:sz w:val="24"/>
        </w:rPr>
        <w:t xml:space="preserve">    8.2.2.3  特殊要求的识别</w:t>
      </w:r>
    </w:p>
    <w:p w14:paraId="04A29D95">
      <w:pPr>
        <w:spacing w:line="440" w:lineRule="exact"/>
        <w:ind w:left="838" w:leftChars="399" w:right="-44" w:firstLine="120"/>
        <w:rPr>
          <w:rFonts w:ascii="宋体" w:hAnsi="宋体"/>
          <w:color w:val="000000"/>
          <w:sz w:val="24"/>
        </w:rPr>
      </w:pPr>
      <w:r>
        <w:rPr>
          <w:rFonts w:hint="eastAsia" w:ascii="宋体" w:hAnsi="宋体"/>
          <w:color w:val="000000"/>
          <w:sz w:val="24"/>
          <w:lang w:eastAsia="zh-CN"/>
        </w:rPr>
        <w:t>市场部</w:t>
      </w:r>
      <w:r>
        <w:rPr>
          <w:rFonts w:hint="eastAsia" w:ascii="宋体" w:hAnsi="宋体"/>
          <w:color w:val="000000"/>
          <w:sz w:val="24"/>
        </w:rPr>
        <w:t>对顾客提出的特殊要求（指对本公司产品和服务有特殊的质量和服务要求）的识别，按《</w:t>
      </w:r>
      <w:r>
        <w:rPr>
          <w:rFonts w:ascii="宋体" w:hAnsi="宋体"/>
          <w:color w:val="000000"/>
          <w:sz w:val="24"/>
        </w:rPr>
        <w:t>合同评审</w:t>
      </w:r>
      <w:r>
        <w:rPr>
          <w:rFonts w:hint="eastAsia" w:ascii="宋体" w:hAnsi="宋体"/>
          <w:color w:val="000000"/>
          <w:sz w:val="24"/>
        </w:rPr>
        <w:t>控制程序》执行。</w:t>
      </w:r>
    </w:p>
    <w:p w14:paraId="69DC1FAF">
      <w:pPr>
        <w:spacing w:line="440" w:lineRule="exact"/>
        <w:ind w:left="239" w:leftChars="114" w:right="-44"/>
        <w:rPr>
          <w:rFonts w:ascii="宋体" w:hAnsi="宋体"/>
          <w:color w:val="000000"/>
          <w:sz w:val="24"/>
        </w:rPr>
      </w:pPr>
      <w:r>
        <w:rPr>
          <w:rFonts w:hint="eastAsia" w:ascii="宋体" w:hAnsi="宋体"/>
          <w:b/>
          <w:color w:val="000000"/>
          <w:sz w:val="24"/>
        </w:rPr>
        <w:t>8.2.3  与产品和服务有关的要求的评审</w:t>
      </w:r>
    </w:p>
    <w:p w14:paraId="2D9423DC">
      <w:pPr>
        <w:spacing w:line="440" w:lineRule="exact"/>
        <w:ind w:firstLine="720"/>
        <w:rPr>
          <w:rFonts w:ascii="宋体" w:hAnsi="宋体"/>
          <w:color w:val="000000"/>
          <w:sz w:val="24"/>
        </w:rPr>
      </w:pPr>
      <w:r>
        <w:rPr>
          <w:rFonts w:hint="eastAsia" w:ascii="宋体" w:hAnsi="宋体"/>
          <w:color w:val="000000"/>
          <w:sz w:val="24"/>
        </w:rPr>
        <w:t>8.2.3.1 对已确定的顾客要求的合同、订单的评审，应包括：</w:t>
      </w:r>
    </w:p>
    <w:p w14:paraId="662A8CF2">
      <w:pPr>
        <w:spacing w:line="440" w:lineRule="exact"/>
        <w:ind w:firstLine="1200"/>
        <w:rPr>
          <w:rFonts w:ascii="宋体" w:hAnsi="宋体"/>
          <w:color w:val="000000"/>
          <w:sz w:val="24"/>
        </w:rPr>
      </w:pPr>
      <w:r>
        <w:rPr>
          <w:rFonts w:ascii="宋体" w:hAnsi="宋体"/>
          <w:color w:val="000000"/>
          <w:sz w:val="24"/>
        </w:rPr>
        <w:t xml:space="preserve">1) </w:t>
      </w:r>
      <w:r>
        <w:rPr>
          <w:rFonts w:hint="eastAsia" w:ascii="宋体" w:hAnsi="宋体"/>
          <w:color w:val="000000"/>
          <w:sz w:val="24"/>
        </w:rPr>
        <w:t>评审必须在向顾客作出提供产品和服务的承诺之前进行；</w:t>
      </w:r>
    </w:p>
    <w:p w14:paraId="1DA6ECA1">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2) </w:t>
      </w:r>
      <w:r>
        <w:rPr>
          <w:rFonts w:hint="eastAsia" w:ascii="宋体" w:hAnsi="宋体"/>
          <w:color w:val="000000"/>
          <w:sz w:val="24"/>
        </w:rPr>
        <w:t>顾客对产品和服务要求（包括对交付及交付后活动的要求）得到规定；</w:t>
      </w:r>
    </w:p>
    <w:p w14:paraId="647EA6B7">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3) </w:t>
      </w:r>
      <w:r>
        <w:rPr>
          <w:rFonts w:hint="eastAsia" w:ascii="宋体" w:hAnsi="宋体"/>
          <w:color w:val="000000"/>
          <w:sz w:val="24"/>
        </w:rPr>
        <w:t>在顾客没有形成文件提出要求时，顾客要求在接受前得到确认；</w:t>
      </w:r>
    </w:p>
    <w:p w14:paraId="6D2A2A3A">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4) </w:t>
      </w:r>
      <w:r>
        <w:rPr>
          <w:rFonts w:hint="eastAsia" w:ascii="宋体" w:hAnsi="宋体"/>
          <w:color w:val="000000"/>
          <w:sz w:val="24"/>
        </w:rPr>
        <w:t>与以前表述不一致的合同或订单要求已予以解决；</w:t>
      </w:r>
    </w:p>
    <w:p w14:paraId="6540B963">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5) </w:t>
      </w:r>
      <w:r>
        <w:rPr>
          <w:rFonts w:hint="eastAsia" w:ascii="宋体" w:hAnsi="宋体"/>
          <w:color w:val="000000"/>
          <w:sz w:val="24"/>
        </w:rPr>
        <w:t>本公司有能力满足规定的要求。</w:t>
      </w:r>
    </w:p>
    <w:p w14:paraId="38EF0AB2">
      <w:pPr>
        <w:spacing w:line="440" w:lineRule="exact"/>
        <w:rPr>
          <w:rFonts w:ascii="宋体" w:hAnsi="宋体"/>
          <w:color w:val="000000"/>
          <w:sz w:val="24"/>
        </w:rPr>
      </w:pPr>
      <w:r>
        <w:rPr>
          <w:rFonts w:hint="eastAsia" w:ascii="宋体" w:hAnsi="宋体"/>
          <w:color w:val="000000"/>
          <w:sz w:val="24"/>
        </w:rPr>
        <w:t xml:space="preserve">     8.2.3.2 评审的结果及随后的后续措施</w:t>
      </w:r>
      <w:r>
        <w:rPr>
          <w:rFonts w:ascii="宋体" w:hAnsi="宋体"/>
          <w:color w:val="000000"/>
          <w:sz w:val="24"/>
        </w:rPr>
        <w:t>行政部</w:t>
      </w:r>
      <w:r>
        <w:rPr>
          <w:rFonts w:hint="eastAsia" w:ascii="宋体" w:hAnsi="宋体"/>
          <w:color w:val="000000"/>
          <w:sz w:val="24"/>
        </w:rPr>
        <w:t>必须予以记录。</w:t>
      </w:r>
    </w:p>
    <w:p w14:paraId="7B572A8F">
      <w:pPr>
        <w:spacing w:line="440" w:lineRule="exact"/>
        <w:rPr>
          <w:rFonts w:ascii="宋体" w:hAnsi="宋体"/>
          <w:color w:val="000000"/>
          <w:sz w:val="24"/>
        </w:rPr>
      </w:pPr>
      <w:r>
        <w:rPr>
          <w:rFonts w:hint="eastAsia" w:ascii="宋体" w:hAnsi="宋体"/>
          <w:color w:val="000000"/>
          <w:sz w:val="24"/>
        </w:rPr>
        <w:t xml:space="preserve">     8.2.3.3评审方式：</w:t>
      </w:r>
    </w:p>
    <w:p w14:paraId="1CF22A54">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 xml:space="preserve"> 对已识别的常规产品和服务合同，进行授权评审；</w:t>
      </w:r>
    </w:p>
    <w:p w14:paraId="323DF65A">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 xml:space="preserve"> 对已识别的特殊产品和服务合同，</w:t>
      </w:r>
      <w:r>
        <w:rPr>
          <w:rFonts w:ascii="宋体" w:hAnsi="宋体"/>
          <w:color w:val="000000"/>
          <w:sz w:val="24"/>
        </w:rPr>
        <w:t>行政部公司</w:t>
      </w:r>
      <w:r>
        <w:rPr>
          <w:rFonts w:hint="eastAsia" w:ascii="宋体" w:hAnsi="宋体"/>
          <w:color w:val="000000"/>
          <w:sz w:val="24"/>
        </w:rPr>
        <w:t>有关部门进行会签或评审。</w:t>
      </w:r>
    </w:p>
    <w:p w14:paraId="601FEA07">
      <w:pPr>
        <w:spacing w:line="440" w:lineRule="exact"/>
        <w:ind w:left="1080" w:hanging="1080"/>
        <w:rPr>
          <w:rFonts w:ascii="宋体" w:hAnsi="宋体"/>
          <w:color w:val="000000"/>
          <w:sz w:val="24"/>
        </w:rPr>
      </w:pPr>
      <w:r>
        <w:rPr>
          <w:rFonts w:hint="eastAsia" w:ascii="宋体" w:hAnsi="宋体"/>
          <w:color w:val="000000"/>
          <w:sz w:val="24"/>
        </w:rPr>
        <w:t xml:space="preserve">    8.2.3.4 顾客及产品和服务要求发生变更时（包括合同的变更），</w:t>
      </w:r>
      <w:r>
        <w:rPr>
          <w:rFonts w:ascii="宋体" w:hAnsi="宋体"/>
          <w:color w:val="000000"/>
          <w:sz w:val="24"/>
        </w:rPr>
        <w:t>行政部</w:t>
      </w:r>
      <w:r>
        <w:rPr>
          <w:rFonts w:hint="eastAsia" w:ascii="宋体" w:hAnsi="宋体"/>
          <w:color w:val="000000"/>
          <w:sz w:val="24"/>
        </w:rPr>
        <w:t>应对此进行再次的识别、评审。更改后的信息</w:t>
      </w:r>
      <w:r>
        <w:rPr>
          <w:rFonts w:ascii="宋体" w:hAnsi="宋体"/>
          <w:color w:val="000000"/>
          <w:sz w:val="24"/>
        </w:rPr>
        <w:t>行政部</w:t>
      </w:r>
      <w:r>
        <w:rPr>
          <w:rFonts w:hint="eastAsia" w:ascii="宋体" w:hAnsi="宋体"/>
          <w:color w:val="000000"/>
          <w:sz w:val="24"/>
        </w:rPr>
        <w:t>应及时传递到各有关部门及人员。</w:t>
      </w:r>
    </w:p>
    <w:p w14:paraId="1EED2BEA">
      <w:pPr>
        <w:spacing w:line="440" w:lineRule="exact"/>
        <w:ind w:right="-44"/>
        <w:rPr>
          <w:rFonts w:ascii="宋体" w:hAnsi="宋体"/>
          <w:color w:val="000000"/>
          <w:sz w:val="24"/>
        </w:rPr>
      </w:pPr>
      <w:r>
        <w:rPr>
          <w:rFonts w:hint="eastAsia" w:ascii="宋体" w:hAnsi="宋体"/>
          <w:color w:val="000000"/>
          <w:sz w:val="24"/>
        </w:rPr>
        <w:t xml:space="preserve">    8.2.3.5 对产品和服务要求评审的记录，</w:t>
      </w:r>
      <w:r>
        <w:rPr>
          <w:rFonts w:ascii="宋体" w:hAnsi="宋体"/>
          <w:color w:val="000000"/>
          <w:sz w:val="24"/>
        </w:rPr>
        <w:t>行政部</w:t>
      </w:r>
      <w:r>
        <w:rPr>
          <w:rFonts w:hint="eastAsia" w:ascii="宋体" w:hAnsi="宋体"/>
          <w:color w:val="000000"/>
          <w:sz w:val="24"/>
        </w:rPr>
        <w:t>应按规定妥善保管。</w:t>
      </w:r>
    </w:p>
    <w:p w14:paraId="08AB13A0">
      <w:pPr>
        <w:pStyle w:val="42"/>
        <w:spacing w:line="440" w:lineRule="exact"/>
        <w:rPr>
          <w:rFonts w:ascii="宋体" w:hAnsi="宋体" w:cs="黑体"/>
        </w:rPr>
      </w:pPr>
      <w:r>
        <w:rPr>
          <w:rFonts w:hint="eastAsia" w:ascii="宋体" w:hAnsi="宋体"/>
          <w:b/>
        </w:rPr>
        <w:t xml:space="preserve">  8.2.4</w:t>
      </w:r>
      <w:r>
        <w:rPr>
          <w:rFonts w:hint="eastAsia" w:ascii="宋体" w:hAnsi="宋体" w:cs="黑体"/>
          <w:b/>
        </w:rPr>
        <w:t>产品和服务要求的更改</w:t>
      </w:r>
      <w:r>
        <w:rPr>
          <w:rFonts w:ascii="宋体" w:hAnsi="宋体" w:cs="黑体"/>
          <w:b/>
        </w:rPr>
        <w:t xml:space="preserve"> </w:t>
      </w:r>
    </w:p>
    <w:p w14:paraId="545B9E5D">
      <w:pPr>
        <w:spacing w:line="440" w:lineRule="exact"/>
        <w:ind w:right="-45" w:firstLine="480"/>
        <w:rPr>
          <w:rFonts w:ascii="宋体" w:hAnsi="宋体" w:cs="宋体"/>
          <w:color w:val="000000"/>
          <w:kern w:val="0"/>
          <w:sz w:val="24"/>
        </w:rPr>
      </w:pPr>
      <w:r>
        <w:rPr>
          <w:rFonts w:hint="eastAsia" w:ascii="宋体" w:hAnsi="宋体" w:cs="宋体"/>
          <w:color w:val="000000"/>
          <w:kern w:val="0"/>
          <w:sz w:val="24"/>
        </w:rPr>
        <w:t>若产品和服务要求发生更改，</w:t>
      </w:r>
      <w:r>
        <w:rPr>
          <w:rFonts w:ascii="宋体" w:hAnsi="宋体" w:cs="宋体"/>
          <w:color w:val="000000"/>
          <w:kern w:val="0"/>
          <w:sz w:val="24"/>
        </w:rPr>
        <w:t>公司</w:t>
      </w:r>
      <w:r>
        <w:rPr>
          <w:rFonts w:hint="eastAsia" w:ascii="宋体" w:hAnsi="宋体" w:cs="宋体"/>
          <w:color w:val="000000"/>
          <w:kern w:val="0"/>
          <w:sz w:val="24"/>
        </w:rPr>
        <w:t>应确保相关的形成文件的信息得到修改，并确保相关人员知道已更改的要求。</w:t>
      </w:r>
    </w:p>
    <w:p w14:paraId="689FCEA6">
      <w:pPr>
        <w:jc w:val="left"/>
        <w:rPr>
          <w:rFonts w:ascii="宋体" w:hAnsi="宋体" w:cs="黑体"/>
          <w:b/>
          <w:color w:val="000000"/>
          <w:kern w:val="0"/>
          <w:sz w:val="24"/>
          <w:szCs w:val="24"/>
        </w:rPr>
      </w:pPr>
      <w:r>
        <w:rPr>
          <w:rFonts w:hint="eastAsia" w:ascii="宋体" w:hAnsi="宋体" w:cs="黑体"/>
          <w:b/>
          <w:color w:val="000000"/>
          <w:kern w:val="0"/>
          <w:sz w:val="24"/>
          <w:szCs w:val="24"/>
        </w:rPr>
        <w:t xml:space="preserve"> 8.3 产品和服务的设计与开发(HACCP3.4条款)</w:t>
      </w:r>
    </w:p>
    <w:p w14:paraId="755304D8">
      <w:pPr>
        <w:widowControl/>
        <w:spacing w:line="460" w:lineRule="exact"/>
        <w:ind w:firstLine="422" w:firstLineChars="200"/>
        <w:jc w:val="left"/>
        <w:rPr>
          <w:rFonts w:ascii="宋体" w:hAnsi="宋体"/>
          <w:color w:val="000000"/>
          <w:sz w:val="24"/>
        </w:rPr>
      </w:pPr>
      <w:r>
        <w:rPr>
          <w:rFonts w:hint="eastAsia" w:ascii="宋体" w:hAnsi="宋体"/>
          <w:b/>
          <w:szCs w:val="21"/>
        </w:rPr>
        <w:t xml:space="preserve">  </w:t>
      </w:r>
      <w:r>
        <w:rPr>
          <w:rFonts w:hint="eastAsia" w:ascii="宋体" w:hAnsi="宋体"/>
          <w:color w:val="000000"/>
          <w:sz w:val="24"/>
        </w:rPr>
        <w:t xml:space="preserve">  由于公司所有服务活动和销售活动均按照国家或行业的相关规定及顾客的要求实施，不存在设计和开发活动，故标准8.3“产品和服务的设计和开发”条款不适用本公司，且不适用8.3条款不影响组织提供满足顾客要求和适用法律法规要求的服务的能力或责任。</w:t>
      </w:r>
    </w:p>
    <w:p w14:paraId="11AF6A32">
      <w:pPr>
        <w:autoSpaceDE w:val="0"/>
        <w:autoSpaceDN w:val="0"/>
        <w:adjustRightInd w:val="0"/>
        <w:snapToGrid w:val="0"/>
        <w:spacing w:line="440" w:lineRule="exact"/>
        <w:jc w:val="left"/>
        <w:rPr>
          <w:rFonts w:ascii="宋体" w:hAnsi="宋体" w:cs="黑体"/>
          <w:b/>
          <w:color w:val="000000"/>
          <w:kern w:val="0"/>
          <w:sz w:val="24"/>
        </w:rPr>
      </w:pPr>
      <w:r>
        <w:rPr>
          <w:rFonts w:hint="eastAsia" w:ascii="宋体" w:hAnsi="宋体" w:cs="黑体"/>
          <w:b/>
          <w:color w:val="000000"/>
          <w:kern w:val="0"/>
          <w:sz w:val="24"/>
        </w:rPr>
        <w:t>8.4外部提供的过程、产品和服务的控制（FSMS 7.1.6)</w:t>
      </w:r>
    </w:p>
    <w:p w14:paraId="568DB5DB">
      <w:pPr>
        <w:autoSpaceDE w:val="0"/>
        <w:autoSpaceDN w:val="0"/>
        <w:adjustRightInd w:val="0"/>
        <w:snapToGrid w:val="0"/>
        <w:spacing w:line="440" w:lineRule="exact"/>
        <w:jc w:val="left"/>
        <w:rPr>
          <w:rFonts w:ascii="宋体" w:hAnsi="宋体" w:cs="黑体"/>
          <w:b/>
          <w:color w:val="000000"/>
          <w:kern w:val="0"/>
          <w:sz w:val="24"/>
        </w:rPr>
      </w:pPr>
      <w:r>
        <w:rPr>
          <w:rFonts w:hint="eastAsia" w:ascii="宋体" w:hAnsi="宋体" w:cs="黑体"/>
          <w:b/>
          <w:color w:val="000000"/>
          <w:kern w:val="0"/>
          <w:sz w:val="24"/>
        </w:rPr>
        <w:t xml:space="preserve">  </w:t>
      </w:r>
      <w:r>
        <w:rPr>
          <w:rFonts w:ascii="宋体" w:hAnsi="宋体" w:cs="黑体"/>
          <w:b/>
          <w:color w:val="000000"/>
          <w:kern w:val="0"/>
          <w:sz w:val="24"/>
        </w:rPr>
        <w:t>8.4.1</w:t>
      </w:r>
      <w:r>
        <w:rPr>
          <w:rFonts w:hint="eastAsia" w:ascii="宋体" w:hAnsi="宋体" w:cs="黑体"/>
          <w:b/>
          <w:color w:val="000000"/>
          <w:kern w:val="0"/>
          <w:sz w:val="24"/>
        </w:rPr>
        <w:t>总则</w:t>
      </w:r>
      <w:r>
        <w:rPr>
          <w:rFonts w:ascii="宋体" w:hAnsi="宋体" w:cs="黑体"/>
          <w:b/>
          <w:color w:val="000000"/>
          <w:kern w:val="0"/>
          <w:sz w:val="24"/>
        </w:rPr>
        <w:t xml:space="preserve"> </w:t>
      </w:r>
    </w:p>
    <w:p w14:paraId="036A145E">
      <w:pPr>
        <w:autoSpaceDE w:val="0"/>
        <w:autoSpaceDN w:val="0"/>
        <w:adjustRightInd w:val="0"/>
        <w:snapToGrid w:val="0"/>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8.4.1.1公司识别外部供方提供的过程、产品和服务主要有：</w:t>
      </w:r>
    </w:p>
    <w:p w14:paraId="250ADEFC">
      <w:pPr>
        <w:autoSpaceDE w:val="0"/>
        <w:autoSpaceDN w:val="0"/>
        <w:adjustRightInd w:val="0"/>
        <w:snapToGrid w:val="0"/>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 xml:space="preserve">    （1）</w:t>
      </w:r>
      <w:r>
        <w:rPr>
          <w:rFonts w:hint="eastAsia" w:ascii="Verdana" w:hAnsi="Verdana" w:cs="Verdana"/>
          <w:kern w:val="0"/>
          <w:sz w:val="24"/>
        </w:rPr>
        <w:t>原材料</w:t>
      </w:r>
      <w:r>
        <w:rPr>
          <w:rFonts w:hint="eastAsia" w:ascii="宋体" w:hAnsi="宋体" w:cs="宋体"/>
          <w:color w:val="000000"/>
          <w:kern w:val="0"/>
          <w:sz w:val="24"/>
        </w:rPr>
        <w:t>的采购；</w:t>
      </w:r>
    </w:p>
    <w:p w14:paraId="693B850C">
      <w:pPr>
        <w:autoSpaceDE w:val="0"/>
        <w:autoSpaceDN w:val="0"/>
        <w:adjustRightInd w:val="0"/>
        <w:snapToGrid w:val="0"/>
        <w:spacing w:line="440" w:lineRule="exact"/>
        <w:ind w:firstLine="480"/>
        <w:jc w:val="left"/>
        <w:rPr>
          <w:rFonts w:ascii="宋体" w:hAnsi="宋体" w:cs="宋体"/>
          <w:color w:val="FF0000"/>
          <w:kern w:val="0"/>
          <w:sz w:val="24"/>
        </w:rPr>
      </w:pPr>
      <w:r>
        <w:rPr>
          <w:rFonts w:hint="eastAsia" w:ascii="宋体" w:hAnsi="宋体" w:cs="宋体"/>
          <w:color w:val="000000"/>
          <w:kern w:val="0"/>
          <w:sz w:val="24"/>
        </w:rPr>
        <w:t xml:space="preserve">    （2</w:t>
      </w:r>
      <w:r>
        <w:rPr>
          <w:rFonts w:hint="eastAsia" w:ascii="宋体" w:hAnsi="宋体" w:cs="宋体"/>
          <w:color w:val="FF0000"/>
          <w:kern w:val="0"/>
          <w:sz w:val="24"/>
        </w:rPr>
        <w:t>）</w:t>
      </w:r>
      <w:r>
        <w:rPr>
          <w:rFonts w:hint="eastAsia" w:ascii="宋体" w:hAnsi="宋体" w:cs="宋体"/>
          <w:b/>
          <w:color w:val="FF0000"/>
          <w:kern w:val="0"/>
          <w:sz w:val="24"/>
        </w:rPr>
        <w:t>公司外包过程为：</w:t>
      </w:r>
      <w:r>
        <w:rPr>
          <w:rFonts w:hint="eastAsia" w:ascii="宋体" w:hAnsi="宋体" w:cs="宋体"/>
          <w:b/>
          <w:color w:val="FF0000"/>
          <w:kern w:val="0"/>
          <w:sz w:val="24"/>
          <w:lang w:val="en-US" w:eastAsia="zh-CN"/>
        </w:rPr>
        <w:t>无</w:t>
      </w:r>
      <w:r>
        <w:rPr>
          <w:rFonts w:hint="eastAsia" w:ascii="宋体" w:hAnsi="宋体" w:cs="宋体"/>
          <w:b/>
          <w:color w:val="FF0000"/>
          <w:kern w:val="0"/>
          <w:sz w:val="24"/>
        </w:rPr>
        <w:t>。</w:t>
      </w:r>
    </w:p>
    <w:p w14:paraId="156C2E7D">
      <w:pPr>
        <w:adjustRightInd w:val="0"/>
        <w:snapToGrid w:val="0"/>
        <w:spacing w:line="440" w:lineRule="exact"/>
        <w:ind w:left="-2" w:leftChars="-1" w:right="340" w:firstLine="480"/>
        <w:rPr>
          <w:rFonts w:ascii="宋体" w:hAnsi="宋体"/>
          <w:color w:val="000000"/>
          <w:sz w:val="24"/>
        </w:rPr>
      </w:pPr>
      <w:r>
        <w:rPr>
          <w:rFonts w:hint="eastAsia" w:ascii="宋体" w:hAnsi="宋体"/>
          <w:color w:val="000000"/>
          <w:sz w:val="24"/>
        </w:rPr>
        <w:t>8</w:t>
      </w:r>
      <w:r>
        <w:rPr>
          <w:rFonts w:ascii="宋体" w:hAnsi="宋体"/>
          <w:color w:val="000000"/>
          <w:sz w:val="24"/>
        </w:rPr>
        <w:t>.4.</w:t>
      </w:r>
      <w:r>
        <w:rPr>
          <w:rFonts w:hint="eastAsia" w:ascii="宋体" w:hAnsi="宋体"/>
          <w:color w:val="000000"/>
          <w:sz w:val="24"/>
        </w:rPr>
        <w:t>1</w:t>
      </w:r>
      <w:r>
        <w:rPr>
          <w:rFonts w:ascii="宋体" w:hAnsi="宋体"/>
          <w:color w:val="000000"/>
          <w:sz w:val="24"/>
        </w:rPr>
        <w:t>.</w:t>
      </w:r>
      <w:r>
        <w:rPr>
          <w:rFonts w:hint="eastAsia" w:ascii="宋体" w:hAnsi="宋体"/>
          <w:color w:val="000000"/>
          <w:sz w:val="24"/>
        </w:rPr>
        <w:t>2</w:t>
      </w:r>
      <w:r>
        <w:rPr>
          <w:rFonts w:hint="eastAsia" w:ascii="宋体" w:hAnsi="宋体"/>
          <w:color w:val="000000"/>
          <w:sz w:val="24"/>
          <w:lang w:eastAsia="zh-CN"/>
        </w:rPr>
        <w:t>市场部</w:t>
      </w:r>
      <w:r>
        <w:rPr>
          <w:rFonts w:hint="eastAsia" w:ascii="宋体" w:hAnsi="宋体"/>
          <w:color w:val="000000"/>
          <w:sz w:val="24"/>
        </w:rPr>
        <w:t>对</w:t>
      </w:r>
      <w:r>
        <w:rPr>
          <w:rFonts w:hint="eastAsia" w:ascii="Verdana" w:hAnsi="Verdana" w:cs="Verdana"/>
          <w:kern w:val="0"/>
          <w:sz w:val="24"/>
        </w:rPr>
        <w:t>原材料</w:t>
      </w:r>
      <w:r>
        <w:rPr>
          <w:rFonts w:hint="eastAsia" w:ascii="宋体" w:hAnsi="宋体"/>
          <w:color w:val="000000"/>
          <w:sz w:val="24"/>
        </w:rPr>
        <w:t>的采购应进行控制，以确保采购的产品和服务符合要求。控制的方式和程度应根据采购的物资和服务对公司提供产品和服务的实际影响而定。</w:t>
      </w:r>
    </w:p>
    <w:p w14:paraId="454A2201">
      <w:pPr>
        <w:adjustRightInd w:val="0"/>
        <w:snapToGrid w:val="0"/>
        <w:spacing w:line="440" w:lineRule="exact"/>
        <w:ind w:left="-2" w:leftChars="-1" w:right="340" w:firstLine="480"/>
        <w:rPr>
          <w:rFonts w:ascii="宋体" w:hAnsi="宋体"/>
          <w:color w:val="000000"/>
          <w:sz w:val="24"/>
        </w:rPr>
      </w:pPr>
      <w:r>
        <w:rPr>
          <w:rFonts w:hint="eastAsia" w:ascii="宋体" w:hAnsi="宋体"/>
          <w:color w:val="000000"/>
          <w:sz w:val="24"/>
        </w:rPr>
        <w:t>8</w:t>
      </w:r>
      <w:r>
        <w:rPr>
          <w:rFonts w:ascii="宋体" w:hAnsi="宋体"/>
          <w:color w:val="000000"/>
          <w:sz w:val="24"/>
        </w:rPr>
        <w:t>.4.1.</w:t>
      </w:r>
      <w:r>
        <w:rPr>
          <w:rFonts w:hint="eastAsia" w:ascii="宋体" w:hAnsi="宋体"/>
          <w:color w:val="000000"/>
          <w:sz w:val="24"/>
        </w:rPr>
        <w:t>3</w:t>
      </w:r>
      <w:r>
        <w:rPr>
          <w:rFonts w:hint="eastAsia" w:ascii="宋体" w:hAnsi="宋体"/>
          <w:color w:val="000000"/>
          <w:sz w:val="24"/>
          <w:lang w:eastAsia="zh-CN"/>
        </w:rPr>
        <w:t>市场部</w:t>
      </w:r>
      <w:r>
        <w:rPr>
          <w:rFonts w:hint="eastAsia" w:ascii="宋体" w:hAnsi="宋体"/>
          <w:color w:val="000000"/>
          <w:sz w:val="24"/>
        </w:rPr>
        <w:t>应根据供方提供产品和服务的能力来评价并选择合格供方；选择、绩效监视和定期再评价的准则应予以确定；</w:t>
      </w:r>
    </w:p>
    <w:p w14:paraId="5FE21A7D">
      <w:pPr>
        <w:adjustRightInd w:val="0"/>
        <w:snapToGrid w:val="0"/>
        <w:spacing w:line="440" w:lineRule="exact"/>
        <w:ind w:left="-2" w:leftChars="-1" w:right="340" w:firstLine="480"/>
        <w:rPr>
          <w:rFonts w:ascii="宋体" w:hAnsi="宋体"/>
          <w:color w:val="000000"/>
          <w:sz w:val="24"/>
        </w:rPr>
      </w:pPr>
      <w:r>
        <w:rPr>
          <w:rFonts w:hint="eastAsia" w:ascii="宋体" w:hAnsi="宋体"/>
          <w:color w:val="000000"/>
          <w:sz w:val="24"/>
        </w:rPr>
        <w:t>8</w:t>
      </w:r>
      <w:r>
        <w:rPr>
          <w:rFonts w:ascii="宋体" w:hAnsi="宋体"/>
          <w:color w:val="000000"/>
          <w:sz w:val="24"/>
        </w:rPr>
        <w:t>.4.1.</w:t>
      </w:r>
      <w:r>
        <w:rPr>
          <w:rFonts w:hint="eastAsia" w:ascii="宋体" w:hAnsi="宋体"/>
          <w:color w:val="000000"/>
          <w:sz w:val="24"/>
        </w:rPr>
        <w:t>4 外部供方的评定的结果及跟踪措施应予以记录。</w:t>
      </w:r>
    </w:p>
    <w:p w14:paraId="7B62611C">
      <w:pPr>
        <w:autoSpaceDE w:val="0"/>
        <w:autoSpaceDN w:val="0"/>
        <w:adjustRightInd w:val="0"/>
        <w:snapToGrid w:val="0"/>
        <w:spacing w:line="440" w:lineRule="exact"/>
        <w:jc w:val="left"/>
        <w:rPr>
          <w:rFonts w:ascii="宋体" w:hAnsi="宋体" w:cs="黑体"/>
          <w:b/>
          <w:color w:val="000000"/>
          <w:kern w:val="0"/>
          <w:sz w:val="24"/>
        </w:rPr>
      </w:pPr>
      <w:r>
        <w:rPr>
          <w:rFonts w:ascii="宋体" w:hAnsi="宋体" w:cs="黑体"/>
          <w:b/>
          <w:color w:val="000000"/>
          <w:kern w:val="0"/>
          <w:sz w:val="24"/>
        </w:rPr>
        <w:t xml:space="preserve">8.4.2 </w:t>
      </w:r>
      <w:r>
        <w:rPr>
          <w:rFonts w:hint="eastAsia" w:ascii="宋体" w:hAnsi="宋体" w:cs="黑体"/>
          <w:b/>
          <w:color w:val="000000"/>
          <w:kern w:val="0"/>
          <w:sz w:val="24"/>
        </w:rPr>
        <w:t>控制类型和程度</w:t>
      </w:r>
      <w:r>
        <w:rPr>
          <w:rFonts w:ascii="宋体" w:hAnsi="宋体" w:cs="黑体"/>
          <w:b/>
          <w:color w:val="000000"/>
          <w:kern w:val="0"/>
          <w:sz w:val="24"/>
        </w:rPr>
        <w:t xml:space="preserve"> </w:t>
      </w:r>
    </w:p>
    <w:p w14:paraId="72B382EC">
      <w:pPr>
        <w:autoSpaceDE w:val="0"/>
        <w:autoSpaceDN w:val="0"/>
        <w:adjustRightInd w:val="0"/>
        <w:snapToGrid w:val="0"/>
        <w:spacing w:line="440" w:lineRule="exact"/>
        <w:ind w:left="1140" w:leftChars="200" w:hanging="720"/>
        <w:jc w:val="left"/>
        <w:rPr>
          <w:rFonts w:ascii="宋体" w:hAnsi="宋体" w:cs="宋体"/>
          <w:color w:val="000000"/>
          <w:kern w:val="0"/>
          <w:sz w:val="24"/>
        </w:rPr>
      </w:pPr>
      <w:r>
        <w:rPr>
          <w:rFonts w:hint="eastAsia" w:ascii="宋体" w:hAnsi="宋体" w:cs="宋体"/>
          <w:color w:val="000000"/>
          <w:kern w:val="0"/>
          <w:sz w:val="24"/>
        </w:rPr>
        <w:t>8.4.2.1 公司按</w:t>
      </w:r>
      <w:r>
        <w:rPr>
          <w:rFonts w:hint="eastAsia" w:ascii="宋体" w:hAnsi="宋体"/>
          <w:color w:val="000000"/>
          <w:sz w:val="24"/>
        </w:rPr>
        <w:t>《采购控制程序》</w:t>
      </w:r>
      <w:r>
        <w:rPr>
          <w:rFonts w:hint="eastAsia" w:ascii="宋体" w:hAnsi="宋体" w:cs="宋体"/>
          <w:color w:val="000000"/>
          <w:kern w:val="0"/>
          <w:sz w:val="24"/>
        </w:rPr>
        <w:t>中对外部供方的管理要求进行管理，确保外部提供的过程、产品和服务不会对公司稳定地向顾客交付合格产品和服务的能力产生不利影响。</w:t>
      </w:r>
      <w:r>
        <w:rPr>
          <w:rFonts w:ascii="宋体" w:hAnsi="宋体" w:cs="宋体"/>
          <w:color w:val="000000"/>
          <w:kern w:val="0"/>
          <w:sz w:val="24"/>
        </w:rPr>
        <w:t xml:space="preserve"> </w:t>
      </w:r>
    </w:p>
    <w:p w14:paraId="70C846FF">
      <w:pPr>
        <w:autoSpaceDE w:val="0"/>
        <w:autoSpaceDN w:val="0"/>
        <w:adjustRightInd w:val="0"/>
        <w:snapToGrid w:val="0"/>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8.4.2.2 公司在策划对外部供方的管理时，应考虑：</w:t>
      </w:r>
      <w:r>
        <w:rPr>
          <w:rFonts w:ascii="宋体" w:hAnsi="宋体" w:cs="宋体"/>
          <w:color w:val="000000"/>
          <w:kern w:val="0"/>
          <w:sz w:val="24"/>
        </w:rPr>
        <w:t xml:space="preserve"> </w:t>
      </w:r>
    </w:p>
    <w:p w14:paraId="329A18BC">
      <w:pPr>
        <w:autoSpaceDE w:val="0"/>
        <w:autoSpaceDN w:val="0"/>
        <w:adjustRightInd w:val="0"/>
        <w:snapToGrid w:val="0"/>
        <w:spacing w:line="440" w:lineRule="exact"/>
        <w:ind w:left="1290" w:leftChars="500" w:hanging="240"/>
        <w:jc w:val="left"/>
        <w:rPr>
          <w:rFonts w:ascii="宋体" w:hAnsi="宋体" w:cs="宋体"/>
          <w:color w:val="000000"/>
          <w:kern w:val="0"/>
          <w:sz w:val="24"/>
        </w:rPr>
      </w:pPr>
      <w:r>
        <w:rPr>
          <w:rFonts w:ascii="宋体" w:hAnsi="宋体" w:cs="宋体"/>
          <w:color w:val="000000"/>
          <w:kern w:val="0"/>
          <w:sz w:val="24"/>
        </w:rPr>
        <w:t>a)</w:t>
      </w:r>
      <w:r>
        <w:rPr>
          <w:rFonts w:hint="eastAsia" w:ascii="宋体" w:hAnsi="宋体" w:cs="宋体"/>
          <w:color w:val="000000"/>
          <w:kern w:val="0"/>
          <w:sz w:val="24"/>
        </w:rPr>
        <w:t>确保外部提供的过程保持在其质量、环境和职业健康安全管理体系的控制之中；</w:t>
      </w:r>
      <w:r>
        <w:rPr>
          <w:rFonts w:ascii="宋体" w:hAnsi="宋体" w:cs="宋体"/>
          <w:color w:val="000000"/>
          <w:kern w:val="0"/>
          <w:sz w:val="24"/>
        </w:rPr>
        <w:t xml:space="preserve"> </w:t>
      </w:r>
    </w:p>
    <w:p w14:paraId="23E2B02D">
      <w:pPr>
        <w:autoSpaceDE w:val="0"/>
        <w:autoSpaceDN w:val="0"/>
        <w:adjustRightInd w:val="0"/>
        <w:snapToGrid w:val="0"/>
        <w:spacing w:line="440" w:lineRule="exact"/>
        <w:ind w:firstLine="960"/>
        <w:jc w:val="left"/>
        <w:rPr>
          <w:rFonts w:ascii="宋体" w:hAnsi="宋体" w:cs="宋体"/>
          <w:color w:val="000000"/>
          <w:kern w:val="0"/>
          <w:sz w:val="24"/>
        </w:rPr>
      </w:pPr>
      <w:r>
        <w:rPr>
          <w:rFonts w:ascii="宋体" w:hAnsi="宋体" w:cs="宋体"/>
          <w:color w:val="000000"/>
          <w:kern w:val="0"/>
          <w:sz w:val="24"/>
        </w:rPr>
        <w:t>b</w:t>
      </w:r>
      <w:r>
        <w:rPr>
          <w:rFonts w:hint="eastAsia" w:ascii="宋体" w:hAnsi="宋体" w:cs="宋体"/>
          <w:color w:val="000000"/>
          <w:kern w:val="0"/>
          <w:sz w:val="24"/>
        </w:rPr>
        <w:t>）规定对外部供方的控制及其输出结果的控制；</w:t>
      </w:r>
      <w:r>
        <w:rPr>
          <w:rFonts w:ascii="宋体" w:hAnsi="宋体" w:cs="宋体"/>
          <w:color w:val="000000"/>
          <w:kern w:val="0"/>
          <w:sz w:val="24"/>
        </w:rPr>
        <w:t xml:space="preserve"> </w:t>
      </w:r>
    </w:p>
    <w:p w14:paraId="3279F7C3">
      <w:pPr>
        <w:autoSpaceDE w:val="0"/>
        <w:autoSpaceDN w:val="0"/>
        <w:adjustRightInd w:val="0"/>
        <w:snapToGrid w:val="0"/>
        <w:spacing w:line="440" w:lineRule="exact"/>
        <w:ind w:left="1438" w:leftChars="456" w:hanging="480"/>
        <w:jc w:val="left"/>
        <w:rPr>
          <w:rFonts w:ascii="宋体" w:hAnsi="宋体" w:cs="宋体"/>
          <w:color w:val="000000"/>
          <w:kern w:val="0"/>
          <w:sz w:val="24"/>
        </w:rPr>
      </w:pPr>
      <w:r>
        <w:rPr>
          <w:rFonts w:hint="eastAsia" w:ascii="宋体" w:hAnsi="宋体" w:cs="宋体"/>
          <w:color w:val="000000"/>
          <w:kern w:val="0"/>
          <w:sz w:val="24"/>
        </w:rPr>
        <w:t>c）外部提供的过程、产品和服务对</w:t>
      </w:r>
      <w:r>
        <w:rPr>
          <w:rFonts w:ascii="宋体" w:hAnsi="宋体" w:cs="宋体"/>
          <w:color w:val="000000"/>
          <w:kern w:val="0"/>
          <w:sz w:val="24"/>
        </w:rPr>
        <w:t>公司</w:t>
      </w:r>
      <w:r>
        <w:rPr>
          <w:rFonts w:hint="eastAsia" w:ascii="宋体" w:hAnsi="宋体" w:cs="宋体"/>
          <w:color w:val="000000"/>
          <w:kern w:val="0"/>
          <w:sz w:val="24"/>
        </w:rPr>
        <w:t>稳定地提供满足顾客要求和适用的法律法规要求的能力的潜在影响；</w:t>
      </w:r>
      <w:r>
        <w:rPr>
          <w:rFonts w:ascii="宋体" w:hAnsi="宋体" w:cs="宋体"/>
          <w:color w:val="000000"/>
          <w:kern w:val="0"/>
          <w:sz w:val="24"/>
        </w:rPr>
        <w:t xml:space="preserve"> </w:t>
      </w:r>
    </w:p>
    <w:p w14:paraId="24235BAC">
      <w:pPr>
        <w:autoSpaceDE w:val="0"/>
        <w:autoSpaceDN w:val="0"/>
        <w:adjustRightInd w:val="0"/>
        <w:snapToGrid w:val="0"/>
        <w:spacing w:line="440" w:lineRule="exact"/>
        <w:ind w:firstLine="960"/>
        <w:jc w:val="left"/>
        <w:rPr>
          <w:rFonts w:ascii="宋体" w:hAnsi="宋体" w:cs="宋体"/>
          <w:color w:val="000000"/>
          <w:kern w:val="0"/>
          <w:sz w:val="24"/>
        </w:rPr>
      </w:pPr>
      <w:r>
        <w:rPr>
          <w:rFonts w:hint="eastAsia" w:ascii="宋体" w:hAnsi="宋体" w:cs="宋体"/>
          <w:color w:val="000000"/>
          <w:kern w:val="0"/>
          <w:sz w:val="24"/>
        </w:rPr>
        <w:t>d）外部供方自身控制的有效性；</w:t>
      </w:r>
      <w:r>
        <w:rPr>
          <w:rFonts w:ascii="宋体" w:hAnsi="宋体" w:cs="宋体"/>
          <w:color w:val="000000"/>
          <w:kern w:val="0"/>
          <w:sz w:val="24"/>
        </w:rPr>
        <w:t xml:space="preserve"> </w:t>
      </w:r>
    </w:p>
    <w:p w14:paraId="4DEED48E">
      <w:pPr>
        <w:spacing w:line="440" w:lineRule="exact"/>
        <w:rPr>
          <w:rFonts w:ascii="宋体" w:hAnsi="宋体" w:cs="宋体"/>
          <w:color w:val="000000"/>
          <w:kern w:val="0"/>
          <w:sz w:val="24"/>
        </w:rPr>
      </w:pPr>
      <w:r>
        <w:rPr>
          <w:rFonts w:hint="eastAsia" w:ascii="宋体" w:hAnsi="宋体" w:cs="宋体"/>
          <w:color w:val="000000"/>
          <w:kern w:val="0"/>
          <w:sz w:val="24"/>
        </w:rPr>
        <w:t xml:space="preserve">        e）确定必要的验证或其他活动，以确保外部提供的过程、产品和服务满足要求。</w:t>
      </w:r>
    </w:p>
    <w:p w14:paraId="390AF138">
      <w:pPr>
        <w:spacing w:line="440" w:lineRule="exact"/>
        <w:rPr>
          <w:rFonts w:ascii="宋体" w:hAnsi="宋体"/>
          <w:color w:val="000000"/>
          <w:sz w:val="24"/>
        </w:rPr>
      </w:pPr>
      <w:r>
        <w:rPr>
          <w:rFonts w:ascii="宋体" w:hAnsi="宋体" w:cs="黑体"/>
          <w:b/>
          <w:color w:val="000000"/>
          <w:kern w:val="0"/>
          <w:sz w:val="24"/>
        </w:rPr>
        <w:t xml:space="preserve">8.4.3 </w:t>
      </w:r>
      <w:r>
        <w:rPr>
          <w:rFonts w:hint="eastAsia" w:ascii="宋体" w:hAnsi="宋体" w:cs="黑体"/>
          <w:b/>
          <w:color w:val="000000"/>
          <w:kern w:val="0"/>
          <w:sz w:val="24"/>
        </w:rPr>
        <w:t>外部供方的信息</w:t>
      </w:r>
      <w:r>
        <w:rPr>
          <w:rFonts w:ascii="宋体" w:hAnsi="宋体" w:cs="黑体"/>
          <w:b/>
          <w:color w:val="000000"/>
          <w:kern w:val="0"/>
          <w:sz w:val="24"/>
        </w:rPr>
        <w:t xml:space="preserve"> </w:t>
      </w:r>
    </w:p>
    <w:p w14:paraId="7DB43A07">
      <w:pPr>
        <w:spacing w:line="440" w:lineRule="exact"/>
        <w:ind w:left="1150" w:leftChars="205" w:hanging="720"/>
        <w:rPr>
          <w:rFonts w:ascii="宋体" w:hAnsi="宋体" w:cs="宋体"/>
          <w:color w:val="000000"/>
          <w:kern w:val="0"/>
          <w:sz w:val="24"/>
        </w:rPr>
      </w:pPr>
      <w:r>
        <w:rPr>
          <w:rFonts w:hint="eastAsia" w:ascii="宋体" w:hAnsi="宋体" w:cs="宋体"/>
          <w:color w:val="000000"/>
          <w:kern w:val="0"/>
          <w:sz w:val="24"/>
        </w:rPr>
        <w:t>8.4.3</w:t>
      </w:r>
      <w:r>
        <w:rPr>
          <w:rFonts w:ascii="宋体" w:hAnsi="宋体" w:cs="宋体"/>
          <w:color w:val="000000"/>
          <w:kern w:val="0"/>
          <w:sz w:val="24"/>
        </w:rPr>
        <w:t>.1</w:t>
      </w:r>
      <w:r>
        <w:rPr>
          <w:rFonts w:hint="eastAsia" w:ascii="宋体" w:hAnsi="宋体" w:cs="宋体"/>
          <w:color w:val="000000"/>
          <w:kern w:val="0"/>
          <w:sz w:val="24"/>
        </w:rPr>
        <w:t xml:space="preserve">  公司于外部供方之间的合作通过协议、合同、备忘录等方式确定，应确保在与外部供方沟通之前所确定的要求是充分的。</w:t>
      </w:r>
    </w:p>
    <w:p w14:paraId="02C0D6C6">
      <w:pPr>
        <w:autoSpaceDE w:val="0"/>
        <w:autoSpaceDN w:val="0"/>
        <w:adjustRightInd w:val="0"/>
        <w:spacing w:line="440" w:lineRule="exact"/>
        <w:ind w:left="1319" w:leftChars="228" w:hanging="840"/>
        <w:jc w:val="left"/>
        <w:rPr>
          <w:rFonts w:ascii="宋体" w:hAnsi="宋体" w:cs="宋体"/>
          <w:color w:val="000000"/>
          <w:kern w:val="0"/>
          <w:sz w:val="24"/>
        </w:rPr>
      </w:pPr>
      <w:r>
        <w:rPr>
          <w:rFonts w:hint="eastAsia" w:ascii="宋体" w:hAnsi="宋体" w:cs="宋体"/>
          <w:color w:val="000000"/>
          <w:kern w:val="0"/>
          <w:sz w:val="24"/>
        </w:rPr>
        <w:t>8.4.3.2 公司与外部供方的沟通可以包括：</w:t>
      </w:r>
      <w:r>
        <w:rPr>
          <w:rFonts w:ascii="宋体" w:hAnsi="宋体" w:cs="宋体"/>
          <w:color w:val="000000"/>
          <w:kern w:val="0"/>
          <w:sz w:val="24"/>
        </w:rPr>
        <w:t xml:space="preserve"> </w:t>
      </w:r>
    </w:p>
    <w:p w14:paraId="1BE2D2FB">
      <w:pPr>
        <w:autoSpaceDE w:val="0"/>
        <w:autoSpaceDN w:val="0"/>
        <w:adjustRightInd w:val="0"/>
        <w:spacing w:line="440" w:lineRule="exact"/>
        <w:ind w:firstLine="840"/>
        <w:jc w:val="left"/>
        <w:rPr>
          <w:rFonts w:ascii="宋体" w:hAnsi="宋体" w:cs="宋体"/>
          <w:color w:val="000000"/>
          <w:kern w:val="0"/>
          <w:sz w:val="24"/>
        </w:rPr>
      </w:pPr>
      <w:r>
        <w:rPr>
          <w:rFonts w:ascii="宋体" w:hAnsi="宋体" w:cs="宋体"/>
          <w:color w:val="000000"/>
          <w:kern w:val="0"/>
          <w:sz w:val="24"/>
        </w:rPr>
        <w:t xml:space="preserve">a) </w:t>
      </w:r>
      <w:r>
        <w:rPr>
          <w:rFonts w:hint="eastAsia" w:ascii="宋体" w:hAnsi="宋体" w:cs="宋体"/>
          <w:color w:val="000000"/>
          <w:kern w:val="0"/>
          <w:sz w:val="24"/>
        </w:rPr>
        <w:t>所提供的过程、产品和服务；</w:t>
      </w:r>
      <w:r>
        <w:rPr>
          <w:rFonts w:ascii="宋体" w:hAnsi="宋体" w:cs="宋体"/>
          <w:color w:val="000000"/>
          <w:kern w:val="0"/>
          <w:sz w:val="24"/>
        </w:rPr>
        <w:t xml:space="preserve"> </w:t>
      </w:r>
    </w:p>
    <w:p w14:paraId="14A99B5C">
      <w:pPr>
        <w:autoSpaceDE w:val="0"/>
        <w:autoSpaceDN w:val="0"/>
        <w:adjustRightInd w:val="0"/>
        <w:spacing w:line="440" w:lineRule="exact"/>
        <w:ind w:firstLine="840"/>
        <w:jc w:val="left"/>
        <w:rPr>
          <w:rFonts w:ascii="宋体" w:hAnsi="宋体" w:cs="宋体"/>
          <w:color w:val="000000"/>
          <w:kern w:val="0"/>
          <w:sz w:val="24"/>
        </w:rPr>
      </w:pPr>
      <w:r>
        <w:rPr>
          <w:rFonts w:ascii="宋体" w:hAnsi="宋体" w:cs="宋体"/>
          <w:color w:val="000000"/>
          <w:kern w:val="0"/>
          <w:sz w:val="24"/>
        </w:rPr>
        <w:t xml:space="preserve">b) </w:t>
      </w:r>
      <w:r>
        <w:rPr>
          <w:rFonts w:hint="eastAsia" w:ascii="宋体" w:hAnsi="宋体" w:cs="宋体"/>
          <w:color w:val="000000"/>
          <w:kern w:val="0"/>
          <w:sz w:val="24"/>
        </w:rPr>
        <w:t>对下列内容的批准：</w:t>
      </w:r>
      <w:r>
        <w:rPr>
          <w:rFonts w:ascii="宋体" w:hAnsi="宋体" w:cs="宋体"/>
          <w:color w:val="000000"/>
          <w:kern w:val="0"/>
          <w:sz w:val="24"/>
        </w:rPr>
        <w:t xml:space="preserve"> </w:t>
      </w:r>
    </w:p>
    <w:p w14:paraId="7F80A176">
      <w:pPr>
        <w:autoSpaceDE w:val="0"/>
        <w:autoSpaceDN w:val="0"/>
        <w:adjustRightInd w:val="0"/>
        <w:spacing w:line="440" w:lineRule="exact"/>
        <w:ind w:firstLine="1440"/>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）产品和服务；</w:t>
      </w:r>
      <w:r>
        <w:rPr>
          <w:rFonts w:ascii="宋体" w:hAnsi="宋体" w:cs="宋体"/>
          <w:color w:val="000000"/>
          <w:kern w:val="0"/>
          <w:sz w:val="24"/>
        </w:rPr>
        <w:t xml:space="preserve"> </w:t>
      </w:r>
    </w:p>
    <w:p w14:paraId="35AC38AC">
      <w:pPr>
        <w:autoSpaceDE w:val="0"/>
        <w:autoSpaceDN w:val="0"/>
        <w:adjustRightInd w:val="0"/>
        <w:spacing w:line="440" w:lineRule="exact"/>
        <w:ind w:firstLine="1440"/>
        <w:jc w:val="left"/>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）方法、过程和设备；</w:t>
      </w:r>
      <w:r>
        <w:rPr>
          <w:rFonts w:ascii="宋体" w:hAnsi="宋体" w:cs="宋体"/>
          <w:color w:val="000000"/>
          <w:kern w:val="0"/>
          <w:sz w:val="24"/>
        </w:rPr>
        <w:t xml:space="preserve"> </w:t>
      </w:r>
    </w:p>
    <w:p w14:paraId="7186C82C">
      <w:pPr>
        <w:autoSpaceDE w:val="0"/>
        <w:autoSpaceDN w:val="0"/>
        <w:adjustRightInd w:val="0"/>
        <w:spacing w:line="440" w:lineRule="exact"/>
        <w:ind w:firstLine="1440"/>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）产品和服务的放行；</w:t>
      </w:r>
      <w:r>
        <w:rPr>
          <w:rFonts w:ascii="宋体" w:hAnsi="宋体" w:cs="宋体"/>
          <w:color w:val="000000"/>
          <w:kern w:val="0"/>
          <w:sz w:val="24"/>
        </w:rPr>
        <w:t xml:space="preserve"> </w:t>
      </w:r>
    </w:p>
    <w:p w14:paraId="14E3D7BE">
      <w:pPr>
        <w:autoSpaceDE w:val="0"/>
        <w:autoSpaceDN w:val="0"/>
        <w:adjustRightInd w:val="0"/>
        <w:spacing w:line="440" w:lineRule="exact"/>
        <w:ind w:firstLine="840"/>
        <w:jc w:val="left"/>
        <w:rPr>
          <w:rFonts w:ascii="宋体" w:hAnsi="宋体" w:cs="宋体"/>
          <w:color w:val="000000"/>
          <w:kern w:val="0"/>
          <w:sz w:val="24"/>
        </w:rPr>
      </w:pPr>
      <w:r>
        <w:rPr>
          <w:rFonts w:ascii="宋体" w:hAnsi="宋体" w:cs="宋体"/>
          <w:color w:val="000000"/>
          <w:kern w:val="0"/>
          <w:sz w:val="24"/>
        </w:rPr>
        <w:t>c)</w:t>
      </w:r>
      <w:r>
        <w:rPr>
          <w:rFonts w:hint="eastAsia" w:ascii="宋体" w:hAnsi="宋体" w:cs="宋体"/>
          <w:color w:val="000000"/>
          <w:kern w:val="0"/>
          <w:sz w:val="24"/>
        </w:rPr>
        <w:t>能力，包括所要求的人员资质；</w:t>
      </w:r>
      <w:r>
        <w:rPr>
          <w:rFonts w:ascii="宋体" w:hAnsi="宋体" w:cs="宋体"/>
          <w:color w:val="000000"/>
          <w:kern w:val="0"/>
          <w:sz w:val="24"/>
        </w:rPr>
        <w:t xml:space="preserve"> </w:t>
      </w:r>
    </w:p>
    <w:p w14:paraId="1BA69D8B">
      <w:pPr>
        <w:autoSpaceDE w:val="0"/>
        <w:autoSpaceDN w:val="0"/>
        <w:adjustRightInd w:val="0"/>
        <w:spacing w:line="440" w:lineRule="exact"/>
        <w:ind w:firstLine="840"/>
        <w:jc w:val="left"/>
        <w:rPr>
          <w:rFonts w:ascii="宋体" w:hAnsi="宋体" w:cs="宋体"/>
          <w:color w:val="000000"/>
          <w:kern w:val="0"/>
          <w:sz w:val="24"/>
        </w:rPr>
      </w:pPr>
      <w:r>
        <w:rPr>
          <w:rFonts w:ascii="宋体" w:hAnsi="宋体" w:cs="宋体"/>
          <w:color w:val="000000"/>
          <w:kern w:val="0"/>
          <w:sz w:val="24"/>
        </w:rPr>
        <w:t>d</w:t>
      </w:r>
      <w:r>
        <w:rPr>
          <w:rFonts w:hint="eastAsia" w:ascii="宋体" w:hAnsi="宋体" w:cs="宋体"/>
          <w:color w:val="000000"/>
          <w:kern w:val="0"/>
          <w:sz w:val="24"/>
        </w:rPr>
        <w:t>）外部供方与</w:t>
      </w:r>
      <w:r>
        <w:rPr>
          <w:rFonts w:ascii="宋体" w:hAnsi="宋体" w:cs="宋体"/>
          <w:color w:val="000000"/>
          <w:kern w:val="0"/>
          <w:sz w:val="24"/>
        </w:rPr>
        <w:t>公司</w:t>
      </w:r>
      <w:r>
        <w:rPr>
          <w:rFonts w:hint="eastAsia" w:ascii="宋体" w:hAnsi="宋体" w:cs="宋体"/>
          <w:color w:val="000000"/>
          <w:kern w:val="0"/>
          <w:sz w:val="24"/>
        </w:rPr>
        <w:t>的接口；</w:t>
      </w:r>
      <w:r>
        <w:rPr>
          <w:rFonts w:ascii="宋体" w:hAnsi="宋体" w:cs="宋体"/>
          <w:color w:val="000000"/>
          <w:kern w:val="0"/>
          <w:sz w:val="24"/>
        </w:rPr>
        <w:t xml:space="preserve"> </w:t>
      </w:r>
    </w:p>
    <w:p w14:paraId="5E897E25">
      <w:pPr>
        <w:autoSpaceDE w:val="0"/>
        <w:autoSpaceDN w:val="0"/>
        <w:adjustRightInd w:val="0"/>
        <w:spacing w:line="440" w:lineRule="exact"/>
        <w:ind w:firstLine="840"/>
        <w:jc w:val="left"/>
        <w:rPr>
          <w:rFonts w:ascii="宋体" w:hAnsi="宋体" w:cs="宋体"/>
          <w:color w:val="000000"/>
          <w:kern w:val="0"/>
          <w:sz w:val="24"/>
        </w:rPr>
      </w:pPr>
      <w:r>
        <w:rPr>
          <w:rFonts w:ascii="宋体" w:hAnsi="宋体" w:cs="宋体"/>
          <w:color w:val="000000"/>
          <w:kern w:val="0"/>
          <w:sz w:val="24"/>
        </w:rPr>
        <w:t>e</w:t>
      </w:r>
      <w:r>
        <w:rPr>
          <w:rFonts w:hint="eastAsia" w:ascii="宋体" w:hAnsi="宋体" w:cs="宋体"/>
          <w:color w:val="000000"/>
          <w:kern w:val="0"/>
          <w:sz w:val="24"/>
        </w:rPr>
        <w:t>）公司对外部供方绩效的控制和监视；</w:t>
      </w:r>
      <w:r>
        <w:rPr>
          <w:rFonts w:ascii="宋体" w:hAnsi="宋体" w:cs="宋体"/>
          <w:color w:val="000000"/>
          <w:kern w:val="0"/>
          <w:sz w:val="24"/>
        </w:rPr>
        <w:t xml:space="preserve"> </w:t>
      </w:r>
    </w:p>
    <w:p w14:paraId="4FC8E340">
      <w:pPr>
        <w:autoSpaceDE w:val="0"/>
        <w:autoSpaceDN w:val="0"/>
        <w:adjustRightInd w:val="0"/>
        <w:spacing w:line="440" w:lineRule="exact"/>
        <w:ind w:firstLine="840"/>
        <w:jc w:val="left"/>
        <w:rPr>
          <w:rFonts w:ascii="宋体" w:hAnsi="宋体" w:cs="宋体"/>
          <w:color w:val="000000"/>
          <w:kern w:val="0"/>
          <w:sz w:val="24"/>
        </w:rPr>
      </w:pPr>
      <w:r>
        <w:rPr>
          <w:rFonts w:ascii="宋体" w:hAnsi="宋体" w:cs="宋体"/>
          <w:color w:val="000000"/>
          <w:kern w:val="0"/>
          <w:sz w:val="24"/>
        </w:rPr>
        <w:t>f</w:t>
      </w:r>
      <w:r>
        <w:rPr>
          <w:rFonts w:hint="eastAsia" w:ascii="宋体" w:hAnsi="宋体" w:cs="宋体"/>
          <w:color w:val="000000"/>
          <w:kern w:val="0"/>
          <w:sz w:val="24"/>
        </w:rPr>
        <w:t>）公司或其顾客拟在供方现场实施的验证活动。</w:t>
      </w:r>
    </w:p>
    <w:p w14:paraId="2588D59B">
      <w:pPr>
        <w:autoSpaceDE w:val="0"/>
        <w:autoSpaceDN w:val="0"/>
        <w:adjustRightInd w:val="0"/>
        <w:spacing w:line="440" w:lineRule="exact"/>
        <w:jc w:val="left"/>
        <w:rPr>
          <w:rFonts w:ascii="宋体" w:hAnsi="宋体" w:cs="宋体"/>
          <w:b/>
          <w:bCs/>
          <w:color w:val="000000"/>
          <w:kern w:val="0"/>
          <w:sz w:val="24"/>
        </w:rPr>
      </w:pPr>
      <w:r>
        <w:rPr>
          <w:rFonts w:hint="eastAsia" w:ascii="宋体" w:hAnsi="宋体" w:cs="宋体"/>
          <w:b/>
          <w:bCs/>
          <w:color w:val="000000"/>
          <w:kern w:val="0"/>
          <w:sz w:val="24"/>
        </w:rPr>
        <w:t xml:space="preserve"> 8.5生产和服务提供</w:t>
      </w:r>
    </w:p>
    <w:p w14:paraId="202F65DA">
      <w:pPr>
        <w:autoSpaceDE w:val="0"/>
        <w:autoSpaceDN w:val="0"/>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8.5.1</w:t>
      </w:r>
      <w:r>
        <w:rPr>
          <w:rFonts w:hint="eastAsia" w:ascii="宋体" w:hAnsi="宋体" w:cs="宋体"/>
          <w:color w:val="000000"/>
          <w:kern w:val="0"/>
          <w:sz w:val="24"/>
        </w:rPr>
        <w:t>生产和服务提供的控制</w:t>
      </w:r>
      <w:r>
        <w:rPr>
          <w:rFonts w:ascii="宋体" w:hAnsi="宋体" w:cs="宋体"/>
          <w:color w:val="000000"/>
          <w:kern w:val="0"/>
          <w:sz w:val="24"/>
        </w:rPr>
        <w:t> </w:t>
      </w:r>
    </w:p>
    <w:p w14:paraId="7F8D739F">
      <w:pPr>
        <w:autoSpaceDE w:val="0"/>
        <w:autoSpaceDN w:val="0"/>
        <w:adjustRightInd w:val="0"/>
        <w:spacing w:line="440" w:lineRule="exact"/>
        <w:jc w:val="left"/>
        <w:rPr>
          <w:rFonts w:ascii="宋体" w:hAnsi="宋体" w:cs="宋体"/>
          <w:color w:val="000000"/>
          <w:kern w:val="0"/>
          <w:sz w:val="24"/>
        </w:rPr>
      </w:pPr>
      <w:r>
        <w:rPr>
          <w:rFonts w:hint="eastAsia" w:ascii="宋体" w:hAnsi="宋体" w:cs="宋体"/>
          <w:color w:val="000000"/>
          <w:kern w:val="0"/>
          <w:sz w:val="24"/>
        </w:rPr>
        <w:t xml:space="preserve">   8.5.1.1公司应在受控条件下进行产品生产和服务提供。适用时，受控条件应包括：</w:t>
      </w:r>
      <w:r>
        <w:rPr>
          <w:rFonts w:ascii="宋体" w:hAnsi="宋体" w:cs="宋体"/>
          <w:color w:val="000000"/>
          <w:kern w:val="0"/>
          <w:sz w:val="24"/>
        </w:rPr>
        <w:t> </w:t>
      </w:r>
    </w:p>
    <w:p w14:paraId="46A68824">
      <w:pPr>
        <w:autoSpaceDE w:val="0"/>
        <w:autoSpaceDN w:val="0"/>
        <w:adjustRightInd w:val="0"/>
        <w:spacing w:line="440" w:lineRule="exact"/>
        <w:ind w:firstLine="840"/>
        <w:jc w:val="left"/>
        <w:rPr>
          <w:rFonts w:ascii="宋体" w:hAnsi="宋体" w:cs="宋体"/>
          <w:color w:val="000000"/>
          <w:kern w:val="0"/>
          <w:sz w:val="24"/>
        </w:rPr>
      </w:pPr>
      <w:r>
        <w:rPr>
          <w:rFonts w:hint="eastAsia" w:ascii="宋体" w:hAnsi="宋体" w:cs="宋体"/>
          <w:color w:val="000000"/>
          <w:kern w:val="0"/>
          <w:sz w:val="24"/>
        </w:rPr>
        <w:t>（1）获得生产计划等表述产品和服务特性的文件信息，明确：</w:t>
      </w:r>
    </w:p>
    <w:p w14:paraId="75670AA4">
      <w:pPr>
        <w:pStyle w:val="43"/>
        <w:shd w:val="clear" w:color="auto" w:fill="FFFFFF"/>
        <w:adjustRightInd w:val="0"/>
        <w:snapToGrid w:val="0"/>
        <w:spacing w:before="0" w:beforeAutospacing="0" w:after="0" w:afterAutospacing="0" w:line="440" w:lineRule="exact"/>
        <w:ind w:left="359" w:leftChars="171" w:firstLine="488"/>
        <w:rPr>
          <w:color w:val="000000"/>
        </w:rPr>
      </w:pPr>
      <w:r>
        <w:rPr>
          <w:rFonts w:hint="eastAsia"/>
          <w:color w:val="000000"/>
          <w:spacing w:val="2"/>
        </w:rPr>
        <w:t xml:space="preserve">      ——</w:t>
      </w:r>
      <w:r>
        <w:rPr>
          <w:rFonts w:hint="eastAsia"/>
          <w:color w:val="000000"/>
        </w:rPr>
        <w:t>所生产的产品、提供的服务或进行的活动的特征；</w:t>
      </w:r>
      <w:r>
        <w:rPr>
          <w:color w:val="000000"/>
        </w:rPr>
        <w:t xml:space="preserve"> </w:t>
      </w:r>
    </w:p>
    <w:p w14:paraId="05DD05A6">
      <w:pPr>
        <w:pStyle w:val="43"/>
        <w:shd w:val="clear" w:color="auto" w:fill="FFFFFF"/>
        <w:adjustRightInd w:val="0"/>
        <w:snapToGrid w:val="0"/>
        <w:spacing w:before="0" w:beforeAutospacing="0" w:after="0" w:afterAutospacing="0" w:line="440" w:lineRule="exact"/>
        <w:ind w:left="359" w:leftChars="171" w:firstLine="480"/>
        <w:rPr>
          <w:color w:val="000000"/>
        </w:rPr>
      </w:pPr>
      <w:r>
        <w:rPr>
          <w:rFonts w:hint="eastAsia"/>
          <w:color w:val="000000"/>
        </w:rPr>
        <w:t xml:space="preserve">      ——拟获得的结果</w:t>
      </w:r>
    </w:p>
    <w:p w14:paraId="74017570">
      <w:pPr>
        <w:pStyle w:val="43"/>
        <w:shd w:val="clear" w:color="auto" w:fill="FFFFFF"/>
        <w:adjustRightInd w:val="0"/>
        <w:snapToGrid w:val="0"/>
        <w:spacing w:before="0" w:beforeAutospacing="0" w:after="0" w:afterAutospacing="0" w:line="440" w:lineRule="exact"/>
        <w:ind w:left="359" w:leftChars="171" w:firstLine="480"/>
        <w:rPr>
          <w:color w:val="000000"/>
        </w:rPr>
      </w:pPr>
      <w:r>
        <w:rPr>
          <w:rFonts w:hint="eastAsia"/>
          <w:color w:val="000000"/>
        </w:rPr>
        <w:t>（2）可获得和使用适宜的监视和测量资源；</w:t>
      </w:r>
      <w:r>
        <w:rPr>
          <w:color w:val="000000"/>
        </w:rPr>
        <w:t xml:space="preserve"> </w:t>
      </w:r>
    </w:p>
    <w:p w14:paraId="02CDEF17">
      <w:pPr>
        <w:pStyle w:val="43"/>
        <w:shd w:val="clear" w:color="auto" w:fill="FFFFFF"/>
        <w:adjustRightInd w:val="0"/>
        <w:snapToGrid w:val="0"/>
        <w:spacing w:before="0" w:beforeAutospacing="0" w:after="0" w:afterAutospacing="0" w:line="440" w:lineRule="exact"/>
        <w:ind w:left="1438" w:leftChars="399" w:hanging="600"/>
        <w:rPr>
          <w:color w:val="000000"/>
        </w:rPr>
      </w:pPr>
      <w:r>
        <w:rPr>
          <w:rFonts w:hint="eastAsia"/>
          <w:color w:val="000000"/>
        </w:rPr>
        <w:t>（3）在适当阶段实施监视和测量活动，以验证是否符合过程或输出的控制准则以及产品和服务的接收准则；</w:t>
      </w:r>
      <w:r>
        <w:rPr>
          <w:color w:val="000000"/>
        </w:rPr>
        <w:t xml:space="preserve"> </w:t>
      </w:r>
    </w:p>
    <w:p w14:paraId="1B51366F">
      <w:pPr>
        <w:pStyle w:val="43"/>
        <w:shd w:val="clear" w:color="auto" w:fill="FFFFFF"/>
        <w:adjustRightInd w:val="0"/>
        <w:snapToGrid w:val="0"/>
        <w:spacing w:before="0" w:beforeAutospacing="0" w:after="0" w:afterAutospacing="0" w:line="440" w:lineRule="exact"/>
        <w:ind w:left="1438" w:leftChars="399" w:hanging="600"/>
        <w:rPr>
          <w:color w:val="000000"/>
        </w:rPr>
      </w:pPr>
      <w:r>
        <w:rPr>
          <w:rFonts w:hint="eastAsia"/>
          <w:color w:val="000000"/>
        </w:rPr>
        <w:t>（4）为过程的运行提供适宜的基础设施和环境；</w:t>
      </w:r>
      <w:r>
        <w:rPr>
          <w:color w:val="000000"/>
        </w:rPr>
        <w:t xml:space="preserve"> </w:t>
      </w:r>
    </w:p>
    <w:p w14:paraId="59A2580E">
      <w:pPr>
        <w:pStyle w:val="43"/>
        <w:shd w:val="clear" w:color="auto" w:fill="FFFFFF"/>
        <w:adjustRightInd w:val="0"/>
        <w:snapToGrid w:val="0"/>
        <w:spacing w:before="0" w:beforeAutospacing="0" w:after="0" w:afterAutospacing="0" w:line="440" w:lineRule="exact"/>
        <w:ind w:left="1438" w:leftChars="399" w:hanging="600"/>
        <w:rPr>
          <w:color w:val="000000"/>
        </w:rPr>
      </w:pPr>
      <w:r>
        <w:rPr>
          <w:rFonts w:hint="eastAsia"/>
          <w:color w:val="000000"/>
        </w:rPr>
        <w:t>（5）配备具备能力的人员，包括所要求的资格；</w:t>
      </w:r>
      <w:r>
        <w:rPr>
          <w:color w:val="000000"/>
        </w:rPr>
        <w:t xml:space="preserve"> </w:t>
      </w:r>
    </w:p>
    <w:p w14:paraId="36BC7C2B">
      <w:pPr>
        <w:pStyle w:val="43"/>
        <w:shd w:val="clear" w:color="auto" w:fill="FFFFFF"/>
        <w:adjustRightInd w:val="0"/>
        <w:snapToGrid w:val="0"/>
        <w:spacing w:before="0" w:beforeAutospacing="0" w:after="0" w:afterAutospacing="0" w:line="440" w:lineRule="exact"/>
        <w:ind w:left="1438" w:leftChars="399" w:hanging="600"/>
        <w:rPr>
          <w:color w:val="000000"/>
        </w:rPr>
      </w:pPr>
      <w:r>
        <w:rPr>
          <w:rFonts w:hint="eastAsia"/>
          <w:color w:val="000000"/>
        </w:rPr>
        <w:t>（6）人为错误（如失误、违章）导致的不符合的预防；</w:t>
      </w:r>
      <w:r>
        <w:rPr>
          <w:color w:val="000000"/>
        </w:rPr>
        <w:t xml:space="preserve"> </w:t>
      </w:r>
    </w:p>
    <w:p w14:paraId="086DE497">
      <w:pPr>
        <w:pStyle w:val="43"/>
        <w:shd w:val="clear" w:color="auto" w:fill="FFFFFF"/>
        <w:adjustRightInd w:val="0"/>
        <w:snapToGrid w:val="0"/>
        <w:spacing w:before="0" w:beforeAutospacing="0" w:after="0" w:afterAutospacing="0" w:line="440" w:lineRule="exact"/>
        <w:ind w:left="1438" w:leftChars="399" w:hanging="600"/>
        <w:rPr>
          <w:color w:val="000000"/>
        </w:rPr>
      </w:pPr>
      <w:r>
        <w:rPr>
          <w:rFonts w:hint="eastAsia"/>
          <w:color w:val="000000"/>
        </w:rPr>
        <w:t>（7）产品和服务的放行、交付和交付后活动的实施；</w:t>
      </w:r>
    </w:p>
    <w:p w14:paraId="75FF49CC">
      <w:pPr>
        <w:pStyle w:val="14"/>
        <w:adjustRightInd w:val="0"/>
        <w:snapToGrid w:val="0"/>
        <w:spacing w:after="0" w:line="440" w:lineRule="exact"/>
      </w:pPr>
      <w:r>
        <w:rPr>
          <w:rFonts w:hint="eastAsia"/>
          <w:spacing w:val="-17"/>
        </w:rPr>
        <w:t>8.5.1.2</w:t>
      </w:r>
      <w:r>
        <w:rPr>
          <w:rFonts w:hint="eastAsia"/>
        </w:rPr>
        <w:t>若输出结果不能由后续的监视或测量加以验证，应对生产和服务提供过程实现策划结果的能力进行确认和定期再确认；</w:t>
      </w:r>
      <w:r>
        <w:rPr>
          <w:rFonts w:hint="eastAsia"/>
          <w:b/>
        </w:rPr>
        <w:t>经确认：销售服务过程为</w:t>
      </w:r>
      <w:r>
        <w:rPr>
          <w:b/>
        </w:rPr>
        <w:t>本公司特殊过程</w:t>
      </w:r>
      <w:r>
        <w:rPr>
          <w:rFonts w:hint="eastAsia"/>
        </w:rPr>
        <w:t>。</w:t>
      </w:r>
    </w:p>
    <w:p w14:paraId="4179B0CE">
      <w:pPr>
        <w:adjustRightInd w:val="0"/>
        <w:snapToGrid w:val="0"/>
        <w:spacing w:line="440" w:lineRule="exact"/>
        <w:rPr>
          <w:rFonts w:ascii="宋体" w:hAnsi="宋体"/>
          <w:color w:val="000000"/>
          <w:sz w:val="24"/>
        </w:rPr>
      </w:pPr>
      <w:r>
        <w:rPr>
          <w:rFonts w:hint="eastAsia" w:ascii="宋体" w:hAnsi="宋体"/>
          <w:b/>
          <w:color w:val="000000"/>
          <w:sz w:val="24"/>
        </w:rPr>
        <w:t>8.5.2 标识和可追溯性</w:t>
      </w:r>
    </w:p>
    <w:p w14:paraId="73105DE8">
      <w:pPr>
        <w:pStyle w:val="10"/>
        <w:snapToGrid w:val="0"/>
        <w:spacing w:line="440" w:lineRule="exact"/>
        <w:ind w:left="660" w:leftChars="200" w:hanging="240"/>
        <w:rPr>
          <w:color w:val="000000"/>
          <w:szCs w:val="24"/>
        </w:rPr>
      </w:pPr>
      <w:r>
        <w:rPr>
          <w:rFonts w:hint="eastAsia"/>
          <w:color w:val="000000"/>
          <w:szCs w:val="24"/>
        </w:rPr>
        <w:t xml:space="preserve">8.5.2.1 </w:t>
      </w:r>
      <w:r>
        <w:rPr>
          <w:rFonts w:hint="eastAsia"/>
          <w:color w:val="000000"/>
          <w:szCs w:val="24"/>
          <w:lang w:eastAsia="zh-CN"/>
        </w:rPr>
        <w:t>市场部</w:t>
      </w:r>
      <w:r>
        <w:rPr>
          <w:rFonts w:hint="eastAsia"/>
          <w:color w:val="000000"/>
          <w:szCs w:val="24"/>
        </w:rPr>
        <w:t>负责实施具体的产品和服务标识的方法及标识内容，以确保产品和服务合格。</w:t>
      </w:r>
    </w:p>
    <w:p w14:paraId="0EC8AF52">
      <w:pPr>
        <w:pStyle w:val="10"/>
        <w:snapToGrid w:val="0"/>
        <w:spacing w:line="440" w:lineRule="exact"/>
        <w:ind w:left="660" w:leftChars="200" w:hanging="240"/>
        <w:rPr>
          <w:color w:val="000000"/>
          <w:szCs w:val="24"/>
        </w:rPr>
      </w:pPr>
      <w:r>
        <w:rPr>
          <w:rFonts w:hint="eastAsia"/>
          <w:color w:val="000000"/>
          <w:szCs w:val="24"/>
        </w:rPr>
        <w:t>8.5.2.2 公司应在生产和服务提供的整个过程中按照监视和测量要求识别输出状态。进行有效管控，检验员负责检测前后的状态标识。</w:t>
      </w:r>
    </w:p>
    <w:p w14:paraId="0BE0F393">
      <w:pPr>
        <w:pStyle w:val="10"/>
        <w:snapToGrid w:val="0"/>
        <w:spacing w:line="440" w:lineRule="exact"/>
        <w:ind w:left="660" w:leftChars="200" w:hanging="240"/>
        <w:rPr>
          <w:color w:val="000000"/>
          <w:szCs w:val="24"/>
        </w:rPr>
      </w:pPr>
      <w:r>
        <w:rPr>
          <w:rFonts w:hint="eastAsia"/>
          <w:color w:val="000000"/>
          <w:szCs w:val="24"/>
        </w:rPr>
        <w:t>8.5.2.3当有可追溯性要求时，应控制并记录产品和服务的唯一性标识。确保可追溯性。</w:t>
      </w:r>
    </w:p>
    <w:p w14:paraId="29CE45A9">
      <w:pPr>
        <w:pStyle w:val="10"/>
        <w:snapToGrid w:val="0"/>
        <w:spacing w:line="440" w:lineRule="exact"/>
        <w:ind w:left="0" w:firstLine="480"/>
        <w:rPr>
          <w:color w:val="000000"/>
          <w:szCs w:val="24"/>
        </w:rPr>
      </w:pPr>
      <w:r>
        <w:rPr>
          <w:rFonts w:hint="eastAsia"/>
          <w:color w:val="000000"/>
          <w:szCs w:val="24"/>
        </w:rPr>
        <w:t>8.5.2.</w:t>
      </w:r>
      <w:r>
        <w:rPr>
          <w:color w:val="000000"/>
          <w:szCs w:val="24"/>
        </w:rPr>
        <w:t xml:space="preserve">4 </w:t>
      </w:r>
      <w:r>
        <w:rPr>
          <w:rFonts w:hint="eastAsia"/>
          <w:color w:val="000000"/>
          <w:szCs w:val="24"/>
        </w:rPr>
        <w:t>标识和可追溯性的控制按《产品标识和可追溯性程序》的相关要求实施。</w:t>
      </w:r>
    </w:p>
    <w:p w14:paraId="252D0075">
      <w:pPr>
        <w:adjustRightInd w:val="0"/>
        <w:snapToGrid w:val="0"/>
        <w:spacing w:line="440" w:lineRule="exact"/>
        <w:ind w:right="340"/>
        <w:rPr>
          <w:rFonts w:ascii="宋体" w:hAnsi="宋体"/>
          <w:b/>
          <w:color w:val="000000"/>
          <w:sz w:val="24"/>
        </w:rPr>
      </w:pPr>
      <w:r>
        <w:rPr>
          <w:rFonts w:hint="eastAsia" w:ascii="宋体" w:hAnsi="宋体"/>
          <w:b/>
          <w:color w:val="000000"/>
          <w:sz w:val="24"/>
        </w:rPr>
        <w:t>8.5.3顾客或外部供方的财产</w:t>
      </w:r>
    </w:p>
    <w:p w14:paraId="28A92DA3">
      <w:pPr>
        <w:adjustRightInd w:val="0"/>
        <w:snapToGrid w:val="0"/>
        <w:spacing w:line="440" w:lineRule="exact"/>
        <w:ind w:left="900" w:leftChars="200" w:right="-44" w:hanging="480"/>
        <w:rPr>
          <w:rFonts w:ascii="宋体" w:hAnsi="宋体"/>
          <w:color w:val="000000"/>
          <w:sz w:val="24"/>
        </w:rPr>
      </w:pPr>
      <w:r>
        <w:rPr>
          <w:rFonts w:hint="eastAsia" w:ascii="宋体" w:hAnsi="宋体"/>
          <w:color w:val="000000"/>
          <w:sz w:val="24"/>
        </w:rPr>
        <w:t>8.5.3.1顾客或外部供方的财产可能包括</w:t>
      </w:r>
      <w:r>
        <w:rPr>
          <w:rFonts w:ascii="宋体" w:hAnsi="宋体"/>
          <w:color w:val="000000"/>
          <w:sz w:val="24"/>
        </w:rPr>
        <w:t>工程资料</w:t>
      </w:r>
      <w:r>
        <w:rPr>
          <w:rFonts w:hint="eastAsia" w:ascii="宋体" w:hAnsi="宋体"/>
          <w:color w:val="000000"/>
          <w:sz w:val="24"/>
        </w:rPr>
        <w:t>，知识产权和个人信息。</w:t>
      </w:r>
      <w:r>
        <w:rPr>
          <w:rFonts w:hint="eastAsia" w:ascii="宋体" w:hAnsi="宋体"/>
          <w:color w:val="000000"/>
          <w:sz w:val="24"/>
          <w:lang w:eastAsia="zh-CN"/>
        </w:rPr>
        <w:t>市场部</w:t>
      </w:r>
      <w:r>
        <w:rPr>
          <w:rFonts w:hint="eastAsia" w:ascii="宋体" w:hAnsi="宋体"/>
          <w:color w:val="000000"/>
          <w:sz w:val="24"/>
        </w:rPr>
        <w:t>应在合同或订单中明确顾客财产的具体信息。</w:t>
      </w:r>
    </w:p>
    <w:p w14:paraId="1F4411E6">
      <w:pPr>
        <w:adjustRightInd w:val="0"/>
        <w:snapToGrid w:val="0"/>
        <w:spacing w:line="440" w:lineRule="exact"/>
        <w:ind w:left="900" w:leftChars="200" w:right="-44" w:hanging="480"/>
        <w:rPr>
          <w:rFonts w:ascii="宋体" w:hAnsi="宋体"/>
          <w:color w:val="000000"/>
          <w:sz w:val="24"/>
        </w:rPr>
      </w:pPr>
      <w:r>
        <w:rPr>
          <w:rFonts w:hint="eastAsia" w:ascii="宋体" w:hAnsi="宋体"/>
          <w:color w:val="000000"/>
          <w:sz w:val="24"/>
        </w:rPr>
        <w:t>8.5.3.2</w:t>
      </w:r>
      <w:r>
        <w:rPr>
          <w:rFonts w:hint="eastAsia" w:ascii="宋体" w:hAnsi="宋体"/>
          <w:color w:val="000000"/>
          <w:sz w:val="24"/>
          <w:lang w:eastAsia="zh-CN"/>
        </w:rPr>
        <w:t>市场部</w:t>
      </w:r>
      <w:r>
        <w:rPr>
          <w:rFonts w:hint="eastAsia" w:ascii="宋体" w:hAnsi="宋体"/>
          <w:color w:val="000000"/>
          <w:sz w:val="24"/>
        </w:rPr>
        <w:t>负责顾客财产的使用和维护，妥善保管顾客提供的财产。</w:t>
      </w:r>
    </w:p>
    <w:p w14:paraId="036D3F51">
      <w:pPr>
        <w:pStyle w:val="42"/>
        <w:snapToGrid w:val="0"/>
        <w:spacing w:line="440" w:lineRule="exact"/>
        <w:ind w:firstLine="480"/>
        <w:rPr>
          <w:rFonts w:ascii="宋体" w:hAnsi="宋体"/>
        </w:rPr>
      </w:pPr>
      <w:r>
        <w:rPr>
          <w:rFonts w:hint="eastAsia" w:ascii="宋体" w:hAnsi="宋体"/>
        </w:rPr>
        <w:t xml:space="preserve">8.5.3.3 </w:t>
      </w:r>
      <w:r>
        <w:rPr>
          <w:rFonts w:ascii="宋体" w:hAnsi="宋体"/>
        </w:rPr>
        <w:t>公司</w:t>
      </w:r>
      <w:r>
        <w:rPr>
          <w:rFonts w:hint="eastAsia" w:ascii="宋体" w:hAnsi="宋体"/>
        </w:rPr>
        <w:t>在控制或使用顾客或外部供方的财产期间，应对其进行妥善管理。</w:t>
      </w:r>
    </w:p>
    <w:p w14:paraId="250F3D45">
      <w:pPr>
        <w:pStyle w:val="42"/>
        <w:snapToGrid w:val="0"/>
        <w:spacing w:line="440" w:lineRule="exact"/>
        <w:ind w:left="1140" w:leftChars="200" w:hanging="720"/>
        <w:rPr>
          <w:rFonts w:ascii="宋体" w:hAnsi="宋体"/>
        </w:rPr>
      </w:pPr>
      <w:r>
        <w:rPr>
          <w:rFonts w:hint="eastAsia" w:ascii="宋体" w:hAnsi="宋体"/>
        </w:rPr>
        <w:t>8.5.3.4</w:t>
      </w:r>
      <w:r>
        <w:rPr>
          <w:rFonts w:ascii="宋体" w:hAnsi="宋体"/>
        </w:rPr>
        <w:t xml:space="preserve"> </w:t>
      </w:r>
      <w:r>
        <w:rPr>
          <w:rFonts w:hint="eastAsia" w:ascii="宋体" w:hAnsi="宋体"/>
        </w:rPr>
        <w:t>若顾客或外部供方的财产发生丢失、损坏或发现不适用情况，</w:t>
      </w:r>
      <w:r>
        <w:rPr>
          <w:rFonts w:ascii="宋体" w:hAnsi="宋体"/>
        </w:rPr>
        <w:t>公司</w:t>
      </w:r>
      <w:r>
        <w:rPr>
          <w:rFonts w:hint="eastAsia" w:ascii="宋体" w:hAnsi="宋体"/>
        </w:rPr>
        <w:t>应向顾客或外部供方报告，并保留相关记录及协议等文件信息。</w:t>
      </w:r>
    </w:p>
    <w:p w14:paraId="51F78BBF">
      <w:pPr>
        <w:autoSpaceDE w:val="0"/>
        <w:autoSpaceDN w:val="0"/>
        <w:adjustRightInd w:val="0"/>
        <w:snapToGrid w:val="0"/>
        <w:spacing w:line="440" w:lineRule="exact"/>
        <w:jc w:val="left"/>
        <w:rPr>
          <w:rFonts w:ascii="宋体" w:hAnsi="宋体"/>
          <w:b/>
          <w:color w:val="000000"/>
          <w:sz w:val="24"/>
        </w:rPr>
      </w:pPr>
      <w:r>
        <w:rPr>
          <w:rFonts w:ascii="宋体" w:hAnsi="宋体" w:cs="黑体"/>
          <w:b/>
          <w:color w:val="000000"/>
          <w:kern w:val="0"/>
          <w:sz w:val="24"/>
        </w:rPr>
        <w:t>8.5.4</w:t>
      </w:r>
      <w:r>
        <w:rPr>
          <w:rFonts w:hint="eastAsia" w:ascii="宋体" w:hAnsi="宋体" w:cs="黑体"/>
          <w:b/>
          <w:color w:val="000000"/>
          <w:kern w:val="0"/>
          <w:sz w:val="24"/>
        </w:rPr>
        <w:t xml:space="preserve"> 防护</w:t>
      </w:r>
      <w:r>
        <w:rPr>
          <w:rFonts w:ascii="宋体" w:hAnsi="宋体" w:cs="黑体"/>
          <w:b/>
          <w:color w:val="000000"/>
          <w:kern w:val="0"/>
          <w:sz w:val="24"/>
        </w:rPr>
        <w:t xml:space="preserve"> </w:t>
      </w:r>
    </w:p>
    <w:p w14:paraId="76084DCF">
      <w:pPr>
        <w:pStyle w:val="19"/>
        <w:adjustRightInd w:val="0"/>
        <w:snapToGrid w:val="0"/>
        <w:spacing w:after="0" w:line="440" w:lineRule="exact"/>
        <w:ind w:left="900" w:hanging="480"/>
        <w:rPr>
          <w:rFonts w:ascii="宋体" w:hAnsi="宋体" w:cs="宋体"/>
          <w:color w:val="000000"/>
          <w:kern w:val="0"/>
          <w:sz w:val="24"/>
          <w:szCs w:val="24"/>
        </w:rPr>
      </w:pPr>
      <w:r>
        <w:rPr>
          <w:rFonts w:hint="eastAsia" w:ascii="宋体" w:hAnsi="宋体"/>
          <w:color w:val="000000"/>
          <w:sz w:val="24"/>
          <w:szCs w:val="24"/>
        </w:rPr>
        <w:t>8.5.4.1 为保证公司的产品和服务交付到合同规定的交付地点期间</w:t>
      </w:r>
      <w:r>
        <w:rPr>
          <w:rFonts w:hint="eastAsia" w:ascii="宋体" w:hAnsi="宋体" w:cs="宋体"/>
          <w:color w:val="000000"/>
          <w:kern w:val="0"/>
          <w:sz w:val="24"/>
          <w:szCs w:val="24"/>
        </w:rPr>
        <w:t>进行必要防护，以确保符合要求。</w:t>
      </w:r>
    </w:p>
    <w:p w14:paraId="2C748B06">
      <w:pPr>
        <w:pStyle w:val="19"/>
        <w:adjustRightInd w:val="0"/>
        <w:snapToGrid w:val="0"/>
        <w:spacing w:after="0" w:line="440" w:lineRule="exact"/>
        <w:ind w:left="1140" w:hanging="720"/>
        <w:rPr>
          <w:rFonts w:ascii="宋体" w:hAnsi="宋体"/>
          <w:color w:val="000000"/>
          <w:sz w:val="24"/>
          <w:szCs w:val="24"/>
        </w:rPr>
      </w:pPr>
      <w:r>
        <w:rPr>
          <w:rFonts w:hint="eastAsia" w:ascii="宋体" w:hAnsi="宋体" w:cs="宋体"/>
          <w:color w:val="000000"/>
          <w:kern w:val="0"/>
          <w:sz w:val="24"/>
          <w:szCs w:val="24"/>
        </w:rPr>
        <w:t xml:space="preserve">8.5.4.2 </w:t>
      </w:r>
      <w:r>
        <w:rPr>
          <w:rFonts w:hint="eastAsia" w:ascii="宋体" w:hAnsi="宋体"/>
          <w:color w:val="000000"/>
          <w:sz w:val="24"/>
          <w:szCs w:val="24"/>
        </w:rPr>
        <w:t>对采购物资和公司产品和服务进行有效的防护，应对采购物资和产品和服务的标识、搬运、包装、贮存和保护进行控制。</w:t>
      </w:r>
    </w:p>
    <w:p w14:paraId="7EBBF448">
      <w:pPr>
        <w:adjustRightInd w:val="0"/>
        <w:snapToGrid w:val="0"/>
        <w:spacing w:line="440" w:lineRule="exact"/>
        <w:ind w:firstLine="480"/>
        <w:rPr>
          <w:rFonts w:ascii="宋体" w:hAnsi="宋体"/>
          <w:color w:val="000000"/>
          <w:sz w:val="24"/>
        </w:rPr>
      </w:pPr>
      <w:r>
        <w:rPr>
          <w:rFonts w:hint="eastAsia" w:ascii="宋体" w:hAnsi="宋体"/>
          <w:color w:val="000000"/>
          <w:sz w:val="24"/>
        </w:rPr>
        <w:t xml:space="preserve">8.5.4.3 </w:t>
      </w:r>
      <w:r>
        <w:rPr>
          <w:rFonts w:hint="eastAsia" w:ascii="宋体" w:hAnsi="宋体" w:cs="宋体"/>
          <w:color w:val="000000"/>
          <w:kern w:val="0"/>
          <w:sz w:val="24"/>
        </w:rPr>
        <w:t>防护可包括防护标识、处置、污染控制、包装、储存、传送或运输以及保护。</w:t>
      </w:r>
    </w:p>
    <w:p w14:paraId="00D211D9">
      <w:pPr>
        <w:autoSpaceDE w:val="0"/>
        <w:autoSpaceDN w:val="0"/>
        <w:adjustRightInd w:val="0"/>
        <w:snapToGrid w:val="0"/>
        <w:spacing w:line="440" w:lineRule="exact"/>
        <w:jc w:val="left"/>
        <w:rPr>
          <w:rFonts w:ascii="宋体" w:hAnsi="宋体" w:cs="黑体"/>
          <w:b/>
          <w:color w:val="000000"/>
          <w:kern w:val="0"/>
          <w:sz w:val="24"/>
        </w:rPr>
      </w:pPr>
      <w:r>
        <w:rPr>
          <w:rFonts w:ascii="宋体" w:hAnsi="宋体" w:cs="黑体"/>
          <w:b/>
          <w:color w:val="000000"/>
          <w:kern w:val="0"/>
          <w:sz w:val="24"/>
        </w:rPr>
        <w:t xml:space="preserve">8.5.5 </w:t>
      </w:r>
      <w:r>
        <w:rPr>
          <w:rFonts w:hint="eastAsia" w:ascii="宋体" w:hAnsi="宋体" w:cs="黑体"/>
          <w:b/>
          <w:color w:val="000000"/>
          <w:kern w:val="0"/>
          <w:sz w:val="24"/>
        </w:rPr>
        <w:t>交付后的活动</w:t>
      </w:r>
      <w:r>
        <w:rPr>
          <w:rFonts w:ascii="宋体" w:hAnsi="宋体" w:cs="黑体"/>
          <w:b/>
          <w:color w:val="000000"/>
          <w:kern w:val="0"/>
          <w:sz w:val="24"/>
        </w:rPr>
        <w:t xml:space="preserve"> </w:t>
      </w:r>
    </w:p>
    <w:p w14:paraId="4C1D7AD3">
      <w:pPr>
        <w:autoSpaceDE w:val="0"/>
        <w:autoSpaceDN w:val="0"/>
        <w:adjustRightInd w:val="0"/>
        <w:snapToGrid w:val="0"/>
        <w:spacing w:line="440" w:lineRule="exact"/>
        <w:ind w:left="1319" w:leftChars="228" w:hanging="840"/>
        <w:jc w:val="left"/>
        <w:rPr>
          <w:rFonts w:ascii="宋体" w:hAnsi="宋体" w:cs="宋体"/>
          <w:color w:val="000000"/>
          <w:kern w:val="0"/>
          <w:sz w:val="24"/>
        </w:rPr>
      </w:pPr>
      <w:r>
        <w:rPr>
          <w:rFonts w:hint="eastAsia" w:ascii="宋体" w:hAnsi="宋体" w:cs="宋体"/>
          <w:color w:val="000000"/>
          <w:kern w:val="0"/>
          <w:sz w:val="24"/>
        </w:rPr>
        <w:t>8.5.5.1 公司相关制度明确了本公司具备满足与产品和服务相关的交付后活动的要求的能力。</w:t>
      </w:r>
      <w:r>
        <w:rPr>
          <w:rFonts w:ascii="宋体" w:hAnsi="宋体" w:cs="宋体"/>
          <w:color w:val="000000"/>
          <w:kern w:val="0"/>
          <w:sz w:val="24"/>
        </w:rPr>
        <w:t xml:space="preserve"> </w:t>
      </w:r>
    </w:p>
    <w:p w14:paraId="01E8FD3E">
      <w:pPr>
        <w:autoSpaceDE w:val="0"/>
        <w:autoSpaceDN w:val="0"/>
        <w:adjustRightInd w:val="0"/>
        <w:snapToGrid w:val="0"/>
        <w:spacing w:line="440" w:lineRule="exact"/>
        <w:ind w:firstLine="480"/>
        <w:jc w:val="left"/>
        <w:rPr>
          <w:rFonts w:ascii="宋体" w:hAnsi="宋体" w:cs="宋体"/>
          <w:color w:val="000000"/>
          <w:kern w:val="0"/>
          <w:sz w:val="24"/>
        </w:rPr>
      </w:pPr>
      <w:r>
        <w:rPr>
          <w:rFonts w:hint="eastAsia" w:ascii="宋体" w:hAnsi="宋体" w:cs="宋体"/>
          <w:color w:val="000000"/>
          <w:kern w:val="0"/>
          <w:sz w:val="24"/>
        </w:rPr>
        <w:t>8.5.5.2 在确定交付后活动的覆盖范围和程度时，</w:t>
      </w:r>
      <w:r>
        <w:rPr>
          <w:rFonts w:ascii="宋体" w:hAnsi="宋体" w:cs="宋体"/>
          <w:color w:val="000000"/>
          <w:kern w:val="0"/>
          <w:sz w:val="24"/>
        </w:rPr>
        <w:t>公司</w:t>
      </w:r>
      <w:r>
        <w:rPr>
          <w:rFonts w:hint="eastAsia" w:ascii="宋体" w:hAnsi="宋体" w:cs="宋体"/>
          <w:color w:val="000000"/>
          <w:kern w:val="0"/>
          <w:sz w:val="24"/>
        </w:rPr>
        <w:t>应考虑：</w:t>
      </w:r>
      <w:r>
        <w:rPr>
          <w:rFonts w:ascii="宋体" w:hAnsi="宋体" w:cs="宋体"/>
          <w:color w:val="000000"/>
          <w:kern w:val="0"/>
          <w:sz w:val="24"/>
        </w:rPr>
        <w:t xml:space="preserve"> </w:t>
      </w:r>
    </w:p>
    <w:p w14:paraId="591B7512">
      <w:pPr>
        <w:autoSpaceDE w:val="0"/>
        <w:autoSpaceDN w:val="0"/>
        <w:adjustRightInd w:val="0"/>
        <w:snapToGrid w:val="0"/>
        <w:spacing w:line="440" w:lineRule="exact"/>
        <w:ind w:firstLine="960"/>
        <w:jc w:val="left"/>
        <w:rPr>
          <w:rFonts w:ascii="宋体" w:hAnsi="宋体" w:cs="宋体"/>
          <w:color w:val="000000"/>
          <w:kern w:val="0"/>
          <w:sz w:val="24"/>
        </w:rPr>
      </w:pPr>
      <w:r>
        <w:rPr>
          <w:rFonts w:ascii="宋体" w:hAnsi="宋体" w:cs="宋体"/>
          <w:color w:val="000000"/>
          <w:kern w:val="0"/>
          <w:sz w:val="24"/>
        </w:rPr>
        <w:t>a</w:t>
      </w:r>
      <w:r>
        <w:rPr>
          <w:rFonts w:hint="eastAsia" w:ascii="宋体" w:hAnsi="宋体" w:cs="宋体"/>
          <w:color w:val="000000"/>
          <w:kern w:val="0"/>
          <w:sz w:val="24"/>
        </w:rPr>
        <w:t>）法律法规要求及产品和服务的相关风险；</w:t>
      </w:r>
      <w:r>
        <w:rPr>
          <w:rFonts w:ascii="宋体" w:hAnsi="宋体" w:cs="宋体"/>
          <w:color w:val="000000"/>
          <w:kern w:val="0"/>
          <w:sz w:val="24"/>
        </w:rPr>
        <w:t xml:space="preserve"> </w:t>
      </w:r>
    </w:p>
    <w:p w14:paraId="33AA2466">
      <w:pPr>
        <w:autoSpaceDE w:val="0"/>
        <w:autoSpaceDN w:val="0"/>
        <w:adjustRightInd w:val="0"/>
        <w:snapToGrid w:val="0"/>
        <w:spacing w:line="440" w:lineRule="exact"/>
        <w:ind w:firstLine="960"/>
        <w:jc w:val="left"/>
        <w:rPr>
          <w:rFonts w:ascii="宋体" w:hAnsi="宋体" w:cs="宋体"/>
          <w:color w:val="000000"/>
          <w:kern w:val="0"/>
          <w:sz w:val="24"/>
        </w:rPr>
      </w:pPr>
      <w:r>
        <w:rPr>
          <w:rFonts w:ascii="宋体" w:hAnsi="宋体" w:cs="宋体"/>
          <w:color w:val="000000"/>
          <w:kern w:val="0"/>
          <w:sz w:val="24"/>
        </w:rPr>
        <w:t>b</w:t>
      </w:r>
      <w:r>
        <w:rPr>
          <w:rFonts w:hint="eastAsia" w:ascii="宋体" w:hAnsi="宋体" w:cs="宋体"/>
          <w:color w:val="000000"/>
          <w:kern w:val="0"/>
          <w:sz w:val="24"/>
        </w:rPr>
        <w:t>）与产品和服务相关的潜在不期望的后果；</w:t>
      </w:r>
      <w:r>
        <w:rPr>
          <w:rFonts w:ascii="宋体" w:hAnsi="宋体" w:cs="宋体"/>
          <w:color w:val="000000"/>
          <w:kern w:val="0"/>
          <w:sz w:val="24"/>
        </w:rPr>
        <w:t xml:space="preserve"> </w:t>
      </w:r>
    </w:p>
    <w:p w14:paraId="49EA74B0">
      <w:pPr>
        <w:autoSpaceDE w:val="0"/>
        <w:autoSpaceDN w:val="0"/>
        <w:adjustRightInd w:val="0"/>
        <w:snapToGrid w:val="0"/>
        <w:spacing w:line="440" w:lineRule="exact"/>
        <w:ind w:firstLine="960"/>
        <w:jc w:val="left"/>
        <w:rPr>
          <w:rFonts w:ascii="宋体" w:hAnsi="宋体" w:cs="宋体"/>
          <w:color w:val="000000"/>
          <w:kern w:val="0"/>
          <w:sz w:val="24"/>
        </w:rPr>
      </w:pPr>
      <w:r>
        <w:rPr>
          <w:rFonts w:ascii="宋体" w:hAnsi="宋体" w:cs="宋体"/>
          <w:color w:val="000000"/>
          <w:kern w:val="0"/>
          <w:sz w:val="24"/>
        </w:rPr>
        <w:t>c</w:t>
      </w:r>
      <w:r>
        <w:rPr>
          <w:rFonts w:hint="eastAsia" w:ascii="宋体" w:hAnsi="宋体" w:cs="宋体"/>
          <w:color w:val="000000"/>
          <w:kern w:val="0"/>
          <w:sz w:val="24"/>
        </w:rPr>
        <w:t>）其产品和服务的性质、用途和预期寿命；</w:t>
      </w:r>
      <w:r>
        <w:rPr>
          <w:rFonts w:ascii="宋体" w:hAnsi="宋体" w:cs="宋体"/>
          <w:color w:val="000000"/>
          <w:kern w:val="0"/>
          <w:sz w:val="24"/>
        </w:rPr>
        <w:t xml:space="preserve"> </w:t>
      </w:r>
    </w:p>
    <w:p w14:paraId="637C3778">
      <w:pPr>
        <w:autoSpaceDE w:val="0"/>
        <w:autoSpaceDN w:val="0"/>
        <w:adjustRightInd w:val="0"/>
        <w:snapToGrid w:val="0"/>
        <w:spacing w:line="440" w:lineRule="exact"/>
        <w:ind w:firstLine="960"/>
        <w:jc w:val="left"/>
        <w:rPr>
          <w:rFonts w:ascii="宋体" w:hAnsi="宋体" w:cs="宋体"/>
          <w:color w:val="000000"/>
          <w:kern w:val="0"/>
          <w:sz w:val="24"/>
        </w:rPr>
      </w:pPr>
      <w:r>
        <w:rPr>
          <w:rFonts w:ascii="宋体" w:hAnsi="宋体" w:cs="宋体"/>
          <w:color w:val="000000"/>
          <w:kern w:val="0"/>
          <w:sz w:val="24"/>
        </w:rPr>
        <w:t>d</w:t>
      </w:r>
      <w:r>
        <w:rPr>
          <w:rFonts w:hint="eastAsia" w:ascii="宋体" w:hAnsi="宋体" w:cs="宋体"/>
          <w:color w:val="000000"/>
          <w:kern w:val="0"/>
          <w:sz w:val="24"/>
        </w:rPr>
        <w:t>）顾客要求；</w:t>
      </w:r>
      <w:r>
        <w:rPr>
          <w:rFonts w:ascii="宋体" w:hAnsi="宋体" w:cs="宋体"/>
          <w:color w:val="000000"/>
          <w:kern w:val="0"/>
          <w:sz w:val="24"/>
        </w:rPr>
        <w:t xml:space="preserve"> </w:t>
      </w:r>
    </w:p>
    <w:p w14:paraId="6DB75327">
      <w:pPr>
        <w:pStyle w:val="19"/>
        <w:adjustRightInd w:val="0"/>
        <w:snapToGrid w:val="0"/>
        <w:spacing w:after="0" w:line="440" w:lineRule="exact"/>
        <w:ind w:firstLine="600"/>
        <w:rPr>
          <w:rFonts w:ascii="宋体" w:hAnsi="宋体"/>
          <w:color w:val="000000"/>
          <w:sz w:val="24"/>
          <w:szCs w:val="24"/>
        </w:rPr>
      </w:pPr>
      <w:r>
        <w:rPr>
          <w:rFonts w:ascii="宋体" w:hAnsi="宋体" w:cs="宋体"/>
          <w:color w:val="000000"/>
          <w:kern w:val="0"/>
          <w:sz w:val="24"/>
          <w:szCs w:val="24"/>
        </w:rPr>
        <w:t>e</w:t>
      </w:r>
      <w:r>
        <w:rPr>
          <w:rFonts w:hint="eastAsia" w:ascii="宋体" w:hAnsi="宋体" w:cs="宋体"/>
          <w:color w:val="000000"/>
          <w:kern w:val="0"/>
          <w:sz w:val="24"/>
          <w:szCs w:val="24"/>
        </w:rPr>
        <w:t>）顾客反馈</w:t>
      </w:r>
      <w:r>
        <w:rPr>
          <w:rFonts w:hint="eastAsia" w:ascii="宋体" w:hAnsi="宋体"/>
          <w:color w:val="000000"/>
          <w:sz w:val="24"/>
          <w:szCs w:val="24"/>
        </w:rPr>
        <w:t>。</w:t>
      </w:r>
    </w:p>
    <w:p w14:paraId="47A78DB4">
      <w:pPr>
        <w:autoSpaceDE w:val="0"/>
        <w:autoSpaceDN w:val="0"/>
        <w:adjustRightInd w:val="0"/>
        <w:snapToGrid w:val="0"/>
        <w:spacing w:line="440" w:lineRule="exact"/>
        <w:jc w:val="left"/>
        <w:rPr>
          <w:rFonts w:ascii="宋体" w:hAnsi="宋体" w:cs="黑体"/>
          <w:b/>
          <w:color w:val="000000"/>
          <w:kern w:val="0"/>
          <w:sz w:val="24"/>
        </w:rPr>
      </w:pPr>
      <w:r>
        <w:rPr>
          <w:rFonts w:ascii="宋体" w:hAnsi="宋体" w:cs="黑体"/>
          <w:b/>
          <w:color w:val="000000"/>
          <w:kern w:val="0"/>
          <w:sz w:val="24"/>
        </w:rPr>
        <w:t xml:space="preserve">8.5.6 </w:t>
      </w:r>
      <w:r>
        <w:rPr>
          <w:rFonts w:hint="eastAsia" w:ascii="宋体" w:hAnsi="宋体" w:cs="黑体"/>
          <w:b/>
          <w:color w:val="000000"/>
          <w:kern w:val="0"/>
          <w:sz w:val="24"/>
        </w:rPr>
        <w:t>更改控制</w:t>
      </w:r>
      <w:r>
        <w:rPr>
          <w:rFonts w:ascii="宋体" w:hAnsi="宋体" w:cs="黑体"/>
          <w:b/>
          <w:color w:val="000000"/>
          <w:kern w:val="0"/>
          <w:sz w:val="24"/>
        </w:rPr>
        <w:t xml:space="preserve"> </w:t>
      </w:r>
    </w:p>
    <w:p w14:paraId="24205518">
      <w:pPr>
        <w:autoSpaceDE w:val="0"/>
        <w:autoSpaceDN w:val="0"/>
        <w:adjustRightInd w:val="0"/>
        <w:snapToGrid w:val="0"/>
        <w:spacing w:line="440" w:lineRule="exact"/>
        <w:ind w:left="1439" w:leftChars="228" w:hanging="960"/>
        <w:jc w:val="left"/>
        <w:rPr>
          <w:rFonts w:ascii="宋体" w:hAnsi="宋体" w:cs="宋体"/>
          <w:color w:val="000000"/>
          <w:kern w:val="0"/>
          <w:sz w:val="24"/>
        </w:rPr>
      </w:pPr>
      <w:r>
        <w:rPr>
          <w:rFonts w:hint="eastAsia" w:ascii="宋体" w:hAnsi="宋体" w:cs="宋体"/>
          <w:color w:val="000000"/>
          <w:kern w:val="0"/>
          <w:sz w:val="24"/>
        </w:rPr>
        <w:t>8.5.6.1 公司在生产和服务提供过程中发生更改活动，应对生产和服务提供的更改进行必要的评审和控制，以确保稳定地符合要求。</w:t>
      </w:r>
      <w:r>
        <w:rPr>
          <w:rFonts w:ascii="宋体" w:hAnsi="宋体" w:cs="宋体"/>
          <w:color w:val="000000"/>
          <w:kern w:val="0"/>
          <w:sz w:val="24"/>
        </w:rPr>
        <w:t xml:space="preserve"> </w:t>
      </w:r>
    </w:p>
    <w:p w14:paraId="20CE02D9">
      <w:pPr>
        <w:autoSpaceDE w:val="0"/>
        <w:autoSpaceDN w:val="0"/>
        <w:adjustRightInd w:val="0"/>
        <w:snapToGrid w:val="0"/>
        <w:spacing w:line="440" w:lineRule="exact"/>
        <w:ind w:left="1439" w:leftChars="228" w:hanging="960"/>
        <w:jc w:val="left"/>
        <w:rPr>
          <w:rFonts w:ascii="宋体" w:hAnsi="宋体"/>
          <w:color w:val="000000"/>
          <w:sz w:val="24"/>
        </w:rPr>
      </w:pPr>
      <w:r>
        <w:rPr>
          <w:rFonts w:hint="eastAsia" w:ascii="宋体" w:hAnsi="宋体" w:cs="宋体"/>
          <w:color w:val="000000"/>
          <w:kern w:val="0"/>
          <w:sz w:val="24"/>
        </w:rPr>
        <w:t>8.5.6.2 应对生产和服务提供的更改过程控制的相关记录予以保留。包括有关更改评审结果、授权进行更改的人员以及根据评审所采取的必要措施等。</w:t>
      </w:r>
    </w:p>
    <w:p w14:paraId="41142CD5">
      <w:pPr>
        <w:spacing w:line="440" w:lineRule="exact"/>
        <w:rPr>
          <w:rFonts w:ascii="宋体" w:hAnsi="宋体"/>
          <w:b/>
          <w:bCs/>
          <w:color w:val="000000"/>
          <w:sz w:val="24"/>
        </w:rPr>
      </w:pPr>
      <w:r>
        <w:rPr>
          <w:rFonts w:hint="eastAsia" w:ascii="宋体" w:hAnsi="宋体"/>
          <w:b/>
          <w:bCs/>
          <w:color w:val="000000"/>
          <w:sz w:val="24"/>
        </w:rPr>
        <w:t>8.6产品和服务的放行</w:t>
      </w:r>
    </w:p>
    <w:p w14:paraId="10352A9E">
      <w:pPr>
        <w:spacing w:line="440" w:lineRule="exact"/>
        <w:rPr>
          <w:rFonts w:ascii="宋体" w:hAnsi="宋体"/>
          <w:color w:val="000000"/>
          <w:sz w:val="24"/>
        </w:rPr>
      </w:pPr>
      <w:r>
        <w:rPr>
          <w:rFonts w:hint="eastAsia" w:ascii="宋体" w:hAnsi="宋体"/>
          <w:color w:val="000000"/>
          <w:sz w:val="24"/>
        </w:rPr>
        <w:t xml:space="preserve">   8</w:t>
      </w:r>
      <w:r>
        <w:rPr>
          <w:rFonts w:ascii="宋体" w:hAnsi="宋体"/>
          <w:color w:val="000000"/>
          <w:sz w:val="24"/>
        </w:rPr>
        <w:t>.</w:t>
      </w:r>
      <w:r>
        <w:rPr>
          <w:rFonts w:hint="eastAsia" w:ascii="宋体" w:hAnsi="宋体"/>
          <w:color w:val="000000"/>
          <w:sz w:val="24"/>
        </w:rPr>
        <w:t>6</w:t>
      </w:r>
      <w:r>
        <w:rPr>
          <w:rFonts w:ascii="宋体" w:hAnsi="宋体"/>
          <w:color w:val="000000"/>
          <w:sz w:val="24"/>
        </w:rPr>
        <w:t>.1</w:t>
      </w:r>
      <w:r>
        <w:rPr>
          <w:rFonts w:hint="eastAsia" w:ascii="宋体" w:hAnsi="宋体"/>
          <w:color w:val="000000"/>
          <w:sz w:val="24"/>
        </w:rPr>
        <w:t xml:space="preserve"> 公司根据自身产品特点制定产品和服务检验程序文件，在实现产品和服务的过程的规定阶段中实施。</w:t>
      </w:r>
    </w:p>
    <w:p w14:paraId="1AA3461A">
      <w:pPr>
        <w:pStyle w:val="9"/>
        <w:adjustRightInd w:val="0"/>
        <w:snapToGrid w:val="0"/>
        <w:spacing w:line="440" w:lineRule="exact"/>
        <w:ind w:firstLine="480" w:firstLineChars="200"/>
        <w:rPr>
          <w:rFonts w:ascii="宋体" w:hAnsi="宋体"/>
          <w:color w:val="000000"/>
          <w:kern w:val="2"/>
          <w:sz w:val="24"/>
          <w:szCs w:val="22"/>
        </w:rPr>
      </w:pPr>
      <w:r>
        <w:rPr>
          <w:rFonts w:hint="eastAsia" w:ascii="宋体" w:hAnsi="宋体"/>
          <w:color w:val="000000"/>
          <w:kern w:val="2"/>
          <w:sz w:val="24"/>
          <w:szCs w:val="22"/>
        </w:rPr>
        <w:t>8.6.2公司应对生产的产品的性能指标及采购的物资进行监视和测量，以验证产品和服务是否满足要求。</w:t>
      </w:r>
    </w:p>
    <w:p w14:paraId="226FBB75">
      <w:pPr>
        <w:adjustRightInd w:val="0"/>
        <w:snapToGrid w:val="0"/>
        <w:spacing w:line="440" w:lineRule="exact"/>
        <w:ind w:right="-45" w:firstLine="480" w:firstLineChars="200"/>
        <w:rPr>
          <w:rFonts w:ascii="宋体" w:hAnsi="宋体"/>
          <w:color w:val="000000"/>
          <w:sz w:val="24"/>
        </w:rPr>
      </w:pPr>
      <w:r>
        <w:rPr>
          <w:rFonts w:hint="eastAsia" w:ascii="宋体" w:hAnsi="宋体"/>
          <w:color w:val="000000"/>
          <w:sz w:val="24"/>
        </w:rPr>
        <w:t>8</w:t>
      </w:r>
      <w:r>
        <w:rPr>
          <w:rFonts w:ascii="宋体" w:hAnsi="宋体"/>
          <w:color w:val="000000"/>
          <w:sz w:val="24"/>
        </w:rPr>
        <w:t>.</w:t>
      </w:r>
      <w:r>
        <w:rPr>
          <w:rFonts w:hint="eastAsia" w:ascii="宋体" w:hAnsi="宋体"/>
          <w:color w:val="000000"/>
          <w:sz w:val="24"/>
        </w:rPr>
        <w:t>6</w:t>
      </w:r>
      <w:r>
        <w:rPr>
          <w:rFonts w:ascii="宋体" w:hAnsi="宋体"/>
          <w:color w:val="000000"/>
          <w:sz w:val="24"/>
        </w:rPr>
        <w:t>.</w:t>
      </w:r>
      <w:r>
        <w:rPr>
          <w:rFonts w:hint="eastAsia" w:ascii="宋体" w:hAnsi="宋体"/>
          <w:color w:val="000000"/>
          <w:sz w:val="24"/>
        </w:rPr>
        <w:t>3</w:t>
      </w:r>
      <w:r>
        <w:rPr>
          <w:rFonts w:ascii="宋体" w:hAnsi="宋体"/>
          <w:color w:val="000000"/>
          <w:sz w:val="24"/>
        </w:rPr>
        <w:t xml:space="preserve"> </w:t>
      </w:r>
      <w:r>
        <w:rPr>
          <w:rFonts w:hint="eastAsia" w:ascii="宋体" w:hAnsi="宋体"/>
          <w:color w:val="000000"/>
          <w:sz w:val="24"/>
        </w:rPr>
        <w:t>除非得到有关授权人员的批准，适用时得到顾客的批准，否则在策划的安排已圆满完成之前，不应向顾客放行产品和交付服务</w:t>
      </w:r>
      <w:r>
        <w:rPr>
          <w:rFonts w:hint="eastAsia" w:ascii="宋体" w:hAnsi="宋体" w:cs="宋体"/>
          <w:color w:val="000000"/>
          <w:kern w:val="0"/>
          <w:sz w:val="24"/>
        </w:rPr>
        <w:t>。</w:t>
      </w:r>
    </w:p>
    <w:p w14:paraId="196F97EF">
      <w:pPr>
        <w:adjustRightInd w:val="0"/>
        <w:snapToGrid w:val="0"/>
        <w:spacing w:line="440" w:lineRule="exact"/>
        <w:ind w:right="-45" w:firstLine="600"/>
        <w:rPr>
          <w:rFonts w:ascii="宋体" w:hAnsi="宋体"/>
          <w:color w:val="000000"/>
          <w:sz w:val="24"/>
        </w:rPr>
      </w:pPr>
      <w:r>
        <w:rPr>
          <w:rFonts w:hint="eastAsia" w:ascii="宋体" w:hAnsi="宋体"/>
          <w:color w:val="000000"/>
          <w:sz w:val="24"/>
        </w:rPr>
        <w:t>8</w:t>
      </w:r>
      <w:r>
        <w:rPr>
          <w:rFonts w:ascii="宋体" w:hAnsi="宋体"/>
          <w:color w:val="000000"/>
          <w:sz w:val="24"/>
        </w:rPr>
        <w:t>.</w:t>
      </w:r>
      <w:r>
        <w:rPr>
          <w:rFonts w:hint="eastAsia" w:ascii="宋体" w:hAnsi="宋体"/>
          <w:color w:val="000000"/>
          <w:sz w:val="24"/>
        </w:rPr>
        <w:t>6.4 符合所使用的接收准则的证据均应予以文件化。包括</w:t>
      </w:r>
      <w:r>
        <w:rPr>
          <w:rFonts w:hint="eastAsia" w:ascii="宋体" w:hAnsi="宋体" w:cs="宋体"/>
          <w:color w:val="000000"/>
          <w:kern w:val="0"/>
          <w:sz w:val="24"/>
        </w:rPr>
        <w:t>授权放行人员的可追溯信息。</w:t>
      </w:r>
    </w:p>
    <w:p w14:paraId="3D4208CE">
      <w:pPr>
        <w:spacing w:line="440" w:lineRule="exact"/>
        <w:ind w:right="-45"/>
        <w:rPr>
          <w:rFonts w:ascii="宋体" w:hAnsi="宋体"/>
          <w:b/>
          <w:bCs/>
          <w:color w:val="000000"/>
          <w:sz w:val="24"/>
        </w:rPr>
      </w:pPr>
      <w:r>
        <w:rPr>
          <w:rFonts w:hint="eastAsia" w:ascii="宋体" w:hAnsi="宋体"/>
          <w:b/>
          <w:bCs/>
          <w:color w:val="000000"/>
          <w:sz w:val="24"/>
        </w:rPr>
        <w:t>8.7不合格输出的控制</w:t>
      </w:r>
    </w:p>
    <w:p w14:paraId="2B1D74B7">
      <w:pPr>
        <w:spacing w:line="440" w:lineRule="exact"/>
        <w:ind w:right="-45"/>
        <w:rPr>
          <w:rFonts w:ascii="宋体" w:hAnsi="宋体"/>
          <w:color w:val="000000"/>
          <w:sz w:val="24"/>
        </w:rPr>
      </w:pPr>
      <w:r>
        <w:rPr>
          <w:rFonts w:hint="eastAsia" w:ascii="宋体" w:hAnsi="宋体"/>
          <w:color w:val="000000"/>
          <w:sz w:val="24"/>
        </w:rPr>
        <w:t xml:space="preserve">  8.7.1应确保不符合要求的产品和服务得到识别并处于受控状态，以防止非预期使用或交付。 </w:t>
      </w:r>
    </w:p>
    <w:p w14:paraId="6880B1A0">
      <w:pPr>
        <w:pStyle w:val="43"/>
        <w:shd w:val="clear" w:color="auto" w:fill="FFFFFF"/>
        <w:adjustRightInd w:val="0"/>
        <w:snapToGrid w:val="0"/>
        <w:spacing w:before="0" w:beforeAutospacing="0" w:after="0" w:afterAutospacing="0" w:line="440" w:lineRule="exact"/>
        <w:ind w:firstLine="240"/>
        <w:rPr>
          <w:color w:val="000000"/>
        </w:rPr>
      </w:pPr>
      <w:r>
        <w:rPr>
          <w:rFonts w:hint="eastAsia"/>
          <w:color w:val="000000"/>
        </w:rPr>
        <w:t>8.7.2公司应采取与不合格品的性质及其影响相适应的措施，需要时进行纠正。这也适用于在产品交付后和服务</w:t>
      </w:r>
    </w:p>
    <w:p w14:paraId="57273348">
      <w:pPr>
        <w:spacing w:line="440" w:lineRule="exact"/>
        <w:ind w:firstLine="240"/>
        <w:rPr>
          <w:rFonts w:ascii="宋体" w:hAnsi="宋体"/>
          <w:color w:val="000000"/>
          <w:sz w:val="24"/>
        </w:rPr>
      </w:pPr>
      <w:r>
        <w:rPr>
          <w:rFonts w:hint="eastAsia" w:ascii="宋体" w:hAnsi="宋体"/>
          <w:color w:val="000000"/>
          <w:sz w:val="24"/>
        </w:rPr>
        <w:t>8.7.3经检验判定为不合格时，应立即报告部门领导，对不合格情况进行记录、标识和采取适当的隔离措施，防止混淆。</w:t>
      </w:r>
    </w:p>
    <w:p w14:paraId="6CB36759">
      <w:pPr>
        <w:autoSpaceDE w:val="0"/>
        <w:autoSpaceDN w:val="0"/>
        <w:adjustRightInd w:val="0"/>
        <w:spacing w:line="440" w:lineRule="exact"/>
        <w:jc w:val="left"/>
        <w:rPr>
          <w:rFonts w:ascii="宋体" w:hAnsi="宋体" w:cs="宋体"/>
          <w:color w:val="000000"/>
          <w:kern w:val="0"/>
          <w:sz w:val="24"/>
        </w:rPr>
      </w:pPr>
      <w:r>
        <w:rPr>
          <w:rFonts w:hint="eastAsia" w:ascii="宋体" w:hAnsi="宋体"/>
          <w:color w:val="000000"/>
          <w:sz w:val="24"/>
        </w:rPr>
        <w:t xml:space="preserve">  8.7.4 对不合格品的处置方式包括：</w:t>
      </w:r>
      <w:r>
        <w:rPr>
          <w:rFonts w:ascii="宋体" w:hAnsi="宋体" w:cs="宋体"/>
          <w:color w:val="000000"/>
          <w:kern w:val="0"/>
          <w:sz w:val="24"/>
        </w:rPr>
        <w:t xml:space="preserve"> </w:t>
      </w:r>
    </w:p>
    <w:p w14:paraId="092002A1">
      <w:pPr>
        <w:autoSpaceDE w:val="0"/>
        <w:autoSpaceDN w:val="0"/>
        <w:adjustRightInd w:val="0"/>
        <w:spacing w:line="440" w:lineRule="exact"/>
        <w:ind w:firstLine="1080"/>
        <w:jc w:val="left"/>
        <w:rPr>
          <w:rFonts w:ascii="宋体" w:hAnsi="宋体" w:cs="宋体"/>
          <w:color w:val="000000"/>
          <w:kern w:val="0"/>
          <w:sz w:val="24"/>
        </w:rPr>
      </w:pPr>
      <w:r>
        <w:rPr>
          <w:rFonts w:ascii="宋体" w:hAnsi="宋体" w:cs="宋体"/>
          <w:color w:val="000000"/>
          <w:kern w:val="0"/>
          <w:sz w:val="24"/>
        </w:rPr>
        <w:t>a</w:t>
      </w:r>
      <w:r>
        <w:rPr>
          <w:rFonts w:hint="eastAsia" w:ascii="宋体" w:hAnsi="宋体" w:cs="宋体"/>
          <w:color w:val="000000"/>
          <w:kern w:val="0"/>
          <w:sz w:val="24"/>
        </w:rPr>
        <w:t>）纠正；</w:t>
      </w:r>
      <w:r>
        <w:rPr>
          <w:rFonts w:ascii="宋体" w:hAnsi="宋体" w:cs="宋体"/>
          <w:color w:val="000000"/>
          <w:kern w:val="0"/>
          <w:sz w:val="24"/>
        </w:rPr>
        <w:t xml:space="preserve"> </w:t>
      </w:r>
    </w:p>
    <w:p w14:paraId="5D7619E4">
      <w:pPr>
        <w:autoSpaceDE w:val="0"/>
        <w:autoSpaceDN w:val="0"/>
        <w:adjustRightInd w:val="0"/>
        <w:spacing w:line="440" w:lineRule="exact"/>
        <w:ind w:firstLine="1080"/>
        <w:jc w:val="left"/>
        <w:rPr>
          <w:rFonts w:ascii="宋体" w:hAnsi="宋体" w:cs="宋体"/>
          <w:color w:val="000000"/>
          <w:kern w:val="0"/>
          <w:sz w:val="24"/>
        </w:rPr>
      </w:pPr>
      <w:r>
        <w:rPr>
          <w:rFonts w:ascii="宋体" w:hAnsi="宋体" w:cs="宋体"/>
          <w:color w:val="000000"/>
          <w:kern w:val="0"/>
          <w:sz w:val="24"/>
        </w:rPr>
        <w:t>b</w:t>
      </w:r>
      <w:r>
        <w:rPr>
          <w:rFonts w:hint="eastAsia" w:ascii="宋体" w:hAnsi="宋体" w:cs="宋体"/>
          <w:color w:val="000000"/>
          <w:kern w:val="0"/>
          <w:sz w:val="24"/>
        </w:rPr>
        <w:t>）对提供产品和服务进行隔离、限制、退货或暂停；</w:t>
      </w:r>
      <w:r>
        <w:rPr>
          <w:rFonts w:ascii="宋体" w:hAnsi="宋体" w:cs="宋体"/>
          <w:color w:val="000000"/>
          <w:kern w:val="0"/>
          <w:sz w:val="24"/>
        </w:rPr>
        <w:t xml:space="preserve"> </w:t>
      </w:r>
    </w:p>
    <w:p w14:paraId="3EC1D913">
      <w:pPr>
        <w:autoSpaceDE w:val="0"/>
        <w:autoSpaceDN w:val="0"/>
        <w:adjustRightInd w:val="0"/>
        <w:spacing w:line="440" w:lineRule="exact"/>
        <w:ind w:firstLine="1080"/>
        <w:jc w:val="left"/>
        <w:rPr>
          <w:rFonts w:ascii="宋体" w:hAnsi="宋体" w:cs="宋体"/>
          <w:color w:val="000000"/>
          <w:kern w:val="0"/>
          <w:sz w:val="24"/>
        </w:rPr>
      </w:pPr>
      <w:r>
        <w:rPr>
          <w:rFonts w:ascii="宋体" w:hAnsi="宋体" w:cs="宋体"/>
          <w:color w:val="000000"/>
          <w:kern w:val="0"/>
          <w:sz w:val="24"/>
        </w:rPr>
        <w:t>c</w:t>
      </w:r>
      <w:r>
        <w:rPr>
          <w:rFonts w:hint="eastAsia" w:ascii="宋体" w:hAnsi="宋体" w:cs="宋体"/>
          <w:color w:val="000000"/>
          <w:kern w:val="0"/>
          <w:sz w:val="24"/>
        </w:rPr>
        <w:t>）告知顾客；</w:t>
      </w:r>
      <w:r>
        <w:rPr>
          <w:rFonts w:ascii="宋体" w:hAnsi="宋体" w:cs="宋体"/>
          <w:color w:val="000000"/>
          <w:kern w:val="0"/>
          <w:sz w:val="24"/>
        </w:rPr>
        <w:t xml:space="preserve"> </w:t>
      </w:r>
    </w:p>
    <w:p w14:paraId="36C39F38">
      <w:pPr>
        <w:autoSpaceDE w:val="0"/>
        <w:autoSpaceDN w:val="0"/>
        <w:adjustRightInd w:val="0"/>
        <w:spacing w:line="440" w:lineRule="exact"/>
        <w:ind w:firstLine="1080"/>
        <w:jc w:val="left"/>
        <w:rPr>
          <w:rFonts w:ascii="宋体" w:hAnsi="宋体" w:cs="宋体"/>
          <w:color w:val="000000"/>
          <w:kern w:val="0"/>
          <w:sz w:val="24"/>
        </w:rPr>
      </w:pPr>
      <w:r>
        <w:rPr>
          <w:rFonts w:ascii="宋体" w:hAnsi="宋体" w:cs="宋体"/>
          <w:color w:val="000000"/>
          <w:kern w:val="0"/>
          <w:sz w:val="24"/>
        </w:rPr>
        <w:t>d</w:t>
      </w:r>
      <w:r>
        <w:rPr>
          <w:rFonts w:hint="eastAsia" w:ascii="宋体" w:hAnsi="宋体" w:cs="宋体"/>
          <w:color w:val="000000"/>
          <w:kern w:val="0"/>
          <w:sz w:val="24"/>
        </w:rPr>
        <w:t>）获得让步接收的授权。</w:t>
      </w:r>
      <w:r>
        <w:rPr>
          <w:rFonts w:ascii="宋体" w:hAnsi="宋体" w:cs="宋体"/>
          <w:color w:val="000000"/>
          <w:kern w:val="0"/>
          <w:sz w:val="24"/>
        </w:rPr>
        <w:t xml:space="preserve"> </w:t>
      </w:r>
    </w:p>
    <w:p w14:paraId="0402DFFD">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8.7.5经评审为报废的不合格品，</w:t>
      </w:r>
      <w:r>
        <w:rPr>
          <w:rFonts w:ascii="宋体" w:hAnsi="宋体"/>
          <w:color w:val="000000"/>
          <w:sz w:val="24"/>
        </w:rPr>
        <w:t>行政部</w:t>
      </w:r>
      <w:r>
        <w:rPr>
          <w:rFonts w:hint="eastAsia" w:ascii="宋体" w:hAnsi="宋体"/>
          <w:color w:val="000000"/>
          <w:sz w:val="24"/>
        </w:rPr>
        <w:t>对其去向进行跟踪。对交付或开始使用发现产品和服务不合格时，根据其影响程度采取与之相应措施。</w:t>
      </w:r>
    </w:p>
    <w:p w14:paraId="4549DE7D">
      <w:pPr>
        <w:autoSpaceDE w:val="0"/>
        <w:autoSpaceDN w:val="0"/>
        <w:adjustRightInd w:val="0"/>
        <w:spacing w:line="440" w:lineRule="exact"/>
        <w:ind w:firstLine="240"/>
        <w:jc w:val="left"/>
        <w:rPr>
          <w:rFonts w:ascii="宋体" w:hAnsi="宋体" w:cs="宋体"/>
          <w:color w:val="000000"/>
          <w:kern w:val="0"/>
          <w:sz w:val="24"/>
        </w:rPr>
      </w:pPr>
      <w:r>
        <w:rPr>
          <w:rFonts w:hint="eastAsia" w:ascii="宋体" w:hAnsi="宋体"/>
          <w:color w:val="000000"/>
          <w:sz w:val="24"/>
        </w:rPr>
        <w:t>8.7.</w:t>
      </w:r>
      <w:r>
        <w:rPr>
          <w:rFonts w:ascii="宋体" w:hAnsi="宋体"/>
          <w:color w:val="000000"/>
          <w:sz w:val="24"/>
        </w:rPr>
        <w:t xml:space="preserve">6 </w:t>
      </w:r>
      <w:r>
        <w:rPr>
          <w:rFonts w:hint="eastAsia" w:ascii="宋体" w:hAnsi="宋体"/>
          <w:color w:val="000000"/>
          <w:sz w:val="24"/>
        </w:rPr>
        <w:t>公司</w:t>
      </w:r>
      <w:r>
        <w:rPr>
          <w:rFonts w:hint="eastAsia" w:ascii="宋体" w:hAnsi="宋体" w:cs="宋体"/>
          <w:color w:val="000000"/>
          <w:kern w:val="0"/>
          <w:sz w:val="24"/>
        </w:rPr>
        <w:t>应保留下列形成文件的信息：</w:t>
      </w:r>
      <w:r>
        <w:rPr>
          <w:rFonts w:ascii="宋体" w:hAnsi="宋体" w:cs="宋体"/>
          <w:color w:val="000000"/>
          <w:kern w:val="0"/>
          <w:sz w:val="24"/>
        </w:rPr>
        <w:t xml:space="preserve"> </w:t>
      </w:r>
    </w:p>
    <w:p w14:paraId="00ADFE89">
      <w:pPr>
        <w:autoSpaceDE w:val="0"/>
        <w:autoSpaceDN w:val="0"/>
        <w:adjustRightInd w:val="0"/>
        <w:spacing w:line="440" w:lineRule="exact"/>
        <w:ind w:firstLine="720"/>
        <w:jc w:val="left"/>
        <w:rPr>
          <w:rFonts w:ascii="宋体" w:hAnsi="宋体" w:cs="宋体"/>
          <w:color w:val="000000"/>
          <w:kern w:val="0"/>
          <w:sz w:val="24"/>
        </w:rPr>
      </w:pPr>
      <w:r>
        <w:rPr>
          <w:rFonts w:ascii="宋体" w:hAnsi="宋体" w:cs="宋体"/>
          <w:color w:val="000000"/>
          <w:kern w:val="0"/>
          <w:sz w:val="24"/>
        </w:rPr>
        <w:t>a</w:t>
      </w:r>
      <w:r>
        <w:rPr>
          <w:rFonts w:hint="eastAsia" w:ascii="宋体" w:hAnsi="宋体" w:cs="宋体"/>
          <w:color w:val="000000"/>
          <w:kern w:val="0"/>
          <w:sz w:val="24"/>
        </w:rPr>
        <w:t>）有关不合格的描述；</w:t>
      </w:r>
      <w:r>
        <w:rPr>
          <w:rFonts w:ascii="宋体" w:hAnsi="宋体" w:cs="宋体"/>
          <w:color w:val="000000"/>
          <w:kern w:val="0"/>
          <w:sz w:val="24"/>
        </w:rPr>
        <w:t xml:space="preserve"> </w:t>
      </w:r>
    </w:p>
    <w:p w14:paraId="7AB0C93B">
      <w:pPr>
        <w:autoSpaceDE w:val="0"/>
        <w:autoSpaceDN w:val="0"/>
        <w:adjustRightInd w:val="0"/>
        <w:spacing w:line="440" w:lineRule="exact"/>
        <w:ind w:firstLine="720"/>
        <w:jc w:val="left"/>
        <w:rPr>
          <w:rFonts w:ascii="宋体" w:hAnsi="宋体" w:cs="宋体"/>
          <w:color w:val="000000"/>
          <w:kern w:val="0"/>
          <w:sz w:val="24"/>
        </w:rPr>
      </w:pPr>
      <w:r>
        <w:rPr>
          <w:rFonts w:ascii="宋体" w:hAnsi="宋体" w:cs="宋体"/>
          <w:color w:val="000000"/>
          <w:kern w:val="0"/>
          <w:sz w:val="24"/>
        </w:rPr>
        <w:t>b</w:t>
      </w:r>
      <w:r>
        <w:rPr>
          <w:rFonts w:hint="eastAsia" w:ascii="宋体" w:hAnsi="宋体" w:cs="宋体"/>
          <w:color w:val="000000"/>
          <w:kern w:val="0"/>
          <w:sz w:val="24"/>
        </w:rPr>
        <w:t>）所采取措施的描述；</w:t>
      </w:r>
      <w:r>
        <w:rPr>
          <w:rFonts w:ascii="宋体" w:hAnsi="宋体" w:cs="宋体"/>
          <w:color w:val="000000"/>
          <w:kern w:val="0"/>
          <w:sz w:val="24"/>
        </w:rPr>
        <w:t xml:space="preserve"> </w:t>
      </w:r>
    </w:p>
    <w:p w14:paraId="18184947">
      <w:pPr>
        <w:autoSpaceDE w:val="0"/>
        <w:autoSpaceDN w:val="0"/>
        <w:adjustRightInd w:val="0"/>
        <w:spacing w:line="440" w:lineRule="exact"/>
        <w:ind w:firstLine="720"/>
        <w:jc w:val="left"/>
        <w:rPr>
          <w:rFonts w:ascii="宋体" w:hAnsi="宋体" w:cs="宋体"/>
          <w:color w:val="000000"/>
          <w:kern w:val="0"/>
          <w:sz w:val="24"/>
        </w:rPr>
      </w:pPr>
      <w:r>
        <w:rPr>
          <w:rFonts w:ascii="宋体" w:hAnsi="宋体" w:cs="宋体"/>
          <w:color w:val="000000"/>
          <w:kern w:val="0"/>
          <w:sz w:val="24"/>
        </w:rPr>
        <w:t>c</w:t>
      </w:r>
      <w:r>
        <w:rPr>
          <w:rFonts w:hint="eastAsia" w:ascii="宋体" w:hAnsi="宋体" w:cs="宋体"/>
          <w:color w:val="000000"/>
          <w:kern w:val="0"/>
          <w:sz w:val="24"/>
        </w:rPr>
        <w:t>）获得让步的描述；</w:t>
      </w:r>
      <w:r>
        <w:rPr>
          <w:rFonts w:ascii="宋体" w:hAnsi="宋体" w:cs="宋体"/>
          <w:color w:val="000000"/>
          <w:kern w:val="0"/>
          <w:sz w:val="24"/>
        </w:rPr>
        <w:t xml:space="preserve"> </w:t>
      </w:r>
    </w:p>
    <w:p w14:paraId="3C3AF2D0">
      <w:pPr>
        <w:spacing w:line="440" w:lineRule="exact"/>
        <w:ind w:right="-45" w:firstLine="720"/>
        <w:rPr>
          <w:rFonts w:ascii="宋体" w:hAnsi="宋体" w:cs="宋体"/>
          <w:color w:val="000000"/>
          <w:kern w:val="0"/>
          <w:sz w:val="24"/>
        </w:rPr>
      </w:pPr>
      <w:r>
        <w:rPr>
          <w:rFonts w:ascii="宋体" w:hAnsi="宋体" w:cs="宋体"/>
          <w:color w:val="000000"/>
          <w:kern w:val="0"/>
          <w:sz w:val="24"/>
        </w:rPr>
        <w:t>d</w:t>
      </w:r>
      <w:r>
        <w:rPr>
          <w:rFonts w:hint="eastAsia" w:ascii="宋体" w:hAnsi="宋体" w:cs="宋体"/>
          <w:color w:val="000000"/>
          <w:kern w:val="0"/>
          <w:sz w:val="24"/>
        </w:rPr>
        <w:t>）处置不合格的授权标识。</w:t>
      </w:r>
    </w:p>
    <w:p w14:paraId="6D14F1BE">
      <w:pPr>
        <w:spacing w:line="440" w:lineRule="exact"/>
        <w:ind w:right="340"/>
        <w:rPr>
          <w:rFonts w:ascii="宋体" w:hAnsi="宋体"/>
          <w:b/>
          <w:color w:val="000000"/>
          <w:sz w:val="24"/>
        </w:rPr>
      </w:pPr>
      <w:r>
        <w:rPr>
          <w:rFonts w:hint="eastAsia" w:ascii="宋体" w:hAnsi="宋体"/>
          <w:b/>
          <w:color w:val="000000"/>
          <w:sz w:val="24"/>
        </w:rPr>
        <w:t>8.8环境/安全运行控制</w:t>
      </w:r>
    </w:p>
    <w:p w14:paraId="10B98F93">
      <w:pPr>
        <w:spacing w:line="440" w:lineRule="exact"/>
        <w:ind w:right="340"/>
        <w:rPr>
          <w:rFonts w:ascii="宋体" w:hAnsi="宋体"/>
          <w:color w:val="000000"/>
          <w:sz w:val="24"/>
        </w:rPr>
      </w:pPr>
      <w:r>
        <w:rPr>
          <w:rFonts w:hint="eastAsia" w:ascii="宋体" w:hAnsi="宋体"/>
          <w:b/>
          <w:color w:val="000000"/>
          <w:sz w:val="24"/>
        </w:rPr>
        <w:t xml:space="preserve">  </w:t>
      </w:r>
      <w:r>
        <w:rPr>
          <w:rFonts w:ascii="宋体" w:hAnsi="宋体"/>
          <w:color w:val="000000"/>
          <w:sz w:val="24"/>
        </w:rPr>
        <w:t>8.8</w:t>
      </w:r>
      <w:r>
        <w:rPr>
          <w:rFonts w:hint="eastAsia" w:ascii="宋体" w:hAnsi="宋体"/>
          <w:color w:val="000000"/>
          <w:sz w:val="24"/>
        </w:rPr>
        <w:t>.1公司建立并保持《环境因素和危险源识别评价程序》及《环境和职业健康安全运行控制程序》，并在生产过程中加以控制，确保重要环境因素和重要危险源在有关的活动、产品、服务得到有效控制，并对相关方环境行为施加影响，使管理体系不偏离公司的管理方针，并确保管理目标和指标的实现。</w:t>
      </w:r>
    </w:p>
    <w:p w14:paraId="7345DE0B">
      <w:pPr>
        <w:spacing w:line="440" w:lineRule="exact"/>
        <w:ind w:left="793" w:leftChars="149" w:right="340" w:hanging="480"/>
        <w:rPr>
          <w:rFonts w:ascii="宋体" w:hAnsi="宋体"/>
          <w:color w:val="000000"/>
          <w:sz w:val="24"/>
        </w:rPr>
      </w:pPr>
      <w:r>
        <w:rPr>
          <w:rFonts w:ascii="宋体" w:hAnsi="宋体"/>
          <w:color w:val="000000"/>
          <w:sz w:val="24"/>
        </w:rPr>
        <w:t>8.8</w:t>
      </w:r>
      <w:r>
        <w:rPr>
          <w:rFonts w:hint="eastAsia" w:ascii="宋体" w:hAnsi="宋体"/>
          <w:color w:val="000000"/>
          <w:sz w:val="24"/>
        </w:rPr>
        <w:t>.2实施针对环境及职业健康安全建立的程序文件。对一般环境因素和危险源，通过法规和日常检查进行控制。对重要环境因素和不可接受的风险，制定管理方案。</w:t>
      </w:r>
    </w:p>
    <w:p w14:paraId="6528F1D0">
      <w:pPr>
        <w:spacing w:line="440" w:lineRule="exact"/>
        <w:ind w:left="793" w:leftChars="149" w:right="340" w:hanging="480"/>
        <w:rPr>
          <w:rFonts w:ascii="宋体" w:hAnsi="宋体"/>
          <w:color w:val="000000"/>
          <w:sz w:val="24"/>
        </w:rPr>
      </w:pPr>
      <w:r>
        <w:rPr>
          <w:rFonts w:ascii="宋体" w:hAnsi="宋体"/>
          <w:color w:val="000000"/>
          <w:sz w:val="24"/>
        </w:rPr>
        <w:t>8.8</w:t>
      </w:r>
      <w:r>
        <w:rPr>
          <w:rFonts w:hint="eastAsia" w:ascii="宋体" w:hAnsi="宋体"/>
          <w:color w:val="000000"/>
          <w:sz w:val="24"/>
        </w:rPr>
        <w:t>.3运行程序及相关要求要以书面形式及时通报给相关方，在运行过程中，</w:t>
      </w:r>
      <w:r>
        <w:rPr>
          <w:rFonts w:ascii="宋体" w:hAnsi="宋体"/>
          <w:color w:val="000000"/>
          <w:sz w:val="24"/>
        </w:rPr>
        <w:t>行政部</w:t>
      </w:r>
      <w:r>
        <w:rPr>
          <w:rFonts w:hint="eastAsia" w:ascii="宋体" w:hAnsi="宋体"/>
          <w:color w:val="000000"/>
          <w:sz w:val="24"/>
        </w:rPr>
        <w:t>应及时进行监视和测量。</w:t>
      </w:r>
    </w:p>
    <w:p w14:paraId="4AA36190">
      <w:pPr>
        <w:spacing w:line="440" w:lineRule="exact"/>
        <w:ind w:right="340" w:firstLine="358"/>
        <w:rPr>
          <w:rFonts w:ascii="宋体" w:hAnsi="宋体"/>
          <w:color w:val="000000"/>
          <w:sz w:val="24"/>
        </w:rPr>
      </w:pPr>
      <w:r>
        <w:rPr>
          <w:rFonts w:ascii="宋体" w:hAnsi="宋体"/>
          <w:color w:val="000000"/>
          <w:sz w:val="24"/>
        </w:rPr>
        <w:t>8.8</w:t>
      </w:r>
      <w:r>
        <w:rPr>
          <w:rFonts w:hint="eastAsia" w:ascii="宋体" w:hAnsi="宋体"/>
          <w:color w:val="000000"/>
          <w:sz w:val="24"/>
        </w:rPr>
        <w:t>.4重要岗位人员严格执行程序的要求和作业指导书的规定，并严格按规程操作。</w:t>
      </w:r>
    </w:p>
    <w:p w14:paraId="13C43DF4">
      <w:pPr>
        <w:spacing w:line="440" w:lineRule="exact"/>
        <w:ind w:left="793" w:leftChars="149" w:right="340" w:hanging="480"/>
        <w:rPr>
          <w:rFonts w:ascii="宋体" w:hAnsi="宋体"/>
          <w:color w:val="000000"/>
          <w:sz w:val="24"/>
        </w:rPr>
      </w:pPr>
      <w:r>
        <w:rPr>
          <w:rFonts w:ascii="宋体" w:hAnsi="宋体"/>
          <w:color w:val="000000"/>
          <w:sz w:val="24"/>
        </w:rPr>
        <w:t>8.8</w:t>
      </w:r>
      <w:r>
        <w:rPr>
          <w:rFonts w:hint="eastAsia" w:ascii="宋体" w:hAnsi="宋体"/>
          <w:color w:val="000000"/>
          <w:sz w:val="24"/>
        </w:rPr>
        <w:t>.5对设备有关环境和劳动保护的各项技术参数要进行确认，在生产中要做好环境保护和劳动保护设施设备的日常维护和保养，保证其正常使用。</w:t>
      </w:r>
    </w:p>
    <w:p w14:paraId="0C0AAF48">
      <w:pPr>
        <w:spacing w:line="440" w:lineRule="exact"/>
        <w:ind w:left="793" w:leftChars="149" w:right="340" w:hanging="480"/>
        <w:rPr>
          <w:rFonts w:ascii="宋体" w:hAnsi="宋体"/>
          <w:color w:val="000000"/>
          <w:sz w:val="24"/>
        </w:rPr>
      </w:pPr>
      <w:r>
        <w:rPr>
          <w:rFonts w:ascii="宋体" w:hAnsi="宋体"/>
          <w:color w:val="000000"/>
          <w:sz w:val="24"/>
        </w:rPr>
        <w:t>8.8</w:t>
      </w:r>
      <w:r>
        <w:rPr>
          <w:rFonts w:hint="eastAsia" w:ascii="宋体" w:hAnsi="宋体"/>
          <w:color w:val="000000"/>
          <w:sz w:val="24"/>
        </w:rPr>
        <w:t>.6对于公司所购买和使用的物品、设备和服务中已识别的环境、职业健康安全风险，建立并保持程序，并将有关的程序和要求通报供应商和合同方。</w:t>
      </w:r>
      <w:r>
        <w:rPr>
          <w:rFonts w:ascii="宋体" w:hAnsi="宋体"/>
          <w:color w:val="000000"/>
          <w:sz w:val="24"/>
        </w:rPr>
        <w:t xml:space="preserve"> </w:t>
      </w:r>
    </w:p>
    <w:p w14:paraId="58AB6EE1">
      <w:pPr>
        <w:tabs>
          <w:tab w:val="left" w:pos="9660"/>
        </w:tabs>
        <w:spacing w:line="440" w:lineRule="exact"/>
        <w:ind w:left="793" w:leftChars="149" w:hanging="480"/>
        <w:rPr>
          <w:rFonts w:ascii="宋体" w:hAnsi="宋体"/>
          <w:color w:val="000000"/>
          <w:sz w:val="24"/>
        </w:rPr>
      </w:pPr>
      <w:r>
        <w:rPr>
          <w:rFonts w:ascii="宋体" w:hAnsi="宋体"/>
          <w:color w:val="000000"/>
          <w:sz w:val="24"/>
        </w:rPr>
        <w:t>8.8</w:t>
      </w:r>
      <w:r>
        <w:rPr>
          <w:rFonts w:hint="eastAsia" w:ascii="宋体" w:hAnsi="宋体"/>
          <w:color w:val="000000"/>
          <w:sz w:val="24"/>
        </w:rPr>
        <w:t>.7建立并保持程序，用于工作场所、过程、装置、</w:t>
      </w:r>
      <w:r>
        <w:rPr>
          <w:rFonts w:ascii="宋体" w:hAnsi="宋体"/>
          <w:color w:val="000000"/>
          <w:sz w:val="24"/>
        </w:rPr>
        <w:t>车辆</w:t>
      </w:r>
      <w:r>
        <w:rPr>
          <w:rFonts w:hint="eastAsia" w:ascii="宋体" w:hAnsi="宋体"/>
          <w:color w:val="000000"/>
          <w:sz w:val="24"/>
        </w:rPr>
        <w:t>、运行程序和工作</w:t>
      </w:r>
      <w:r>
        <w:rPr>
          <w:rFonts w:ascii="宋体" w:hAnsi="宋体"/>
          <w:color w:val="000000"/>
          <w:sz w:val="24"/>
        </w:rPr>
        <w:t>公司</w:t>
      </w:r>
      <w:r>
        <w:rPr>
          <w:rFonts w:hint="eastAsia" w:ascii="宋体" w:hAnsi="宋体"/>
          <w:color w:val="000000"/>
          <w:sz w:val="24"/>
        </w:rPr>
        <w:t>的设计，包括考虑与人的能力相适应，以便从根本上消除或降低职业健康安全风险。</w:t>
      </w:r>
    </w:p>
    <w:p w14:paraId="6EF3690D">
      <w:pPr>
        <w:spacing w:line="440" w:lineRule="exact"/>
        <w:ind w:left="905" w:leftChars="200" w:hanging="485"/>
        <w:rPr>
          <w:rFonts w:ascii="宋体" w:hAnsi="宋体"/>
          <w:color w:val="000000"/>
          <w:sz w:val="24"/>
        </w:rPr>
      </w:pPr>
      <w:r>
        <w:rPr>
          <w:rFonts w:ascii="宋体" w:hAnsi="宋体"/>
          <w:color w:val="000000"/>
          <w:sz w:val="24"/>
        </w:rPr>
        <w:t>8.8</w:t>
      </w:r>
      <w:r>
        <w:rPr>
          <w:rFonts w:hint="eastAsia" w:ascii="宋体" w:hAnsi="宋体"/>
          <w:color w:val="000000"/>
          <w:sz w:val="24"/>
        </w:rPr>
        <w:t>.8对所使用的产品和服务中可标识的重要环境因素，应建立并保持一套管理程序，并将有关的程序与要求通报供应商和合同方。</w:t>
      </w:r>
    </w:p>
    <w:p w14:paraId="50BBDE46">
      <w:pPr>
        <w:tabs>
          <w:tab w:val="left" w:pos="-180"/>
          <w:tab w:val="center" w:pos="0"/>
        </w:tabs>
        <w:spacing w:line="440" w:lineRule="exact"/>
        <w:ind w:firstLine="480"/>
        <w:rPr>
          <w:rFonts w:ascii="宋体" w:hAnsi="宋体"/>
          <w:color w:val="000000"/>
          <w:sz w:val="24"/>
        </w:rPr>
      </w:pPr>
      <w:r>
        <w:rPr>
          <w:rFonts w:ascii="宋体" w:hAnsi="宋体"/>
          <w:color w:val="000000"/>
          <w:sz w:val="24"/>
        </w:rPr>
        <w:t>8</w:t>
      </w:r>
      <w:r>
        <w:rPr>
          <w:rFonts w:hint="eastAsia" w:ascii="宋体" w:hAnsi="宋体"/>
          <w:color w:val="000000"/>
          <w:sz w:val="24"/>
        </w:rPr>
        <w:t>.</w:t>
      </w:r>
      <w:r>
        <w:rPr>
          <w:rFonts w:ascii="宋体" w:hAnsi="宋体"/>
          <w:color w:val="000000"/>
          <w:sz w:val="24"/>
        </w:rPr>
        <w:t>8</w:t>
      </w:r>
      <w:r>
        <w:rPr>
          <w:rFonts w:hint="eastAsia" w:ascii="宋体" w:hAnsi="宋体"/>
          <w:color w:val="000000"/>
          <w:sz w:val="24"/>
        </w:rPr>
        <w:t>.</w:t>
      </w:r>
      <w:r>
        <w:rPr>
          <w:rFonts w:ascii="宋体" w:hAnsi="宋体"/>
          <w:color w:val="000000"/>
          <w:sz w:val="24"/>
        </w:rPr>
        <w:t>9</w:t>
      </w:r>
      <w:r>
        <w:rPr>
          <w:rFonts w:hint="eastAsia" w:ascii="宋体" w:hAnsi="宋体"/>
          <w:color w:val="000000"/>
          <w:sz w:val="24"/>
        </w:rPr>
        <w:t>按照运行准则实施过程控制，通过环境运行和程序化的控制应确保本公司在环境保护和推行清洁生产，作好污染预防的同时能有效的实施:</w:t>
      </w:r>
    </w:p>
    <w:p w14:paraId="6C5400B3">
      <w:pPr>
        <w:spacing w:line="440" w:lineRule="exact"/>
        <w:ind w:left="360" w:right="-90"/>
        <w:rPr>
          <w:rFonts w:ascii="宋体" w:hAnsi="宋体"/>
          <w:color w:val="000000"/>
          <w:kern w:val="10"/>
          <w:sz w:val="24"/>
        </w:rPr>
      </w:pPr>
      <w:r>
        <w:rPr>
          <w:rFonts w:hint="eastAsia" w:ascii="宋体" w:hAnsi="宋体"/>
          <w:color w:val="000000"/>
          <w:sz w:val="24"/>
        </w:rPr>
        <w:t>a) 对因</w:t>
      </w:r>
      <w:r>
        <w:rPr>
          <w:rFonts w:hint="eastAsia" w:ascii="宋体" w:hAnsi="宋体"/>
          <w:color w:val="000000"/>
          <w:kern w:val="10"/>
          <w:sz w:val="24"/>
        </w:rPr>
        <w:t>缺乏程序文件而导致偏离方针、目标与指标的情况得到预防或纠正；</w:t>
      </w:r>
    </w:p>
    <w:p w14:paraId="4D2FE1A1">
      <w:pPr>
        <w:spacing w:line="440" w:lineRule="exact"/>
        <w:ind w:left="360" w:right="-90"/>
        <w:rPr>
          <w:rFonts w:ascii="宋体" w:hAnsi="宋体"/>
          <w:color w:val="000000"/>
          <w:kern w:val="10"/>
          <w:sz w:val="24"/>
        </w:rPr>
      </w:pPr>
      <w:r>
        <w:rPr>
          <w:rFonts w:hint="eastAsia" w:ascii="宋体" w:hAnsi="宋体"/>
          <w:color w:val="000000"/>
          <w:kern w:val="10"/>
          <w:sz w:val="24"/>
        </w:rPr>
        <w:t>b) 明确对环境保护和实施清洁生产要该遵循的运行准则；</w:t>
      </w:r>
    </w:p>
    <w:p w14:paraId="260B11AD">
      <w:pPr>
        <w:spacing w:line="440" w:lineRule="exact"/>
        <w:ind w:left="425" w:leftChars="200" w:hanging="5"/>
        <w:rPr>
          <w:rFonts w:ascii="宋体" w:hAnsi="宋体"/>
          <w:color w:val="000000"/>
          <w:sz w:val="24"/>
        </w:rPr>
      </w:pPr>
      <w:r>
        <w:rPr>
          <w:rFonts w:hint="eastAsia" w:ascii="宋体" w:hAnsi="宋体"/>
          <w:color w:val="000000"/>
          <w:kern w:val="10"/>
          <w:sz w:val="24"/>
        </w:rPr>
        <w:t>c) 确保公司所使用的产品和服务中可标识的重要环境因素与供方达到交流与沟通。</w:t>
      </w:r>
    </w:p>
    <w:p w14:paraId="61393FB2">
      <w:pPr>
        <w:spacing w:line="440" w:lineRule="exact"/>
        <w:rPr>
          <w:rFonts w:ascii="宋体" w:hAnsi="宋体"/>
          <w:b/>
          <w:color w:val="000000"/>
          <w:sz w:val="24"/>
        </w:rPr>
      </w:pPr>
      <w:r>
        <w:rPr>
          <w:rFonts w:hint="eastAsia" w:ascii="宋体" w:hAnsi="宋体"/>
          <w:color w:val="000000"/>
          <w:sz w:val="24"/>
        </w:rPr>
        <w:t xml:space="preserve">  </w:t>
      </w:r>
      <w:r>
        <w:rPr>
          <w:rFonts w:ascii="宋体" w:hAnsi="宋体"/>
          <w:sz w:val="24"/>
        </w:rPr>
        <w:t>8</w:t>
      </w:r>
      <w:r>
        <w:rPr>
          <w:rFonts w:hint="eastAsia" w:ascii="宋体" w:hAnsi="宋体"/>
          <w:sz w:val="24"/>
        </w:rPr>
        <w:t>.</w:t>
      </w:r>
      <w:r>
        <w:rPr>
          <w:rFonts w:ascii="宋体" w:hAnsi="宋体"/>
          <w:sz w:val="24"/>
        </w:rPr>
        <w:t>8</w:t>
      </w:r>
      <w:r>
        <w:rPr>
          <w:rFonts w:hint="eastAsia" w:ascii="宋体" w:hAnsi="宋体"/>
          <w:sz w:val="24"/>
        </w:rPr>
        <w:t>.</w:t>
      </w:r>
      <w:r>
        <w:rPr>
          <w:rFonts w:ascii="宋体" w:hAnsi="宋体"/>
          <w:sz w:val="24"/>
        </w:rPr>
        <w:t>10 公司</w:t>
      </w:r>
      <w:r>
        <w:rPr>
          <w:rFonts w:hint="eastAsia" w:ascii="宋体" w:hAnsi="宋体"/>
          <w:sz w:val="24"/>
        </w:rPr>
        <w:t>应对计划内的变更进行控制，并对非预期性变更的后果予以评审，必要时，应采取措施降低任何有害影响。</w:t>
      </w:r>
      <w:r>
        <w:rPr>
          <w:rFonts w:ascii="宋体" w:hAnsi="宋体"/>
          <w:sz w:val="24"/>
        </w:rPr>
        <w:t xml:space="preserve"> </w:t>
      </w:r>
    </w:p>
    <w:p w14:paraId="57347AAF">
      <w:pPr>
        <w:pStyle w:val="42"/>
        <w:spacing w:line="440" w:lineRule="exact"/>
        <w:ind w:left="1140" w:leftChars="200" w:hanging="720"/>
        <w:rPr>
          <w:rFonts w:ascii="宋体" w:hAnsi="宋体"/>
        </w:rPr>
      </w:pPr>
      <w:r>
        <w:rPr>
          <w:rFonts w:ascii="宋体" w:hAnsi="宋体"/>
        </w:rPr>
        <w:t>8</w:t>
      </w:r>
      <w:r>
        <w:rPr>
          <w:rFonts w:hint="eastAsia" w:ascii="宋体" w:hAnsi="宋体"/>
        </w:rPr>
        <w:t>.</w:t>
      </w:r>
      <w:r>
        <w:rPr>
          <w:rFonts w:ascii="宋体" w:hAnsi="宋体"/>
        </w:rPr>
        <w:t>8</w:t>
      </w:r>
      <w:r>
        <w:rPr>
          <w:rFonts w:hint="eastAsia" w:ascii="宋体" w:hAnsi="宋体"/>
        </w:rPr>
        <w:t>.</w:t>
      </w:r>
      <w:r>
        <w:rPr>
          <w:rFonts w:ascii="宋体" w:hAnsi="宋体"/>
        </w:rPr>
        <w:t>11 公司</w:t>
      </w:r>
      <w:r>
        <w:rPr>
          <w:rFonts w:hint="eastAsia" w:ascii="宋体" w:hAnsi="宋体"/>
        </w:rPr>
        <w:t>应确保对外包过程实施控制或施加影响。应在环境管理体系内规定对这些过程实施控制或施加影响的类型与程度。</w:t>
      </w:r>
      <w:r>
        <w:rPr>
          <w:rFonts w:ascii="宋体" w:hAnsi="宋体"/>
        </w:rPr>
        <w:t xml:space="preserve"> </w:t>
      </w:r>
    </w:p>
    <w:p w14:paraId="6F9A8E0E">
      <w:pPr>
        <w:spacing w:line="440" w:lineRule="exact"/>
        <w:ind w:left="360" w:right="-90"/>
        <w:rPr>
          <w:rFonts w:ascii="宋体" w:hAnsi="宋体"/>
          <w:color w:val="000000"/>
          <w:sz w:val="24"/>
        </w:rPr>
      </w:pPr>
      <w:r>
        <w:rPr>
          <w:rFonts w:ascii="宋体" w:hAnsi="宋体"/>
          <w:color w:val="000000"/>
          <w:sz w:val="24"/>
        </w:rPr>
        <w:t>8</w:t>
      </w:r>
      <w:r>
        <w:rPr>
          <w:rFonts w:hint="eastAsia" w:ascii="宋体" w:hAnsi="宋体"/>
          <w:color w:val="000000"/>
          <w:sz w:val="24"/>
        </w:rPr>
        <w:t>.</w:t>
      </w:r>
      <w:r>
        <w:rPr>
          <w:rFonts w:ascii="宋体" w:hAnsi="宋体"/>
          <w:color w:val="000000"/>
          <w:sz w:val="24"/>
        </w:rPr>
        <w:t>8</w:t>
      </w:r>
      <w:r>
        <w:rPr>
          <w:rFonts w:hint="eastAsia" w:ascii="宋体" w:hAnsi="宋体"/>
          <w:color w:val="000000"/>
          <w:sz w:val="24"/>
        </w:rPr>
        <w:t>.</w:t>
      </w:r>
      <w:r>
        <w:rPr>
          <w:rFonts w:ascii="宋体" w:hAnsi="宋体"/>
          <w:color w:val="000000"/>
          <w:sz w:val="24"/>
        </w:rPr>
        <w:t xml:space="preserve">12 </w:t>
      </w:r>
      <w:r>
        <w:rPr>
          <w:rFonts w:hint="eastAsia" w:ascii="宋体" w:hAnsi="宋体"/>
          <w:color w:val="000000"/>
          <w:sz w:val="24"/>
        </w:rPr>
        <w:t>从生命周期观点出发，</w:t>
      </w:r>
      <w:r>
        <w:rPr>
          <w:rFonts w:ascii="宋体" w:hAnsi="宋体"/>
          <w:color w:val="000000"/>
          <w:sz w:val="24"/>
        </w:rPr>
        <w:t>公司</w:t>
      </w:r>
      <w:r>
        <w:rPr>
          <w:rFonts w:hint="eastAsia" w:ascii="宋体" w:hAnsi="宋体"/>
          <w:color w:val="000000"/>
          <w:sz w:val="24"/>
        </w:rPr>
        <w:t>应：</w:t>
      </w:r>
    </w:p>
    <w:p w14:paraId="58822C17">
      <w:pPr>
        <w:pStyle w:val="42"/>
        <w:spacing w:line="440" w:lineRule="exact"/>
        <w:ind w:left="900" w:leftChars="200" w:hanging="480"/>
        <w:rPr>
          <w:rFonts w:ascii="宋体" w:hAnsi="宋体"/>
        </w:rPr>
      </w:pPr>
      <w:r>
        <w:rPr>
          <w:rFonts w:ascii="宋体" w:hAnsi="宋体" w:cs="Calibri"/>
        </w:rPr>
        <w:t>a</w:t>
      </w:r>
      <w:r>
        <w:rPr>
          <w:rFonts w:hint="eastAsia" w:ascii="宋体" w:hAnsi="宋体"/>
        </w:rPr>
        <w:t>）适当时，制定控制措施，确保在产品或服务设计和开发过程中，考虑其生命周期的每一阶段，并提出环境要求；</w:t>
      </w:r>
      <w:r>
        <w:rPr>
          <w:rFonts w:ascii="宋体" w:hAnsi="宋体"/>
        </w:rPr>
        <w:t xml:space="preserve"> </w:t>
      </w:r>
    </w:p>
    <w:p w14:paraId="72BFE7C1">
      <w:pPr>
        <w:pStyle w:val="42"/>
        <w:spacing w:line="440" w:lineRule="exact"/>
        <w:ind w:firstLine="480"/>
        <w:rPr>
          <w:rFonts w:ascii="宋体" w:hAnsi="宋体"/>
        </w:rPr>
      </w:pPr>
      <w:r>
        <w:rPr>
          <w:rFonts w:ascii="宋体" w:hAnsi="宋体" w:cs="Calibri"/>
        </w:rPr>
        <w:t>b</w:t>
      </w:r>
      <w:r>
        <w:rPr>
          <w:rFonts w:hint="eastAsia" w:ascii="宋体" w:hAnsi="宋体"/>
        </w:rPr>
        <w:t>）适当时，确定产品和服务采购的环境要求；</w:t>
      </w:r>
      <w:r>
        <w:rPr>
          <w:rFonts w:ascii="宋体" w:hAnsi="宋体"/>
        </w:rPr>
        <w:t xml:space="preserve"> </w:t>
      </w:r>
    </w:p>
    <w:p w14:paraId="00E0653E">
      <w:pPr>
        <w:pStyle w:val="42"/>
        <w:spacing w:line="440" w:lineRule="exact"/>
        <w:ind w:firstLine="480"/>
        <w:rPr>
          <w:rFonts w:ascii="宋体" w:hAnsi="宋体"/>
        </w:rPr>
      </w:pPr>
      <w:r>
        <w:rPr>
          <w:rFonts w:ascii="宋体" w:hAnsi="宋体" w:cs="Calibri"/>
        </w:rPr>
        <w:t>c</w:t>
      </w:r>
      <w:r>
        <w:rPr>
          <w:rFonts w:hint="eastAsia" w:ascii="宋体" w:hAnsi="宋体"/>
        </w:rPr>
        <w:t>）与外部供方（包括合同方）沟通其相关环境要求；</w:t>
      </w:r>
      <w:r>
        <w:rPr>
          <w:rFonts w:ascii="宋体" w:hAnsi="宋体"/>
        </w:rPr>
        <w:t xml:space="preserve"> </w:t>
      </w:r>
    </w:p>
    <w:p w14:paraId="59AEA388">
      <w:pPr>
        <w:spacing w:line="440" w:lineRule="exact"/>
        <w:ind w:left="360" w:right="-90"/>
        <w:rPr>
          <w:rFonts w:ascii="宋体" w:hAnsi="宋体"/>
          <w:color w:val="000000"/>
          <w:sz w:val="24"/>
        </w:rPr>
      </w:pPr>
      <w:r>
        <w:rPr>
          <w:rFonts w:ascii="宋体" w:hAnsi="宋体" w:cs="Calibri"/>
          <w:color w:val="000000"/>
          <w:sz w:val="24"/>
        </w:rPr>
        <w:t>d</w:t>
      </w:r>
      <w:r>
        <w:rPr>
          <w:rFonts w:hint="eastAsia" w:ascii="宋体" w:hAnsi="宋体"/>
          <w:color w:val="000000"/>
          <w:sz w:val="24"/>
        </w:rPr>
        <w:t>）考虑提供与产品或服务的运输或交付、使用、寿命结束后处理和最终处置相关的潜在重大环境影响的信息的需求。</w:t>
      </w:r>
    </w:p>
    <w:p w14:paraId="737946BD">
      <w:pPr>
        <w:tabs>
          <w:tab w:val="left" w:pos="1980"/>
        </w:tabs>
        <w:adjustRightInd w:val="0"/>
        <w:spacing w:line="440" w:lineRule="exact"/>
        <w:ind w:right="-90"/>
        <w:rPr>
          <w:rFonts w:ascii="宋体" w:hAnsi="宋体"/>
          <w:b/>
          <w:bCs/>
          <w:sz w:val="24"/>
        </w:rPr>
      </w:pPr>
      <w:r>
        <w:rPr>
          <w:rFonts w:hint="eastAsia" w:ascii="宋体" w:hAnsi="宋体"/>
          <w:b/>
          <w:bCs/>
          <w:sz w:val="24"/>
        </w:rPr>
        <w:t xml:space="preserve"> 8.9应急准备与响应</w:t>
      </w:r>
    </w:p>
    <w:p w14:paraId="2708AE5C">
      <w:pPr>
        <w:tabs>
          <w:tab w:val="left" w:pos="1980"/>
        </w:tabs>
        <w:adjustRightInd w:val="0"/>
        <w:spacing w:line="440" w:lineRule="exact"/>
        <w:ind w:right="-90"/>
        <w:rPr>
          <w:rFonts w:ascii="宋体" w:hAnsi="宋体"/>
          <w:color w:val="000000"/>
          <w:kern w:val="10"/>
          <w:sz w:val="24"/>
        </w:rPr>
      </w:pPr>
      <w:r>
        <w:rPr>
          <w:rFonts w:hint="eastAsia" w:ascii="宋体" w:hAnsi="宋体"/>
          <w:sz w:val="24"/>
        </w:rPr>
        <w:t xml:space="preserve">  8.9.1</w:t>
      </w:r>
      <w:r>
        <w:rPr>
          <w:rFonts w:ascii="宋体" w:hAnsi="宋体"/>
          <w:sz w:val="24"/>
        </w:rPr>
        <w:t>公司</w:t>
      </w:r>
      <w:r>
        <w:rPr>
          <w:rFonts w:hint="eastAsia" w:ascii="宋体" w:hAnsi="宋体"/>
          <w:sz w:val="24"/>
        </w:rPr>
        <w:t>应建立</w:t>
      </w:r>
      <w:r>
        <w:rPr>
          <w:rFonts w:hint="eastAsia" w:ascii="宋体" w:hAnsi="宋体"/>
          <w:kern w:val="10"/>
          <w:sz w:val="24"/>
        </w:rPr>
        <w:t>并执行《应急准备与响应控制程序》、《应急预案》</w:t>
      </w:r>
      <w:r>
        <w:rPr>
          <w:rFonts w:hint="eastAsia" w:ascii="宋体" w:hAnsi="宋体"/>
          <w:sz w:val="24"/>
        </w:rPr>
        <w:t>、实施并保持对</w:t>
      </w:r>
      <w:r>
        <w:rPr>
          <w:rFonts w:ascii="宋体" w:hAnsi="宋体" w:cs="Calibri"/>
          <w:sz w:val="24"/>
        </w:rPr>
        <w:t>6.1.1</w:t>
      </w:r>
      <w:r>
        <w:rPr>
          <w:rFonts w:hint="eastAsia" w:ascii="宋体" w:hAnsi="宋体"/>
          <w:sz w:val="24"/>
        </w:rPr>
        <w:t>中识别的潜在紧急情况进行应急准备并做出响应所需的过程。</w:t>
      </w:r>
      <w:r>
        <w:rPr>
          <w:rFonts w:ascii="宋体" w:hAnsi="宋体"/>
          <w:sz w:val="24"/>
        </w:rPr>
        <w:t xml:space="preserve"> </w:t>
      </w:r>
    </w:p>
    <w:p w14:paraId="60CEDBF1">
      <w:pPr>
        <w:spacing w:line="440" w:lineRule="exact"/>
        <w:ind w:firstLine="480"/>
        <w:rPr>
          <w:rFonts w:ascii="宋体" w:hAnsi="宋体"/>
          <w:color w:val="000000"/>
          <w:sz w:val="24"/>
        </w:rPr>
      </w:pPr>
      <w:r>
        <w:rPr>
          <w:rFonts w:hint="eastAsia" w:ascii="宋体" w:hAnsi="宋体"/>
          <w:color w:val="000000"/>
          <w:sz w:val="24"/>
        </w:rPr>
        <w:t>a) 公司根据识别出的潜在的重要环境因素和不可接受的风险因素</w:t>
      </w:r>
    </w:p>
    <w:p w14:paraId="030C37C9">
      <w:pPr>
        <w:spacing w:line="440" w:lineRule="exact"/>
        <w:ind w:firstLine="480"/>
        <w:rPr>
          <w:rFonts w:ascii="宋体" w:hAnsi="宋体"/>
          <w:color w:val="000000"/>
          <w:sz w:val="24"/>
        </w:rPr>
      </w:pPr>
      <w:r>
        <w:rPr>
          <w:rFonts w:hint="eastAsia" w:ascii="宋体" w:hAnsi="宋体"/>
          <w:color w:val="000000"/>
          <w:sz w:val="24"/>
        </w:rPr>
        <w:t>b) 由相应的部门针对潜在的事故或紧急情况，制定有针对性的预防措施、应急措施和事故处理整改方案；</w:t>
      </w:r>
    </w:p>
    <w:p w14:paraId="18096D0C">
      <w:pPr>
        <w:pStyle w:val="42"/>
        <w:spacing w:line="440" w:lineRule="exact"/>
        <w:rPr>
          <w:rFonts w:ascii="宋体" w:hAnsi="宋体"/>
        </w:rPr>
      </w:pPr>
      <w:r>
        <w:rPr>
          <w:rFonts w:hint="eastAsia" w:ascii="宋体" w:hAnsi="宋体"/>
        </w:rPr>
        <w:t xml:space="preserve">8.9.2 </w:t>
      </w:r>
      <w:r>
        <w:rPr>
          <w:rFonts w:ascii="宋体" w:hAnsi="宋体"/>
        </w:rPr>
        <w:t>公司</w:t>
      </w:r>
      <w:r>
        <w:rPr>
          <w:rFonts w:hint="eastAsia" w:ascii="宋体" w:hAnsi="宋体"/>
        </w:rPr>
        <w:t>应：</w:t>
      </w:r>
      <w:r>
        <w:rPr>
          <w:rFonts w:ascii="宋体" w:hAnsi="宋体"/>
        </w:rPr>
        <w:t xml:space="preserve"> </w:t>
      </w:r>
    </w:p>
    <w:p w14:paraId="7B5F46A7">
      <w:pPr>
        <w:pStyle w:val="42"/>
        <w:spacing w:line="440" w:lineRule="exact"/>
        <w:ind w:firstLine="480"/>
        <w:rPr>
          <w:rFonts w:ascii="宋体" w:hAnsi="宋体"/>
        </w:rPr>
      </w:pPr>
      <w:r>
        <w:rPr>
          <w:rFonts w:ascii="宋体" w:hAnsi="宋体" w:cs="Calibri"/>
        </w:rPr>
        <w:t>a</w:t>
      </w:r>
      <w:r>
        <w:rPr>
          <w:rFonts w:hint="eastAsia" w:ascii="宋体" w:hAnsi="宋体"/>
        </w:rPr>
        <w:t>）通过策划措施做好响应紧急情况的准备，以预防或减轻它所带来的有害环境影响；</w:t>
      </w:r>
      <w:r>
        <w:rPr>
          <w:rFonts w:ascii="宋体" w:hAnsi="宋体"/>
        </w:rPr>
        <w:t xml:space="preserve"> </w:t>
      </w:r>
    </w:p>
    <w:p w14:paraId="6596F461">
      <w:pPr>
        <w:pStyle w:val="42"/>
        <w:spacing w:line="440" w:lineRule="exact"/>
        <w:ind w:firstLine="480"/>
        <w:rPr>
          <w:rFonts w:ascii="宋体" w:hAnsi="宋体"/>
        </w:rPr>
      </w:pPr>
      <w:r>
        <w:rPr>
          <w:rFonts w:ascii="宋体" w:hAnsi="宋体" w:cs="Calibri"/>
        </w:rPr>
        <w:t>b</w:t>
      </w:r>
      <w:r>
        <w:rPr>
          <w:rFonts w:hint="eastAsia" w:ascii="宋体" w:hAnsi="宋体"/>
        </w:rPr>
        <w:t>）对实际发生的紧急情况做出响应；</w:t>
      </w:r>
      <w:r>
        <w:rPr>
          <w:rFonts w:ascii="宋体" w:hAnsi="宋体"/>
        </w:rPr>
        <w:t xml:space="preserve"> </w:t>
      </w:r>
    </w:p>
    <w:p w14:paraId="013E4D33">
      <w:pPr>
        <w:pStyle w:val="42"/>
        <w:spacing w:line="440" w:lineRule="exact"/>
        <w:ind w:left="1140" w:leftChars="200" w:hanging="720"/>
        <w:rPr>
          <w:rFonts w:ascii="宋体" w:hAnsi="宋体"/>
        </w:rPr>
      </w:pPr>
      <w:r>
        <w:rPr>
          <w:rFonts w:ascii="宋体" w:hAnsi="宋体" w:cs="Calibri"/>
        </w:rPr>
        <w:t>c</w:t>
      </w:r>
      <w:r>
        <w:rPr>
          <w:rFonts w:hint="eastAsia" w:ascii="宋体" w:hAnsi="宋体"/>
        </w:rPr>
        <w:t>）根据紧急情况和潜在环境影响的程度，采取相适应的措施预防或减轻紧急情况带来的后果；</w:t>
      </w:r>
      <w:r>
        <w:rPr>
          <w:rFonts w:ascii="宋体" w:hAnsi="宋体"/>
        </w:rPr>
        <w:t xml:space="preserve"> </w:t>
      </w:r>
    </w:p>
    <w:p w14:paraId="2D0F660C">
      <w:pPr>
        <w:pStyle w:val="42"/>
        <w:spacing w:line="440" w:lineRule="exact"/>
        <w:ind w:firstLine="480"/>
        <w:rPr>
          <w:rFonts w:ascii="宋体" w:hAnsi="宋体"/>
        </w:rPr>
      </w:pPr>
      <w:r>
        <w:rPr>
          <w:rFonts w:ascii="宋体" w:hAnsi="宋体" w:cs="Calibri"/>
        </w:rPr>
        <w:t>d</w:t>
      </w:r>
      <w:r>
        <w:rPr>
          <w:rFonts w:hint="eastAsia" w:ascii="宋体" w:hAnsi="宋体"/>
        </w:rPr>
        <w:t>）可行时，定期试验所策划的响应措施；</w:t>
      </w:r>
      <w:r>
        <w:rPr>
          <w:rFonts w:ascii="宋体" w:hAnsi="宋体"/>
        </w:rPr>
        <w:t xml:space="preserve"> </w:t>
      </w:r>
    </w:p>
    <w:p w14:paraId="22A2642B">
      <w:pPr>
        <w:pStyle w:val="42"/>
        <w:spacing w:line="440" w:lineRule="exact"/>
        <w:ind w:firstLine="480"/>
        <w:rPr>
          <w:rFonts w:ascii="宋体" w:hAnsi="宋体"/>
        </w:rPr>
      </w:pPr>
      <w:r>
        <w:rPr>
          <w:rFonts w:ascii="宋体" w:hAnsi="宋体" w:cs="Calibri"/>
        </w:rPr>
        <w:t>e</w:t>
      </w:r>
      <w:r>
        <w:rPr>
          <w:rFonts w:hint="eastAsia" w:ascii="宋体" w:hAnsi="宋体"/>
        </w:rPr>
        <w:t>）定期评审并修订过程和策划的响应措施，特别是发生紧急情况后或进行试验后；</w:t>
      </w:r>
      <w:r>
        <w:rPr>
          <w:rFonts w:ascii="宋体" w:hAnsi="宋体"/>
        </w:rPr>
        <w:t xml:space="preserve"> </w:t>
      </w:r>
    </w:p>
    <w:p w14:paraId="08A108DE">
      <w:pPr>
        <w:tabs>
          <w:tab w:val="left" w:pos="1980"/>
        </w:tabs>
        <w:adjustRightInd w:val="0"/>
        <w:spacing w:line="440" w:lineRule="exact"/>
        <w:ind w:left="660" w:leftChars="200" w:right="-90" w:hanging="240"/>
      </w:pPr>
      <w:r>
        <w:rPr>
          <w:rFonts w:ascii="宋体" w:hAnsi="宋体" w:cs="Calibri"/>
          <w:color w:val="000000"/>
          <w:sz w:val="24"/>
        </w:rPr>
        <w:t>f</w:t>
      </w:r>
      <w:r>
        <w:rPr>
          <w:rFonts w:hint="eastAsia" w:ascii="宋体" w:hAnsi="宋体"/>
          <w:color w:val="000000"/>
          <w:sz w:val="24"/>
        </w:rPr>
        <w:t>）适用时，向有关的相关方，包括在</w:t>
      </w:r>
      <w:r>
        <w:rPr>
          <w:rFonts w:ascii="宋体" w:hAnsi="宋体"/>
          <w:color w:val="000000"/>
          <w:sz w:val="24"/>
        </w:rPr>
        <w:t>公司</w:t>
      </w:r>
      <w:r>
        <w:rPr>
          <w:rFonts w:hint="eastAsia" w:ascii="宋体" w:hAnsi="宋体"/>
          <w:color w:val="000000"/>
          <w:sz w:val="24"/>
        </w:rPr>
        <w:t>控制下工作的人员提供应急准备和响应相关的信息和培训。</w:t>
      </w:r>
    </w:p>
    <w:p w14:paraId="73527FA1">
      <w:pPr>
        <w:pStyle w:val="18"/>
        <w:rPr>
          <w:rFonts w:ascii="宋体" w:hAnsi="宋体"/>
        </w:rPr>
      </w:pPr>
      <w:bookmarkStart w:id="40" w:name="_Toc110460637"/>
      <w:r>
        <w:rPr>
          <w:rFonts w:hint="eastAsia" w:ascii="宋体" w:hAnsi="宋体"/>
        </w:rPr>
        <w:t>8.10前提方案（PRPs）</w:t>
      </w:r>
      <w:bookmarkEnd w:id="40"/>
    </w:p>
    <w:p w14:paraId="678861F1">
      <w:pPr>
        <w:spacing w:line="460" w:lineRule="exact"/>
        <w:ind w:firstLine="420" w:firstLineChars="200"/>
        <w:rPr>
          <w:rFonts w:ascii="宋体" w:hAnsi="宋体"/>
        </w:rPr>
      </w:pPr>
      <w:r>
        <w:rPr>
          <w:rFonts w:hint="eastAsia" w:ascii="宋体" w:hAnsi="宋体"/>
        </w:rPr>
        <w:t xml:space="preserve">8.10.1 </w:t>
      </w:r>
      <w:r>
        <w:rPr>
          <w:rFonts w:hint="eastAsia" w:ascii="宋体" w:hAnsi="宋体"/>
        </w:rPr>
        <w:tab/>
      </w:r>
      <w:r>
        <w:rPr>
          <w:rFonts w:hint="eastAsia" w:ascii="宋体" w:hAnsi="宋体"/>
        </w:rPr>
        <w:t>组织应建立、实施、保持并更新前提方案，有助于预防和/或减少产品、产品加工和工作环境中的污染（包括食品安全危害）。</w:t>
      </w:r>
    </w:p>
    <w:p w14:paraId="67F4862C">
      <w:pPr>
        <w:spacing w:line="460" w:lineRule="exact"/>
        <w:ind w:firstLine="420" w:firstLineChars="200"/>
        <w:rPr>
          <w:rFonts w:ascii="宋体" w:hAnsi="宋体"/>
        </w:rPr>
      </w:pPr>
      <w:r>
        <w:rPr>
          <w:rFonts w:hint="eastAsia" w:ascii="宋体" w:hAnsi="宋体"/>
        </w:rPr>
        <w:t>8.10.2</w:t>
      </w:r>
      <w:r>
        <w:rPr>
          <w:rFonts w:hint="eastAsia" w:ascii="宋体" w:hAnsi="宋体"/>
        </w:rPr>
        <w:tab/>
      </w:r>
      <w:r>
        <w:rPr>
          <w:rFonts w:hint="eastAsia" w:ascii="宋体" w:hAnsi="宋体"/>
        </w:rPr>
        <w:t>前提方案（PRP(s)）应：</w:t>
      </w:r>
    </w:p>
    <w:p w14:paraId="6DCA664C">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与组织及其有关食品安全的组织环境相适宜；</w:t>
      </w:r>
    </w:p>
    <w:p w14:paraId="7085D1F9">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与运行规模和类型以及生产和/或管理的产品性质相适宜；</w:t>
      </w:r>
    </w:p>
    <w:p w14:paraId="066F9AEB">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无论是普遍适用还是适用于特定产品或生产线，前提方案都应在整个生产系统中实施；</w:t>
      </w:r>
    </w:p>
    <w:p w14:paraId="74B05556">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获得食品安全小组批准。</w:t>
      </w:r>
    </w:p>
    <w:p w14:paraId="0D6EB013">
      <w:pPr>
        <w:spacing w:line="460" w:lineRule="exact"/>
        <w:ind w:firstLine="420" w:firstLineChars="200"/>
        <w:rPr>
          <w:rFonts w:ascii="宋体" w:hAnsi="宋体"/>
        </w:rPr>
      </w:pPr>
      <w:r>
        <w:rPr>
          <w:rFonts w:hint="eastAsia" w:ascii="宋体" w:hAnsi="宋体"/>
        </w:rPr>
        <w:t>8.2.3</w:t>
      </w:r>
      <w:r>
        <w:rPr>
          <w:rFonts w:hint="eastAsia" w:ascii="宋体" w:hAnsi="宋体"/>
        </w:rPr>
        <w:tab/>
      </w:r>
      <w:r>
        <w:rPr>
          <w:rFonts w:hint="eastAsia" w:ascii="宋体" w:hAnsi="宋体"/>
        </w:rPr>
        <w:t>当选择和/或建立前提方案时，组织应确保确定适用的法法律法规和共同商定的顾客要求。组织宜考虑：</w:t>
      </w:r>
    </w:p>
    <w:p w14:paraId="0EC5A93C">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ISO/TS 22002—系列的适用部分；</w:t>
      </w:r>
    </w:p>
    <w:p w14:paraId="3DF39AC6">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适用标准、规范和指南；</w:t>
      </w:r>
    </w:p>
    <w:p w14:paraId="68A7D6B2">
      <w:pPr>
        <w:spacing w:line="460" w:lineRule="exact"/>
        <w:ind w:firstLine="420" w:firstLineChars="200"/>
        <w:rPr>
          <w:rFonts w:ascii="宋体" w:hAnsi="宋体"/>
        </w:rPr>
      </w:pPr>
      <w:r>
        <w:rPr>
          <w:rFonts w:hint="eastAsia" w:ascii="宋体" w:hAnsi="宋体"/>
        </w:rPr>
        <w:t>8.2.4</w:t>
      </w:r>
      <w:r>
        <w:rPr>
          <w:rFonts w:hint="eastAsia" w:ascii="宋体" w:hAnsi="宋体"/>
        </w:rPr>
        <w:tab/>
      </w:r>
      <w:r>
        <w:rPr>
          <w:rFonts w:hint="eastAsia" w:ascii="宋体" w:hAnsi="宋体"/>
        </w:rPr>
        <w:t>建立前提方案时，组织应考虑下述内容：</w:t>
      </w:r>
    </w:p>
    <w:p w14:paraId="24DF39C6">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建筑物和相关设施的构造与布局；</w:t>
      </w:r>
    </w:p>
    <w:p w14:paraId="42E5A996">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包括区域划分、工作空间和员工设施在内的厂房布局；</w:t>
      </w:r>
    </w:p>
    <w:p w14:paraId="4B1F33EE">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空气、水、能源和其他基础条件的供给；</w:t>
      </w:r>
    </w:p>
    <w:p w14:paraId="4B586A6A">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包括虫害控制、废弃物和污水处理在内的支持性服务；</w:t>
      </w:r>
    </w:p>
    <w:p w14:paraId="433A3D59">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设备的适宜性，及其清洁、保养和预防性维护的可实现性；</w:t>
      </w:r>
    </w:p>
    <w:p w14:paraId="358236D8">
      <w:pPr>
        <w:spacing w:line="460" w:lineRule="exact"/>
        <w:ind w:firstLine="420" w:firstLineChars="200"/>
        <w:rPr>
          <w:rFonts w:ascii="宋体" w:hAnsi="宋体"/>
        </w:rPr>
      </w:pPr>
      <w:r>
        <w:rPr>
          <w:rFonts w:hint="eastAsia" w:ascii="宋体" w:hAnsi="宋体"/>
        </w:rPr>
        <w:t>f）</w:t>
      </w:r>
      <w:r>
        <w:rPr>
          <w:rFonts w:hint="eastAsia" w:ascii="宋体" w:hAnsi="宋体"/>
        </w:rPr>
        <w:tab/>
      </w:r>
      <w:r>
        <w:rPr>
          <w:rFonts w:hint="eastAsia" w:ascii="宋体" w:hAnsi="宋体"/>
        </w:rPr>
        <w:t>供应商批准和保证过程（如：原材料、辅料、化学品和包装）；</w:t>
      </w:r>
    </w:p>
    <w:p w14:paraId="1F0A8A22">
      <w:pPr>
        <w:spacing w:line="460" w:lineRule="exact"/>
        <w:ind w:firstLine="420" w:firstLineChars="200"/>
        <w:rPr>
          <w:rFonts w:ascii="宋体" w:hAnsi="宋体"/>
        </w:rPr>
      </w:pPr>
      <w:r>
        <w:rPr>
          <w:rFonts w:hint="eastAsia" w:ascii="宋体" w:hAnsi="宋体"/>
        </w:rPr>
        <w:t>g）</w:t>
      </w:r>
      <w:r>
        <w:rPr>
          <w:rFonts w:hint="eastAsia" w:ascii="宋体" w:hAnsi="宋体"/>
        </w:rPr>
        <w:tab/>
      </w:r>
      <w:r>
        <w:rPr>
          <w:rFonts w:hint="eastAsia" w:ascii="宋体" w:hAnsi="宋体"/>
        </w:rPr>
        <w:t>来料接收、产品储存、生产、运输和搬运；</w:t>
      </w:r>
    </w:p>
    <w:p w14:paraId="5D9E2419">
      <w:pPr>
        <w:spacing w:line="460" w:lineRule="exact"/>
        <w:ind w:firstLine="420" w:firstLineChars="200"/>
        <w:rPr>
          <w:rFonts w:ascii="宋体" w:hAnsi="宋体"/>
        </w:rPr>
      </w:pPr>
      <w:r>
        <w:rPr>
          <w:rFonts w:hint="eastAsia" w:ascii="宋体" w:hAnsi="宋体"/>
        </w:rPr>
        <w:t>h）</w:t>
      </w:r>
      <w:r>
        <w:rPr>
          <w:rFonts w:hint="eastAsia" w:ascii="宋体" w:hAnsi="宋体"/>
        </w:rPr>
        <w:tab/>
      </w:r>
      <w:r>
        <w:rPr>
          <w:rFonts w:hint="eastAsia" w:ascii="宋体" w:hAnsi="宋体"/>
        </w:rPr>
        <w:t>交叉污染的预防措施；</w:t>
      </w:r>
    </w:p>
    <w:p w14:paraId="02FA67CE">
      <w:pPr>
        <w:spacing w:line="460" w:lineRule="exact"/>
        <w:ind w:firstLine="420" w:firstLineChars="200"/>
        <w:rPr>
          <w:rFonts w:ascii="宋体" w:hAnsi="宋体"/>
        </w:rPr>
      </w:pPr>
      <w:r>
        <w:rPr>
          <w:rFonts w:hint="eastAsia" w:ascii="宋体" w:hAnsi="宋体"/>
        </w:rPr>
        <w:t>i）</w:t>
      </w:r>
      <w:r>
        <w:rPr>
          <w:rFonts w:hint="eastAsia" w:ascii="宋体" w:hAnsi="宋体"/>
        </w:rPr>
        <w:tab/>
      </w:r>
      <w:r>
        <w:rPr>
          <w:rFonts w:hint="eastAsia" w:ascii="宋体" w:hAnsi="宋体"/>
        </w:rPr>
        <w:t>清洁和消毒；</w:t>
      </w:r>
    </w:p>
    <w:p w14:paraId="512C32D7">
      <w:pPr>
        <w:spacing w:line="460" w:lineRule="exact"/>
        <w:ind w:firstLine="420" w:firstLineChars="200"/>
        <w:rPr>
          <w:rFonts w:ascii="宋体" w:hAnsi="宋体"/>
        </w:rPr>
      </w:pPr>
      <w:r>
        <w:rPr>
          <w:rFonts w:hint="eastAsia" w:ascii="宋体" w:hAnsi="宋体"/>
        </w:rPr>
        <w:t>j）</w:t>
      </w:r>
      <w:r>
        <w:rPr>
          <w:rFonts w:hint="eastAsia" w:ascii="宋体" w:hAnsi="宋体"/>
        </w:rPr>
        <w:tab/>
      </w:r>
      <w:r>
        <w:rPr>
          <w:rFonts w:hint="eastAsia" w:ascii="宋体" w:hAnsi="宋体"/>
        </w:rPr>
        <w:t>人员卫生；</w:t>
      </w:r>
    </w:p>
    <w:p w14:paraId="565205B9">
      <w:pPr>
        <w:spacing w:line="460" w:lineRule="exact"/>
        <w:ind w:firstLine="420" w:firstLineChars="200"/>
        <w:rPr>
          <w:rFonts w:ascii="宋体" w:hAnsi="宋体"/>
        </w:rPr>
      </w:pPr>
      <w:r>
        <w:rPr>
          <w:rFonts w:hint="eastAsia" w:ascii="宋体" w:hAnsi="宋体"/>
        </w:rPr>
        <w:t>k）</w:t>
      </w:r>
      <w:r>
        <w:rPr>
          <w:rFonts w:hint="eastAsia" w:ascii="宋体" w:hAnsi="宋体"/>
        </w:rPr>
        <w:tab/>
      </w:r>
      <w:r>
        <w:rPr>
          <w:rFonts w:hint="eastAsia" w:ascii="宋体" w:hAnsi="宋体"/>
        </w:rPr>
        <w:t>产品信息/消费者意识；</w:t>
      </w:r>
    </w:p>
    <w:p w14:paraId="7DCA6467">
      <w:pPr>
        <w:spacing w:line="460" w:lineRule="exact"/>
        <w:ind w:firstLine="420" w:firstLineChars="200"/>
        <w:rPr>
          <w:rFonts w:ascii="宋体" w:hAnsi="宋体"/>
        </w:rPr>
      </w:pPr>
      <w:r>
        <w:rPr>
          <w:rFonts w:hint="eastAsia" w:ascii="宋体" w:hAnsi="宋体"/>
        </w:rPr>
        <w:t>l）</w:t>
      </w:r>
      <w:r>
        <w:rPr>
          <w:rFonts w:hint="eastAsia" w:ascii="宋体" w:hAnsi="宋体"/>
        </w:rPr>
        <w:tab/>
      </w:r>
      <w:r>
        <w:rPr>
          <w:rFonts w:hint="eastAsia" w:ascii="宋体" w:hAnsi="宋体"/>
        </w:rPr>
        <w:t>其它适宜内容。</w:t>
      </w:r>
    </w:p>
    <w:p w14:paraId="66F4B185">
      <w:pPr>
        <w:spacing w:line="460" w:lineRule="exact"/>
        <w:ind w:firstLine="420" w:firstLineChars="200"/>
        <w:rPr>
          <w:rFonts w:ascii="宋体" w:hAnsi="宋体"/>
        </w:rPr>
      </w:pPr>
      <w:r>
        <w:rPr>
          <w:rFonts w:hint="eastAsia" w:ascii="宋体" w:hAnsi="宋体"/>
        </w:rPr>
        <w:t>成文信息应规定前提方案的选择、建立、适用的监视和验证。</w:t>
      </w:r>
    </w:p>
    <w:p w14:paraId="5718B97D">
      <w:pPr>
        <w:pStyle w:val="18"/>
        <w:rPr>
          <w:rFonts w:ascii="宋体" w:hAnsi="宋体"/>
        </w:rPr>
      </w:pPr>
      <w:bookmarkStart w:id="41" w:name="_Toc110460638"/>
      <w:r>
        <w:rPr>
          <w:rFonts w:hint="eastAsia" w:ascii="宋体" w:hAnsi="宋体"/>
        </w:rPr>
        <w:t>8.11追溯系统</w:t>
      </w:r>
      <w:bookmarkEnd w:id="41"/>
    </w:p>
    <w:p w14:paraId="6729CA9D">
      <w:pPr>
        <w:spacing w:line="460" w:lineRule="exact"/>
        <w:ind w:firstLine="420" w:firstLineChars="200"/>
        <w:rPr>
          <w:rFonts w:ascii="宋体" w:hAnsi="宋体"/>
        </w:rPr>
      </w:pPr>
      <w:r>
        <w:rPr>
          <w:rFonts w:hint="eastAsia" w:ascii="宋体" w:hAnsi="宋体"/>
        </w:rPr>
        <w:t>可追溯性系统应能够唯一地识别来自供应商的进料和终产品的分销路线的第一阶段。</w:t>
      </w:r>
    </w:p>
    <w:p w14:paraId="7213627D">
      <w:pPr>
        <w:spacing w:line="460" w:lineRule="exact"/>
        <w:ind w:firstLine="420" w:firstLineChars="200"/>
        <w:rPr>
          <w:rFonts w:ascii="宋体" w:hAnsi="宋体"/>
        </w:rPr>
      </w:pPr>
      <w:r>
        <w:rPr>
          <w:rFonts w:hint="eastAsia" w:ascii="宋体" w:hAnsi="宋体"/>
        </w:rPr>
        <w:t>建立和实施追溯体系时，至少应考虑下述内容：</w:t>
      </w:r>
    </w:p>
    <w:p w14:paraId="7BE68C7A">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接收材料、辅料和中间产品的批次与终产品的关系；</w:t>
      </w:r>
    </w:p>
    <w:p w14:paraId="7891A213">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材料/产品的返工；</w:t>
      </w:r>
    </w:p>
    <w:p w14:paraId="6C13D18E">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终产品分销；</w:t>
      </w:r>
    </w:p>
    <w:p w14:paraId="0A5A133C">
      <w:pPr>
        <w:spacing w:line="460" w:lineRule="exact"/>
        <w:ind w:firstLine="420" w:firstLineChars="200"/>
        <w:rPr>
          <w:rFonts w:ascii="宋体" w:hAnsi="宋体"/>
        </w:rPr>
      </w:pPr>
      <w:r>
        <w:rPr>
          <w:rFonts w:hint="eastAsia" w:ascii="宋体" w:hAnsi="宋体"/>
        </w:rPr>
        <w:t>组织应确保确定适用的法律法规和顾客要求。</w:t>
      </w:r>
    </w:p>
    <w:p w14:paraId="3001C00E">
      <w:pPr>
        <w:spacing w:line="460" w:lineRule="exact"/>
        <w:ind w:firstLine="420" w:firstLineChars="200"/>
        <w:rPr>
          <w:rFonts w:ascii="宋体" w:hAnsi="宋体"/>
        </w:rPr>
      </w:pPr>
      <w:r>
        <w:rPr>
          <w:rFonts w:hint="eastAsia" w:ascii="宋体" w:hAnsi="宋体"/>
        </w:rPr>
        <w:t>作为追溯体系的证据的成文信息应保留一定时间。保留时间至少为终产品的保质期。组织应验证并测试追溯体系的有效性。</w:t>
      </w:r>
    </w:p>
    <w:p w14:paraId="299CDD0A">
      <w:pPr>
        <w:pStyle w:val="18"/>
        <w:rPr>
          <w:rFonts w:ascii="宋体" w:hAnsi="宋体"/>
        </w:rPr>
      </w:pPr>
      <w:bookmarkStart w:id="42" w:name="_Toc110460639"/>
      <w:r>
        <w:rPr>
          <w:rFonts w:hint="eastAsia" w:ascii="宋体" w:hAnsi="宋体"/>
        </w:rPr>
        <w:t>8.12应急准备和响应</w:t>
      </w:r>
      <w:bookmarkEnd w:id="42"/>
    </w:p>
    <w:p w14:paraId="6079BE79">
      <w:pPr>
        <w:spacing w:line="460" w:lineRule="exact"/>
        <w:ind w:firstLine="420" w:firstLineChars="200"/>
        <w:rPr>
          <w:rFonts w:ascii="宋体" w:hAnsi="宋体"/>
        </w:rPr>
      </w:pPr>
      <w:r>
        <w:rPr>
          <w:rFonts w:hint="eastAsia" w:ascii="宋体" w:hAnsi="宋体"/>
        </w:rPr>
        <w:t>8.4.1</w:t>
      </w:r>
      <w:r>
        <w:rPr>
          <w:rFonts w:hint="eastAsia" w:ascii="宋体" w:hAnsi="宋体"/>
        </w:rPr>
        <w:tab/>
      </w:r>
      <w:r>
        <w:rPr>
          <w:rFonts w:hint="eastAsia" w:ascii="宋体" w:hAnsi="宋体"/>
        </w:rPr>
        <w:t>总则</w:t>
      </w:r>
    </w:p>
    <w:p w14:paraId="1F3C8ED8">
      <w:pPr>
        <w:spacing w:line="460" w:lineRule="exact"/>
        <w:ind w:firstLine="420" w:firstLineChars="200"/>
        <w:rPr>
          <w:rFonts w:ascii="宋体" w:hAnsi="宋体"/>
        </w:rPr>
      </w:pPr>
      <w:r>
        <w:rPr>
          <w:rFonts w:hint="eastAsia" w:ascii="宋体" w:hAnsi="宋体"/>
        </w:rPr>
        <w:t>最高管理者应确保制定程序，以响应可能对与组织在食物链中的作用相关的食品安全产生影响的潜在紧急情况或事件。</w:t>
      </w:r>
    </w:p>
    <w:p w14:paraId="3FD809B4">
      <w:pPr>
        <w:spacing w:line="460" w:lineRule="exact"/>
        <w:ind w:firstLine="420" w:firstLineChars="200"/>
        <w:rPr>
          <w:rFonts w:ascii="宋体" w:hAnsi="宋体"/>
        </w:rPr>
      </w:pPr>
      <w:r>
        <w:rPr>
          <w:rFonts w:hint="eastAsia" w:ascii="宋体" w:hAnsi="宋体"/>
        </w:rPr>
        <w:t>应建立和保持成文信息，以管理这些潜在紧急情况和事件。</w:t>
      </w:r>
    </w:p>
    <w:p w14:paraId="6105F685">
      <w:pPr>
        <w:spacing w:line="460" w:lineRule="exact"/>
        <w:ind w:firstLine="420" w:firstLineChars="200"/>
        <w:rPr>
          <w:rFonts w:ascii="宋体" w:hAnsi="宋体"/>
        </w:rPr>
      </w:pPr>
      <w:r>
        <w:rPr>
          <w:rFonts w:hint="eastAsia" w:ascii="宋体" w:hAnsi="宋体"/>
        </w:rPr>
        <w:t>8.4.2</w:t>
      </w:r>
      <w:r>
        <w:rPr>
          <w:rFonts w:hint="eastAsia" w:ascii="宋体" w:hAnsi="宋体"/>
        </w:rPr>
        <w:tab/>
      </w:r>
      <w:r>
        <w:rPr>
          <w:rFonts w:hint="eastAsia" w:ascii="宋体" w:hAnsi="宋体"/>
        </w:rPr>
        <w:t>紧急情况和事件的处理</w:t>
      </w:r>
    </w:p>
    <w:p w14:paraId="35E25340">
      <w:pPr>
        <w:spacing w:line="460" w:lineRule="exact"/>
        <w:ind w:firstLine="420" w:firstLineChars="200"/>
        <w:rPr>
          <w:rFonts w:ascii="宋体" w:hAnsi="宋体"/>
        </w:rPr>
      </w:pPr>
      <w:r>
        <w:rPr>
          <w:rFonts w:hint="eastAsia" w:ascii="宋体" w:hAnsi="宋体"/>
        </w:rPr>
        <w:t>组织应：</w:t>
      </w:r>
    </w:p>
    <w:p w14:paraId="554EE206">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通过以下方式，响应紧急情况和事件：</w:t>
      </w:r>
    </w:p>
    <w:p w14:paraId="1D66F876">
      <w:pPr>
        <w:spacing w:line="460" w:lineRule="exact"/>
        <w:ind w:firstLine="420" w:firstLineChars="200"/>
        <w:rPr>
          <w:rFonts w:ascii="宋体" w:hAnsi="宋体"/>
        </w:rPr>
      </w:pPr>
      <w:r>
        <w:rPr>
          <w:rFonts w:hint="eastAsia" w:ascii="宋体" w:hAnsi="宋体"/>
        </w:rPr>
        <w:t>1）</w:t>
      </w:r>
      <w:r>
        <w:rPr>
          <w:rFonts w:hint="eastAsia" w:ascii="宋体" w:hAnsi="宋体"/>
        </w:rPr>
        <w:tab/>
      </w:r>
      <w:r>
        <w:rPr>
          <w:rFonts w:hint="eastAsia" w:ascii="宋体" w:hAnsi="宋体"/>
        </w:rPr>
        <w:t>确保识别适用的法律法规要求；</w:t>
      </w:r>
    </w:p>
    <w:p w14:paraId="0C6AF710">
      <w:pPr>
        <w:spacing w:line="460" w:lineRule="exact"/>
        <w:ind w:firstLine="420" w:firstLineChars="200"/>
        <w:rPr>
          <w:rFonts w:ascii="宋体" w:hAnsi="宋体"/>
        </w:rPr>
      </w:pPr>
      <w:r>
        <w:rPr>
          <w:rFonts w:hint="eastAsia" w:ascii="宋体" w:hAnsi="宋体"/>
        </w:rPr>
        <w:t>2）</w:t>
      </w:r>
      <w:r>
        <w:rPr>
          <w:rFonts w:hint="eastAsia" w:ascii="宋体" w:hAnsi="宋体"/>
        </w:rPr>
        <w:tab/>
      </w:r>
      <w:r>
        <w:rPr>
          <w:rFonts w:hint="eastAsia" w:ascii="宋体" w:hAnsi="宋体"/>
        </w:rPr>
        <w:t>内部沟通；</w:t>
      </w:r>
    </w:p>
    <w:p w14:paraId="2D04762F">
      <w:pPr>
        <w:spacing w:line="460" w:lineRule="exact"/>
        <w:ind w:firstLine="420" w:firstLineChars="200"/>
        <w:rPr>
          <w:rFonts w:ascii="宋体" w:hAnsi="宋体"/>
        </w:rPr>
      </w:pPr>
      <w:r>
        <w:rPr>
          <w:rFonts w:hint="eastAsia" w:ascii="宋体" w:hAnsi="宋体"/>
        </w:rPr>
        <w:t>3）</w:t>
      </w:r>
      <w:r>
        <w:rPr>
          <w:rFonts w:hint="eastAsia" w:ascii="宋体" w:hAnsi="宋体"/>
        </w:rPr>
        <w:tab/>
      </w:r>
      <w:r>
        <w:rPr>
          <w:rFonts w:hint="eastAsia" w:ascii="宋体" w:hAnsi="宋体"/>
        </w:rPr>
        <w:t>外部沟通（如：供应、顾客、主管部门、媒体）；</w:t>
      </w:r>
    </w:p>
    <w:p w14:paraId="52D077EB">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采取措施以降低紧急情况带来的后果，使紧急情况或事件的程度和潜在食品安全影响相适宜；</w:t>
      </w:r>
    </w:p>
    <w:p w14:paraId="3C950CBF">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可行时，定期测试程序；</w:t>
      </w:r>
    </w:p>
    <w:p w14:paraId="4A36517B">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必要时，评审和更新成文信息，尤其是在发生任何事件、紧急情况或进行测试后。</w:t>
      </w:r>
    </w:p>
    <w:p w14:paraId="2B28BB25">
      <w:pPr>
        <w:pStyle w:val="18"/>
        <w:rPr>
          <w:rFonts w:ascii="宋体" w:hAnsi="宋体"/>
        </w:rPr>
      </w:pPr>
      <w:bookmarkStart w:id="43" w:name="_Toc110460640"/>
      <w:r>
        <w:rPr>
          <w:rFonts w:hint="eastAsia" w:ascii="宋体" w:hAnsi="宋体"/>
        </w:rPr>
        <w:t>8.13危害控制</w:t>
      </w:r>
      <w:bookmarkEnd w:id="43"/>
    </w:p>
    <w:p w14:paraId="0914F0E9">
      <w:pPr>
        <w:pStyle w:val="5"/>
        <w:rPr>
          <w:rFonts w:ascii="宋体" w:hAnsi="宋体"/>
        </w:rPr>
      </w:pPr>
      <w:bookmarkStart w:id="44" w:name="_Toc110460641"/>
      <w:r>
        <w:rPr>
          <w:rFonts w:hint="eastAsia" w:ascii="宋体" w:hAnsi="宋体"/>
        </w:rPr>
        <w:t>8.13.1</w:t>
      </w:r>
      <w:r>
        <w:rPr>
          <w:rFonts w:hint="eastAsia" w:ascii="宋体" w:hAnsi="宋体"/>
        </w:rPr>
        <w:tab/>
      </w:r>
      <w:r>
        <w:rPr>
          <w:rFonts w:hint="eastAsia" w:ascii="宋体" w:hAnsi="宋体"/>
        </w:rPr>
        <w:t>实施危害分析的预备步骤</w:t>
      </w:r>
      <w:bookmarkEnd w:id="44"/>
    </w:p>
    <w:p w14:paraId="27BFE744">
      <w:pPr>
        <w:spacing w:line="460" w:lineRule="exact"/>
        <w:ind w:firstLine="420" w:firstLineChars="200"/>
        <w:rPr>
          <w:rFonts w:ascii="宋体" w:hAnsi="宋体"/>
        </w:rPr>
      </w:pPr>
      <w:r>
        <w:rPr>
          <w:rFonts w:hint="eastAsia" w:ascii="宋体" w:hAnsi="宋体"/>
        </w:rPr>
        <w:t>8.13.1.1总则</w:t>
      </w:r>
    </w:p>
    <w:p w14:paraId="42B111F8">
      <w:pPr>
        <w:spacing w:line="460" w:lineRule="exact"/>
        <w:ind w:firstLine="420" w:firstLineChars="200"/>
        <w:rPr>
          <w:rFonts w:ascii="宋体" w:hAnsi="宋体"/>
        </w:rPr>
      </w:pPr>
      <w:r>
        <w:rPr>
          <w:rFonts w:hint="eastAsia" w:ascii="宋体" w:hAnsi="宋体"/>
        </w:rPr>
        <w:t>为进行危害分析，食品安全小组应收集、保持和更新预备信息。包括但不限于：</w:t>
      </w:r>
    </w:p>
    <w:p w14:paraId="40C4616B">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 xml:space="preserve">适用法律法规要求和顾客要求； </w:t>
      </w:r>
    </w:p>
    <w:p w14:paraId="05B4742D">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组织的产品、过程、设备；</w:t>
      </w:r>
    </w:p>
    <w:p w14:paraId="6C8A1680">
      <w:pPr>
        <w:spacing w:line="460" w:lineRule="exact"/>
        <w:ind w:firstLine="420" w:firstLineChars="200"/>
        <w:rPr>
          <w:rFonts w:ascii="宋体" w:hAnsi="宋体"/>
        </w:rPr>
      </w:pPr>
      <w:r>
        <w:rPr>
          <w:rFonts w:hint="eastAsia" w:ascii="宋体" w:hAnsi="宋体"/>
        </w:rPr>
        <w:t>c)   食品安全管理体系、HACCP体系有关的食品安全危害。</w:t>
      </w:r>
    </w:p>
    <w:p w14:paraId="7448D160">
      <w:pPr>
        <w:spacing w:line="460" w:lineRule="exact"/>
        <w:ind w:firstLine="420" w:firstLineChars="200"/>
        <w:rPr>
          <w:rFonts w:ascii="宋体" w:hAnsi="宋体"/>
        </w:rPr>
      </w:pPr>
      <w:r>
        <w:rPr>
          <w:rFonts w:hint="eastAsia" w:ascii="宋体" w:hAnsi="宋体"/>
        </w:rPr>
        <w:t>8.13.1.2</w:t>
      </w:r>
      <w:r>
        <w:rPr>
          <w:rFonts w:hint="eastAsia" w:ascii="宋体" w:hAnsi="宋体"/>
        </w:rPr>
        <w:tab/>
      </w:r>
      <w:r>
        <w:rPr>
          <w:rFonts w:hint="eastAsia" w:ascii="宋体" w:hAnsi="宋体"/>
        </w:rPr>
        <w:t>原材料、辅料和产品接触材料的特性</w:t>
      </w:r>
    </w:p>
    <w:p w14:paraId="2758F6AB">
      <w:pPr>
        <w:spacing w:line="460" w:lineRule="exact"/>
        <w:ind w:firstLine="420" w:firstLineChars="200"/>
        <w:rPr>
          <w:rFonts w:ascii="宋体" w:hAnsi="宋体"/>
        </w:rPr>
      </w:pPr>
      <w:r>
        <w:rPr>
          <w:rFonts w:hint="eastAsia" w:ascii="宋体" w:hAnsi="宋体"/>
        </w:rPr>
        <w:t>组织应确保识别出所有原材料、辅料和产品接触材料的适用法律法规食品安全要求。</w:t>
      </w:r>
    </w:p>
    <w:p w14:paraId="0EE040D7">
      <w:pPr>
        <w:spacing w:line="460" w:lineRule="exact"/>
        <w:ind w:firstLine="420" w:firstLineChars="200"/>
        <w:rPr>
          <w:rFonts w:ascii="宋体" w:hAnsi="宋体"/>
        </w:rPr>
      </w:pPr>
      <w:r>
        <w:rPr>
          <w:rFonts w:hint="eastAsia" w:ascii="宋体" w:hAnsi="宋体"/>
        </w:rPr>
        <w:t>组织应在进行危害分析所需的范围内保持所有原材料、辅料和产品接触材料有关的成文信息，适宜时，包括下述内容：</w:t>
      </w:r>
    </w:p>
    <w:p w14:paraId="7FFE5764">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生物、化学和物理特性；</w:t>
      </w:r>
    </w:p>
    <w:p w14:paraId="2F6A16D2">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配制辅料的组成，包括添加剂和加工助剂；</w:t>
      </w:r>
    </w:p>
    <w:p w14:paraId="0B79F6E3">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来源（如动物、矿物质或植物）;；</w:t>
      </w:r>
    </w:p>
    <w:p w14:paraId="22DB2F9B">
      <w:pPr>
        <w:spacing w:line="460" w:lineRule="exact"/>
        <w:ind w:firstLine="420" w:firstLineChars="200"/>
        <w:rPr>
          <w:rFonts w:ascii="宋体" w:hAnsi="宋体"/>
        </w:rPr>
      </w:pPr>
      <w:r>
        <w:rPr>
          <w:rFonts w:hint="eastAsia" w:ascii="宋体" w:hAnsi="宋体"/>
        </w:rPr>
        <w:t>d）原产地（出处）;</w:t>
      </w:r>
    </w:p>
    <w:p w14:paraId="0CAD6D46">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 xml:space="preserve">生产方法； </w:t>
      </w:r>
    </w:p>
    <w:p w14:paraId="19D2FD94">
      <w:pPr>
        <w:spacing w:line="460" w:lineRule="exact"/>
        <w:ind w:firstLine="420" w:firstLineChars="200"/>
        <w:rPr>
          <w:rFonts w:ascii="宋体" w:hAnsi="宋体"/>
        </w:rPr>
      </w:pPr>
      <w:r>
        <w:rPr>
          <w:rFonts w:hint="eastAsia" w:ascii="宋体" w:hAnsi="宋体"/>
        </w:rPr>
        <w:t>f）</w:t>
      </w:r>
      <w:r>
        <w:rPr>
          <w:rFonts w:hint="eastAsia" w:ascii="宋体" w:hAnsi="宋体"/>
        </w:rPr>
        <w:tab/>
      </w:r>
      <w:r>
        <w:rPr>
          <w:rFonts w:hint="eastAsia" w:ascii="宋体" w:hAnsi="宋体"/>
        </w:rPr>
        <w:t xml:space="preserve">包装和交付方式； </w:t>
      </w:r>
    </w:p>
    <w:p w14:paraId="60A98997">
      <w:pPr>
        <w:spacing w:line="460" w:lineRule="exact"/>
        <w:ind w:firstLine="420" w:firstLineChars="200"/>
        <w:rPr>
          <w:rFonts w:ascii="宋体" w:hAnsi="宋体"/>
        </w:rPr>
      </w:pPr>
      <w:r>
        <w:rPr>
          <w:rFonts w:hint="eastAsia" w:ascii="宋体" w:hAnsi="宋体"/>
        </w:rPr>
        <w:t>g）</w:t>
      </w:r>
      <w:r>
        <w:rPr>
          <w:rFonts w:hint="eastAsia" w:ascii="宋体" w:hAnsi="宋体"/>
        </w:rPr>
        <w:tab/>
      </w:r>
      <w:r>
        <w:rPr>
          <w:rFonts w:hint="eastAsia" w:ascii="宋体" w:hAnsi="宋体"/>
        </w:rPr>
        <w:t xml:space="preserve">贮存条件和保质期； </w:t>
      </w:r>
    </w:p>
    <w:p w14:paraId="2B236B6E">
      <w:pPr>
        <w:spacing w:line="460" w:lineRule="exact"/>
        <w:ind w:firstLine="420" w:firstLineChars="200"/>
        <w:rPr>
          <w:rFonts w:ascii="宋体" w:hAnsi="宋体"/>
        </w:rPr>
      </w:pPr>
      <w:r>
        <w:rPr>
          <w:rFonts w:hint="eastAsia" w:ascii="宋体" w:hAnsi="宋体"/>
        </w:rPr>
        <w:t>h）</w:t>
      </w:r>
      <w:r>
        <w:rPr>
          <w:rFonts w:hint="eastAsia" w:ascii="宋体" w:hAnsi="宋体"/>
        </w:rPr>
        <w:tab/>
      </w:r>
      <w:r>
        <w:rPr>
          <w:rFonts w:hint="eastAsia" w:ascii="宋体" w:hAnsi="宋体"/>
        </w:rPr>
        <w:t xml:space="preserve">使用或生产前的预处理； </w:t>
      </w:r>
    </w:p>
    <w:p w14:paraId="190601E8">
      <w:pPr>
        <w:spacing w:line="460" w:lineRule="exact"/>
        <w:ind w:firstLine="420" w:firstLineChars="200"/>
        <w:rPr>
          <w:rFonts w:ascii="宋体" w:hAnsi="宋体"/>
        </w:rPr>
      </w:pPr>
      <w:r>
        <w:rPr>
          <w:rFonts w:hint="eastAsia" w:ascii="宋体" w:hAnsi="宋体"/>
        </w:rPr>
        <w:t>I）与采购材料和辅料预期用途相适宜的有关食品安全的接收准则或规范。</w:t>
      </w:r>
    </w:p>
    <w:p w14:paraId="39516077">
      <w:pPr>
        <w:spacing w:line="460" w:lineRule="exact"/>
        <w:ind w:firstLine="420" w:firstLineChars="200"/>
        <w:rPr>
          <w:rFonts w:ascii="宋体" w:hAnsi="宋体"/>
        </w:rPr>
      </w:pPr>
      <w:r>
        <w:rPr>
          <w:rFonts w:hint="eastAsia" w:ascii="宋体" w:hAnsi="宋体"/>
        </w:rPr>
        <w:t>8.13.1.3</w:t>
      </w:r>
      <w:r>
        <w:rPr>
          <w:rFonts w:hint="eastAsia" w:ascii="宋体" w:hAnsi="宋体"/>
        </w:rPr>
        <w:tab/>
      </w:r>
      <w:r>
        <w:rPr>
          <w:rFonts w:hint="eastAsia" w:ascii="宋体" w:hAnsi="宋体"/>
        </w:rPr>
        <w:t>终产品特性</w:t>
      </w:r>
    </w:p>
    <w:p w14:paraId="0B7289D8">
      <w:pPr>
        <w:spacing w:line="460" w:lineRule="exact"/>
        <w:ind w:firstLine="420" w:firstLineChars="200"/>
        <w:rPr>
          <w:rFonts w:ascii="宋体" w:hAnsi="宋体"/>
        </w:rPr>
      </w:pPr>
      <w:r>
        <w:rPr>
          <w:rFonts w:hint="eastAsia" w:ascii="宋体" w:hAnsi="宋体"/>
        </w:rPr>
        <w:t>组织应确保为所有要生产的终产品确定所有适用的法律法规食品安全要求。</w:t>
      </w:r>
    </w:p>
    <w:p w14:paraId="74B9B566">
      <w:pPr>
        <w:spacing w:line="460" w:lineRule="exact"/>
        <w:ind w:firstLine="420" w:firstLineChars="200"/>
        <w:rPr>
          <w:rFonts w:ascii="宋体" w:hAnsi="宋体"/>
        </w:rPr>
      </w:pPr>
      <w:r>
        <w:rPr>
          <w:rFonts w:hint="eastAsia" w:ascii="宋体" w:hAnsi="宋体"/>
        </w:rPr>
        <w:t>组织应在进行危害分析所需的范围内保持终产品特性有关的成文信息，适宜时，包括下述内容：</w:t>
      </w:r>
    </w:p>
    <w:p w14:paraId="01AFF3A1">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产品名称或类似标识；</w:t>
      </w:r>
    </w:p>
    <w:p w14:paraId="26A108A9">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成分；</w:t>
      </w:r>
    </w:p>
    <w:p w14:paraId="3EA91787">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与食品安全相关生物、化学和物理特性；</w:t>
      </w:r>
    </w:p>
    <w:p w14:paraId="0F7BA85F">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预期保质期和贮存条件；</w:t>
      </w:r>
    </w:p>
    <w:p w14:paraId="2F7D2E92">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包装；</w:t>
      </w:r>
    </w:p>
    <w:p w14:paraId="08379290">
      <w:pPr>
        <w:spacing w:line="460" w:lineRule="exact"/>
        <w:ind w:firstLine="420" w:firstLineChars="200"/>
        <w:rPr>
          <w:rFonts w:ascii="宋体" w:hAnsi="宋体"/>
        </w:rPr>
      </w:pPr>
      <w:r>
        <w:rPr>
          <w:rFonts w:hint="eastAsia" w:ascii="宋体" w:hAnsi="宋体"/>
        </w:rPr>
        <w:t>f）与食品安全有关的标识，和（或）处理、制备及预期用途的说明书；</w:t>
      </w:r>
    </w:p>
    <w:p w14:paraId="190945B9">
      <w:pPr>
        <w:spacing w:line="460" w:lineRule="exact"/>
        <w:ind w:firstLine="420" w:firstLineChars="200"/>
        <w:rPr>
          <w:rFonts w:ascii="宋体" w:hAnsi="宋体"/>
        </w:rPr>
      </w:pPr>
      <w:r>
        <w:rPr>
          <w:rFonts w:hint="eastAsia" w:ascii="宋体" w:hAnsi="宋体"/>
        </w:rPr>
        <w:t>g）</w:t>
      </w:r>
      <w:r>
        <w:rPr>
          <w:rFonts w:hint="eastAsia" w:ascii="宋体" w:hAnsi="宋体"/>
        </w:rPr>
        <w:tab/>
      </w:r>
      <w:r>
        <w:rPr>
          <w:rFonts w:hint="eastAsia" w:ascii="宋体" w:hAnsi="宋体"/>
        </w:rPr>
        <w:t>分销和交付方式。</w:t>
      </w:r>
    </w:p>
    <w:p w14:paraId="0ECACD72">
      <w:pPr>
        <w:spacing w:line="460" w:lineRule="exact"/>
        <w:ind w:firstLine="420" w:firstLineChars="200"/>
        <w:rPr>
          <w:rFonts w:ascii="宋体" w:hAnsi="宋体"/>
        </w:rPr>
      </w:pPr>
      <w:r>
        <w:rPr>
          <w:rFonts w:hint="eastAsia" w:ascii="宋体" w:hAnsi="宋体"/>
        </w:rPr>
        <w:t>8.13.1.4</w:t>
      </w:r>
      <w:r>
        <w:rPr>
          <w:rFonts w:hint="eastAsia" w:ascii="宋体" w:hAnsi="宋体"/>
        </w:rPr>
        <w:tab/>
      </w:r>
      <w:r>
        <w:rPr>
          <w:rFonts w:hint="eastAsia" w:ascii="宋体" w:hAnsi="宋体"/>
        </w:rPr>
        <w:t>预期用途</w:t>
      </w:r>
    </w:p>
    <w:p w14:paraId="5F647A1E">
      <w:pPr>
        <w:spacing w:line="460" w:lineRule="exact"/>
        <w:ind w:firstLine="420" w:firstLineChars="200"/>
        <w:rPr>
          <w:rFonts w:ascii="宋体" w:hAnsi="宋体"/>
        </w:rPr>
      </w:pPr>
      <w:r>
        <w:rPr>
          <w:rFonts w:hint="eastAsia" w:ascii="宋体" w:hAnsi="宋体"/>
        </w:rPr>
        <w:t>预期用途（包括合理预期的终产品处理）和任何非预期用途（但合理预期对终产品的错误处理和错误使用）应予以考虑，并作为进行危害分析所需的范围内的成文信息予以保持。</w:t>
      </w:r>
    </w:p>
    <w:p w14:paraId="4A9ECEE4">
      <w:pPr>
        <w:spacing w:line="460" w:lineRule="exact"/>
        <w:ind w:firstLine="420" w:firstLineChars="200"/>
        <w:rPr>
          <w:rFonts w:ascii="宋体" w:hAnsi="宋体"/>
        </w:rPr>
      </w:pPr>
      <w:r>
        <w:rPr>
          <w:rFonts w:hint="eastAsia" w:ascii="宋体" w:hAnsi="宋体"/>
        </w:rPr>
        <w:t xml:space="preserve">适用时，应确定每种产品的消费群体/使用群体； </w:t>
      </w:r>
    </w:p>
    <w:p w14:paraId="11190247">
      <w:pPr>
        <w:spacing w:line="460" w:lineRule="exact"/>
        <w:ind w:firstLine="420" w:firstLineChars="200"/>
        <w:rPr>
          <w:rFonts w:ascii="宋体" w:hAnsi="宋体"/>
        </w:rPr>
      </w:pPr>
      <w:r>
        <w:rPr>
          <w:rFonts w:hint="eastAsia" w:ascii="宋体" w:hAnsi="宋体"/>
        </w:rPr>
        <w:t>应确定已知对特定食品安全危害易感的消费群体/使用群体。</w:t>
      </w:r>
    </w:p>
    <w:p w14:paraId="79455C3A">
      <w:pPr>
        <w:spacing w:line="460" w:lineRule="exact"/>
        <w:ind w:firstLine="420" w:firstLineChars="200"/>
        <w:rPr>
          <w:rFonts w:ascii="宋体" w:hAnsi="宋体"/>
        </w:rPr>
      </w:pPr>
      <w:r>
        <w:rPr>
          <w:rFonts w:hint="eastAsia" w:ascii="宋体" w:hAnsi="宋体"/>
        </w:rPr>
        <w:t>8.13.1.5</w:t>
      </w:r>
      <w:r>
        <w:rPr>
          <w:rFonts w:hint="eastAsia" w:ascii="宋体" w:hAnsi="宋体"/>
        </w:rPr>
        <w:tab/>
      </w:r>
      <w:r>
        <w:rPr>
          <w:rFonts w:hint="eastAsia" w:ascii="宋体" w:hAnsi="宋体"/>
        </w:rPr>
        <w:t>流程图和过程描述</w:t>
      </w:r>
    </w:p>
    <w:p w14:paraId="6876915A">
      <w:pPr>
        <w:spacing w:line="460" w:lineRule="exact"/>
        <w:ind w:firstLine="420" w:firstLineChars="200"/>
        <w:rPr>
          <w:rFonts w:ascii="宋体" w:hAnsi="宋体"/>
        </w:rPr>
      </w:pPr>
      <w:r>
        <w:rPr>
          <w:rFonts w:hint="eastAsia" w:ascii="宋体" w:hAnsi="宋体"/>
        </w:rPr>
        <w:t>8.13.1.5.1</w:t>
      </w:r>
      <w:r>
        <w:rPr>
          <w:rFonts w:hint="eastAsia" w:ascii="宋体" w:hAnsi="宋体"/>
        </w:rPr>
        <w:tab/>
      </w:r>
      <w:r>
        <w:rPr>
          <w:rFonts w:hint="eastAsia" w:ascii="宋体" w:hAnsi="宋体"/>
        </w:rPr>
        <w:t>流程图的绘制</w:t>
      </w:r>
    </w:p>
    <w:p w14:paraId="405FC3F0">
      <w:pPr>
        <w:spacing w:line="460" w:lineRule="exact"/>
        <w:ind w:firstLine="420" w:firstLineChars="200"/>
        <w:rPr>
          <w:rFonts w:ascii="宋体" w:hAnsi="宋体"/>
        </w:rPr>
      </w:pPr>
      <w:r>
        <w:rPr>
          <w:rFonts w:hint="eastAsia" w:ascii="宋体" w:hAnsi="宋体"/>
        </w:rPr>
        <w:t>食品安全小组应建立、保持和更新食品安全管理体系、HACCP体系所涵盖的产品或产品类别和过程的流程图，作为成文信息。</w:t>
      </w:r>
    </w:p>
    <w:p w14:paraId="3604A747">
      <w:pPr>
        <w:spacing w:line="460" w:lineRule="exact"/>
        <w:ind w:firstLine="420" w:firstLineChars="200"/>
        <w:rPr>
          <w:rFonts w:ascii="宋体" w:hAnsi="宋体"/>
        </w:rPr>
      </w:pPr>
      <w:r>
        <w:rPr>
          <w:rFonts w:hint="eastAsia" w:ascii="宋体" w:hAnsi="宋体"/>
        </w:rPr>
        <w:t>流程图提供了过程的图形表示。 在进行危害分析时，应使用流程图作为评价食品安全危害可能发生、增加、减少或引入的基础。</w:t>
      </w:r>
    </w:p>
    <w:p w14:paraId="503CED35">
      <w:pPr>
        <w:spacing w:line="460" w:lineRule="exact"/>
        <w:ind w:firstLine="420" w:firstLineChars="200"/>
        <w:rPr>
          <w:rFonts w:ascii="宋体" w:hAnsi="宋体"/>
        </w:rPr>
      </w:pPr>
      <w:r>
        <w:rPr>
          <w:rFonts w:hint="eastAsia" w:ascii="宋体" w:hAnsi="宋体"/>
        </w:rPr>
        <w:t>流程图应清晰、准确、并且足够详尽，其详略程度足以实施危害分析。适宜时，流程图应包括：</w:t>
      </w:r>
    </w:p>
    <w:p w14:paraId="3FF9B4F0">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运行中各步骤的顺序和相互作用；</w:t>
      </w:r>
    </w:p>
    <w:p w14:paraId="3B3F5BC7">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任何外包过程和分包工作；</w:t>
      </w:r>
    </w:p>
    <w:p w14:paraId="0548AAF5">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原材料、辅料、加工助剂、包装材料、公用设施和中间产品从何处进入流程；</w:t>
      </w:r>
    </w:p>
    <w:p w14:paraId="6E5641DF">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何处出现返工和回收；</w:t>
      </w:r>
    </w:p>
    <w:p w14:paraId="5317469A">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终产品、中间产品、副产品和废弃物从何处流出或清除。</w:t>
      </w:r>
    </w:p>
    <w:p w14:paraId="30BDD203">
      <w:pPr>
        <w:spacing w:line="460" w:lineRule="exact"/>
        <w:ind w:firstLine="420" w:firstLineChars="200"/>
        <w:rPr>
          <w:rFonts w:ascii="宋体" w:hAnsi="宋体"/>
        </w:rPr>
      </w:pPr>
      <w:r>
        <w:rPr>
          <w:rFonts w:hint="eastAsia" w:ascii="宋体" w:hAnsi="宋体"/>
        </w:rPr>
        <w:t>8.13.1.5.2</w:t>
      </w:r>
      <w:r>
        <w:rPr>
          <w:rFonts w:hint="eastAsia" w:ascii="宋体" w:hAnsi="宋体"/>
        </w:rPr>
        <w:tab/>
      </w:r>
      <w:r>
        <w:rPr>
          <w:rFonts w:hint="eastAsia" w:ascii="宋体" w:hAnsi="宋体"/>
        </w:rPr>
        <w:t>流程图现场确认</w:t>
      </w:r>
    </w:p>
    <w:p w14:paraId="7D14227D">
      <w:pPr>
        <w:spacing w:line="460" w:lineRule="exact"/>
        <w:ind w:firstLine="420" w:firstLineChars="200"/>
        <w:rPr>
          <w:rFonts w:ascii="宋体" w:hAnsi="宋体"/>
        </w:rPr>
      </w:pPr>
      <w:r>
        <w:rPr>
          <w:rFonts w:hint="eastAsia" w:ascii="宋体" w:hAnsi="宋体"/>
        </w:rPr>
        <w:t>食品安全小组应现场确认流程图准确性，适宜时进行更新，并保留作为成文信息。</w:t>
      </w:r>
    </w:p>
    <w:p w14:paraId="15393C77">
      <w:pPr>
        <w:spacing w:line="460" w:lineRule="exact"/>
        <w:ind w:firstLine="420" w:firstLineChars="200"/>
        <w:rPr>
          <w:rFonts w:ascii="宋体" w:hAnsi="宋体"/>
        </w:rPr>
      </w:pPr>
      <w:r>
        <w:rPr>
          <w:rFonts w:hint="eastAsia" w:ascii="宋体" w:hAnsi="宋体"/>
        </w:rPr>
        <w:t>8.13.1.5.3</w:t>
      </w:r>
      <w:r>
        <w:rPr>
          <w:rFonts w:hint="eastAsia" w:ascii="宋体" w:hAnsi="宋体"/>
        </w:rPr>
        <w:tab/>
      </w:r>
      <w:r>
        <w:rPr>
          <w:rFonts w:hint="eastAsia" w:ascii="宋体" w:hAnsi="宋体"/>
        </w:rPr>
        <w:t>过程和过程环境描述</w:t>
      </w:r>
    </w:p>
    <w:p w14:paraId="11D3D991">
      <w:pPr>
        <w:spacing w:line="460" w:lineRule="exact"/>
        <w:ind w:firstLine="420" w:firstLineChars="200"/>
        <w:rPr>
          <w:rFonts w:ascii="宋体" w:hAnsi="宋体"/>
        </w:rPr>
      </w:pPr>
      <w:r>
        <w:rPr>
          <w:rFonts w:hint="eastAsia" w:ascii="宋体" w:hAnsi="宋体"/>
        </w:rPr>
        <w:t>食品安全小组应描述下述内容，其详略程度足以实施危害分析：</w:t>
      </w:r>
    </w:p>
    <w:p w14:paraId="5995C707">
      <w:pPr>
        <w:spacing w:line="460" w:lineRule="exact"/>
        <w:ind w:firstLine="420" w:firstLineChars="200"/>
        <w:rPr>
          <w:rFonts w:ascii="宋体" w:hAnsi="宋体"/>
        </w:rPr>
      </w:pPr>
      <w:r>
        <w:rPr>
          <w:rFonts w:hint="eastAsia" w:ascii="宋体" w:hAnsi="宋体"/>
        </w:rPr>
        <w:t>a）厂房的布局，包括食品和非食品处理区;</w:t>
      </w:r>
    </w:p>
    <w:p w14:paraId="35B8EC69">
      <w:pPr>
        <w:spacing w:line="460" w:lineRule="exact"/>
        <w:ind w:firstLine="420" w:firstLineChars="200"/>
        <w:rPr>
          <w:rFonts w:ascii="宋体" w:hAnsi="宋体"/>
        </w:rPr>
      </w:pPr>
      <w:r>
        <w:rPr>
          <w:rFonts w:hint="eastAsia" w:ascii="宋体" w:hAnsi="宋体"/>
        </w:rPr>
        <w:t>b）加工设备和接触材料、加工助剂和材料流动;</w:t>
      </w:r>
    </w:p>
    <w:p w14:paraId="37EB8389">
      <w:pPr>
        <w:spacing w:line="460" w:lineRule="exact"/>
        <w:ind w:firstLine="420" w:firstLineChars="200"/>
        <w:rPr>
          <w:rFonts w:ascii="宋体" w:hAnsi="宋体"/>
        </w:rPr>
      </w:pPr>
      <w:r>
        <w:rPr>
          <w:rFonts w:hint="eastAsia" w:ascii="宋体" w:hAnsi="宋体"/>
        </w:rPr>
        <w:t>c）现有的PRP、过程参数、控制措施（如果有）和/或实施的严格程度，或影响食品安全的程序;</w:t>
      </w:r>
    </w:p>
    <w:p w14:paraId="4A22FC64">
      <w:pPr>
        <w:spacing w:line="460" w:lineRule="exact"/>
        <w:ind w:firstLine="420" w:firstLineChars="200"/>
        <w:rPr>
          <w:rFonts w:ascii="宋体" w:hAnsi="宋体"/>
        </w:rPr>
      </w:pPr>
      <w:r>
        <w:rPr>
          <w:rFonts w:hint="eastAsia" w:ascii="宋体" w:hAnsi="宋体"/>
        </w:rPr>
        <w:t>d）可能影响控制措施的选择和严格程度的外部要求（例如来自立法和监管机构或顾客）。</w:t>
      </w:r>
    </w:p>
    <w:p w14:paraId="2D069A9F">
      <w:pPr>
        <w:spacing w:line="460" w:lineRule="exact"/>
        <w:ind w:firstLine="420" w:firstLineChars="200"/>
        <w:rPr>
          <w:rFonts w:ascii="宋体" w:hAnsi="宋体"/>
        </w:rPr>
      </w:pPr>
      <w:r>
        <w:rPr>
          <w:rFonts w:hint="eastAsia" w:ascii="宋体" w:hAnsi="宋体"/>
        </w:rPr>
        <w:t>适宜时，还应包括预期季节性变更或班次模式导致的变化。</w:t>
      </w:r>
    </w:p>
    <w:p w14:paraId="2DEBDCB5">
      <w:pPr>
        <w:spacing w:line="460" w:lineRule="exact"/>
        <w:ind w:firstLine="420" w:firstLineChars="200"/>
        <w:rPr>
          <w:rFonts w:ascii="宋体" w:hAnsi="宋体"/>
        </w:rPr>
      </w:pPr>
      <w:r>
        <w:rPr>
          <w:rFonts w:hint="eastAsia" w:ascii="宋体" w:hAnsi="宋体"/>
        </w:rPr>
        <w:t>描述应在适宜时更新，并作为成文信息予以保持。</w:t>
      </w:r>
    </w:p>
    <w:p w14:paraId="5776ED66">
      <w:pPr>
        <w:pStyle w:val="5"/>
        <w:rPr>
          <w:rFonts w:ascii="宋体" w:hAnsi="宋体"/>
        </w:rPr>
      </w:pPr>
      <w:bookmarkStart w:id="45" w:name="_Toc110460642"/>
      <w:r>
        <w:rPr>
          <w:rFonts w:hint="eastAsia" w:ascii="宋体" w:hAnsi="宋体"/>
        </w:rPr>
        <w:t>8.13.2</w:t>
      </w:r>
      <w:r>
        <w:rPr>
          <w:rFonts w:hint="eastAsia" w:ascii="宋体" w:hAnsi="宋体"/>
        </w:rPr>
        <w:tab/>
      </w:r>
      <w:r>
        <w:rPr>
          <w:rFonts w:hint="eastAsia" w:ascii="宋体" w:hAnsi="宋体"/>
        </w:rPr>
        <w:t>危害分析</w:t>
      </w:r>
      <w:bookmarkEnd w:id="45"/>
    </w:p>
    <w:p w14:paraId="6DE03B46">
      <w:pPr>
        <w:spacing w:line="460" w:lineRule="exact"/>
        <w:ind w:firstLine="420" w:firstLineChars="200"/>
        <w:rPr>
          <w:rFonts w:ascii="宋体" w:hAnsi="宋体"/>
        </w:rPr>
      </w:pPr>
      <w:r>
        <w:rPr>
          <w:rFonts w:hint="eastAsia" w:ascii="宋体" w:hAnsi="宋体"/>
        </w:rPr>
        <w:t>8.13.2.1</w:t>
      </w:r>
      <w:r>
        <w:rPr>
          <w:rFonts w:hint="eastAsia" w:ascii="宋体" w:hAnsi="宋体"/>
        </w:rPr>
        <w:tab/>
      </w:r>
      <w:r>
        <w:rPr>
          <w:rFonts w:hint="eastAsia" w:ascii="宋体" w:hAnsi="宋体"/>
        </w:rPr>
        <w:t>总则</w:t>
      </w:r>
    </w:p>
    <w:p w14:paraId="02BC9878">
      <w:pPr>
        <w:spacing w:line="460" w:lineRule="exact"/>
        <w:ind w:firstLine="420" w:firstLineChars="200"/>
        <w:rPr>
          <w:rFonts w:ascii="宋体" w:hAnsi="宋体"/>
        </w:rPr>
      </w:pPr>
      <w:r>
        <w:rPr>
          <w:rFonts w:hint="eastAsia" w:ascii="宋体" w:hAnsi="宋体"/>
        </w:rPr>
        <w:t>食品安全小组应基于预备信息进行危害分析，以确定需要控制的危害。控制程度应确保食品安全。适宜时，应采用控制措施的组合。</w:t>
      </w:r>
    </w:p>
    <w:p w14:paraId="188835BD">
      <w:pPr>
        <w:spacing w:line="460" w:lineRule="exact"/>
        <w:ind w:firstLine="420" w:firstLineChars="200"/>
        <w:rPr>
          <w:rFonts w:ascii="宋体" w:hAnsi="宋体"/>
        </w:rPr>
      </w:pPr>
      <w:r>
        <w:rPr>
          <w:rFonts w:hint="eastAsia" w:ascii="宋体" w:hAnsi="宋体"/>
        </w:rPr>
        <w:t>8.13.2.2</w:t>
      </w:r>
      <w:r>
        <w:rPr>
          <w:rFonts w:hint="eastAsia" w:ascii="宋体" w:hAnsi="宋体"/>
        </w:rPr>
        <w:tab/>
      </w:r>
      <w:r>
        <w:rPr>
          <w:rFonts w:hint="eastAsia" w:ascii="宋体" w:hAnsi="宋体"/>
        </w:rPr>
        <w:t>危害识别和可接受水平的确定</w:t>
      </w:r>
    </w:p>
    <w:p w14:paraId="0933AD06">
      <w:pPr>
        <w:spacing w:line="460" w:lineRule="exact"/>
        <w:ind w:firstLine="420" w:firstLineChars="200"/>
        <w:rPr>
          <w:rFonts w:ascii="宋体" w:hAnsi="宋体"/>
        </w:rPr>
      </w:pPr>
      <w:r>
        <w:rPr>
          <w:rFonts w:hint="eastAsia" w:ascii="宋体" w:hAnsi="宋体"/>
        </w:rPr>
        <w:t>8.13.2.2.1</w:t>
      </w:r>
      <w:r>
        <w:rPr>
          <w:rFonts w:hint="eastAsia" w:ascii="宋体" w:hAnsi="宋体"/>
        </w:rPr>
        <w:tab/>
      </w:r>
      <w:r>
        <w:rPr>
          <w:rFonts w:hint="eastAsia" w:ascii="宋体" w:hAnsi="宋体"/>
        </w:rPr>
        <w:t>应识别并记录与产品类别、过程类别和过程环境相关的所有合理预期发生的食品安全危害。识别应基于以下方面：</w:t>
      </w:r>
    </w:p>
    <w:p w14:paraId="3ACE6951">
      <w:pPr>
        <w:spacing w:line="460" w:lineRule="exact"/>
        <w:ind w:firstLine="420" w:firstLineChars="200"/>
        <w:rPr>
          <w:rFonts w:ascii="宋体" w:hAnsi="宋体"/>
        </w:rPr>
      </w:pPr>
      <w:r>
        <w:rPr>
          <w:rFonts w:hint="eastAsia" w:ascii="宋体" w:hAnsi="宋体"/>
        </w:rPr>
        <w:t>a）根据收集的预备信息和数据；</w:t>
      </w:r>
    </w:p>
    <w:p w14:paraId="44009DB7">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经验；</w:t>
      </w:r>
    </w:p>
    <w:p w14:paraId="2752D461">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内外部信息，尽可能包括流行病学、科学和其它历史数据；</w:t>
      </w:r>
    </w:p>
    <w:p w14:paraId="50EC8420">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 xml:space="preserve">来自食品链的可能与终产品、中间产品以及消费食品的安全有关的食品安全危害信息； </w:t>
      </w:r>
    </w:p>
    <w:p w14:paraId="20CC323C">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法律法规和顾客要求。</w:t>
      </w:r>
    </w:p>
    <w:p w14:paraId="02A6C660">
      <w:pPr>
        <w:spacing w:line="460" w:lineRule="exact"/>
        <w:ind w:firstLine="420" w:firstLineChars="200"/>
        <w:rPr>
          <w:rFonts w:ascii="宋体" w:hAnsi="宋体"/>
        </w:rPr>
      </w:pPr>
      <w:r>
        <w:rPr>
          <w:rFonts w:hint="eastAsia" w:ascii="宋体" w:hAnsi="宋体"/>
        </w:rPr>
        <w:t>8.13.2.2.2</w:t>
      </w:r>
      <w:r>
        <w:rPr>
          <w:rFonts w:hint="eastAsia" w:ascii="宋体" w:hAnsi="宋体"/>
        </w:rPr>
        <w:tab/>
      </w:r>
      <w:r>
        <w:rPr>
          <w:rFonts w:hint="eastAsia" w:ascii="宋体" w:hAnsi="宋体"/>
        </w:rPr>
        <w:t>组织应识别可能存在、引入、增加或持续存在的每一食品安全危害的步骤（如：原材料接收、加工、分销和交付）。</w:t>
      </w:r>
    </w:p>
    <w:p w14:paraId="780411DC">
      <w:pPr>
        <w:spacing w:line="460" w:lineRule="exact"/>
        <w:ind w:firstLine="420" w:firstLineChars="200"/>
        <w:rPr>
          <w:rFonts w:ascii="宋体" w:hAnsi="宋体"/>
        </w:rPr>
      </w:pPr>
      <w:r>
        <w:rPr>
          <w:rFonts w:hint="eastAsia" w:ascii="宋体" w:hAnsi="宋体"/>
        </w:rPr>
        <w:t>在识别危害时，组织应考虑：</w:t>
      </w:r>
    </w:p>
    <w:p w14:paraId="38498E56">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 xml:space="preserve">食物链中前后各个阶段： </w:t>
      </w:r>
    </w:p>
    <w:p w14:paraId="7AE4A42D">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流程图中的所有步骤；</w:t>
      </w:r>
    </w:p>
    <w:p w14:paraId="3CA83B88">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过程设备、公用设施/服务设施、过程环境和人员；</w:t>
      </w:r>
    </w:p>
    <w:p w14:paraId="3306905B">
      <w:pPr>
        <w:spacing w:line="460" w:lineRule="exact"/>
        <w:ind w:firstLine="420" w:firstLineChars="200"/>
        <w:rPr>
          <w:rFonts w:ascii="宋体" w:hAnsi="宋体"/>
        </w:rPr>
      </w:pPr>
      <w:r>
        <w:rPr>
          <w:rFonts w:hint="eastAsia" w:ascii="宋体" w:hAnsi="宋体"/>
        </w:rPr>
        <w:t>8.13.2.2.3 只要有可能，组织应确定终产品中食品安全危害的可接受水平。</w:t>
      </w:r>
    </w:p>
    <w:p w14:paraId="0E60D5BD">
      <w:pPr>
        <w:spacing w:line="460" w:lineRule="exact"/>
        <w:ind w:firstLine="420" w:firstLineChars="200"/>
        <w:rPr>
          <w:rFonts w:ascii="宋体" w:hAnsi="宋体"/>
        </w:rPr>
      </w:pPr>
      <w:r>
        <w:rPr>
          <w:rFonts w:hint="eastAsia" w:ascii="宋体" w:hAnsi="宋体"/>
        </w:rPr>
        <w:t>在确定可接受水平时，组织应：</w:t>
      </w:r>
    </w:p>
    <w:p w14:paraId="492DC2FB">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确保已识别适用的法律法规和顾客要求；</w:t>
      </w:r>
    </w:p>
    <w:p w14:paraId="097B346F">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考虑终产品的预期用途；</w:t>
      </w:r>
    </w:p>
    <w:p w14:paraId="256C30C9">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考虑任何其它有关信息。</w:t>
      </w:r>
    </w:p>
    <w:p w14:paraId="462274AE">
      <w:pPr>
        <w:spacing w:line="460" w:lineRule="exact"/>
        <w:ind w:firstLine="420" w:firstLineChars="200"/>
        <w:rPr>
          <w:rFonts w:ascii="宋体" w:hAnsi="宋体"/>
        </w:rPr>
      </w:pPr>
      <w:r>
        <w:rPr>
          <w:rFonts w:hint="eastAsia" w:ascii="宋体" w:hAnsi="宋体"/>
        </w:rPr>
        <w:t>组织应保持有关确定的可接受水平及其可接受水平确定理由的成文信息。</w:t>
      </w:r>
    </w:p>
    <w:p w14:paraId="6B28908F">
      <w:pPr>
        <w:spacing w:line="460" w:lineRule="exact"/>
        <w:ind w:firstLine="420" w:firstLineChars="200"/>
        <w:rPr>
          <w:rFonts w:ascii="宋体" w:hAnsi="宋体"/>
        </w:rPr>
      </w:pPr>
      <w:r>
        <w:rPr>
          <w:rFonts w:hint="eastAsia" w:ascii="宋体" w:hAnsi="宋体"/>
        </w:rPr>
        <w:t>8.13.2.3</w:t>
      </w:r>
      <w:r>
        <w:rPr>
          <w:rFonts w:hint="eastAsia" w:ascii="宋体" w:hAnsi="宋体"/>
        </w:rPr>
        <w:tab/>
      </w:r>
      <w:r>
        <w:rPr>
          <w:rFonts w:hint="eastAsia" w:ascii="宋体" w:hAnsi="宋体"/>
        </w:rPr>
        <w:t>危害评估</w:t>
      </w:r>
    </w:p>
    <w:p w14:paraId="38538885">
      <w:pPr>
        <w:spacing w:line="460" w:lineRule="exact"/>
        <w:ind w:firstLine="420" w:firstLineChars="200"/>
        <w:rPr>
          <w:rFonts w:ascii="宋体" w:hAnsi="宋体"/>
        </w:rPr>
      </w:pPr>
      <w:r>
        <w:rPr>
          <w:rFonts w:hint="eastAsia" w:ascii="宋体" w:hAnsi="宋体"/>
        </w:rPr>
        <w:t>组织应对每种已识别的食品安全危害进行危害评估，以确定消除危害或将危害降至可接受水平是否是必需的。</w:t>
      </w:r>
    </w:p>
    <w:p w14:paraId="15348858">
      <w:pPr>
        <w:spacing w:line="460" w:lineRule="exact"/>
        <w:ind w:firstLine="420" w:firstLineChars="200"/>
        <w:rPr>
          <w:rFonts w:ascii="宋体" w:hAnsi="宋体"/>
        </w:rPr>
      </w:pPr>
      <w:r>
        <w:rPr>
          <w:rFonts w:hint="eastAsia" w:ascii="宋体" w:hAnsi="宋体"/>
        </w:rPr>
        <w:t>组织应评估每种食品安全危害的以下方面：组织应评估每种食品安全危害：</w:t>
      </w:r>
    </w:p>
    <w:p w14:paraId="44E4D7A4">
      <w:pPr>
        <w:spacing w:line="460" w:lineRule="exact"/>
        <w:ind w:firstLine="420" w:firstLineChars="200"/>
        <w:rPr>
          <w:rFonts w:ascii="宋体" w:hAnsi="宋体"/>
        </w:rPr>
      </w:pPr>
      <w:r>
        <w:rPr>
          <w:rFonts w:hint="eastAsia" w:ascii="宋体" w:hAnsi="宋体"/>
        </w:rPr>
        <w:t>a）在采用控制措施之前，终产品中危害发生的可能性;</w:t>
      </w:r>
    </w:p>
    <w:p w14:paraId="4F98E0A6">
      <w:pPr>
        <w:spacing w:line="460" w:lineRule="exact"/>
        <w:ind w:firstLine="420" w:firstLineChars="200"/>
        <w:rPr>
          <w:rFonts w:ascii="宋体" w:hAnsi="宋体"/>
        </w:rPr>
      </w:pPr>
      <w:r>
        <w:rPr>
          <w:rFonts w:hint="eastAsia" w:ascii="宋体" w:hAnsi="宋体"/>
        </w:rPr>
        <w:t>b）与预期用途有关的不良健康影响的严重程度。</w:t>
      </w:r>
    </w:p>
    <w:p w14:paraId="4E2339FE">
      <w:pPr>
        <w:spacing w:line="460" w:lineRule="exact"/>
        <w:ind w:firstLine="420" w:firstLineChars="200"/>
        <w:rPr>
          <w:rFonts w:ascii="宋体" w:hAnsi="宋体"/>
        </w:rPr>
      </w:pPr>
      <w:r>
        <w:rPr>
          <w:rFonts w:hint="eastAsia" w:ascii="宋体" w:hAnsi="宋体"/>
        </w:rPr>
        <w:t>组织应识别任何重大的食品安全危害。</w:t>
      </w:r>
    </w:p>
    <w:p w14:paraId="22241E91">
      <w:pPr>
        <w:spacing w:line="460" w:lineRule="exact"/>
        <w:ind w:firstLine="420" w:firstLineChars="200"/>
        <w:rPr>
          <w:rFonts w:ascii="宋体" w:hAnsi="宋体"/>
        </w:rPr>
      </w:pPr>
      <w:r>
        <w:rPr>
          <w:rFonts w:hint="eastAsia" w:ascii="宋体" w:hAnsi="宋体"/>
        </w:rPr>
        <w:t>应描述所采用的方法，并将危害评估的结果作为成文信息保持。</w:t>
      </w:r>
    </w:p>
    <w:p w14:paraId="1BDF97CB">
      <w:pPr>
        <w:spacing w:line="460" w:lineRule="exact"/>
        <w:ind w:firstLine="420" w:firstLineChars="200"/>
        <w:rPr>
          <w:rFonts w:ascii="宋体" w:hAnsi="宋体"/>
        </w:rPr>
      </w:pPr>
      <w:r>
        <w:rPr>
          <w:rFonts w:hint="eastAsia" w:ascii="宋体" w:hAnsi="宋体"/>
        </w:rPr>
        <w:t>8.13.2.4</w:t>
      </w:r>
      <w:r>
        <w:rPr>
          <w:rFonts w:hint="eastAsia" w:ascii="宋体" w:hAnsi="宋体"/>
        </w:rPr>
        <w:tab/>
      </w:r>
      <w:r>
        <w:rPr>
          <w:rFonts w:hint="eastAsia" w:ascii="宋体" w:hAnsi="宋体"/>
        </w:rPr>
        <w:t>控制措施的选择和分类</w:t>
      </w:r>
    </w:p>
    <w:p w14:paraId="09AFEEB5">
      <w:pPr>
        <w:spacing w:line="460" w:lineRule="exact"/>
        <w:ind w:firstLine="420" w:firstLineChars="200"/>
        <w:rPr>
          <w:rFonts w:ascii="宋体" w:hAnsi="宋体"/>
        </w:rPr>
      </w:pPr>
      <w:r>
        <w:rPr>
          <w:rFonts w:hint="eastAsia" w:ascii="宋体" w:hAnsi="宋体"/>
        </w:rPr>
        <w:t>8.13.2.4.1 基于危害评估，组织应选择适宜的控制措施或控制措施组合，能够预防已确定的重大食品安全危害，或将其降低至规定的可接受水平。</w:t>
      </w:r>
    </w:p>
    <w:p w14:paraId="240D82B6">
      <w:pPr>
        <w:spacing w:line="460" w:lineRule="exact"/>
        <w:ind w:firstLine="420" w:firstLineChars="200"/>
        <w:rPr>
          <w:rFonts w:ascii="宋体" w:hAnsi="宋体"/>
        </w:rPr>
      </w:pPr>
      <w:r>
        <w:rPr>
          <w:rFonts w:hint="eastAsia" w:ascii="宋体" w:hAnsi="宋体"/>
        </w:rPr>
        <w:t>组织应将选择的已确定控制措施分类为OPRP或CCP进行管理。</w:t>
      </w:r>
    </w:p>
    <w:p w14:paraId="67FA8D1E">
      <w:pPr>
        <w:spacing w:line="460" w:lineRule="exact"/>
        <w:ind w:firstLine="420" w:firstLineChars="200"/>
        <w:rPr>
          <w:rFonts w:ascii="宋体" w:hAnsi="宋体"/>
        </w:rPr>
      </w:pPr>
      <w:r>
        <w:rPr>
          <w:rFonts w:hint="eastAsia" w:ascii="宋体" w:hAnsi="宋体"/>
        </w:rPr>
        <w:t xml:space="preserve">分类应使用系统方法进行。 对于所选择的每项控制措施，应对以下内容进行评估： </w:t>
      </w:r>
    </w:p>
    <w:p w14:paraId="4F8E9F5D">
      <w:pPr>
        <w:spacing w:line="460" w:lineRule="exact"/>
        <w:ind w:firstLine="420" w:firstLineChars="200"/>
        <w:rPr>
          <w:rFonts w:ascii="宋体" w:hAnsi="宋体"/>
        </w:rPr>
      </w:pPr>
      <w:r>
        <w:rPr>
          <w:rFonts w:hint="eastAsia" w:ascii="宋体" w:hAnsi="宋体"/>
        </w:rPr>
        <w:t>a）其作用失效的可能性;</w:t>
      </w:r>
    </w:p>
    <w:p w14:paraId="1BE61F1C">
      <w:pPr>
        <w:spacing w:line="460" w:lineRule="exact"/>
        <w:ind w:firstLine="420" w:firstLineChars="200"/>
        <w:rPr>
          <w:rFonts w:ascii="宋体" w:hAnsi="宋体"/>
        </w:rPr>
      </w:pPr>
      <w:r>
        <w:rPr>
          <w:rFonts w:hint="eastAsia" w:ascii="宋体" w:hAnsi="宋体"/>
        </w:rPr>
        <w:t>b）在其作用失效的情况下后果的严重性; 该评估应包括：</w:t>
      </w:r>
    </w:p>
    <w:p w14:paraId="09C2EF53">
      <w:pPr>
        <w:spacing w:line="460" w:lineRule="exact"/>
        <w:ind w:firstLine="420" w:firstLineChars="200"/>
        <w:rPr>
          <w:rFonts w:ascii="宋体" w:hAnsi="宋体"/>
        </w:rPr>
      </w:pPr>
      <w:r>
        <w:rPr>
          <w:rFonts w:hint="eastAsia" w:ascii="宋体" w:hAnsi="宋体"/>
        </w:rPr>
        <w:t>1）对已识别的重大食品安全危害的影响;</w:t>
      </w:r>
    </w:p>
    <w:p w14:paraId="634D4B4E">
      <w:pPr>
        <w:spacing w:line="460" w:lineRule="exact"/>
        <w:ind w:firstLine="420" w:firstLineChars="200"/>
        <w:rPr>
          <w:rFonts w:ascii="宋体" w:hAnsi="宋体"/>
        </w:rPr>
      </w:pPr>
      <w:r>
        <w:rPr>
          <w:rFonts w:hint="eastAsia" w:ascii="宋体" w:hAnsi="宋体"/>
        </w:rPr>
        <w:t>2）与其他控制措施有关的位置;</w:t>
      </w:r>
    </w:p>
    <w:p w14:paraId="7A63A0C9">
      <w:pPr>
        <w:spacing w:line="460" w:lineRule="exact"/>
        <w:ind w:firstLine="420" w:firstLineChars="200"/>
        <w:rPr>
          <w:rFonts w:ascii="宋体" w:hAnsi="宋体"/>
        </w:rPr>
      </w:pPr>
      <w:r>
        <w:rPr>
          <w:rFonts w:hint="eastAsia" w:ascii="宋体" w:hAnsi="宋体"/>
        </w:rPr>
        <w:t>3）是否是针对性地建立并用于降低危害到可接受水平；</w:t>
      </w:r>
    </w:p>
    <w:p w14:paraId="12A8EDFF">
      <w:pPr>
        <w:spacing w:line="460" w:lineRule="exact"/>
        <w:ind w:firstLine="420" w:firstLineChars="200"/>
        <w:rPr>
          <w:rFonts w:ascii="宋体" w:hAnsi="宋体"/>
        </w:rPr>
      </w:pPr>
      <w:r>
        <w:rPr>
          <w:rFonts w:hint="eastAsia" w:ascii="宋体" w:hAnsi="宋体"/>
        </w:rPr>
        <w:t>4）是单一措施还是控制措施组合的一部分。</w:t>
      </w:r>
    </w:p>
    <w:p w14:paraId="0B641F5F">
      <w:pPr>
        <w:spacing w:line="460" w:lineRule="exact"/>
        <w:ind w:firstLine="420" w:firstLineChars="200"/>
        <w:rPr>
          <w:rFonts w:ascii="宋体" w:hAnsi="宋体"/>
        </w:rPr>
      </w:pPr>
      <w:r>
        <w:rPr>
          <w:rFonts w:hint="eastAsia" w:ascii="宋体" w:hAnsi="宋体"/>
        </w:rPr>
        <w:t>8.13.2.4.2此外，对于每项控制措施，系统方法应包括对以下方面的可行性的评估：</w:t>
      </w:r>
    </w:p>
    <w:p w14:paraId="034AA804">
      <w:pPr>
        <w:spacing w:line="460" w:lineRule="exact"/>
        <w:ind w:firstLine="420" w:firstLineChars="200"/>
        <w:rPr>
          <w:rFonts w:ascii="宋体" w:hAnsi="宋体"/>
        </w:rPr>
      </w:pPr>
      <w:r>
        <w:rPr>
          <w:rFonts w:hint="eastAsia" w:ascii="宋体" w:hAnsi="宋体"/>
        </w:rPr>
        <w:t>a）建立可测量的关键限值和/或可测量/可观察的行动准则;</w:t>
      </w:r>
    </w:p>
    <w:p w14:paraId="6AE9BA3E">
      <w:pPr>
        <w:spacing w:line="460" w:lineRule="exact"/>
        <w:ind w:firstLine="420" w:firstLineChars="200"/>
        <w:rPr>
          <w:rFonts w:ascii="宋体" w:hAnsi="宋体"/>
        </w:rPr>
      </w:pPr>
      <w:r>
        <w:rPr>
          <w:rFonts w:hint="eastAsia" w:ascii="宋体" w:hAnsi="宋体"/>
        </w:rPr>
        <w:t>b）监视以发现任何未能保持在关键限值和/或可测量/可观察的行动准则内的失效状态;</w:t>
      </w:r>
    </w:p>
    <w:p w14:paraId="2CA65BA2">
      <w:pPr>
        <w:spacing w:line="460" w:lineRule="exact"/>
        <w:ind w:firstLine="420" w:firstLineChars="200"/>
        <w:rPr>
          <w:rFonts w:ascii="宋体" w:hAnsi="宋体"/>
        </w:rPr>
      </w:pPr>
      <w:r>
        <w:rPr>
          <w:rFonts w:hint="eastAsia" w:ascii="宋体" w:hAnsi="宋体"/>
        </w:rPr>
        <w:t>c）一旦失效，及时予以纠正。</w:t>
      </w:r>
    </w:p>
    <w:p w14:paraId="6E9D4F15">
      <w:pPr>
        <w:spacing w:line="460" w:lineRule="exact"/>
        <w:ind w:firstLine="420" w:firstLineChars="200"/>
        <w:rPr>
          <w:rFonts w:ascii="宋体" w:hAnsi="宋体"/>
        </w:rPr>
      </w:pPr>
      <w:r>
        <w:rPr>
          <w:rFonts w:hint="eastAsia" w:ascii="宋体" w:hAnsi="宋体"/>
        </w:rPr>
        <w:t>决策过程以及控制措施的选择和分类结果应作为成文信息保持。</w:t>
      </w:r>
    </w:p>
    <w:p w14:paraId="59CD133E">
      <w:pPr>
        <w:spacing w:line="460" w:lineRule="exact"/>
        <w:ind w:firstLine="420" w:firstLineChars="200"/>
        <w:rPr>
          <w:rFonts w:ascii="宋体" w:hAnsi="宋体"/>
        </w:rPr>
      </w:pPr>
      <w:r>
        <w:rPr>
          <w:rFonts w:hint="eastAsia" w:ascii="宋体" w:hAnsi="宋体"/>
        </w:rPr>
        <w:t>可能影响控制措施的选择和严格性的外部要求（例如法律、法规和顾客要求）也应作为成文信息予以保持。</w:t>
      </w:r>
    </w:p>
    <w:p w14:paraId="0E2298EF">
      <w:pPr>
        <w:pStyle w:val="5"/>
        <w:rPr>
          <w:rFonts w:ascii="宋体" w:hAnsi="宋体"/>
        </w:rPr>
      </w:pPr>
      <w:bookmarkStart w:id="46" w:name="_Toc110460643"/>
      <w:r>
        <w:rPr>
          <w:rFonts w:hint="eastAsia" w:ascii="宋体" w:hAnsi="宋体"/>
        </w:rPr>
        <w:t>8.13.3</w:t>
      </w:r>
      <w:r>
        <w:rPr>
          <w:rFonts w:hint="eastAsia" w:ascii="宋体" w:hAnsi="宋体"/>
        </w:rPr>
        <w:tab/>
      </w:r>
      <w:r>
        <w:rPr>
          <w:rFonts w:hint="eastAsia" w:ascii="宋体" w:hAnsi="宋体"/>
        </w:rPr>
        <w:t>控制措施和控制措施组合确认</w:t>
      </w:r>
      <w:bookmarkEnd w:id="46"/>
    </w:p>
    <w:p w14:paraId="5E6201D2">
      <w:pPr>
        <w:spacing w:line="460" w:lineRule="exact"/>
        <w:ind w:firstLine="420" w:firstLineChars="200"/>
        <w:rPr>
          <w:rFonts w:ascii="宋体" w:hAnsi="宋体"/>
        </w:rPr>
      </w:pPr>
      <w:r>
        <w:rPr>
          <w:rFonts w:hint="eastAsia" w:ascii="宋体" w:hAnsi="宋体"/>
        </w:rPr>
        <w:t>食品安全小组应确认所选择的控制措施是否能够实现对重大食品安全危害的预期控制。 该确认应在实施包含在危险控制计划中的控制措施和控制措施组合之前以及本文所述任何变更之后进行。</w:t>
      </w:r>
    </w:p>
    <w:p w14:paraId="697F391F">
      <w:pPr>
        <w:spacing w:line="460" w:lineRule="exact"/>
        <w:ind w:firstLine="420" w:firstLineChars="200"/>
        <w:rPr>
          <w:rFonts w:ascii="宋体" w:hAnsi="宋体"/>
        </w:rPr>
      </w:pPr>
      <w:r>
        <w:rPr>
          <w:rFonts w:hint="eastAsia" w:ascii="宋体" w:hAnsi="宋体"/>
        </w:rPr>
        <w:t>当确认结果表明控制措施无法实现预期控制时，食品安全小组应修改和重新评估控制措施和/或控制组合。</w:t>
      </w:r>
    </w:p>
    <w:p w14:paraId="1B117C3C">
      <w:pPr>
        <w:spacing w:line="460" w:lineRule="exact"/>
        <w:ind w:firstLine="420" w:firstLineChars="200"/>
        <w:rPr>
          <w:rFonts w:ascii="宋体" w:hAnsi="宋体"/>
        </w:rPr>
      </w:pPr>
      <w:r>
        <w:rPr>
          <w:rFonts w:hint="eastAsia" w:ascii="宋体" w:hAnsi="宋体"/>
        </w:rPr>
        <w:t>食品安全小组应作为成文信息保持控制措施的确认方法以及证明控制措施能够达到预期结果的证据。</w:t>
      </w:r>
    </w:p>
    <w:p w14:paraId="44CE6F24">
      <w:pPr>
        <w:pStyle w:val="5"/>
        <w:rPr>
          <w:rFonts w:ascii="宋体" w:hAnsi="宋体"/>
        </w:rPr>
      </w:pPr>
      <w:bookmarkStart w:id="47" w:name="_Toc110460644"/>
      <w:r>
        <w:rPr>
          <w:rFonts w:hint="eastAsia" w:ascii="宋体" w:hAnsi="宋体"/>
        </w:rPr>
        <w:t>8.13.4</w:t>
      </w:r>
      <w:r>
        <w:rPr>
          <w:rFonts w:hint="eastAsia" w:ascii="宋体" w:hAnsi="宋体"/>
        </w:rPr>
        <w:tab/>
      </w:r>
      <w:r>
        <w:rPr>
          <w:rFonts w:hint="eastAsia" w:ascii="宋体" w:hAnsi="宋体"/>
        </w:rPr>
        <w:t>危害控制计划（危害分析和关键控制点/操作前提方案计划）</w:t>
      </w:r>
      <w:bookmarkEnd w:id="47"/>
    </w:p>
    <w:p w14:paraId="65B4A709">
      <w:pPr>
        <w:spacing w:line="460" w:lineRule="exact"/>
        <w:ind w:firstLine="420" w:firstLineChars="200"/>
        <w:rPr>
          <w:rFonts w:ascii="宋体" w:hAnsi="宋体"/>
        </w:rPr>
      </w:pPr>
      <w:r>
        <w:rPr>
          <w:rFonts w:hint="eastAsia" w:ascii="宋体" w:hAnsi="宋体"/>
        </w:rPr>
        <w:t>8.13.4.1总则</w:t>
      </w:r>
    </w:p>
    <w:p w14:paraId="4C46A1A7">
      <w:pPr>
        <w:spacing w:line="460" w:lineRule="exact"/>
        <w:ind w:firstLine="420" w:firstLineChars="200"/>
        <w:rPr>
          <w:rFonts w:ascii="宋体" w:hAnsi="宋体"/>
        </w:rPr>
      </w:pPr>
      <w:r>
        <w:rPr>
          <w:rFonts w:hint="eastAsia" w:ascii="宋体" w:hAnsi="宋体"/>
        </w:rPr>
        <w:t>组织应建立、实施和保持一套危害控制计划，其中控制措施在关键控制点处或作为操作前提方案进行分类。</w:t>
      </w:r>
    </w:p>
    <w:p w14:paraId="21DA229B">
      <w:pPr>
        <w:spacing w:line="460" w:lineRule="exact"/>
        <w:ind w:firstLine="420" w:firstLineChars="200"/>
        <w:rPr>
          <w:rFonts w:ascii="宋体" w:hAnsi="宋体"/>
        </w:rPr>
      </w:pPr>
      <w:r>
        <w:rPr>
          <w:rFonts w:hint="eastAsia" w:ascii="宋体" w:hAnsi="宋体"/>
        </w:rPr>
        <w:t>危害控制计划应作为成文信息予以保持，并应包括关键控制点处或操作前前提方案中各控制措施的以下信息：</w:t>
      </w:r>
    </w:p>
    <w:p w14:paraId="51E4721A">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将在关键控制点控制或通过操作前提方案控制的食品安全危害；</w:t>
      </w:r>
    </w:p>
    <w:p w14:paraId="4ED9B1C3">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关键控制点处的关键限值或操作前提方案的行动准则；</w:t>
      </w:r>
    </w:p>
    <w:p w14:paraId="7D282169">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监视程序；</w:t>
      </w:r>
    </w:p>
    <w:p w14:paraId="44449CB1">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关键限值或行动准则不达标时将采取的纠正和纠正措施；</w:t>
      </w:r>
    </w:p>
    <w:p w14:paraId="4D7A807E">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职责和权限；</w:t>
      </w:r>
    </w:p>
    <w:p w14:paraId="7A5A4FB9">
      <w:pPr>
        <w:spacing w:line="460" w:lineRule="exact"/>
        <w:ind w:firstLine="420" w:firstLineChars="200"/>
        <w:rPr>
          <w:rFonts w:ascii="宋体" w:hAnsi="宋体"/>
        </w:rPr>
      </w:pPr>
      <w:r>
        <w:rPr>
          <w:rFonts w:hint="eastAsia" w:ascii="宋体" w:hAnsi="宋体"/>
        </w:rPr>
        <w:t>f）</w:t>
      </w:r>
      <w:r>
        <w:rPr>
          <w:rFonts w:hint="eastAsia" w:ascii="宋体" w:hAnsi="宋体"/>
        </w:rPr>
        <w:tab/>
      </w:r>
      <w:r>
        <w:rPr>
          <w:rFonts w:hint="eastAsia" w:ascii="宋体" w:hAnsi="宋体"/>
        </w:rPr>
        <w:t>监视记录。</w:t>
      </w:r>
    </w:p>
    <w:p w14:paraId="6F1A8E57">
      <w:pPr>
        <w:spacing w:line="460" w:lineRule="exact"/>
        <w:ind w:firstLine="420" w:firstLineChars="200"/>
        <w:rPr>
          <w:rFonts w:ascii="宋体" w:hAnsi="宋体"/>
        </w:rPr>
      </w:pPr>
      <w:r>
        <w:rPr>
          <w:rFonts w:hint="eastAsia" w:ascii="宋体" w:hAnsi="宋体"/>
        </w:rPr>
        <w:t>8.13.4.2关键限值和行动准则的确定</w:t>
      </w:r>
    </w:p>
    <w:p w14:paraId="08B9AE41">
      <w:pPr>
        <w:spacing w:line="460" w:lineRule="exact"/>
        <w:ind w:firstLine="420" w:firstLineChars="200"/>
        <w:rPr>
          <w:rFonts w:ascii="宋体" w:hAnsi="宋体"/>
        </w:rPr>
      </w:pPr>
      <w:r>
        <w:rPr>
          <w:rFonts w:hint="eastAsia" w:ascii="宋体" w:hAnsi="宋体"/>
        </w:rPr>
        <w:t>关键控制点处的关键限值和操作前提方案的行动准则应予以规定。关键限值和行动准则的确定理由应作为成文信息予以保持。</w:t>
      </w:r>
    </w:p>
    <w:p w14:paraId="0328C796">
      <w:pPr>
        <w:spacing w:line="460" w:lineRule="exact"/>
        <w:ind w:firstLine="420" w:firstLineChars="200"/>
        <w:rPr>
          <w:rFonts w:ascii="宋体" w:hAnsi="宋体"/>
        </w:rPr>
      </w:pPr>
      <w:r>
        <w:rPr>
          <w:rFonts w:hint="eastAsia" w:ascii="宋体" w:hAnsi="宋体"/>
        </w:rPr>
        <w:t>关键控制点处的关键限值应可测量。符合关键限值应确保不超过可接受水平。</w:t>
      </w:r>
    </w:p>
    <w:p w14:paraId="5D141829">
      <w:pPr>
        <w:spacing w:line="460" w:lineRule="exact"/>
        <w:ind w:firstLine="420" w:firstLineChars="200"/>
        <w:rPr>
          <w:rFonts w:ascii="宋体" w:hAnsi="宋体"/>
        </w:rPr>
      </w:pPr>
      <w:r>
        <w:rPr>
          <w:rFonts w:hint="eastAsia" w:ascii="宋体" w:hAnsi="宋体"/>
        </w:rPr>
        <w:t>操作前提方案的行动准则应可测量或可观察。符合行动准则应有助于确保不超过可接受水平。</w:t>
      </w:r>
    </w:p>
    <w:p w14:paraId="35C7BFA3">
      <w:pPr>
        <w:spacing w:line="460" w:lineRule="exact"/>
        <w:ind w:firstLine="420" w:firstLineChars="200"/>
        <w:rPr>
          <w:rFonts w:ascii="宋体" w:hAnsi="宋体"/>
        </w:rPr>
      </w:pPr>
      <w:r>
        <w:rPr>
          <w:rFonts w:hint="eastAsia" w:ascii="宋体" w:hAnsi="宋体"/>
        </w:rPr>
        <w:t>8.13.4.3关键控制点处和操作前提方案用监视系统</w:t>
      </w:r>
    </w:p>
    <w:p w14:paraId="18A8E99E">
      <w:pPr>
        <w:spacing w:line="460" w:lineRule="exact"/>
        <w:ind w:firstLine="420" w:firstLineChars="200"/>
        <w:rPr>
          <w:rFonts w:ascii="宋体" w:hAnsi="宋体"/>
        </w:rPr>
      </w:pPr>
      <w:r>
        <w:rPr>
          <w:rFonts w:hint="eastAsia" w:ascii="宋体" w:hAnsi="宋体"/>
        </w:rPr>
        <w:t>在各关键控制点处，针对每个控制措施或控制措施组合，建立一套监视系统，以检测关键限值何时超出。系统应包括与关键限值有关的所有计划的测量。</w:t>
      </w:r>
    </w:p>
    <w:p w14:paraId="7E6FCC2B">
      <w:pPr>
        <w:spacing w:line="460" w:lineRule="exact"/>
        <w:ind w:firstLine="420" w:firstLineChars="200"/>
        <w:rPr>
          <w:rFonts w:ascii="宋体" w:hAnsi="宋体"/>
        </w:rPr>
      </w:pPr>
      <w:r>
        <w:rPr>
          <w:rFonts w:hint="eastAsia" w:ascii="宋体" w:hAnsi="宋体"/>
        </w:rPr>
        <w:t>在每个操作前提方案中，针对每个控制措施或控制措施组合，建立一套监视系统，以检测未能满足行动准则。</w:t>
      </w:r>
    </w:p>
    <w:p w14:paraId="5CEF781F">
      <w:pPr>
        <w:spacing w:line="460" w:lineRule="exact"/>
        <w:ind w:firstLine="420" w:firstLineChars="200"/>
        <w:rPr>
          <w:rFonts w:ascii="宋体" w:hAnsi="宋体"/>
        </w:rPr>
      </w:pPr>
      <w:r>
        <w:rPr>
          <w:rFonts w:hint="eastAsia" w:ascii="宋体" w:hAnsi="宋体"/>
        </w:rPr>
        <w:t>各关键控制点处和各操作前提方案的监视系统应包括以下成文信息：</w:t>
      </w:r>
    </w:p>
    <w:p w14:paraId="32A53E5F">
      <w:pPr>
        <w:spacing w:line="460" w:lineRule="exact"/>
        <w:ind w:firstLine="420" w:firstLineChars="200"/>
        <w:rPr>
          <w:rFonts w:ascii="宋体" w:hAnsi="宋体"/>
        </w:rPr>
      </w:pPr>
      <w:r>
        <w:rPr>
          <w:rFonts w:hint="eastAsia" w:ascii="宋体" w:hAnsi="宋体"/>
        </w:rPr>
        <w:t>a)在适当的时间内提供结果的测量或观察；</w:t>
      </w:r>
    </w:p>
    <w:p w14:paraId="2649C4A0">
      <w:pPr>
        <w:spacing w:line="460" w:lineRule="exact"/>
        <w:ind w:firstLine="420" w:firstLineChars="200"/>
        <w:rPr>
          <w:rFonts w:ascii="宋体" w:hAnsi="宋体"/>
        </w:rPr>
      </w:pPr>
      <w:r>
        <w:rPr>
          <w:rFonts w:hint="eastAsia" w:ascii="宋体" w:hAnsi="宋体"/>
        </w:rPr>
        <w:t>b)所用的监视装置；</w:t>
      </w:r>
    </w:p>
    <w:p w14:paraId="6EE69ADE">
      <w:pPr>
        <w:spacing w:line="460" w:lineRule="exact"/>
        <w:ind w:firstLine="420" w:firstLineChars="200"/>
        <w:rPr>
          <w:rFonts w:ascii="宋体" w:hAnsi="宋体"/>
        </w:rPr>
      </w:pPr>
      <w:r>
        <w:rPr>
          <w:rFonts w:hint="eastAsia" w:ascii="宋体" w:hAnsi="宋体"/>
        </w:rPr>
        <w:t>c)适用的校准方法，或对于操作前提方案而言，验证可靠测量或观察的类似方法；</w:t>
      </w:r>
    </w:p>
    <w:p w14:paraId="50C01212">
      <w:pPr>
        <w:spacing w:line="460" w:lineRule="exact"/>
        <w:ind w:firstLine="420" w:firstLineChars="200"/>
        <w:rPr>
          <w:rFonts w:ascii="宋体" w:hAnsi="宋体"/>
        </w:rPr>
      </w:pPr>
      <w:r>
        <w:rPr>
          <w:rFonts w:hint="eastAsia" w:ascii="宋体" w:hAnsi="宋体"/>
        </w:rPr>
        <w:t>d）监视频率；</w:t>
      </w:r>
    </w:p>
    <w:p w14:paraId="2B7DDF2C">
      <w:pPr>
        <w:spacing w:line="460" w:lineRule="exact"/>
        <w:ind w:firstLine="420" w:firstLineChars="200"/>
        <w:rPr>
          <w:rFonts w:ascii="宋体" w:hAnsi="宋体"/>
        </w:rPr>
      </w:pPr>
      <w:r>
        <w:rPr>
          <w:rFonts w:hint="eastAsia" w:ascii="宋体" w:hAnsi="宋体"/>
        </w:rPr>
        <w:t>e）监视结果；</w:t>
      </w:r>
    </w:p>
    <w:p w14:paraId="22941AEF">
      <w:pPr>
        <w:spacing w:line="460" w:lineRule="exact"/>
        <w:ind w:firstLine="420" w:firstLineChars="200"/>
        <w:rPr>
          <w:rFonts w:ascii="宋体" w:hAnsi="宋体"/>
        </w:rPr>
      </w:pPr>
      <w:r>
        <w:rPr>
          <w:rFonts w:hint="eastAsia" w:ascii="宋体" w:hAnsi="宋体"/>
        </w:rPr>
        <w:t>f）</w:t>
      </w:r>
      <w:r>
        <w:rPr>
          <w:rFonts w:hint="eastAsia" w:ascii="宋体" w:hAnsi="宋体"/>
        </w:rPr>
        <w:tab/>
      </w:r>
      <w:r>
        <w:rPr>
          <w:rFonts w:hint="eastAsia" w:ascii="宋体" w:hAnsi="宋体"/>
        </w:rPr>
        <w:t>监视有关职责和权限</w:t>
      </w:r>
    </w:p>
    <w:p w14:paraId="55C85519">
      <w:pPr>
        <w:spacing w:line="460" w:lineRule="exact"/>
        <w:ind w:firstLine="420" w:firstLineChars="200"/>
        <w:rPr>
          <w:rFonts w:ascii="宋体" w:hAnsi="宋体"/>
        </w:rPr>
      </w:pPr>
      <w:r>
        <w:rPr>
          <w:rFonts w:hint="eastAsia" w:ascii="宋体" w:hAnsi="宋体"/>
        </w:rPr>
        <w:t>g)   监视结果的评价有关职责和权限。</w:t>
      </w:r>
    </w:p>
    <w:p w14:paraId="6208347E">
      <w:pPr>
        <w:spacing w:line="460" w:lineRule="exact"/>
        <w:ind w:firstLine="420" w:firstLineChars="200"/>
        <w:rPr>
          <w:rFonts w:ascii="宋体" w:hAnsi="宋体"/>
        </w:rPr>
      </w:pPr>
      <w:r>
        <w:rPr>
          <w:rFonts w:hint="eastAsia" w:ascii="宋体" w:hAnsi="宋体"/>
        </w:rPr>
        <w:t>在各关键控制点处，监视的方法和频率应能够及时确定关键限值何时超出，以便于及时隔离和评价产品。</w:t>
      </w:r>
    </w:p>
    <w:p w14:paraId="5C3A81ED">
      <w:pPr>
        <w:spacing w:line="460" w:lineRule="exact"/>
        <w:ind w:firstLine="420" w:firstLineChars="200"/>
        <w:rPr>
          <w:rFonts w:ascii="宋体" w:hAnsi="宋体"/>
        </w:rPr>
      </w:pPr>
      <w:r>
        <w:rPr>
          <w:rFonts w:hint="eastAsia" w:ascii="宋体" w:hAnsi="宋体"/>
        </w:rPr>
        <w:t>在各操作前提方案中，监视方式和频率应与未能满足行动准则的可能性和后果严重程度相匹配。</w:t>
      </w:r>
    </w:p>
    <w:p w14:paraId="3E093BCF">
      <w:pPr>
        <w:spacing w:line="460" w:lineRule="exact"/>
        <w:ind w:firstLine="420" w:firstLineChars="200"/>
        <w:rPr>
          <w:rFonts w:ascii="宋体" w:hAnsi="宋体"/>
        </w:rPr>
      </w:pPr>
      <w:r>
        <w:rPr>
          <w:rFonts w:hint="eastAsia" w:ascii="宋体" w:hAnsi="宋体"/>
        </w:rPr>
        <w:t>在基于观察（如：目视检查）的主观数据监视某一操作前提方案时，应有指导书或规范的支持。</w:t>
      </w:r>
    </w:p>
    <w:p w14:paraId="4DD7B834">
      <w:pPr>
        <w:spacing w:line="460" w:lineRule="exact"/>
        <w:ind w:firstLine="420" w:firstLineChars="200"/>
        <w:rPr>
          <w:rFonts w:ascii="宋体" w:hAnsi="宋体"/>
        </w:rPr>
      </w:pPr>
      <w:r>
        <w:rPr>
          <w:rFonts w:hint="eastAsia" w:ascii="宋体" w:hAnsi="宋体"/>
        </w:rPr>
        <w:t>8.13.4.4超出关键限值或行动准则未能满足时采取的措施</w:t>
      </w:r>
    </w:p>
    <w:p w14:paraId="51F53145">
      <w:pPr>
        <w:spacing w:line="460" w:lineRule="exact"/>
        <w:ind w:firstLine="420" w:firstLineChars="200"/>
        <w:rPr>
          <w:rFonts w:ascii="宋体" w:hAnsi="宋体"/>
        </w:rPr>
      </w:pPr>
      <w:r>
        <w:rPr>
          <w:rFonts w:hint="eastAsia" w:ascii="宋体" w:hAnsi="宋体"/>
        </w:rPr>
        <w:t>组织应规定超出关键限值或行动准则未能满足时将采取的纠正和纠正措施，并应确保：</w:t>
      </w:r>
    </w:p>
    <w:p w14:paraId="7EE1B0E7">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 xml:space="preserve">潜在不安全产品没有放行； </w:t>
      </w:r>
    </w:p>
    <w:p w14:paraId="76EC826B">
      <w:pPr>
        <w:spacing w:line="460" w:lineRule="exact"/>
        <w:ind w:firstLine="420" w:firstLineChars="200"/>
        <w:rPr>
          <w:rFonts w:ascii="宋体" w:hAnsi="宋体"/>
        </w:rPr>
      </w:pPr>
      <w:r>
        <w:rPr>
          <w:rFonts w:hint="eastAsia" w:ascii="宋体" w:hAnsi="宋体"/>
        </w:rPr>
        <w:t>b）确定不合格的原因；</w:t>
      </w:r>
    </w:p>
    <w:p w14:paraId="34ADD466">
      <w:pPr>
        <w:spacing w:line="460" w:lineRule="exact"/>
        <w:ind w:firstLine="420" w:firstLineChars="200"/>
        <w:rPr>
          <w:rFonts w:ascii="宋体" w:hAnsi="宋体"/>
        </w:rPr>
      </w:pPr>
      <w:r>
        <w:rPr>
          <w:rFonts w:hint="eastAsia" w:ascii="宋体" w:hAnsi="宋体"/>
        </w:rPr>
        <w:t xml:space="preserve">c）关键控制点处或操作前提方案控制的参数恢复到关键限值或行动准则范围内； </w:t>
      </w:r>
    </w:p>
    <w:p w14:paraId="5DAF3098">
      <w:pPr>
        <w:spacing w:line="460" w:lineRule="exact"/>
        <w:ind w:firstLine="420" w:firstLineChars="200"/>
        <w:rPr>
          <w:rFonts w:ascii="宋体" w:hAnsi="宋体"/>
        </w:rPr>
      </w:pPr>
      <w:r>
        <w:rPr>
          <w:rFonts w:hint="eastAsia" w:ascii="宋体" w:hAnsi="宋体"/>
        </w:rPr>
        <w:t>d) 防止再次发生。</w:t>
      </w:r>
    </w:p>
    <w:p w14:paraId="0A5EEF6B">
      <w:pPr>
        <w:spacing w:line="460" w:lineRule="exact"/>
        <w:ind w:firstLine="420" w:firstLineChars="200"/>
        <w:rPr>
          <w:rFonts w:ascii="宋体" w:hAnsi="宋体"/>
        </w:rPr>
      </w:pPr>
      <w:r>
        <w:rPr>
          <w:rFonts w:hint="eastAsia" w:ascii="宋体" w:hAnsi="宋体"/>
        </w:rPr>
        <w:t>组织应采取8.9.2规定的纠正以及8.9.3规定的纠正措施。</w:t>
      </w:r>
    </w:p>
    <w:p w14:paraId="765F4B98">
      <w:pPr>
        <w:spacing w:line="460" w:lineRule="exact"/>
        <w:ind w:firstLine="420" w:firstLineChars="200"/>
        <w:rPr>
          <w:rFonts w:ascii="宋体" w:hAnsi="宋体"/>
        </w:rPr>
      </w:pPr>
      <w:r>
        <w:rPr>
          <w:rFonts w:hint="eastAsia" w:ascii="宋体" w:hAnsi="宋体"/>
        </w:rPr>
        <w:t>8.13.4.5实施危害控制计划</w:t>
      </w:r>
    </w:p>
    <w:p w14:paraId="0615E45F">
      <w:pPr>
        <w:spacing w:line="460" w:lineRule="exact"/>
        <w:ind w:firstLine="420" w:firstLineChars="200"/>
        <w:rPr>
          <w:rFonts w:ascii="宋体" w:hAnsi="宋体"/>
        </w:rPr>
      </w:pPr>
      <w:r>
        <w:rPr>
          <w:rFonts w:hint="eastAsia" w:ascii="宋体" w:hAnsi="宋体"/>
        </w:rPr>
        <w:t>组织应实施和保持危害控制计划，且实施证据应作为成文信息予以保留。</w:t>
      </w:r>
    </w:p>
    <w:p w14:paraId="3B8D97DA">
      <w:pPr>
        <w:pStyle w:val="18"/>
        <w:rPr>
          <w:rFonts w:ascii="宋体" w:hAnsi="宋体"/>
        </w:rPr>
      </w:pPr>
      <w:bookmarkStart w:id="48" w:name="_Toc110460645"/>
      <w:r>
        <w:rPr>
          <w:rFonts w:hint="eastAsia" w:ascii="宋体" w:hAnsi="宋体"/>
        </w:rPr>
        <w:t>8.14规定前提方案和危害控制计划信息的更新</w:t>
      </w:r>
      <w:bookmarkEnd w:id="48"/>
    </w:p>
    <w:p w14:paraId="3367F282">
      <w:pPr>
        <w:spacing w:line="460" w:lineRule="exact"/>
        <w:ind w:firstLine="420" w:firstLineChars="200"/>
        <w:rPr>
          <w:rFonts w:ascii="宋体" w:hAnsi="宋体"/>
        </w:rPr>
      </w:pPr>
      <w:r>
        <w:rPr>
          <w:rFonts w:hint="eastAsia" w:ascii="宋体" w:hAnsi="宋体"/>
        </w:rPr>
        <w:t>制订危害控制计划后，必要时，组织应更新以下信息：</w:t>
      </w:r>
    </w:p>
    <w:p w14:paraId="11633D23">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原材料、辅料和与产品接触材料的特性；</w:t>
      </w:r>
    </w:p>
    <w:p w14:paraId="13CA1010">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终产品的特性；</w:t>
      </w:r>
    </w:p>
    <w:p w14:paraId="49245CA2">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预期用途；</w:t>
      </w:r>
    </w:p>
    <w:p w14:paraId="10BB825C">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流程图和过程与过程环境描述。</w:t>
      </w:r>
    </w:p>
    <w:p w14:paraId="5FB98105">
      <w:pPr>
        <w:spacing w:line="460" w:lineRule="exact"/>
        <w:ind w:firstLine="420" w:firstLineChars="200"/>
        <w:rPr>
          <w:rFonts w:ascii="宋体" w:hAnsi="宋体"/>
        </w:rPr>
      </w:pPr>
      <w:r>
        <w:rPr>
          <w:rFonts w:hint="eastAsia" w:ascii="宋体" w:hAnsi="宋体"/>
        </w:rPr>
        <w:t>组织应确保危害控制计划和/或前提方案是最新的。</w:t>
      </w:r>
    </w:p>
    <w:p w14:paraId="41CD8F45">
      <w:pPr>
        <w:pStyle w:val="18"/>
        <w:rPr>
          <w:rFonts w:ascii="宋体" w:hAnsi="宋体"/>
        </w:rPr>
      </w:pPr>
      <w:bookmarkStart w:id="49" w:name="_Toc110460646"/>
      <w:r>
        <w:rPr>
          <w:rFonts w:hint="eastAsia" w:ascii="宋体" w:hAnsi="宋体"/>
        </w:rPr>
        <w:t>8.15监视和测量的控制</w:t>
      </w:r>
      <w:bookmarkEnd w:id="49"/>
    </w:p>
    <w:p w14:paraId="25376DAF">
      <w:pPr>
        <w:spacing w:line="460" w:lineRule="exact"/>
        <w:ind w:firstLine="420" w:firstLineChars="200"/>
        <w:rPr>
          <w:rFonts w:ascii="宋体" w:hAnsi="宋体"/>
        </w:rPr>
      </w:pPr>
      <w:r>
        <w:rPr>
          <w:rFonts w:hint="eastAsia" w:ascii="宋体" w:hAnsi="宋体"/>
        </w:rPr>
        <w:t>组织应提供证据证明使用的特定监视和测量方法和设备足以用于与PRP和危害控制计划有关的监视和测量活动。</w:t>
      </w:r>
    </w:p>
    <w:p w14:paraId="0E708541">
      <w:pPr>
        <w:spacing w:line="460" w:lineRule="exact"/>
        <w:ind w:firstLine="420" w:firstLineChars="200"/>
        <w:rPr>
          <w:rFonts w:ascii="宋体" w:hAnsi="宋体"/>
        </w:rPr>
      </w:pPr>
      <w:r>
        <w:rPr>
          <w:rFonts w:hint="eastAsia" w:ascii="宋体" w:hAnsi="宋体"/>
        </w:rPr>
        <w:t>所用监视和测量设备应：</w:t>
      </w:r>
    </w:p>
    <w:p w14:paraId="15237BA2">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在使用前，按规定时间间隔进行校准或检定；</w:t>
      </w:r>
    </w:p>
    <w:p w14:paraId="3305C9F7">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进行调整或必要时重新调整；</w:t>
      </w:r>
    </w:p>
    <w:p w14:paraId="0C3C83D6">
      <w:pPr>
        <w:spacing w:line="460" w:lineRule="exact"/>
        <w:ind w:firstLine="420" w:firstLineChars="200"/>
        <w:rPr>
          <w:rFonts w:ascii="宋体" w:hAnsi="宋体"/>
        </w:rPr>
      </w:pPr>
      <w:r>
        <w:rPr>
          <w:rFonts w:hint="eastAsia" w:ascii="宋体" w:hAnsi="宋体"/>
        </w:rPr>
        <w:t>c）得到识别，以确定其校准状态；</w:t>
      </w:r>
    </w:p>
    <w:p w14:paraId="78A71385">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防止可能使测量结果失效的调整；</w:t>
      </w:r>
    </w:p>
    <w:p w14:paraId="156DF8BB">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防止损坏和失效。</w:t>
      </w:r>
    </w:p>
    <w:p w14:paraId="32E0F8F9">
      <w:pPr>
        <w:spacing w:line="460" w:lineRule="exact"/>
        <w:ind w:firstLine="420" w:firstLineChars="200"/>
        <w:rPr>
          <w:rFonts w:ascii="宋体" w:hAnsi="宋体"/>
        </w:rPr>
      </w:pPr>
      <w:r>
        <w:rPr>
          <w:rFonts w:hint="eastAsia" w:ascii="宋体" w:hAnsi="宋体"/>
        </w:rPr>
        <w:t>校准或检定结果应作为成文信息予以保留。所有设备校准应能溯源到国际的或国家的测量标准；当不存在上述标准时，校准或验证用依据应作为成文信息予以保留。</w:t>
      </w:r>
    </w:p>
    <w:p w14:paraId="592EBD61">
      <w:pPr>
        <w:spacing w:line="460" w:lineRule="exact"/>
        <w:ind w:firstLine="420" w:firstLineChars="200"/>
        <w:rPr>
          <w:rFonts w:ascii="宋体" w:hAnsi="宋体"/>
        </w:rPr>
      </w:pPr>
      <w:r>
        <w:rPr>
          <w:rFonts w:hint="eastAsia" w:ascii="宋体" w:hAnsi="宋体"/>
        </w:rPr>
        <w:t>当发现设备或过程不符合要求时，组织应对以往测量结果的有效性进行评估。组织应对该设备或过程环境以及任何受影响的产品采取适宜的措施。</w:t>
      </w:r>
    </w:p>
    <w:p w14:paraId="3890258F">
      <w:pPr>
        <w:spacing w:line="460" w:lineRule="exact"/>
        <w:ind w:firstLine="420" w:firstLineChars="200"/>
        <w:rPr>
          <w:rFonts w:ascii="宋体" w:hAnsi="宋体"/>
        </w:rPr>
      </w:pPr>
      <w:r>
        <w:rPr>
          <w:rFonts w:hint="eastAsia" w:ascii="宋体" w:hAnsi="宋体"/>
        </w:rPr>
        <w:t>这种评估和相应措施应作为成文信息予以保持。</w:t>
      </w:r>
    </w:p>
    <w:p w14:paraId="5FD1FADA">
      <w:pPr>
        <w:spacing w:line="460" w:lineRule="exact"/>
        <w:ind w:firstLine="420" w:firstLineChars="200"/>
        <w:rPr>
          <w:rFonts w:ascii="宋体" w:hAnsi="宋体"/>
        </w:rPr>
      </w:pPr>
      <w:r>
        <w:rPr>
          <w:rFonts w:hint="eastAsia" w:ascii="宋体" w:hAnsi="宋体"/>
        </w:rPr>
        <w:t>食品安全管理体系、HACCP体系内监视和测量用软件在使用前，应由组织、软件供应商或第三方进行确认。确认活动有关的成文信息应由组织保持，而软件则应及时更新。</w:t>
      </w:r>
    </w:p>
    <w:p w14:paraId="3310C0E2">
      <w:pPr>
        <w:spacing w:line="460" w:lineRule="exact"/>
        <w:ind w:firstLine="420" w:firstLineChars="200"/>
        <w:rPr>
          <w:rFonts w:ascii="宋体" w:hAnsi="宋体"/>
        </w:rPr>
      </w:pPr>
      <w:r>
        <w:rPr>
          <w:rFonts w:hint="eastAsia" w:ascii="宋体" w:hAnsi="宋体"/>
        </w:rPr>
        <w:t>无论何时发生变化，包括对商用现成软件的软件配置/修改，都应在实施前进行授权，形成文件，并加以确认。</w:t>
      </w:r>
    </w:p>
    <w:p w14:paraId="3CCAC446">
      <w:pPr>
        <w:pStyle w:val="18"/>
        <w:rPr>
          <w:rFonts w:ascii="宋体" w:hAnsi="宋体"/>
        </w:rPr>
      </w:pPr>
      <w:bookmarkStart w:id="50" w:name="_Toc110460647"/>
      <w:r>
        <w:rPr>
          <w:rFonts w:hint="eastAsia" w:ascii="宋体" w:hAnsi="宋体"/>
        </w:rPr>
        <w:t>8.16验证相关前提方案和危害控制计划</w:t>
      </w:r>
      <w:bookmarkEnd w:id="50"/>
    </w:p>
    <w:p w14:paraId="605BF36F">
      <w:pPr>
        <w:spacing w:line="460" w:lineRule="exact"/>
        <w:ind w:firstLine="420" w:firstLineChars="200"/>
        <w:rPr>
          <w:rFonts w:ascii="宋体" w:hAnsi="宋体"/>
        </w:rPr>
      </w:pPr>
      <w:r>
        <w:rPr>
          <w:rFonts w:hint="eastAsia" w:ascii="宋体" w:hAnsi="宋体"/>
        </w:rPr>
        <w:t>8.15.1</w:t>
      </w:r>
      <w:r>
        <w:rPr>
          <w:rFonts w:hint="eastAsia" w:ascii="宋体" w:hAnsi="宋体"/>
        </w:rPr>
        <w:tab/>
      </w:r>
      <w:r>
        <w:rPr>
          <w:rFonts w:hint="eastAsia" w:ascii="宋体" w:hAnsi="宋体"/>
        </w:rPr>
        <w:t>验证</w:t>
      </w:r>
    </w:p>
    <w:p w14:paraId="6C22EC67">
      <w:pPr>
        <w:spacing w:line="460" w:lineRule="exact"/>
        <w:ind w:firstLine="420" w:firstLineChars="200"/>
        <w:rPr>
          <w:rFonts w:ascii="宋体" w:hAnsi="宋体"/>
        </w:rPr>
      </w:pPr>
      <w:r>
        <w:rPr>
          <w:rFonts w:hint="eastAsia" w:ascii="宋体" w:hAnsi="宋体"/>
        </w:rPr>
        <w:t>组织应建立、实施并保持验证活动，验证策划应规定验证活动的目的、方法、频次和职责。</w:t>
      </w:r>
    </w:p>
    <w:p w14:paraId="5DF04361">
      <w:pPr>
        <w:spacing w:line="460" w:lineRule="exact"/>
        <w:ind w:firstLine="420" w:firstLineChars="200"/>
        <w:rPr>
          <w:rFonts w:ascii="宋体" w:hAnsi="宋体"/>
        </w:rPr>
      </w:pPr>
      <w:r>
        <w:rPr>
          <w:rFonts w:hint="eastAsia" w:ascii="宋体" w:hAnsi="宋体"/>
        </w:rPr>
        <w:t>验证活动应证实：</w:t>
      </w:r>
    </w:p>
    <w:p w14:paraId="0D0B6774">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前提方案得以实施且具有效；</w:t>
      </w:r>
    </w:p>
    <w:p w14:paraId="2A4E5971">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危害控制计划得以实施行且具有效；</w:t>
      </w:r>
    </w:p>
    <w:p w14:paraId="306FF7C8">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危害水平在确定的可接受水平之内</w:t>
      </w:r>
    </w:p>
    <w:p w14:paraId="53E61EEA">
      <w:pPr>
        <w:spacing w:line="460" w:lineRule="exact"/>
        <w:ind w:firstLine="420" w:firstLineChars="200"/>
        <w:rPr>
          <w:rFonts w:ascii="宋体" w:hAnsi="宋体"/>
        </w:rPr>
      </w:pPr>
      <w:r>
        <w:rPr>
          <w:rFonts w:hint="eastAsia" w:ascii="宋体" w:hAnsi="宋体"/>
        </w:rPr>
        <w:t>d） 定期更新危害分析的输入；</w:t>
      </w:r>
    </w:p>
    <w:p w14:paraId="3802CA7F">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 xml:space="preserve">组织确定的其他措施得以实施且具有效； </w:t>
      </w:r>
    </w:p>
    <w:p w14:paraId="7F351CD5">
      <w:pPr>
        <w:spacing w:line="460" w:lineRule="exact"/>
        <w:ind w:firstLine="420" w:firstLineChars="200"/>
        <w:rPr>
          <w:rFonts w:ascii="宋体" w:hAnsi="宋体"/>
        </w:rPr>
      </w:pPr>
      <w:r>
        <w:rPr>
          <w:rFonts w:hint="eastAsia" w:ascii="宋体" w:hAnsi="宋体"/>
        </w:rPr>
        <w:t>组织应确保负责监视相同活动的人员不进行验证活动。</w:t>
      </w:r>
    </w:p>
    <w:p w14:paraId="66FFC324">
      <w:pPr>
        <w:spacing w:line="460" w:lineRule="exact"/>
        <w:ind w:firstLine="420" w:firstLineChars="200"/>
        <w:rPr>
          <w:rFonts w:ascii="宋体" w:hAnsi="宋体"/>
        </w:rPr>
      </w:pPr>
      <w:r>
        <w:rPr>
          <w:rFonts w:hint="eastAsia" w:ascii="宋体" w:hAnsi="宋体"/>
        </w:rPr>
        <w:t>验证结果应作为成文信息予以保留，并得到沟通。</w:t>
      </w:r>
    </w:p>
    <w:p w14:paraId="152FE217">
      <w:pPr>
        <w:spacing w:line="460" w:lineRule="exact"/>
        <w:ind w:firstLine="420" w:firstLineChars="200"/>
        <w:rPr>
          <w:rFonts w:ascii="宋体" w:hAnsi="宋体"/>
        </w:rPr>
      </w:pPr>
      <w:r>
        <w:rPr>
          <w:rFonts w:hint="eastAsia" w:ascii="宋体" w:hAnsi="宋体"/>
        </w:rPr>
        <w:t>如果验证是基于终产品样品或直接过程样品的测试，且这些测试样品显示未满足食品安全危害的可接受水平，则组织应将受影响批次的产品作为潜在不安全产品进行处理，并按照要求采取纠正措施。</w:t>
      </w:r>
    </w:p>
    <w:p w14:paraId="49D0FE6D">
      <w:pPr>
        <w:spacing w:line="460" w:lineRule="exact"/>
        <w:ind w:firstLine="420" w:firstLineChars="200"/>
        <w:rPr>
          <w:rFonts w:ascii="宋体" w:hAnsi="宋体"/>
        </w:rPr>
      </w:pPr>
      <w:r>
        <w:rPr>
          <w:rFonts w:hint="eastAsia" w:ascii="宋体" w:hAnsi="宋体"/>
        </w:rPr>
        <w:t>8.16.2</w:t>
      </w:r>
      <w:r>
        <w:rPr>
          <w:rFonts w:hint="eastAsia" w:ascii="宋体" w:hAnsi="宋体"/>
        </w:rPr>
        <w:tab/>
      </w:r>
      <w:r>
        <w:rPr>
          <w:rFonts w:hint="eastAsia" w:ascii="宋体" w:hAnsi="宋体"/>
        </w:rPr>
        <w:t>验证活动结果的分析</w:t>
      </w:r>
    </w:p>
    <w:p w14:paraId="75ABD40C">
      <w:pPr>
        <w:spacing w:line="460" w:lineRule="exact"/>
        <w:ind w:firstLine="420" w:firstLineChars="200"/>
        <w:rPr>
          <w:rFonts w:ascii="宋体" w:hAnsi="宋体"/>
        </w:rPr>
      </w:pPr>
      <w:r>
        <w:rPr>
          <w:rFonts w:hint="eastAsia" w:ascii="宋体" w:hAnsi="宋体"/>
        </w:rPr>
        <w:t>食品安全小组应对验证结果进行分析，该分析应作为FSMS绩效评价的输入。</w:t>
      </w:r>
    </w:p>
    <w:p w14:paraId="26F7D1E9">
      <w:pPr>
        <w:pStyle w:val="18"/>
        <w:rPr>
          <w:rFonts w:ascii="宋体" w:hAnsi="宋体"/>
        </w:rPr>
      </w:pPr>
      <w:bookmarkStart w:id="51" w:name="_Toc110460648"/>
      <w:r>
        <w:rPr>
          <w:rFonts w:hint="eastAsia" w:ascii="宋体" w:hAnsi="宋体"/>
        </w:rPr>
        <w:t>8.17</w:t>
      </w:r>
      <w:r>
        <w:rPr>
          <w:rFonts w:hint="eastAsia" w:ascii="宋体" w:hAnsi="宋体"/>
        </w:rPr>
        <w:tab/>
      </w:r>
      <w:r>
        <w:rPr>
          <w:rFonts w:hint="eastAsia" w:ascii="宋体" w:hAnsi="宋体"/>
        </w:rPr>
        <w:t>不合格产品和过程控制</w:t>
      </w:r>
      <w:bookmarkEnd w:id="51"/>
    </w:p>
    <w:p w14:paraId="60CB7B37">
      <w:pPr>
        <w:pStyle w:val="5"/>
        <w:rPr>
          <w:rFonts w:ascii="宋体" w:hAnsi="宋体"/>
        </w:rPr>
      </w:pPr>
      <w:bookmarkStart w:id="52" w:name="_Toc110460649"/>
      <w:r>
        <w:rPr>
          <w:rFonts w:hint="eastAsia" w:ascii="宋体" w:hAnsi="宋体"/>
        </w:rPr>
        <w:t>8.17.1总则</w:t>
      </w:r>
      <w:bookmarkEnd w:id="52"/>
    </w:p>
    <w:p w14:paraId="0F9538E0">
      <w:pPr>
        <w:spacing w:line="460" w:lineRule="exact"/>
        <w:ind w:firstLine="420" w:firstLineChars="200"/>
        <w:rPr>
          <w:rFonts w:ascii="宋体" w:hAnsi="宋体"/>
        </w:rPr>
      </w:pPr>
      <w:r>
        <w:rPr>
          <w:rFonts w:hint="eastAsia" w:ascii="宋体" w:hAnsi="宋体"/>
        </w:rPr>
        <w:t>组织应确保经由操作前提方案的监视以及在CCP处获得的数据均通过由有能力并有权启动纠正和纠正措施的指定人员进行评价。</w:t>
      </w:r>
    </w:p>
    <w:p w14:paraId="61468450">
      <w:pPr>
        <w:pStyle w:val="5"/>
        <w:rPr>
          <w:rFonts w:ascii="宋体" w:hAnsi="宋体"/>
        </w:rPr>
      </w:pPr>
      <w:bookmarkStart w:id="53" w:name="_Toc110460650"/>
      <w:r>
        <w:rPr>
          <w:rFonts w:hint="eastAsia" w:ascii="宋体" w:hAnsi="宋体"/>
        </w:rPr>
        <w:t>8.17.2纠正</w:t>
      </w:r>
      <w:bookmarkEnd w:id="53"/>
    </w:p>
    <w:p w14:paraId="66D4AA3B">
      <w:pPr>
        <w:spacing w:line="460" w:lineRule="exact"/>
        <w:ind w:firstLine="420" w:firstLineChars="200"/>
        <w:rPr>
          <w:rFonts w:ascii="宋体" w:hAnsi="宋体"/>
        </w:rPr>
      </w:pPr>
      <w:r>
        <w:rPr>
          <w:rFonts w:hint="eastAsia" w:ascii="宋体" w:hAnsi="宋体"/>
        </w:rPr>
        <w:t>8.9.2.1当关键限值超出和/或不符合操作前提方案的行动准则时，组织应确保根据产品的用途和放行要求，识别和控制受影响的产品。</w:t>
      </w:r>
    </w:p>
    <w:p w14:paraId="44A8F57F">
      <w:pPr>
        <w:spacing w:line="460" w:lineRule="exact"/>
        <w:ind w:firstLine="420" w:firstLineChars="200"/>
        <w:rPr>
          <w:rFonts w:ascii="宋体" w:hAnsi="宋体"/>
        </w:rPr>
      </w:pPr>
      <w:r>
        <w:rPr>
          <w:rFonts w:hint="eastAsia" w:ascii="宋体" w:hAnsi="宋体"/>
        </w:rPr>
        <w:t>应建立、保持并更新成文信息，包括：</w:t>
      </w:r>
    </w:p>
    <w:p w14:paraId="3919E6DD">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 xml:space="preserve">受影响产品的识别、评估和纠正的方法，以确保对它们进行适宜的处置； </w:t>
      </w:r>
    </w:p>
    <w:p w14:paraId="476F49E5">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评审所实施纠正的安排。</w:t>
      </w:r>
    </w:p>
    <w:p w14:paraId="28222EEF">
      <w:pPr>
        <w:spacing w:line="460" w:lineRule="exact"/>
        <w:ind w:firstLine="420" w:firstLineChars="200"/>
        <w:rPr>
          <w:rFonts w:ascii="宋体" w:hAnsi="宋体"/>
        </w:rPr>
      </w:pPr>
      <w:r>
        <w:rPr>
          <w:rFonts w:hint="eastAsia" w:ascii="宋体" w:hAnsi="宋体"/>
        </w:rPr>
        <w:t>8.17.2.2</w:t>
      </w:r>
      <w:r>
        <w:rPr>
          <w:rFonts w:hint="eastAsia" w:ascii="宋体" w:hAnsi="宋体"/>
        </w:rPr>
        <w:tab/>
      </w:r>
      <w:r>
        <w:rPr>
          <w:rFonts w:hint="eastAsia" w:ascii="宋体" w:hAnsi="宋体"/>
        </w:rPr>
        <w:t>当在CCP处关键限值超出时，应确定受影响产品并将其视作潜在不安全产品加以处理。</w:t>
      </w:r>
    </w:p>
    <w:p w14:paraId="2F8C5568">
      <w:pPr>
        <w:spacing w:line="460" w:lineRule="exact"/>
        <w:ind w:firstLine="420" w:firstLineChars="200"/>
        <w:rPr>
          <w:rFonts w:ascii="宋体" w:hAnsi="宋体"/>
        </w:rPr>
      </w:pPr>
      <w:r>
        <w:rPr>
          <w:rFonts w:hint="eastAsia" w:ascii="宋体" w:hAnsi="宋体"/>
        </w:rPr>
        <w:t>8.17.2.3</w:t>
      </w:r>
      <w:r>
        <w:rPr>
          <w:rFonts w:hint="eastAsia" w:ascii="宋体" w:hAnsi="宋体"/>
        </w:rPr>
        <w:tab/>
      </w:r>
      <w:r>
        <w:rPr>
          <w:rFonts w:hint="eastAsia" w:ascii="宋体" w:hAnsi="宋体"/>
        </w:rPr>
        <w:t>当不满足操作前提方案的行动准则时，应采取以下措施：</w:t>
      </w:r>
    </w:p>
    <w:p w14:paraId="53010B09">
      <w:pPr>
        <w:spacing w:line="460" w:lineRule="exact"/>
        <w:ind w:firstLine="420" w:firstLineChars="200"/>
        <w:rPr>
          <w:rFonts w:ascii="宋体" w:hAnsi="宋体"/>
        </w:rPr>
      </w:pPr>
      <w:r>
        <w:rPr>
          <w:rFonts w:hint="eastAsia" w:ascii="宋体" w:hAnsi="宋体"/>
        </w:rPr>
        <w:t xml:space="preserve">        a）确定该失效的后果对食品安全的影响;</w:t>
      </w:r>
    </w:p>
    <w:p w14:paraId="2E5C6906">
      <w:pPr>
        <w:spacing w:line="460" w:lineRule="exact"/>
        <w:ind w:firstLine="420" w:firstLineChars="200"/>
        <w:rPr>
          <w:rFonts w:ascii="宋体" w:hAnsi="宋体"/>
        </w:rPr>
      </w:pPr>
      <w:r>
        <w:rPr>
          <w:rFonts w:hint="eastAsia" w:ascii="宋体" w:hAnsi="宋体"/>
        </w:rPr>
        <w:t>b）确定失效的原因;</w:t>
      </w:r>
    </w:p>
    <w:p w14:paraId="6AFCCE55">
      <w:pPr>
        <w:spacing w:line="460" w:lineRule="exact"/>
        <w:ind w:firstLine="420" w:firstLineChars="200"/>
        <w:rPr>
          <w:rFonts w:ascii="宋体" w:hAnsi="宋体"/>
        </w:rPr>
      </w:pPr>
      <w:r>
        <w:rPr>
          <w:rFonts w:hint="eastAsia" w:ascii="宋体" w:hAnsi="宋体"/>
        </w:rPr>
        <w:t>c）确定受影响的产品并根据8.9.4进行处理。</w:t>
      </w:r>
    </w:p>
    <w:p w14:paraId="64F96DF9">
      <w:pPr>
        <w:spacing w:line="460" w:lineRule="exact"/>
        <w:ind w:firstLine="420" w:firstLineChars="200"/>
        <w:rPr>
          <w:rFonts w:ascii="宋体" w:hAnsi="宋体"/>
        </w:rPr>
      </w:pPr>
      <w:r>
        <w:rPr>
          <w:rFonts w:hint="eastAsia" w:ascii="宋体" w:hAnsi="宋体"/>
        </w:rPr>
        <w:t>组织应保留评估结果作为成文信息。</w:t>
      </w:r>
    </w:p>
    <w:p w14:paraId="063008FA">
      <w:pPr>
        <w:spacing w:line="460" w:lineRule="exact"/>
        <w:ind w:firstLine="420" w:firstLineChars="200"/>
        <w:rPr>
          <w:rFonts w:ascii="宋体" w:hAnsi="宋体"/>
        </w:rPr>
      </w:pPr>
      <w:r>
        <w:rPr>
          <w:rFonts w:hint="eastAsia" w:ascii="宋体" w:hAnsi="宋体"/>
        </w:rPr>
        <w:t>8.17.2.4 应保留成文信息，以描述对不合格产品和过程所做的纠正，包括：</w:t>
      </w:r>
    </w:p>
    <w:p w14:paraId="0BA3F101">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不合格的性质；</w:t>
      </w:r>
    </w:p>
    <w:p w14:paraId="49681900">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失效的原因；</w:t>
      </w:r>
    </w:p>
    <w:p w14:paraId="7DFFF9C9">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不合格导致的后果；以及</w:t>
      </w:r>
    </w:p>
    <w:p w14:paraId="366D3214">
      <w:pPr>
        <w:pStyle w:val="5"/>
        <w:rPr>
          <w:rFonts w:ascii="宋体" w:hAnsi="宋体"/>
        </w:rPr>
      </w:pPr>
      <w:bookmarkStart w:id="54" w:name="_Toc110460651"/>
      <w:r>
        <w:rPr>
          <w:rFonts w:hint="eastAsia" w:ascii="宋体" w:hAnsi="宋体"/>
        </w:rPr>
        <w:t>8.17.3</w:t>
      </w:r>
      <w:r>
        <w:rPr>
          <w:rFonts w:hint="eastAsia" w:ascii="宋体" w:hAnsi="宋体"/>
        </w:rPr>
        <w:tab/>
      </w:r>
      <w:r>
        <w:rPr>
          <w:rFonts w:hint="eastAsia" w:ascii="宋体" w:hAnsi="宋体"/>
        </w:rPr>
        <w:t>纠正措施</w:t>
      </w:r>
      <w:bookmarkEnd w:id="54"/>
    </w:p>
    <w:p w14:paraId="091074D3">
      <w:pPr>
        <w:spacing w:line="460" w:lineRule="exact"/>
        <w:ind w:firstLine="420" w:firstLineChars="200"/>
        <w:rPr>
          <w:rFonts w:ascii="宋体" w:hAnsi="宋体"/>
        </w:rPr>
      </w:pPr>
      <w:r>
        <w:rPr>
          <w:rFonts w:hint="eastAsia" w:ascii="宋体" w:hAnsi="宋体"/>
        </w:rPr>
        <w:t>当关键限值超出和/或不符合操作前提方案的行动准则时，应当对纠正措施的需求进行评价。</w:t>
      </w:r>
    </w:p>
    <w:p w14:paraId="1B753A85">
      <w:pPr>
        <w:spacing w:line="460" w:lineRule="exact"/>
        <w:ind w:firstLine="420" w:firstLineChars="200"/>
        <w:rPr>
          <w:rFonts w:ascii="宋体" w:hAnsi="宋体"/>
        </w:rPr>
      </w:pPr>
      <w:r>
        <w:rPr>
          <w:rFonts w:hint="eastAsia" w:ascii="宋体" w:hAnsi="宋体"/>
        </w:rPr>
        <w:t>组织应建立并保持成文信息，规定适宜的措施以识别和消除已发现的不符合的原因，防止其再次发生，并在不符合发生后，使相应的过程恢复受控状态。</w:t>
      </w:r>
    </w:p>
    <w:p w14:paraId="0EC0B961">
      <w:pPr>
        <w:spacing w:line="460" w:lineRule="exact"/>
        <w:ind w:firstLine="420" w:firstLineChars="200"/>
        <w:rPr>
          <w:rFonts w:ascii="宋体" w:hAnsi="宋体"/>
        </w:rPr>
      </w:pPr>
      <w:r>
        <w:rPr>
          <w:rFonts w:hint="eastAsia" w:ascii="宋体" w:hAnsi="宋体"/>
        </w:rPr>
        <w:t>这些措施应包括：</w:t>
      </w:r>
    </w:p>
    <w:p w14:paraId="3C87200C">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评审来自顾客和/或顾客抱怨/监管检验报告确认的不符合；</w:t>
      </w:r>
    </w:p>
    <w:p w14:paraId="1C29F0CB">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评审监视结果可能向失控发展的趋势；</w:t>
      </w:r>
    </w:p>
    <w:p w14:paraId="6E9A3E4D">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确定不符合的原因；</w:t>
      </w:r>
    </w:p>
    <w:p w14:paraId="11112F06">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确定并实施相应措施，以确保不符合不再发生；</w:t>
      </w:r>
    </w:p>
    <w:p w14:paraId="027FF1DB">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记录所采取纠正措施的结果；</w:t>
      </w:r>
    </w:p>
    <w:p w14:paraId="0C7AA590">
      <w:pPr>
        <w:spacing w:line="460" w:lineRule="exact"/>
        <w:ind w:firstLine="420" w:firstLineChars="200"/>
        <w:rPr>
          <w:rFonts w:ascii="宋体" w:hAnsi="宋体"/>
        </w:rPr>
      </w:pPr>
      <w:r>
        <w:rPr>
          <w:rFonts w:hint="eastAsia" w:ascii="宋体" w:hAnsi="宋体"/>
        </w:rPr>
        <w:t>f）</w:t>
      </w:r>
      <w:r>
        <w:rPr>
          <w:rFonts w:hint="eastAsia" w:ascii="宋体" w:hAnsi="宋体"/>
        </w:rPr>
        <w:tab/>
      </w:r>
      <w:r>
        <w:rPr>
          <w:rFonts w:hint="eastAsia" w:ascii="宋体" w:hAnsi="宋体"/>
        </w:rPr>
        <w:t>验证采取的纠正措施，以确保其有效。</w:t>
      </w:r>
    </w:p>
    <w:p w14:paraId="161E8120">
      <w:pPr>
        <w:spacing w:line="460" w:lineRule="exact"/>
        <w:ind w:firstLine="420" w:firstLineChars="200"/>
        <w:rPr>
          <w:rFonts w:ascii="宋体" w:hAnsi="宋体"/>
        </w:rPr>
      </w:pPr>
      <w:r>
        <w:rPr>
          <w:rFonts w:hint="eastAsia" w:ascii="宋体" w:hAnsi="宋体"/>
        </w:rPr>
        <w:t>组织应保留所有纠正措施的成文信息。</w:t>
      </w:r>
    </w:p>
    <w:p w14:paraId="3D2B27B0">
      <w:pPr>
        <w:pStyle w:val="5"/>
        <w:rPr>
          <w:rFonts w:ascii="宋体" w:hAnsi="宋体"/>
        </w:rPr>
      </w:pPr>
      <w:bookmarkStart w:id="55" w:name="_Toc110460652"/>
      <w:r>
        <w:rPr>
          <w:rFonts w:hint="eastAsia" w:ascii="宋体" w:hAnsi="宋体"/>
        </w:rPr>
        <w:t>8.17.4</w:t>
      </w:r>
      <w:r>
        <w:rPr>
          <w:rFonts w:hint="eastAsia" w:ascii="宋体" w:hAnsi="宋体"/>
        </w:rPr>
        <w:tab/>
      </w:r>
      <w:r>
        <w:rPr>
          <w:rFonts w:hint="eastAsia" w:ascii="宋体" w:hAnsi="宋体"/>
        </w:rPr>
        <w:t>潜在不安全产品的处置</w:t>
      </w:r>
      <w:bookmarkEnd w:id="55"/>
    </w:p>
    <w:p w14:paraId="73D2420D">
      <w:pPr>
        <w:spacing w:line="460" w:lineRule="exact"/>
        <w:ind w:firstLine="420" w:firstLineChars="200"/>
        <w:rPr>
          <w:rFonts w:ascii="宋体" w:hAnsi="宋体"/>
        </w:rPr>
      </w:pPr>
      <w:r>
        <w:rPr>
          <w:rFonts w:hint="eastAsia" w:ascii="宋体" w:hAnsi="宋体"/>
        </w:rPr>
        <w:t>8.9.4.1</w:t>
      </w:r>
      <w:r>
        <w:rPr>
          <w:rFonts w:hint="eastAsia" w:ascii="宋体" w:hAnsi="宋体"/>
        </w:rPr>
        <w:tab/>
      </w:r>
      <w:r>
        <w:rPr>
          <w:rFonts w:hint="eastAsia" w:ascii="宋体" w:hAnsi="宋体"/>
        </w:rPr>
        <w:t>总则</w:t>
      </w:r>
    </w:p>
    <w:p w14:paraId="1411DFD9">
      <w:pPr>
        <w:spacing w:line="460" w:lineRule="exact"/>
        <w:ind w:firstLine="420" w:firstLineChars="200"/>
        <w:rPr>
          <w:rFonts w:ascii="宋体" w:hAnsi="宋体"/>
        </w:rPr>
      </w:pPr>
      <w:r>
        <w:rPr>
          <w:rFonts w:hint="eastAsia" w:ascii="宋体" w:hAnsi="宋体"/>
        </w:rPr>
        <w:t>除非组织可证实如下情况，否则应采取措施避免潜在不安全产品进入食品链：</w:t>
      </w:r>
    </w:p>
    <w:p w14:paraId="2E663CE0">
      <w:pPr>
        <w:spacing w:line="460" w:lineRule="exact"/>
        <w:ind w:firstLine="420" w:firstLineChars="200"/>
        <w:rPr>
          <w:rFonts w:ascii="宋体" w:hAnsi="宋体"/>
        </w:rPr>
      </w:pPr>
      <w:r>
        <w:rPr>
          <w:rFonts w:hint="eastAsia" w:ascii="宋体" w:hAnsi="宋体"/>
        </w:rPr>
        <w:t>a)相关的食品安全危害已降至规定的可接受水平；</w:t>
      </w:r>
    </w:p>
    <w:p w14:paraId="3E849FA0">
      <w:pPr>
        <w:spacing w:line="460" w:lineRule="exact"/>
        <w:ind w:firstLine="420" w:firstLineChars="200"/>
        <w:rPr>
          <w:rFonts w:ascii="宋体" w:hAnsi="宋体"/>
        </w:rPr>
      </w:pPr>
      <w:r>
        <w:rPr>
          <w:rFonts w:hint="eastAsia" w:ascii="宋体" w:hAnsi="宋体"/>
        </w:rPr>
        <w:t>b)相关的食品安全危害在进入食品链前将降至确定的可接受水平；</w:t>
      </w:r>
    </w:p>
    <w:p w14:paraId="6C0B91EB">
      <w:pPr>
        <w:spacing w:line="460" w:lineRule="exact"/>
        <w:ind w:firstLine="420" w:firstLineChars="200"/>
        <w:rPr>
          <w:rFonts w:ascii="宋体" w:hAnsi="宋体"/>
        </w:rPr>
      </w:pPr>
      <w:r>
        <w:rPr>
          <w:rFonts w:hint="eastAsia" w:ascii="宋体" w:hAnsi="宋体"/>
        </w:rPr>
        <w:t>c)尽管不符合，但产品仍能满足相关的食品安全危害的规定的可接受水平。</w:t>
      </w:r>
    </w:p>
    <w:p w14:paraId="1D56F0B9">
      <w:pPr>
        <w:spacing w:line="460" w:lineRule="exact"/>
        <w:ind w:firstLine="420" w:firstLineChars="200"/>
        <w:rPr>
          <w:rFonts w:ascii="宋体" w:hAnsi="宋体"/>
        </w:rPr>
      </w:pPr>
      <w:r>
        <w:rPr>
          <w:rFonts w:hint="eastAsia" w:ascii="宋体" w:hAnsi="宋体"/>
        </w:rPr>
        <w:t>已识别的潜在不安全产品应在经过评价并确定处置前处于组织的控制之中。</w:t>
      </w:r>
    </w:p>
    <w:p w14:paraId="16F660CA">
      <w:pPr>
        <w:spacing w:line="460" w:lineRule="exact"/>
        <w:ind w:firstLine="420" w:firstLineChars="200"/>
        <w:rPr>
          <w:rFonts w:ascii="宋体" w:hAnsi="宋体"/>
        </w:rPr>
      </w:pPr>
      <w:r>
        <w:rPr>
          <w:rFonts w:hint="eastAsia" w:ascii="宋体" w:hAnsi="宋体"/>
        </w:rPr>
        <w:t>当产品在组织的控制之外，并继而确定为不安全时，组织应通知相关方，并启动撤回/召回。</w:t>
      </w:r>
    </w:p>
    <w:p w14:paraId="4199B5CF">
      <w:pPr>
        <w:spacing w:line="460" w:lineRule="exact"/>
        <w:ind w:firstLine="420" w:firstLineChars="200"/>
        <w:rPr>
          <w:rFonts w:ascii="宋体" w:hAnsi="宋体"/>
        </w:rPr>
      </w:pPr>
      <w:r>
        <w:rPr>
          <w:rFonts w:hint="eastAsia" w:ascii="宋体" w:hAnsi="宋体"/>
        </w:rPr>
        <w:t>相关方的控制和相关响应以及处理潜在不安全产品的授权应作为成文信息保留。</w:t>
      </w:r>
    </w:p>
    <w:p w14:paraId="6CD92FD5">
      <w:pPr>
        <w:spacing w:line="460" w:lineRule="exact"/>
        <w:ind w:firstLine="420" w:firstLineChars="200"/>
        <w:rPr>
          <w:rFonts w:ascii="宋体" w:hAnsi="宋体"/>
        </w:rPr>
      </w:pPr>
      <w:r>
        <w:rPr>
          <w:rFonts w:hint="eastAsia" w:ascii="宋体" w:hAnsi="宋体"/>
        </w:rPr>
        <w:t>8.17.4.2</w:t>
      </w:r>
      <w:r>
        <w:rPr>
          <w:rFonts w:hint="eastAsia" w:ascii="宋体" w:hAnsi="宋体"/>
        </w:rPr>
        <w:tab/>
      </w:r>
      <w:r>
        <w:rPr>
          <w:rFonts w:hint="eastAsia" w:ascii="宋体" w:hAnsi="宋体"/>
        </w:rPr>
        <w:t>放行的评价</w:t>
      </w:r>
    </w:p>
    <w:p w14:paraId="01B0F0CD">
      <w:pPr>
        <w:spacing w:line="460" w:lineRule="exact"/>
        <w:ind w:firstLine="420" w:firstLineChars="200"/>
        <w:rPr>
          <w:rFonts w:ascii="宋体" w:hAnsi="宋体"/>
        </w:rPr>
      </w:pPr>
      <w:r>
        <w:rPr>
          <w:rFonts w:hint="eastAsia" w:ascii="宋体" w:hAnsi="宋体"/>
        </w:rPr>
        <w:t xml:space="preserve">    受到不合格影响的每批产品都应进行评价。</w:t>
      </w:r>
    </w:p>
    <w:p w14:paraId="00FB474E">
      <w:pPr>
        <w:spacing w:line="460" w:lineRule="exact"/>
        <w:ind w:firstLine="420" w:firstLineChars="200"/>
        <w:rPr>
          <w:rFonts w:ascii="宋体" w:hAnsi="宋体"/>
        </w:rPr>
      </w:pPr>
      <w:r>
        <w:rPr>
          <w:rFonts w:hint="eastAsia" w:ascii="宋体" w:hAnsi="宋体"/>
        </w:rPr>
        <w:t>在CCP处超出关键限值而受影响的产品不得放行，应按照要求进行处理。</w:t>
      </w:r>
    </w:p>
    <w:p w14:paraId="1D5AEA69">
      <w:pPr>
        <w:spacing w:line="460" w:lineRule="exact"/>
        <w:ind w:firstLine="420" w:firstLineChars="200"/>
        <w:rPr>
          <w:rFonts w:ascii="宋体" w:hAnsi="宋体"/>
        </w:rPr>
      </w:pPr>
      <w:r>
        <w:rPr>
          <w:rFonts w:hint="eastAsia" w:ascii="宋体" w:hAnsi="宋体"/>
        </w:rPr>
        <w:t>未满足OPRP行动准则而受影响的产品只有在符合以下任一条件时才能作为安全产品放行：</w:t>
      </w:r>
    </w:p>
    <w:p w14:paraId="40B0BEFE">
      <w:pPr>
        <w:spacing w:line="460" w:lineRule="exact"/>
        <w:ind w:firstLine="420" w:firstLineChars="200"/>
        <w:rPr>
          <w:rFonts w:ascii="宋体" w:hAnsi="宋体"/>
        </w:rPr>
      </w:pPr>
      <w:r>
        <w:rPr>
          <w:rFonts w:hint="eastAsia" w:ascii="宋体" w:hAnsi="宋体"/>
        </w:rPr>
        <w:t>a)除监视系统外的其他证据证实控制措施有效；</w:t>
      </w:r>
    </w:p>
    <w:p w14:paraId="26F2EEA4">
      <w:pPr>
        <w:spacing w:line="460" w:lineRule="exact"/>
        <w:ind w:firstLine="420" w:firstLineChars="200"/>
        <w:rPr>
          <w:rFonts w:ascii="宋体" w:hAnsi="宋体"/>
        </w:rPr>
      </w:pPr>
      <w:r>
        <w:rPr>
          <w:rFonts w:hint="eastAsia" w:ascii="宋体" w:hAnsi="宋体"/>
        </w:rPr>
        <w:t>b)证据表明，针对特定产品的控制措施的组合作用达到预期效果（即确定的可接受水平）；</w:t>
      </w:r>
    </w:p>
    <w:p w14:paraId="58AA63FF">
      <w:pPr>
        <w:spacing w:line="460" w:lineRule="exact"/>
        <w:ind w:firstLine="420" w:firstLineChars="200"/>
        <w:rPr>
          <w:rFonts w:ascii="宋体" w:hAnsi="宋体"/>
        </w:rPr>
      </w:pPr>
      <w:r>
        <w:rPr>
          <w:rFonts w:hint="eastAsia" w:ascii="宋体" w:hAnsi="宋体"/>
        </w:rPr>
        <w:t>c) 抽样、分析和（或）其他验证活动的结果证实受影响的产品符合确定的相关食品安全危害的可接受水平。</w:t>
      </w:r>
    </w:p>
    <w:p w14:paraId="18EA117F">
      <w:pPr>
        <w:spacing w:line="460" w:lineRule="exact"/>
        <w:ind w:firstLine="420" w:firstLineChars="200"/>
        <w:rPr>
          <w:rFonts w:ascii="宋体" w:hAnsi="宋体"/>
        </w:rPr>
      </w:pPr>
      <w:r>
        <w:rPr>
          <w:rFonts w:hint="eastAsia" w:ascii="宋体" w:hAnsi="宋体"/>
        </w:rPr>
        <w:t>产品放行的评价结果应作为成文信息加以保留。</w:t>
      </w:r>
    </w:p>
    <w:p w14:paraId="374EBB21">
      <w:pPr>
        <w:spacing w:line="460" w:lineRule="exact"/>
        <w:ind w:firstLine="420" w:firstLineChars="200"/>
        <w:rPr>
          <w:rFonts w:ascii="宋体" w:hAnsi="宋体"/>
        </w:rPr>
      </w:pPr>
      <w:r>
        <w:rPr>
          <w:rFonts w:hint="eastAsia" w:ascii="宋体" w:hAnsi="宋体"/>
        </w:rPr>
        <w:t>8.17.4.3</w:t>
      </w:r>
      <w:r>
        <w:rPr>
          <w:rFonts w:hint="eastAsia" w:ascii="宋体" w:hAnsi="宋体"/>
        </w:rPr>
        <w:tab/>
      </w:r>
      <w:r>
        <w:rPr>
          <w:rFonts w:hint="eastAsia" w:ascii="宋体" w:hAnsi="宋体"/>
        </w:rPr>
        <w:t>不合格产品的处置</w:t>
      </w:r>
    </w:p>
    <w:p w14:paraId="08F0594F">
      <w:pPr>
        <w:spacing w:line="460" w:lineRule="exact"/>
        <w:ind w:firstLine="420" w:firstLineChars="200"/>
        <w:rPr>
          <w:rFonts w:ascii="宋体" w:hAnsi="宋体"/>
        </w:rPr>
      </w:pPr>
      <w:r>
        <w:rPr>
          <w:rFonts w:hint="eastAsia" w:ascii="宋体" w:hAnsi="宋体"/>
        </w:rPr>
        <w:t>不允许放行的产品应为：</w:t>
      </w:r>
    </w:p>
    <w:p w14:paraId="6AC019BF">
      <w:pPr>
        <w:spacing w:line="460" w:lineRule="exact"/>
        <w:ind w:firstLine="420" w:firstLineChars="200"/>
        <w:rPr>
          <w:rFonts w:ascii="宋体" w:hAnsi="宋体"/>
        </w:rPr>
      </w:pPr>
      <w:r>
        <w:rPr>
          <w:rFonts w:hint="eastAsia" w:ascii="宋体" w:hAnsi="宋体"/>
        </w:rPr>
        <w:t>a）在组织内部或外部进行再加工或进一步加工，以确保食品安全危害降至可接受的水平; 或</w:t>
      </w:r>
    </w:p>
    <w:p w14:paraId="7716DDEC">
      <w:pPr>
        <w:spacing w:line="460" w:lineRule="exact"/>
        <w:ind w:firstLine="420" w:firstLineChars="200"/>
        <w:rPr>
          <w:rFonts w:ascii="宋体" w:hAnsi="宋体"/>
        </w:rPr>
      </w:pPr>
      <w:r>
        <w:rPr>
          <w:rFonts w:hint="eastAsia" w:ascii="宋体" w:hAnsi="宋体"/>
        </w:rPr>
        <w:t>b）转用于其他用途，但不能影响到食品链中的食品安全; 或</w:t>
      </w:r>
    </w:p>
    <w:p w14:paraId="36DFFD2F">
      <w:pPr>
        <w:spacing w:line="460" w:lineRule="exact"/>
        <w:ind w:firstLine="420" w:firstLineChars="200"/>
        <w:rPr>
          <w:rFonts w:ascii="宋体" w:hAnsi="宋体"/>
        </w:rPr>
      </w:pPr>
      <w:r>
        <w:rPr>
          <w:rFonts w:hint="eastAsia" w:ascii="宋体" w:hAnsi="宋体"/>
        </w:rPr>
        <w:t>c）销毁和（或）按废物处理。</w:t>
      </w:r>
    </w:p>
    <w:p w14:paraId="11E46A9B">
      <w:pPr>
        <w:spacing w:line="460" w:lineRule="exact"/>
        <w:ind w:firstLine="420" w:firstLineChars="200"/>
        <w:rPr>
          <w:rFonts w:ascii="宋体" w:hAnsi="宋体"/>
        </w:rPr>
      </w:pPr>
      <w:r>
        <w:rPr>
          <w:rFonts w:hint="eastAsia" w:ascii="宋体" w:hAnsi="宋体"/>
        </w:rPr>
        <w:t>应保留关于不合格产品处置的成文信息，包括具有批准权限的人员的确定。</w:t>
      </w:r>
    </w:p>
    <w:p w14:paraId="05646B32">
      <w:pPr>
        <w:pStyle w:val="5"/>
        <w:rPr>
          <w:rFonts w:ascii="宋体" w:hAnsi="宋体"/>
        </w:rPr>
      </w:pPr>
      <w:bookmarkStart w:id="56" w:name="_Toc110460653"/>
      <w:r>
        <w:rPr>
          <w:rFonts w:hint="eastAsia" w:ascii="宋体" w:hAnsi="宋体"/>
        </w:rPr>
        <w:t>8.17.5</w:t>
      </w:r>
      <w:r>
        <w:rPr>
          <w:rFonts w:hint="eastAsia" w:ascii="宋体" w:hAnsi="宋体"/>
        </w:rPr>
        <w:tab/>
      </w:r>
      <w:r>
        <w:rPr>
          <w:rFonts w:hint="eastAsia" w:ascii="宋体" w:hAnsi="宋体"/>
        </w:rPr>
        <w:t>撤回/召回</w:t>
      </w:r>
      <w:bookmarkEnd w:id="56"/>
    </w:p>
    <w:p w14:paraId="79DCF7DE">
      <w:pPr>
        <w:spacing w:line="460" w:lineRule="exact"/>
        <w:ind w:firstLine="420" w:firstLineChars="200"/>
        <w:rPr>
          <w:rFonts w:ascii="宋体" w:hAnsi="宋体"/>
        </w:rPr>
      </w:pPr>
      <w:r>
        <w:rPr>
          <w:rFonts w:hint="eastAsia" w:ascii="宋体" w:hAnsi="宋体"/>
        </w:rPr>
        <w:t>组织应能够通过任命有权启动和执行撤回/召回的有能力的人员，确保及时撤回/召回被确定为潜在不安全的各批次终产品。</w:t>
      </w:r>
    </w:p>
    <w:p w14:paraId="36A9AE3C">
      <w:pPr>
        <w:spacing w:line="460" w:lineRule="exact"/>
        <w:ind w:firstLine="420" w:firstLineChars="200"/>
        <w:rPr>
          <w:rFonts w:ascii="宋体" w:hAnsi="宋体"/>
        </w:rPr>
      </w:pPr>
      <w:r>
        <w:rPr>
          <w:rFonts w:hint="eastAsia" w:ascii="宋体" w:hAnsi="宋体"/>
        </w:rPr>
        <w:t>组织应建立并保持成文信息，以便：</w:t>
      </w:r>
    </w:p>
    <w:p w14:paraId="7B1C69CB">
      <w:pPr>
        <w:spacing w:line="460" w:lineRule="exact"/>
        <w:ind w:firstLine="420" w:firstLineChars="200"/>
        <w:rPr>
          <w:rFonts w:ascii="宋体" w:hAnsi="宋体"/>
        </w:rPr>
      </w:pPr>
      <w:r>
        <w:rPr>
          <w:rFonts w:hint="eastAsia" w:ascii="宋体" w:hAnsi="宋体"/>
        </w:rPr>
        <w:t>1)通知相关方（如：立法和监管部门、顾客和（或）消费者）；</w:t>
      </w:r>
    </w:p>
    <w:p w14:paraId="75D9CAF1">
      <w:pPr>
        <w:spacing w:line="460" w:lineRule="exact"/>
        <w:ind w:firstLine="420" w:firstLineChars="200"/>
        <w:rPr>
          <w:rFonts w:ascii="宋体" w:hAnsi="宋体"/>
        </w:rPr>
      </w:pPr>
      <w:r>
        <w:rPr>
          <w:rFonts w:hint="eastAsia" w:ascii="宋体" w:hAnsi="宋体"/>
        </w:rPr>
        <w:t>2)处置撤回/召回产品及库存中受影响的产品；</w:t>
      </w:r>
    </w:p>
    <w:p w14:paraId="3B709553">
      <w:pPr>
        <w:spacing w:line="460" w:lineRule="exact"/>
        <w:ind w:firstLine="420" w:firstLineChars="200"/>
        <w:rPr>
          <w:rFonts w:ascii="宋体" w:hAnsi="宋体"/>
        </w:rPr>
      </w:pPr>
      <w:r>
        <w:rPr>
          <w:rFonts w:hint="eastAsia" w:ascii="宋体" w:hAnsi="宋体"/>
        </w:rPr>
        <w:t>3）安排采取措施的顺序。</w:t>
      </w:r>
    </w:p>
    <w:p w14:paraId="28D12A47">
      <w:pPr>
        <w:spacing w:line="460" w:lineRule="exact"/>
        <w:ind w:firstLine="420" w:firstLineChars="200"/>
        <w:rPr>
          <w:rFonts w:ascii="宋体" w:hAnsi="宋体"/>
        </w:rPr>
      </w:pPr>
      <w:r>
        <w:rPr>
          <w:rFonts w:hint="eastAsia" w:ascii="宋体" w:hAnsi="宋体"/>
        </w:rPr>
        <w:t>撤回/召回的产品和仍在库存的终产品在按照要求进行管理之前，应在组织的控制下被封存或保留。</w:t>
      </w:r>
    </w:p>
    <w:p w14:paraId="2EE7683F">
      <w:pPr>
        <w:spacing w:line="460" w:lineRule="exact"/>
        <w:ind w:firstLine="420" w:firstLineChars="200"/>
        <w:rPr>
          <w:rFonts w:ascii="宋体" w:hAnsi="宋体"/>
        </w:rPr>
      </w:pPr>
      <w:r>
        <w:rPr>
          <w:rFonts w:hint="eastAsia" w:ascii="宋体" w:hAnsi="宋体"/>
        </w:rPr>
        <w:t>撤回/召回的原因、范围和结果应作为成文信息保留，并向最高管理者报告，作为管理评审的输入。</w:t>
      </w:r>
    </w:p>
    <w:p w14:paraId="2151AD28">
      <w:pPr>
        <w:spacing w:line="460" w:lineRule="exact"/>
        <w:ind w:firstLine="420" w:firstLineChars="200"/>
        <w:rPr>
          <w:rFonts w:ascii="宋体" w:hAnsi="宋体"/>
        </w:rPr>
      </w:pPr>
      <w:r>
        <w:rPr>
          <w:rFonts w:hint="eastAsia" w:ascii="宋体" w:hAnsi="宋体"/>
        </w:rPr>
        <w:t>组织应通过应用适宜的技术（例如模拟撤回/召回或实际撤回/召回）来验证撤回/召回的实施和有效性，并保留成文信息。</w:t>
      </w:r>
    </w:p>
    <w:p w14:paraId="7D400AE4">
      <w:pPr>
        <w:pStyle w:val="22"/>
        <w:rPr>
          <w:rFonts w:ascii="宋体" w:hAnsi="宋体"/>
        </w:rPr>
      </w:pPr>
      <w:bookmarkStart w:id="57" w:name="_Toc110460654"/>
      <w:r>
        <w:rPr>
          <w:rFonts w:hint="eastAsia" w:ascii="宋体" w:hAnsi="宋体"/>
        </w:rPr>
        <w:t>9</w:t>
      </w:r>
      <w:r>
        <w:rPr>
          <w:rFonts w:hint="eastAsia" w:ascii="宋体" w:hAnsi="宋体"/>
        </w:rPr>
        <w:tab/>
      </w:r>
      <w:r>
        <w:rPr>
          <w:rFonts w:hint="eastAsia" w:ascii="宋体" w:hAnsi="宋体"/>
        </w:rPr>
        <w:t>绩效评价</w:t>
      </w:r>
      <w:bookmarkEnd w:id="57"/>
    </w:p>
    <w:p w14:paraId="4089F806">
      <w:pPr>
        <w:pStyle w:val="18"/>
        <w:rPr>
          <w:rFonts w:ascii="宋体" w:hAnsi="宋体"/>
        </w:rPr>
      </w:pPr>
      <w:bookmarkStart w:id="58" w:name="_Toc110460655"/>
      <w:r>
        <w:rPr>
          <w:rFonts w:hint="eastAsia" w:ascii="宋体" w:hAnsi="宋体"/>
        </w:rPr>
        <w:t>9.1</w:t>
      </w:r>
      <w:r>
        <w:rPr>
          <w:rFonts w:hint="eastAsia" w:ascii="宋体" w:hAnsi="宋体"/>
        </w:rPr>
        <w:tab/>
      </w:r>
      <w:r>
        <w:rPr>
          <w:rFonts w:hint="eastAsia" w:ascii="宋体" w:hAnsi="宋体"/>
        </w:rPr>
        <w:t>监视、测量、分析和评价</w:t>
      </w:r>
      <w:bookmarkEnd w:id="58"/>
    </w:p>
    <w:p w14:paraId="25F2B32C">
      <w:pPr>
        <w:pStyle w:val="5"/>
      </w:pPr>
      <w:bookmarkStart w:id="59" w:name="_Toc110460656"/>
      <w:r>
        <w:rPr>
          <w:rFonts w:hint="eastAsia"/>
        </w:rPr>
        <w:t>9.1.1 总则</w:t>
      </w:r>
      <w:bookmarkEnd w:id="59"/>
    </w:p>
    <w:p w14:paraId="4434419B">
      <w:pPr>
        <w:spacing w:line="460" w:lineRule="exact"/>
        <w:ind w:firstLine="420" w:firstLineChars="200"/>
        <w:rPr>
          <w:rFonts w:ascii="宋体" w:hAnsi="宋体"/>
        </w:rPr>
      </w:pPr>
      <w:r>
        <w:rPr>
          <w:rFonts w:hint="eastAsia" w:ascii="宋体" w:hAnsi="宋体"/>
        </w:rPr>
        <w:t>组织应确定：</w:t>
      </w:r>
    </w:p>
    <w:p w14:paraId="55DF6565">
      <w:pPr>
        <w:spacing w:line="460" w:lineRule="exact"/>
        <w:ind w:firstLine="420" w:firstLineChars="200"/>
        <w:rPr>
          <w:rFonts w:ascii="宋体" w:hAnsi="宋体"/>
        </w:rPr>
      </w:pPr>
      <w:r>
        <w:rPr>
          <w:rFonts w:hint="eastAsia" w:ascii="宋体" w:hAnsi="宋体"/>
        </w:rPr>
        <w:t xml:space="preserve">a） </w:t>
      </w:r>
      <w:r>
        <w:rPr>
          <w:rFonts w:hint="eastAsia" w:ascii="宋体" w:hAnsi="宋体"/>
        </w:rPr>
        <w:tab/>
      </w:r>
      <w:r>
        <w:rPr>
          <w:rFonts w:hint="eastAsia" w:ascii="宋体" w:hAnsi="宋体"/>
        </w:rPr>
        <w:t>需要监视和测量的什么；</w:t>
      </w:r>
    </w:p>
    <w:p w14:paraId="042527BD">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适用时，监视、测量、分析和评价的方法以确保结果的有效；</w:t>
      </w:r>
    </w:p>
    <w:p w14:paraId="6E854E02">
      <w:pPr>
        <w:spacing w:line="460" w:lineRule="exact"/>
        <w:ind w:firstLine="420" w:firstLineChars="200"/>
        <w:rPr>
          <w:rFonts w:ascii="宋体" w:hAnsi="宋体"/>
        </w:rPr>
      </w:pPr>
      <w:r>
        <w:rPr>
          <w:rFonts w:hint="eastAsia" w:ascii="宋体" w:hAnsi="宋体"/>
        </w:rPr>
        <w:t xml:space="preserve">c） </w:t>
      </w:r>
      <w:r>
        <w:rPr>
          <w:rFonts w:hint="eastAsia" w:ascii="宋体" w:hAnsi="宋体"/>
        </w:rPr>
        <w:tab/>
      </w:r>
      <w:r>
        <w:rPr>
          <w:rFonts w:hint="eastAsia" w:ascii="宋体" w:hAnsi="宋体"/>
        </w:rPr>
        <w:t>实施监视和测量的时机；</w:t>
      </w:r>
    </w:p>
    <w:p w14:paraId="001C5A5A">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分析和评价监视和测量结果的时机；</w:t>
      </w:r>
    </w:p>
    <w:p w14:paraId="214F3319">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开展监视和测量结果分析与评价的责任人。</w:t>
      </w:r>
    </w:p>
    <w:p w14:paraId="2B4928F7">
      <w:pPr>
        <w:spacing w:line="460" w:lineRule="exact"/>
        <w:ind w:firstLine="420" w:firstLineChars="200"/>
        <w:rPr>
          <w:rFonts w:ascii="宋体" w:hAnsi="宋体"/>
        </w:rPr>
      </w:pPr>
      <w:r>
        <w:rPr>
          <w:rFonts w:hint="eastAsia" w:ascii="宋体" w:hAnsi="宋体"/>
        </w:rPr>
        <w:t>组织应保留适宜的成文信息，作为结果的证据。</w:t>
      </w:r>
    </w:p>
    <w:p w14:paraId="58F9F3B6">
      <w:pPr>
        <w:spacing w:line="460" w:lineRule="exact"/>
        <w:ind w:firstLine="420" w:firstLineChars="200"/>
        <w:rPr>
          <w:rFonts w:ascii="宋体" w:hAnsi="宋体"/>
        </w:rPr>
      </w:pPr>
      <w:r>
        <w:rPr>
          <w:rFonts w:hint="eastAsia" w:ascii="宋体" w:hAnsi="宋体"/>
        </w:rPr>
        <w:t>组织应评价质量环境职业健康安全/食品安全/HACCP体系的绩效和有效性。</w:t>
      </w:r>
    </w:p>
    <w:p w14:paraId="4FE1D46B">
      <w:pPr>
        <w:pStyle w:val="5"/>
      </w:pPr>
      <w:bookmarkStart w:id="60" w:name="_Toc110460657"/>
      <w:r>
        <w:rPr>
          <w:rFonts w:hint="eastAsia"/>
        </w:rPr>
        <w:t>9.1.2</w:t>
      </w:r>
      <w:r>
        <w:rPr>
          <w:rFonts w:hint="eastAsia"/>
        </w:rPr>
        <w:tab/>
      </w:r>
      <w:r>
        <w:rPr>
          <w:rFonts w:hint="eastAsia"/>
        </w:rPr>
        <w:t>分析和评价</w:t>
      </w:r>
      <w:bookmarkEnd w:id="60"/>
    </w:p>
    <w:p w14:paraId="21B46532">
      <w:pPr>
        <w:spacing w:line="460" w:lineRule="exact"/>
        <w:ind w:firstLine="420" w:firstLineChars="200"/>
        <w:rPr>
          <w:rFonts w:ascii="宋体" w:hAnsi="宋体"/>
        </w:rPr>
      </w:pPr>
      <w:r>
        <w:rPr>
          <w:rFonts w:hint="eastAsia" w:ascii="宋体" w:hAnsi="宋体"/>
        </w:rPr>
        <w:t>组织应分析和评价通过监视和测量获得的适当的数据和信息，包括与前提方案和危害控制计划相关的验证活动的结果、内部审核(见9.2)和外部审核。</w:t>
      </w:r>
    </w:p>
    <w:p w14:paraId="7CBF08BD">
      <w:pPr>
        <w:spacing w:line="460" w:lineRule="exact"/>
        <w:ind w:firstLine="420" w:firstLineChars="200"/>
        <w:rPr>
          <w:rFonts w:ascii="宋体" w:hAnsi="宋体"/>
        </w:rPr>
      </w:pPr>
      <w:r>
        <w:rPr>
          <w:rFonts w:hint="eastAsia" w:ascii="宋体" w:hAnsi="宋体"/>
        </w:rPr>
        <w:t>所做分析应：</w:t>
      </w:r>
    </w:p>
    <w:p w14:paraId="60B43A02">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确认体系的总体绩效符合策划安排且满足组织建立的食品安全管理体系、HACCP体系要求；</w:t>
      </w:r>
    </w:p>
    <w:p w14:paraId="25BF1BAF">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确定更新或改进管理体系的需求；</w:t>
      </w:r>
    </w:p>
    <w:p w14:paraId="6F8F6B79">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确定预示潜在不安全产品或过程失效较高发生率的趋势；</w:t>
      </w:r>
    </w:p>
    <w:p w14:paraId="37EEB6E0">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 xml:space="preserve">为策划与待审核范围的状态和重要性有关的内部审核方案建立信息; </w:t>
      </w:r>
    </w:p>
    <w:p w14:paraId="0709AD3E">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提供所有纠正和纠正措施有效的证据。</w:t>
      </w:r>
    </w:p>
    <w:p w14:paraId="1C4FF436">
      <w:pPr>
        <w:spacing w:line="460" w:lineRule="exact"/>
        <w:ind w:firstLine="420" w:firstLineChars="200"/>
        <w:rPr>
          <w:rFonts w:ascii="宋体" w:hAnsi="宋体"/>
        </w:rPr>
      </w:pPr>
      <w:r>
        <w:rPr>
          <w:rFonts w:hint="eastAsia" w:ascii="宋体" w:hAnsi="宋体"/>
        </w:rPr>
        <w:t>分析结果以及后续活动应作为成文信息保留，并向最高管理者报告，作为管理评审以及更新质量环境职业健康安全/食品安全/HACCP体系的输入。</w:t>
      </w:r>
    </w:p>
    <w:p w14:paraId="3D069481">
      <w:pPr>
        <w:pStyle w:val="18"/>
        <w:rPr>
          <w:rFonts w:ascii="宋体" w:hAnsi="宋体"/>
        </w:rPr>
      </w:pPr>
      <w:bookmarkStart w:id="61" w:name="_Toc110460658"/>
      <w:r>
        <w:rPr>
          <w:rFonts w:hint="eastAsia" w:ascii="宋体" w:hAnsi="宋体"/>
        </w:rPr>
        <w:t>9.2</w:t>
      </w:r>
      <w:r>
        <w:rPr>
          <w:rFonts w:hint="eastAsia" w:ascii="宋体" w:hAnsi="宋体"/>
        </w:rPr>
        <w:tab/>
      </w:r>
      <w:r>
        <w:rPr>
          <w:rFonts w:hint="eastAsia" w:ascii="宋体" w:hAnsi="宋体"/>
        </w:rPr>
        <w:t>内部审核</w:t>
      </w:r>
      <w:bookmarkEnd w:id="61"/>
    </w:p>
    <w:p w14:paraId="76B3A041">
      <w:pPr>
        <w:spacing w:line="460" w:lineRule="exact"/>
        <w:ind w:firstLine="420" w:firstLineChars="200"/>
        <w:rPr>
          <w:rFonts w:ascii="宋体" w:hAnsi="宋体"/>
        </w:rPr>
      </w:pPr>
      <w:r>
        <w:rPr>
          <w:rFonts w:hint="eastAsia" w:ascii="宋体" w:hAnsi="宋体"/>
        </w:rPr>
        <w:t>9.2.1 组织应按照策划的时间间隔进行内部审核，以便提供有关质量环境职业健康安全/食品安全/HACCP体系的下列信息：</w:t>
      </w:r>
    </w:p>
    <w:p w14:paraId="360E490A">
      <w:pPr>
        <w:spacing w:line="460" w:lineRule="exact"/>
        <w:ind w:firstLine="420" w:firstLineChars="200"/>
        <w:rPr>
          <w:rFonts w:ascii="宋体" w:hAnsi="宋体"/>
        </w:rPr>
      </w:pPr>
      <w:r>
        <w:rPr>
          <w:rFonts w:hint="eastAsia" w:ascii="宋体" w:hAnsi="宋体"/>
        </w:rPr>
        <w:t>a） 是否符合：</w:t>
      </w:r>
    </w:p>
    <w:p w14:paraId="12794B4B">
      <w:pPr>
        <w:spacing w:line="460" w:lineRule="exact"/>
        <w:ind w:firstLine="420" w:firstLineChars="200"/>
        <w:rPr>
          <w:rFonts w:ascii="宋体" w:hAnsi="宋体"/>
        </w:rPr>
      </w:pPr>
      <w:r>
        <w:rPr>
          <w:rFonts w:hint="eastAsia" w:ascii="宋体" w:hAnsi="宋体"/>
        </w:rPr>
        <w:t>1）组织自身质量环境职业健康安全/食品安全/HACCP体系的要求；</w:t>
      </w:r>
    </w:p>
    <w:p w14:paraId="5D137B81">
      <w:pPr>
        <w:spacing w:line="460" w:lineRule="exact"/>
        <w:ind w:firstLine="420" w:firstLineChars="200"/>
        <w:rPr>
          <w:rFonts w:ascii="宋体" w:hAnsi="宋体"/>
        </w:rPr>
      </w:pPr>
      <w:r>
        <w:rPr>
          <w:rFonts w:hint="eastAsia" w:ascii="宋体" w:hAnsi="宋体"/>
        </w:rPr>
        <w:t>2）本标准的要求；</w:t>
      </w:r>
    </w:p>
    <w:p w14:paraId="0C0EEB3E">
      <w:pPr>
        <w:spacing w:line="460" w:lineRule="exact"/>
        <w:ind w:firstLine="420" w:firstLineChars="200"/>
        <w:rPr>
          <w:rFonts w:ascii="宋体" w:hAnsi="宋体"/>
        </w:rPr>
      </w:pPr>
      <w:r>
        <w:rPr>
          <w:rFonts w:hint="eastAsia" w:ascii="宋体" w:hAnsi="宋体"/>
        </w:rPr>
        <w:t>b） 是否得到有效的实施和保持。</w:t>
      </w:r>
    </w:p>
    <w:p w14:paraId="7FECF227">
      <w:pPr>
        <w:spacing w:line="460" w:lineRule="exact"/>
        <w:ind w:firstLine="420" w:firstLineChars="200"/>
        <w:rPr>
          <w:rFonts w:ascii="宋体" w:hAnsi="宋体"/>
        </w:rPr>
      </w:pPr>
      <w:r>
        <w:rPr>
          <w:rFonts w:hint="eastAsia" w:ascii="宋体" w:hAnsi="宋体"/>
        </w:rPr>
        <w:t xml:space="preserve">9.2.2 </w:t>
      </w:r>
      <w:r>
        <w:rPr>
          <w:rFonts w:hint="eastAsia" w:ascii="宋体" w:hAnsi="宋体"/>
        </w:rPr>
        <w:tab/>
      </w:r>
      <w:r>
        <w:rPr>
          <w:rFonts w:hint="eastAsia" w:ascii="宋体" w:hAnsi="宋体"/>
        </w:rPr>
        <w:t>组织应：</w:t>
      </w:r>
    </w:p>
    <w:p w14:paraId="590F6E28">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依据有关过程的重要性、质量环境职业健康安全/食品安全/HACCP体系内的变化、监视、测量和以往审核的结果，策划、制定、实施和保持审核方案，审核方案包括审核的频次、方法、责职、策划要求和报告；</w:t>
      </w:r>
    </w:p>
    <w:p w14:paraId="46764721">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 xml:space="preserve"> 规定每次审核的审核准则和范围；</w:t>
      </w:r>
    </w:p>
    <w:p w14:paraId="454E82C7">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选择有资质的审核员并实施审核以确保审核过程客观公正；</w:t>
      </w:r>
    </w:p>
    <w:p w14:paraId="4A92D650">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确保将审核结果报告给食品安全小姐和相关管理者；</w:t>
      </w:r>
    </w:p>
    <w:p w14:paraId="20CF15E3">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保留成文信息，作为实施审核方案以及审核结果的证据；</w:t>
      </w:r>
    </w:p>
    <w:p w14:paraId="6926423A">
      <w:pPr>
        <w:spacing w:line="460" w:lineRule="exact"/>
        <w:ind w:firstLine="420" w:firstLineChars="200"/>
        <w:rPr>
          <w:rFonts w:ascii="宋体" w:hAnsi="宋体"/>
        </w:rPr>
      </w:pPr>
      <w:r>
        <w:rPr>
          <w:rFonts w:hint="eastAsia" w:ascii="宋体" w:hAnsi="宋体"/>
        </w:rPr>
        <w:t>f）</w:t>
      </w:r>
      <w:r>
        <w:rPr>
          <w:rFonts w:hint="eastAsia" w:ascii="宋体" w:hAnsi="宋体"/>
        </w:rPr>
        <w:tab/>
      </w:r>
      <w:r>
        <w:rPr>
          <w:rFonts w:hint="eastAsia" w:ascii="宋体" w:hAnsi="宋体"/>
        </w:rPr>
        <w:t>在约定的时间范围内采取必要的纠正和纠正措施；</w:t>
      </w:r>
    </w:p>
    <w:p w14:paraId="14FD41C7">
      <w:pPr>
        <w:spacing w:line="460" w:lineRule="exact"/>
        <w:ind w:firstLine="420" w:firstLineChars="200"/>
        <w:rPr>
          <w:rFonts w:ascii="宋体" w:hAnsi="宋体"/>
        </w:rPr>
      </w:pPr>
      <w:r>
        <w:rPr>
          <w:rFonts w:hint="eastAsia" w:ascii="宋体" w:hAnsi="宋体"/>
        </w:rPr>
        <w:t>g)</w:t>
      </w:r>
      <w:r>
        <w:rPr>
          <w:rFonts w:hint="eastAsia" w:ascii="宋体" w:hAnsi="宋体"/>
        </w:rPr>
        <w:tab/>
      </w:r>
      <w:r>
        <w:rPr>
          <w:rFonts w:hint="eastAsia" w:ascii="宋体" w:hAnsi="宋体"/>
        </w:rPr>
        <w:t>确定质量环境职业健康安全/食品安全/HACCP体系是否符合食品安全方针的目的以及食品安全管理体系、HACCP体系的目标。</w:t>
      </w:r>
    </w:p>
    <w:p w14:paraId="5F1B848E">
      <w:pPr>
        <w:spacing w:line="460" w:lineRule="exact"/>
        <w:ind w:firstLine="420" w:firstLineChars="200"/>
        <w:rPr>
          <w:rFonts w:ascii="宋体" w:hAnsi="宋体"/>
        </w:rPr>
      </w:pPr>
      <w:r>
        <w:rPr>
          <w:rFonts w:hint="eastAsia" w:ascii="宋体" w:hAnsi="宋体"/>
        </w:rPr>
        <w:t>组织的后续活动应包括对采取措施的验证以及验证结果的报告。</w:t>
      </w:r>
    </w:p>
    <w:p w14:paraId="01591D74">
      <w:pPr>
        <w:pStyle w:val="18"/>
        <w:rPr>
          <w:rFonts w:ascii="宋体" w:hAnsi="宋体"/>
        </w:rPr>
      </w:pPr>
      <w:bookmarkStart w:id="62" w:name="_Toc110460659"/>
      <w:r>
        <w:rPr>
          <w:rFonts w:hint="eastAsia" w:ascii="宋体" w:hAnsi="宋体"/>
        </w:rPr>
        <w:t>9.3 管理评审</w:t>
      </w:r>
      <w:bookmarkEnd w:id="62"/>
    </w:p>
    <w:p w14:paraId="7288CB03">
      <w:pPr>
        <w:spacing w:line="460" w:lineRule="exact"/>
        <w:ind w:firstLine="420" w:firstLineChars="200"/>
        <w:rPr>
          <w:rFonts w:ascii="宋体" w:hAnsi="宋体"/>
        </w:rPr>
      </w:pPr>
      <w:r>
        <w:rPr>
          <w:rFonts w:hint="eastAsia" w:ascii="宋体" w:hAnsi="宋体"/>
        </w:rPr>
        <w:t xml:space="preserve">9.3.1 </w:t>
      </w:r>
      <w:r>
        <w:rPr>
          <w:rFonts w:hint="eastAsia" w:ascii="宋体" w:hAnsi="宋体"/>
        </w:rPr>
        <w:tab/>
      </w:r>
      <w:r>
        <w:rPr>
          <w:rFonts w:hint="eastAsia" w:ascii="宋体" w:hAnsi="宋体"/>
        </w:rPr>
        <w:t>总则</w:t>
      </w:r>
    </w:p>
    <w:p w14:paraId="0CA1D25C">
      <w:pPr>
        <w:spacing w:line="460" w:lineRule="exact"/>
        <w:ind w:firstLine="420" w:firstLineChars="200"/>
        <w:rPr>
          <w:rFonts w:ascii="宋体" w:hAnsi="宋体"/>
        </w:rPr>
      </w:pPr>
      <w:r>
        <w:rPr>
          <w:rFonts w:hint="eastAsia" w:ascii="宋体" w:hAnsi="宋体"/>
        </w:rPr>
        <w:t>最高管理者应按照策划的时间间隔对组织的质量环境职业健康安全/食品安全/HACCP体系进行评审，以确保其持续的适宜性、充分性和有效性。</w:t>
      </w:r>
    </w:p>
    <w:p w14:paraId="5B58C9B4">
      <w:pPr>
        <w:spacing w:line="460" w:lineRule="exact"/>
        <w:ind w:firstLine="420" w:firstLineChars="200"/>
        <w:rPr>
          <w:rFonts w:ascii="宋体" w:hAnsi="宋体"/>
        </w:rPr>
      </w:pPr>
      <w:r>
        <w:rPr>
          <w:rFonts w:hint="eastAsia" w:ascii="宋体" w:hAnsi="宋体"/>
        </w:rPr>
        <w:t>9.3.2</w:t>
      </w:r>
      <w:r>
        <w:rPr>
          <w:rFonts w:hint="eastAsia" w:ascii="宋体" w:hAnsi="宋体"/>
        </w:rPr>
        <w:tab/>
      </w:r>
      <w:r>
        <w:rPr>
          <w:rFonts w:hint="eastAsia" w:ascii="宋体" w:hAnsi="宋体"/>
        </w:rPr>
        <w:t>管理评审输入</w:t>
      </w:r>
    </w:p>
    <w:p w14:paraId="4BEB79E0">
      <w:pPr>
        <w:spacing w:line="460" w:lineRule="exact"/>
        <w:ind w:firstLine="420" w:firstLineChars="200"/>
        <w:rPr>
          <w:rFonts w:ascii="宋体" w:hAnsi="宋体"/>
        </w:rPr>
      </w:pPr>
      <w:r>
        <w:rPr>
          <w:rFonts w:hint="eastAsia" w:ascii="宋体" w:hAnsi="宋体"/>
        </w:rPr>
        <w:t>管理评审应考虑对下列内容：</w:t>
      </w:r>
    </w:p>
    <w:p w14:paraId="4BC5059B">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以往管理评审所采取措施的情况；</w:t>
      </w:r>
    </w:p>
    <w:p w14:paraId="431AF8AB">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与质量环境职业健康安全/食品安全/HACCP体系相关的内外部因素的变化，包括组织及其环境的变化；</w:t>
      </w:r>
    </w:p>
    <w:p w14:paraId="69E4F584">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下列有关质量环境职业健康安全/食品安全/HACCP体系绩效和有效性的信息，包括其趋势：</w:t>
      </w:r>
    </w:p>
    <w:p w14:paraId="3EACBE28">
      <w:pPr>
        <w:spacing w:line="460" w:lineRule="exact"/>
        <w:ind w:firstLine="420" w:firstLineChars="200"/>
        <w:rPr>
          <w:rFonts w:ascii="宋体" w:hAnsi="宋体"/>
        </w:rPr>
      </w:pPr>
      <w:r>
        <w:rPr>
          <w:rFonts w:hint="eastAsia" w:ascii="宋体" w:hAnsi="宋体"/>
        </w:rPr>
        <w:t>1)</w:t>
      </w:r>
      <w:r>
        <w:rPr>
          <w:rFonts w:hint="eastAsia" w:ascii="宋体" w:hAnsi="宋体"/>
        </w:rPr>
        <w:tab/>
      </w:r>
      <w:r>
        <w:rPr>
          <w:rFonts w:hint="eastAsia" w:ascii="宋体" w:hAnsi="宋体"/>
        </w:rPr>
        <w:t>体系更新活动的结果；</w:t>
      </w:r>
    </w:p>
    <w:p w14:paraId="15C05D27">
      <w:pPr>
        <w:spacing w:line="460" w:lineRule="exact"/>
        <w:ind w:firstLine="420" w:firstLineChars="200"/>
        <w:rPr>
          <w:rFonts w:ascii="宋体" w:hAnsi="宋体"/>
        </w:rPr>
      </w:pPr>
      <w:r>
        <w:rPr>
          <w:rFonts w:hint="eastAsia" w:ascii="宋体" w:hAnsi="宋体"/>
        </w:rPr>
        <w:t>2)</w:t>
      </w:r>
      <w:r>
        <w:rPr>
          <w:rFonts w:hint="eastAsia" w:ascii="宋体" w:hAnsi="宋体"/>
        </w:rPr>
        <w:tab/>
      </w:r>
      <w:r>
        <w:rPr>
          <w:rFonts w:hint="eastAsia" w:ascii="宋体" w:hAnsi="宋体"/>
        </w:rPr>
        <w:t>监视和测量结果；</w:t>
      </w:r>
    </w:p>
    <w:p w14:paraId="7F9433FA">
      <w:pPr>
        <w:spacing w:line="460" w:lineRule="exact"/>
        <w:ind w:firstLine="420" w:firstLineChars="200"/>
        <w:rPr>
          <w:rFonts w:ascii="宋体" w:hAnsi="宋体"/>
        </w:rPr>
      </w:pPr>
      <w:r>
        <w:rPr>
          <w:rFonts w:hint="eastAsia" w:ascii="宋体" w:hAnsi="宋体"/>
        </w:rPr>
        <w:t>3)</w:t>
      </w:r>
      <w:r>
        <w:rPr>
          <w:rFonts w:hint="eastAsia" w:ascii="宋体" w:hAnsi="宋体"/>
        </w:rPr>
        <w:tab/>
      </w:r>
      <w:r>
        <w:rPr>
          <w:rFonts w:hint="eastAsia" w:ascii="宋体" w:hAnsi="宋体"/>
        </w:rPr>
        <w:t>与前提方案和危害控制计划相关的验证活动结果的分析；</w:t>
      </w:r>
    </w:p>
    <w:p w14:paraId="26FF35A8">
      <w:pPr>
        <w:spacing w:line="460" w:lineRule="exact"/>
        <w:ind w:firstLine="420" w:firstLineChars="200"/>
        <w:rPr>
          <w:rFonts w:ascii="宋体" w:hAnsi="宋体"/>
        </w:rPr>
      </w:pPr>
      <w:r>
        <w:rPr>
          <w:rFonts w:hint="eastAsia" w:ascii="宋体" w:hAnsi="宋体"/>
        </w:rPr>
        <w:t>4)</w:t>
      </w:r>
      <w:r>
        <w:rPr>
          <w:rFonts w:hint="eastAsia" w:ascii="宋体" w:hAnsi="宋体"/>
        </w:rPr>
        <w:tab/>
      </w:r>
      <w:r>
        <w:rPr>
          <w:rFonts w:hint="eastAsia" w:ascii="宋体" w:hAnsi="宋体"/>
        </w:rPr>
        <w:t>不合格及纠正措施；</w:t>
      </w:r>
    </w:p>
    <w:p w14:paraId="0B6126B9">
      <w:pPr>
        <w:spacing w:line="460" w:lineRule="exact"/>
        <w:ind w:firstLine="420" w:firstLineChars="200"/>
        <w:rPr>
          <w:rFonts w:ascii="宋体" w:hAnsi="宋体"/>
        </w:rPr>
      </w:pPr>
      <w:r>
        <w:rPr>
          <w:rFonts w:hint="eastAsia" w:ascii="宋体" w:hAnsi="宋体"/>
        </w:rPr>
        <w:t>5)</w:t>
      </w:r>
      <w:r>
        <w:rPr>
          <w:rFonts w:hint="eastAsia" w:ascii="宋体" w:hAnsi="宋体"/>
        </w:rPr>
        <w:tab/>
      </w:r>
      <w:r>
        <w:rPr>
          <w:rFonts w:hint="eastAsia" w:ascii="宋体" w:hAnsi="宋体"/>
        </w:rPr>
        <w:t>审核结果（内部的和外部的）；</w:t>
      </w:r>
    </w:p>
    <w:p w14:paraId="63C45BBA">
      <w:pPr>
        <w:spacing w:line="460" w:lineRule="exact"/>
        <w:ind w:firstLine="420" w:firstLineChars="200"/>
        <w:rPr>
          <w:rFonts w:ascii="宋体" w:hAnsi="宋体"/>
        </w:rPr>
      </w:pPr>
      <w:r>
        <w:rPr>
          <w:rFonts w:hint="eastAsia" w:ascii="宋体" w:hAnsi="宋体"/>
        </w:rPr>
        <w:t>6)</w:t>
      </w:r>
      <w:r>
        <w:rPr>
          <w:rFonts w:hint="eastAsia" w:ascii="宋体" w:hAnsi="宋体"/>
        </w:rPr>
        <w:tab/>
      </w:r>
      <w:r>
        <w:rPr>
          <w:rFonts w:hint="eastAsia" w:ascii="宋体" w:hAnsi="宋体"/>
        </w:rPr>
        <w:t>检查（如监管部门、顾客）；</w:t>
      </w:r>
    </w:p>
    <w:p w14:paraId="430A8D60">
      <w:pPr>
        <w:spacing w:line="460" w:lineRule="exact"/>
        <w:ind w:firstLine="420" w:firstLineChars="200"/>
        <w:rPr>
          <w:rFonts w:ascii="宋体" w:hAnsi="宋体"/>
        </w:rPr>
      </w:pPr>
      <w:r>
        <w:rPr>
          <w:rFonts w:hint="eastAsia" w:ascii="宋体" w:hAnsi="宋体"/>
        </w:rPr>
        <w:t>7)</w:t>
      </w:r>
      <w:r>
        <w:rPr>
          <w:rFonts w:hint="eastAsia" w:ascii="宋体" w:hAnsi="宋体"/>
        </w:rPr>
        <w:tab/>
      </w:r>
      <w:r>
        <w:rPr>
          <w:rFonts w:hint="eastAsia" w:ascii="宋体" w:hAnsi="宋体"/>
        </w:rPr>
        <w:t>外部供方的绩效；</w:t>
      </w:r>
    </w:p>
    <w:p w14:paraId="3C5F6AE3">
      <w:pPr>
        <w:spacing w:line="460" w:lineRule="exact"/>
        <w:ind w:firstLine="420" w:firstLineChars="200"/>
        <w:rPr>
          <w:rFonts w:ascii="宋体" w:hAnsi="宋体"/>
        </w:rPr>
      </w:pPr>
      <w:r>
        <w:rPr>
          <w:rFonts w:hint="eastAsia" w:ascii="宋体" w:hAnsi="宋体"/>
        </w:rPr>
        <w:t>8)</w:t>
      </w:r>
      <w:r>
        <w:rPr>
          <w:rFonts w:hint="eastAsia" w:ascii="宋体" w:hAnsi="宋体"/>
        </w:rPr>
        <w:tab/>
      </w:r>
      <w:r>
        <w:rPr>
          <w:rFonts w:hint="eastAsia" w:ascii="宋体" w:hAnsi="宋体"/>
        </w:rPr>
        <w:t xml:space="preserve">评审风险和机会以及评审应对风险和机会所采取的措施的有效性； </w:t>
      </w:r>
    </w:p>
    <w:p w14:paraId="06E1F8C7">
      <w:pPr>
        <w:spacing w:line="460" w:lineRule="exact"/>
        <w:ind w:firstLine="420" w:firstLineChars="200"/>
        <w:rPr>
          <w:rFonts w:ascii="宋体" w:hAnsi="宋体"/>
        </w:rPr>
      </w:pPr>
      <w:r>
        <w:rPr>
          <w:rFonts w:hint="eastAsia" w:ascii="宋体" w:hAnsi="宋体"/>
        </w:rPr>
        <w:t>9)</w:t>
      </w:r>
      <w:r>
        <w:rPr>
          <w:rFonts w:hint="eastAsia" w:ascii="宋体" w:hAnsi="宋体"/>
        </w:rPr>
        <w:tab/>
      </w:r>
      <w:r>
        <w:rPr>
          <w:rFonts w:hint="eastAsia" w:ascii="宋体" w:hAnsi="宋体"/>
        </w:rPr>
        <w:t>质量环境职业健康安全/食品安全/HACCP体系目标的实现程度；</w:t>
      </w:r>
    </w:p>
    <w:p w14:paraId="22A7DD01">
      <w:pPr>
        <w:spacing w:line="460" w:lineRule="exact"/>
        <w:ind w:firstLine="420" w:firstLineChars="200"/>
        <w:rPr>
          <w:rFonts w:ascii="宋体" w:hAnsi="宋体"/>
        </w:rPr>
      </w:pPr>
      <w:r>
        <w:rPr>
          <w:rFonts w:hint="eastAsia" w:ascii="宋体" w:hAnsi="宋体"/>
        </w:rPr>
        <w:t>d）</w:t>
      </w:r>
      <w:r>
        <w:rPr>
          <w:rFonts w:ascii="宋体" w:hAnsi="宋体"/>
        </w:rPr>
        <w:t xml:space="preserve"> </w:t>
      </w:r>
      <w:r>
        <w:rPr>
          <w:rFonts w:hint="eastAsia" w:ascii="宋体" w:hAnsi="宋体"/>
        </w:rPr>
        <w:t>资源的充分性；</w:t>
      </w:r>
    </w:p>
    <w:p w14:paraId="0187B88D">
      <w:pPr>
        <w:spacing w:line="460" w:lineRule="exact"/>
        <w:ind w:firstLine="420" w:firstLineChars="200"/>
        <w:rPr>
          <w:rFonts w:ascii="宋体" w:hAnsi="宋体"/>
        </w:rPr>
      </w:pPr>
      <w:r>
        <w:rPr>
          <w:rFonts w:hint="eastAsia" w:ascii="宋体" w:hAnsi="宋体"/>
        </w:rPr>
        <w:t>e）</w:t>
      </w:r>
      <w:r>
        <w:rPr>
          <w:rFonts w:hint="eastAsia" w:ascii="宋体" w:hAnsi="宋体"/>
        </w:rPr>
        <w:tab/>
      </w:r>
      <w:r>
        <w:rPr>
          <w:rFonts w:hint="eastAsia" w:ascii="宋体" w:hAnsi="宋体"/>
        </w:rPr>
        <w:t>所发生的的任何紧急情况、事件或撤回/召回；</w:t>
      </w:r>
    </w:p>
    <w:p w14:paraId="6F4C4CE9">
      <w:pPr>
        <w:spacing w:line="460" w:lineRule="exact"/>
        <w:ind w:firstLine="420" w:firstLineChars="200"/>
        <w:rPr>
          <w:rFonts w:ascii="宋体" w:hAnsi="宋体"/>
        </w:rPr>
      </w:pPr>
      <w:r>
        <w:rPr>
          <w:rFonts w:hint="eastAsia" w:ascii="宋体" w:hAnsi="宋体"/>
        </w:rPr>
        <w:t>f）</w:t>
      </w:r>
      <w:r>
        <w:rPr>
          <w:rFonts w:hint="eastAsia" w:ascii="宋体" w:hAnsi="宋体"/>
        </w:rPr>
        <w:tab/>
      </w:r>
      <w:r>
        <w:rPr>
          <w:rFonts w:hint="eastAsia" w:ascii="宋体" w:hAnsi="宋体"/>
        </w:rPr>
        <w:t>通过外部内部沟通获取的有关信息，包括利益相关方的请求和抱怨；</w:t>
      </w:r>
    </w:p>
    <w:p w14:paraId="14004DA8">
      <w:pPr>
        <w:spacing w:line="460" w:lineRule="exact"/>
        <w:ind w:firstLine="420" w:firstLineChars="200"/>
        <w:rPr>
          <w:rFonts w:ascii="宋体" w:hAnsi="宋体"/>
        </w:rPr>
      </w:pPr>
      <w:r>
        <w:rPr>
          <w:rFonts w:hint="eastAsia" w:ascii="宋体" w:hAnsi="宋体"/>
        </w:rPr>
        <w:t>g）</w:t>
      </w:r>
      <w:r>
        <w:rPr>
          <w:rFonts w:hint="eastAsia" w:ascii="宋体" w:hAnsi="宋体"/>
        </w:rPr>
        <w:tab/>
      </w:r>
      <w:r>
        <w:rPr>
          <w:rFonts w:hint="eastAsia" w:ascii="宋体" w:hAnsi="宋体"/>
        </w:rPr>
        <w:t>持续改进的机会。</w:t>
      </w:r>
    </w:p>
    <w:p w14:paraId="2BE13D9A">
      <w:pPr>
        <w:spacing w:line="460" w:lineRule="exact"/>
        <w:ind w:firstLine="420" w:firstLineChars="200"/>
        <w:rPr>
          <w:rFonts w:ascii="宋体" w:hAnsi="宋体"/>
        </w:rPr>
      </w:pPr>
      <w:r>
        <w:rPr>
          <w:rFonts w:hint="eastAsia" w:ascii="宋体" w:hAnsi="宋体"/>
        </w:rPr>
        <w:t>数据的呈现方式应使最高管理者能够将信息与FSMS的既定目标联系起来。</w:t>
      </w:r>
    </w:p>
    <w:p w14:paraId="48633AA6">
      <w:pPr>
        <w:spacing w:line="460" w:lineRule="exact"/>
        <w:ind w:firstLine="420" w:firstLineChars="200"/>
        <w:rPr>
          <w:rFonts w:ascii="宋体" w:hAnsi="宋体"/>
        </w:rPr>
      </w:pPr>
      <w:r>
        <w:rPr>
          <w:rFonts w:hint="eastAsia" w:ascii="宋体" w:hAnsi="宋体"/>
        </w:rPr>
        <w:t>9.3.3</w:t>
      </w:r>
      <w:r>
        <w:rPr>
          <w:rFonts w:hint="eastAsia" w:ascii="宋体" w:hAnsi="宋体"/>
        </w:rPr>
        <w:tab/>
      </w:r>
      <w:r>
        <w:rPr>
          <w:rFonts w:hint="eastAsia" w:ascii="宋体" w:hAnsi="宋体"/>
        </w:rPr>
        <w:t>管理评审输出</w:t>
      </w:r>
    </w:p>
    <w:p w14:paraId="1717A134">
      <w:pPr>
        <w:spacing w:line="460" w:lineRule="exact"/>
        <w:ind w:firstLine="420" w:firstLineChars="200"/>
        <w:rPr>
          <w:rFonts w:ascii="宋体" w:hAnsi="宋体"/>
        </w:rPr>
      </w:pPr>
      <w:r>
        <w:rPr>
          <w:rFonts w:hint="eastAsia" w:ascii="宋体" w:hAnsi="宋体"/>
        </w:rPr>
        <w:t>管理评审的输出应包括：</w:t>
      </w:r>
    </w:p>
    <w:p w14:paraId="613A360C">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与持续改进机会相关的决定和措施；</w:t>
      </w:r>
    </w:p>
    <w:p w14:paraId="0F2F783A">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更新或变更质量环境职业健康安全/食品安全/HACCP体系的任何需求，包括资源需求以及对食品安全方针和目标的修订。</w:t>
      </w:r>
    </w:p>
    <w:p w14:paraId="6A153ED9">
      <w:pPr>
        <w:spacing w:line="460" w:lineRule="exact"/>
        <w:ind w:firstLine="420" w:firstLineChars="200"/>
        <w:rPr>
          <w:rFonts w:ascii="宋体" w:hAnsi="宋体"/>
        </w:rPr>
      </w:pPr>
      <w:r>
        <w:rPr>
          <w:rFonts w:hint="eastAsia" w:ascii="宋体" w:hAnsi="宋体"/>
        </w:rPr>
        <w:t>组织应保留成文信息,作为管理评审结果的证据。</w:t>
      </w:r>
    </w:p>
    <w:p w14:paraId="69572104">
      <w:pPr>
        <w:pStyle w:val="22"/>
        <w:rPr>
          <w:rFonts w:ascii="宋体" w:hAnsi="宋体"/>
        </w:rPr>
      </w:pPr>
      <w:bookmarkStart w:id="63" w:name="_Toc110460660"/>
      <w:r>
        <w:rPr>
          <w:rFonts w:hint="eastAsia" w:ascii="宋体" w:hAnsi="宋体"/>
        </w:rPr>
        <w:t>10</w:t>
      </w:r>
      <w:r>
        <w:rPr>
          <w:rFonts w:hint="eastAsia" w:ascii="宋体" w:hAnsi="宋体"/>
        </w:rPr>
        <w:tab/>
      </w:r>
      <w:r>
        <w:rPr>
          <w:rFonts w:hint="eastAsia" w:ascii="宋体" w:hAnsi="宋体"/>
        </w:rPr>
        <w:t>改进</w:t>
      </w:r>
      <w:bookmarkEnd w:id="63"/>
    </w:p>
    <w:p w14:paraId="282F8B57">
      <w:pPr>
        <w:pStyle w:val="18"/>
        <w:rPr>
          <w:rFonts w:ascii="宋体" w:hAnsi="宋体"/>
        </w:rPr>
      </w:pPr>
      <w:bookmarkStart w:id="64" w:name="_Toc110460661"/>
      <w:r>
        <w:rPr>
          <w:rFonts w:hint="eastAsia" w:ascii="宋体" w:hAnsi="宋体"/>
        </w:rPr>
        <w:t>10.1</w:t>
      </w:r>
      <w:r>
        <w:rPr>
          <w:rFonts w:hint="eastAsia" w:ascii="宋体" w:hAnsi="宋体"/>
        </w:rPr>
        <w:tab/>
      </w:r>
      <w:r>
        <w:rPr>
          <w:rFonts w:hint="eastAsia" w:ascii="宋体" w:hAnsi="宋体"/>
        </w:rPr>
        <w:t>不合格和纠正措施</w:t>
      </w:r>
      <w:bookmarkEnd w:id="64"/>
    </w:p>
    <w:p w14:paraId="530553E4">
      <w:pPr>
        <w:spacing w:line="460" w:lineRule="exact"/>
        <w:ind w:firstLine="420" w:firstLineChars="200"/>
        <w:rPr>
          <w:rFonts w:ascii="宋体" w:hAnsi="宋体"/>
        </w:rPr>
      </w:pPr>
      <w:r>
        <w:rPr>
          <w:rFonts w:hint="eastAsia" w:ascii="宋体" w:hAnsi="宋体"/>
        </w:rPr>
        <w:t>10.1.1 当出现不合格时，组织应：</w:t>
      </w:r>
    </w:p>
    <w:p w14:paraId="4E9AA67C">
      <w:pPr>
        <w:spacing w:line="460" w:lineRule="exact"/>
        <w:ind w:firstLine="420" w:firstLineChars="200"/>
        <w:rPr>
          <w:rFonts w:ascii="宋体" w:hAnsi="宋体"/>
        </w:rPr>
      </w:pPr>
      <w:r>
        <w:rPr>
          <w:rFonts w:hint="eastAsia" w:ascii="宋体" w:hAnsi="宋体"/>
        </w:rPr>
        <w:t>a）对不合格做出应对，并在适用时：</w:t>
      </w:r>
    </w:p>
    <w:p w14:paraId="6CC215C2">
      <w:pPr>
        <w:spacing w:line="460" w:lineRule="exact"/>
        <w:ind w:firstLine="420" w:firstLineChars="200"/>
        <w:rPr>
          <w:rFonts w:ascii="宋体" w:hAnsi="宋体"/>
        </w:rPr>
      </w:pPr>
      <w:r>
        <w:rPr>
          <w:rFonts w:hint="eastAsia" w:ascii="宋体" w:hAnsi="宋体"/>
        </w:rPr>
        <w:t>1）采取措施以控制和纠正不合格；</w:t>
      </w:r>
    </w:p>
    <w:p w14:paraId="03C15DE0">
      <w:pPr>
        <w:spacing w:line="460" w:lineRule="exact"/>
        <w:ind w:firstLine="420" w:firstLineChars="200"/>
        <w:rPr>
          <w:rFonts w:ascii="宋体" w:hAnsi="宋体"/>
        </w:rPr>
      </w:pPr>
      <w:r>
        <w:rPr>
          <w:rFonts w:hint="eastAsia" w:ascii="宋体" w:hAnsi="宋体"/>
        </w:rPr>
        <w:t>2）处置后果。</w:t>
      </w:r>
    </w:p>
    <w:p w14:paraId="379A44AC">
      <w:pPr>
        <w:spacing w:line="460" w:lineRule="exact"/>
        <w:ind w:firstLine="420" w:firstLineChars="200"/>
        <w:rPr>
          <w:rFonts w:ascii="宋体" w:hAnsi="宋体"/>
        </w:rPr>
      </w:pPr>
      <w:r>
        <w:rPr>
          <w:rFonts w:hint="eastAsia" w:ascii="宋体" w:hAnsi="宋体"/>
        </w:rPr>
        <w:t>b）通过下列活动，评价是否需要采取措施，以消除产生不合格的原因，避免其再次发生或者在其他场合发生：</w:t>
      </w:r>
    </w:p>
    <w:p w14:paraId="161E8B23">
      <w:pPr>
        <w:spacing w:line="460" w:lineRule="exact"/>
        <w:ind w:firstLine="420" w:firstLineChars="200"/>
        <w:rPr>
          <w:rFonts w:ascii="宋体" w:hAnsi="宋体"/>
        </w:rPr>
      </w:pPr>
      <w:r>
        <w:rPr>
          <w:rFonts w:hint="eastAsia" w:ascii="宋体" w:hAnsi="宋体"/>
        </w:rPr>
        <w:t>1）评审不合格；</w:t>
      </w:r>
    </w:p>
    <w:p w14:paraId="6DCFEC8F">
      <w:pPr>
        <w:spacing w:line="460" w:lineRule="exact"/>
        <w:ind w:firstLine="420" w:firstLineChars="200"/>
        <w:rPr>
          <w:rFonts w:ascii="宋体" w:hAnsi="宋体"/>
        </w:rPr>
      </w:pPr>
      <w:r>
        <w:rPr>
          <w:rFonts w:hint="eastAsia" w:ascii="宋体" w:hAnsi="宋体"/>
        </w:rPr>
        <w:t>2）确定不合格的原因；</w:t>
      </w:r>
    </w:p>
    <w:p w14:paraId="111ED15E">
      <w:pPr>
        <w:spacing w:line="460" w:lineRule="exact"/>
        <w:ind w:firstLine="420" w:firstLineChars="200"/>
        <w:rPr>
          <w:rFonts w:ascii="宋体" w:hAnsi="宋体"/>
        </w:rPr>
      </w:pPr>
      <w:r>
        <w:rPr>
          <w:rFonts w:hint="eastAsia" w:ascii="宋体" w:hAnsi="宋体"/>
        </w:rPr>
        <w:t>3）确定是否存在或可能发生类似的不合格。</w:t>
      </w:r>
    </w:p>
    <w:p w14:paraId="0098902C">
      <w:pPr>
        <w:spacing w:line="460" w:lineRule="exact"/>
        <w:ind w:firstLine="420" w:firstLineChars="200"/>
        <w:rPr>
          <w:rFonts w:ascii="宋体" w:hAnsi="宋体"/>
        </w:rPr>
      </w:pPr>
      <w:r>
        <w:rPr>
          <w:rFonts w:hint="eastAsia" w:ascii="宋体" w:hAnsi="宋体"/>
        </w:rPr>
        <w:t>c）实施所需的措施；</w:t>
      </w:r>
    </w:p>
    <w:p w14:paraId="3BA16C97">
      <w:pPr>
        <w:spacing w:line="460" w:lineRule="exact"/>
        <w:ind w:firstLine="420" w:firstLineChars="200"/>
        <w:rPr>
          <w:rFonts w:ascii="宋体" w:hAnsi="宋体"/>
        </w:rPr>
      </w:pPr>
      <w:r>
        <w:rPr>
          <w:rFonts w:hint="eastAsia" w:ascii="宋体" w:hAnsi="宋体"/>
        </w:rPr>
        <w:t>d）评审所采取的纠正措施的有效性；</w:t>
      </w:r>
    </w:p>
    <w:p w14:paraId="5CC9AA81">
      <w:pPr>
        <w:spacing w:line="460" w:lineRule="exact"/>
        <w:ind w:firstLine="420" w:firstLineChars="200"/>
        <w:rPr>
          <w:rFonts w:ascii="宋体" w:hAnsi="宋体"/>
        </w:rPr>
      </w:pPr>
      <w:r>
        <w:rPr>
          <w:rFonts w:hint="eastAsia" w:ascii="宋体" w:hAnsi="宋体"/>
        </w:rPr>
        <w:t>e）需要时，变更质量环境职业健康安全/食品安全/HACCP体系。</w:t>
      </w:r>
    </w:p>
    <w:p w14:paraId="5348FE11">
      <w:pPr>
        <w:spacing w:line="460" w:lineRule="exact"/>
        <w:ind w:firstLine="420" w:firstLineChars="200"/>
        <w:rPr>
          <w:rFonts w:ascii="宋体" w:hAnsi="宋体"/>
        </w:rPr>
      </w:pPr>
      <w:r>
        <w:rPr>
          <w:rFonts w:hint="eastAsia" w:ascii="宋体" w:hAnsi="宋体"/>
        </w:rPr>
        <w:t>纠正措施应与不合格所产生的影响相适应。</w:t>
      </w:r>
    </w:p>
    <w:p w14:paraId="6827586E">
      <w:pPr>
        <w:spacing w:line="460" w:lineRule="exact"/>
        <w:ind w:firstLine="420" w:firstLineChars="200"/>
        <w:rPr>
          <w:rFonts w:ascii="宋体" w:hAnsi="宋体"/>
        </w:rPr>
      </w:pPr>
      <w:r>
        <w:rPr>
          <w:rFonts w:hint="eastAsia" w:ascii="宋体" w:hAnsi="宋体"/>
        </w:rPr>
        <w:t>10.1.2</w:t>
      </w:r>
      <w:r>
        <w:rPr>
          <w:rFonts w:hint="eastAsia" w:ascii="宋体" w:hAnsi="宋体"/>
        </w:rPr>
        <w:tab/>
      </w:r>
      <w:r>
        <w:rPr>
          <w:rFonts w:hint="eastAsia" w:ascii="宋体" w:hAnsi="宋体"/>
        </w:rPr>
        <w:t>组织应保留成文信息，作为下列事项的证据：</w:t>
      </w:r>
    </w:p>
    <w:p w14:paraId="6C57A3DE">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 xml:space="preserve"> 不合格的性质以及随后所采取的措施；</w:t>
      </w:r>
    </w:p>
    <w:p w14:paraId="5EDF6CA4">
      <w:pPr>
        <w:spacing w:line="460" w:lineRule="exact"/>
        <w:ind w:firstLine="420" w:firstLineChars="200"/>
        <w:rPr>
          <w:rFonts w:ascii="宋体" w:hAnsi="宋体"/>
        </w:rPr>
      </w:pPr>
      <w:r>
        <w:rPr>
          <w:rFonts w:hint="eastAsia" w:ascii="宋体" w:hAnsi="宋体"/>
        </w:rPr>
        <w:t xml:space="preserve">b） </w:t>
      </w:r>
      <w:r>
        <w:rPr>
          <w:rFonts w:hint="eastAsia" w:ascii="宋体" w:hAnsi="宋体"/>
        </w:rPr>
        <w:tab/>
      </w:r>
      <w:r>
        <w:rPr>
          <w:rFonts w:hint="eastAsia" w:ascii="宋体" w:hAnsi="宋体"/>
        </w:rPr>
        <w:t>纠正措施的结果。</w:t>
      </w:r>
    </w:p>
    <w:p w14:paraId="5B6E9A72">
      <w:pPr>
        <w:pStyle w:val="18"/>
        <w:rPr>
          <w:rFonts w:ascii="宋体" w:hAnsi="宋体"/>
        </w:rPr>
      </w:pPr>
      <w:bookmarkStart w:id="65" w:name="_Toc110460662"/>
      <w:r>
        <w:rPr>
          <w:rFonts w:hint="eastAsia" w:ascii="宋体" w:hAnsi="宋体"/>
        </w:rPr>
        <w:t>10.2</w:t>
      </w:r>
      <w:r>
        <w:rPr>
          <w:rFonts w:hint="eastAsia" w:ascii="宋体" w:hAnsi="宋体"/>
        </w:rPr>
        <w:tab/>
      </w:r>
      <w:r>
        <w:rPr>
          <w:rFonts w:hint="eastAsia" w:ascii="宋体" w:hAnsi="宋体"/>
        </w:rPr>
        <w:t>持续改进</w:t>
      </w:r>
      <w:bookmarkEnd w:id="65"/>
    </w:p>
    <w:p w14:paraId="4E94EA56">
      <w:pPr>
        <w:spacing w:line="460" w:lineRule="exact"/>
        <w:ind w:firstLine="420" w:firstLineChars="200"/>
        <w:rPr>
          <w:rFonts w:ascii="宋体" w:hAnsi="宋体"/>
        </w:rPr>
      </w:pPr>
      <w:r>
        <w:rPr>
          <w:rFonts w:hint="eastAsia" w:ascii="宋体" w:hAnsi="宋体"/>
        </w:rPr>
        <w:t>组织应持续改进质量环境职业健康安全/食品安全/HACCP体系的适宜性、充分性和有效性。</w:t>
      </w:r>
    </w:p>
    <w:p w14:paraId="40593DFB">
      <w:pPr>
        <w:spacing w:line="460" w:lineRule="exact"/>
        <w:ind w:firstLine="420" w:firstLineChars="200"/>
        <w:rPr>
          <w:rFonts w:ascii="宋体" w:hAnsi="宋体"/>
        </w:rPr>
      </w:pPr>
      <w:r>
        <w:rPr>
          <w:rFonts w:hint="eastAsia" w:ascii="宋体" w:hAnsi="宋体"/>
        </w:rPr>
        <w:t>最高管理层应确保组织通过使用沟通、管理评审、内部审核、验证活动结果分析、控制措施和控制措施的组合的确认、纠正措施以及质量环境职业健康安全/食品安全/HACCP体系更新来持续改进质量环境职业健康安全/食品安全/HACCP体系有效性。</w:t>
      </w:r>
    </w:p>
    <w:p w14:paraId="4E583BC7">
      <w:pPr>
        <w:pStyle w:val="18"/>
        <w:rPr>
          <w:rFonts w:ascii="宋体" w:hAnsi="宋体"/>
        </w:rPr>
      </w:pPr>
      <w:bookmarkStart w:id="66" w:name="_Toc110460663"/>
      <w:r>
        <w:rPr>
          <w:rFonts w:hint="eastAsia" w:ascii="宋体" w:hAnsi="宋体"/>
        </w:rPr>
        <w:t>10.3</w:t>
      </w:r>
      <w:r>
        <w:rPr>
          <w:rFonts w:hint="eastAsia" w:ascii="宋体" w:hAnsi="宋体"/>
        </w:rPr>
        <w:tab/>
      </w:r>
      <w:r>
        <w:rPr>
          <w:rFonts w:hint="eastAsia" w:ascii="宋体" w:hAnsi="宋体"/>
        </w:rPr>
        <w:t>食品安全管理体系、HACCP体系的更新</w:t>
      </w:r>
      <w:bookmarkEnd w:id="66"/>
    </w:p>
    <w:p w14:paraId="3A0AC900">
      <w:pPr>
        <w:spacing w:line="460" w:lineRule="exact"/>
        <w:ind w:firstLine="420" w:firstLineChars="200"/>
        <w:rPr>
          <w:rFonts w:ascii="宋体" w:hAnsi="宋体"/>
        </w:rPr>
      </w:pPr>
      <w:r>
        <w:rPr>
          <w:rFonts w:hint="eastAsia" w:ascii="宋体" w:hAnsi="宋体"/>
        </w:rPr>
        <w:t>最高管理者应确保质量环境职业健康安全/食品安全/HACCP体系持续更新。为达到这一目标，食品安全小组应按照策划的时间间隔评价质量环境职业健康安全/食品安全/HACCP体系。食品安全小组应考虑是否有必要评审危害分析、既定的危害控制计划以及既定的前提方案。更新的活动应基于：</w:t>
      </w:r>
    </w:p>
    <w:p w14:paraId="5A49CCCF">
      <w:pPr>
        <w:spacing w:line="460" w:lineRule="exact"/>
        <w:ind w:firstLine="420" w:firstLineChars="200"/>
        <w:rPr>
          <w:rFonts w:ascii="宋体" w:hAnsi="宋体"/>
        </w:rPr>
      </w:pPr>
      <w:r>
        <w:rPr>
          <w:rFonts w:hint="eastAsia" w:ascii="宋体" w:hAnsi="宋体"/>
        </w:rPr>
        <w:t>a）</w:t>
      </w:r>
      <w:r>
        <w:rPr>
          <w:rFonts w:hint="eastAsia" w:ascii="宋体" w:hAnsi="宋体"/>
        </w:rPr>
        <w:tab/>
      </w:r>
      <w:r>
        <w:rPr>
          <w:rFonts w:hint="eastAsia" w:ascii="宋体" w:hAnsi="宋体"/>
        </w:rPr>
        <w:t>来自外部和内部沟通的输入；</w:t>
      </w:r>
    </w:p>
    <w:p w14:paraId="1AFFC849">
      <w:pPr>
        <w:spacing w:line="460" w:lineRule="exact"/>
        <w:ind w:firstLine="420" w:firstLineChars="200"/>
        <w:rPr>
          <w:rFonts w:ascii="宋体" w:hAnsi="宋体"/>
        </w:rPr>
      </w:pPr>
      <w:r>
        <w:rPr>
          <w:rFonts w:hint="eastAsia" w:ascii="宋体" w:hAnsi="宋体"/>
        </w:rPr>
        <w:t>b）</w:t>
      </w:r>
      <w:r>
        <w:rPr>
          <w:rFonts w:hint="eastAsia" w:ascii="宋体" w:hAnsi="宋体"/>
        </w:rPr>
        <w:tab/>
      </w:r>
      <w:r>
        <w:rPr>
          <w:rFonts w:hint="eastAsia" w:ascii="宋体" w:hAnsi="宋体"/>
        </w:rPr>
        <w:t>来自其他关于质量环境职业健康安全/食品安全/HACCP体系的合适性、充分性和有效性的信息的输入；</w:t>
      </w:r>
    </w:p>
    <w:p w14:paraId="3DFD2AC2">
      <w:pPr>
        <w:spacing w:line="460" w:lineRule="exact"/>
        <w:ind w:firstLine="420" w:firstLineChars="200"/>
        <w:rPr>
          <w:rFonts w:ascii="宋体" w:hAnsi="宋体"/>
        </w:rPr>
      </w:pPr>
      <w:r>
        <w:rPr>
          <w:rFonts w:hint="eastAsia" w:ascii="宋体" w:hAnsi="宋体"/>
        </w:rPr>
        <w:t>c）</w:t>
      </w:r>
      <w:r>
        <w:rPr>
          <w:rFonts w:hint="eastAsia" w:ascii="宋体" w:hAnsi="宋体"/>
        </w:rPr>
        <w:tab/>
      </w:r>
      <w:r>
        <w:rPr>
          <w:rFonts w:hint="eastAsia" w:ascii="宋体" w:hAnsi="宋体"/>
        </w:rPr>
        <w:t xml:space="preserve">来自验证活动结果分析的输出； </w:t>
      </w:r>
    </w:p>
    <w:p w14:paraId="0FCE0C1B">
      <w:pPr>
        <w:spacing w:line="460" w:lineRule="exact"/>
        <w:ind w:firstLine="420" w:firstLineChars="200"/>
        <w:rPr>
          <w:rFonts w:ascii="宋体" w:hAnsi="宋体"/>
        </w:rPr>
      </w:pPr>
      <w:r>
        <w:rPr>
          <w:rFonts w:hint="eastAsia" w:ascii="宋体" w:hAnsi="宋体"/>
        </w:rPr>
        <w:t>d）</w:t>
      </w:r>
      <w:r>
        <w:rPr>
          <w:rFonts w:hint="eastAsia" w:ascii="宋体" w:hAnsi="宋体"/>
        </w:rPr>
        <w:tab/>
      </w:r>
      <w:r>
        <w:rPr>
          <w:rFonts w:hint="eastAsia" w:ascii="宋体" w:hAnsi="宋体"/>
        </w:rPr>
        <w:t>来自管理评审的输出。</w:t>
      </w:r>
    </w:p>
    <w:p w14:paraId="68BEF165">
      <w:pPr>
        <w:spacing w:line="460" w:lineRule="exact"/>
        <w:ind w:firstLine="420" w:firstLineChars="200"/>
        <w:rPr>
          <w:rFonts w:ascii="宋体" w:hAnsi="宋体"/>
        </w:rPr>
      </w:pPr>
      <w:r>
        <w:rPr>
          <w:rFonts w:hint="eastAsia" w:ascii="宋体" w:hAnsi="宋体"/>
        </w:rPr>
        <w:t>体系更新活动的应保留作为成文信息，并作为管理评审的输入进行报告。</w:t>
      </w:r>
      <w:r>
        <w:rPr>
          <w:rFonts w:ascii="宋体" w:hAnsi="宋体"/>
        </w:rPr>
        <w:br w:type="page"/>
      </w:r>
    </w:p>
    <w:p w14:paraId="49C2DB22">
      <w:pPr>
        <w:pStyle w:val="22"/>
        <w:rPr>
          <w:rFonts w:ascii="宋体" w:hAnsi="宋体"/>
          <w:b w:val="0"/>
        </w:rPr>
      </w:pPr>
      <w:bookmarkStart w:id="67" w:name="_Toc110460664"/>
      <w:r>
        <w:rPr>
          <w:rFonts w:hint="eastAsia" w:ascii="宋体" w:hAnsi="宋体"/>
        </w:rPr>
        <w:t>附件一：工艺流程</w:t>
      </w:r>
      <w:bookmarkEnd w:id="67"/>
    </w:p>
    <w:p w14:paraId="6F1F38F3">
      <w:pPr>
        <w:spacing w:line="240" w:lineRule="exact"/>
        <w:rPr>
          <w:rFonts w:ascii="宋体" w:hAnsi="宋体" w:cs="宋体"/>
          <w:szCs w:val="21"/>
        </w:rPr>
      </w:pPr>
    </w:p>
    <w:p w14:paraId="4437AE1C">
      <w:pPr>
        <w:spacing w:line="240" w:lineRule="exact"/>
        <w:rPr>
          <w:rFonts w:hint="eastAsia" w:ascii="宋体" w:hAnsi="宋体" w:cs="宋体"/>
          <w:szCs w:val="21"/>
          <w:lang w:val="en-US" w:eastAsia="zh-CN"/>
        </w:rPr>
      </w:pPr>
      <w:bookmarkStart w:id="68" w:name="_Toc13568_WPSOffice_Level2"/>
      <w:bookmarkStart w:id="69" w:name="_Toc56146361"/>
      <w:r>
        <w:rPr>
          <w:rFonts w:hint="eastAsia" w:ascii="宋体" w:hAnsi="宋体" w:cs="宋体"/>
          <w:szCs w:val="21"/>
          <w:lang w:val="en-US" w:eastAsia="zh-CN"/>
        </w:rPr>
        <w:br w:type="textWrapping"/>
      </w:r>
    </w:p>
    <w:p w14:paraId="67F20AB2">
      <w:pPr>
        <w:spacing w:line="240" w:lineRule="exact"/>
        <w:rPr>
          <w:rFonts w:hint="eastAsia" w:ascii="宋体" w:hAnsi="宋体" w:cs="宋体"/>
          <w:szCs w:val="21"/>
          <w:lang w:val="en-US" w:eastAsia="zh-CN"/>
        </w:rPr>
      </w:pPr>
      <w:r>
        <w:rPr>
          <w:rFonts w:hint="eastAsia" w:ascii="仿宋" w:hAnsi="仿宋" w:eastAsia="仿宋" w:cs="仿宋"/>
          <w:b/>
          <w:sz w:val="24"/>
          <w:szCs w:val="24"/>
          <w:lang w:val="en-US" w:eastAsia="zh-CN"/>
        </w:rPr>
        <w:t>客户订单-采购-验收OPRP1-储存（必要时）-</w:t>
      </w:r>
      <w:r>
        <w:rPr>
          <w:rFonts w:hint="eastAsia" w:ascii="仿宋" w:hAnsi="仿宋" w:eastAsia="仿宋" w:cs="仿宋"/>
          <w:b/>
          <w:color w:val="C00000"/>
          <w:sz w:val="24"/>
          <w:szCs w:val="24"/>
          <w:lang w:val="en-US" w:eastAsia="zh-CN"/>
        </w:rPr>
        <w:t>销售-</w:t>
      </w:r>
      <w:r>
        <w:rPr>
          <w:rFonts w:hint="eastAsia"/>
          <w:b/>
          <w:bCs/>
          <w:sz w:val="24"/>
          <w:szCs w:val="24"/>
          <w:lang w:val="en-US" w:eastAsia="zh-CN"/>
        </w:rPr>
        <w:t>客户验收</w:t>
      </w:r>
    </w:p>
    <w:p w14:paraId="74E61A79">
      <w:pPr>
        <w:spacing w:line="240" w:lineRule="exact"/>
        <w:rPr>
          <w:rFonts w:hint="eastAsia" w:ascii="宋体" w:hAnsi="宋体" w:cs="宋体"/>
          <w:szCs w:val="21"/>
          <w:lang w:val="en-US" w:eastAsia="zh-CN"/>
        </w:rPr>
      </w:pPr>
      <w:r>
        <w:rPr>
          <w:rFonts w:hint="eastAsia" w:ascii="宋体" w:hAnsi="宋体" w:cs="宋体"/>
          <w:szCs w:val="21"/>
          <w:lang w:val="en-US" w:eastAsia="zh-CN"/>
        </w:rPr>
        <w:t>特殊过程：销售</w:t>
      </w:r>
    </w:p>
    <w:p w14:paraId="0CA0E062">
      <w:pPr>
        <w:spacing w:line="240" w:lineRule="exact"/>
        <w:rPr>
          <w:rFonts w:hint="default" w:ascii="宋体" w:hAnsi="宋体" w:cs="宋体"/>
          <w:szCs w:val="21"/>
          <w:lang w:val="en-US"/>
        </w:rPr>
      </w:pPr>
      <w:r>
        <w:rPr>
          <w:rFonts w:hint="eastAsia" w:ascii="宋体" w:hAnsi="宋体" w:cs="宋体"/>
          <w:szCs w:val="21"/>
          <w:lang w:val="en-US" w:eastAsia="zh-CN"/>
        </w:rPr>
        <w:t>外包；无</w:t>
      </w:r>
    </w:p>
    <w:p w14:paraId="4D0C1980">
      <w:pPr>
        <w:pStyle w:val="3"/>
        <w:spacing w:line="240" w:lineRule="auto"/>
        <w:rPr>
          <w:rFonts w:hint="eastAsia" w:ascii="宋体" w:hAnsi="宋体"/>
          <w:kern w:val="2"/>
          <w:sz w:val="24"/>
          <w:szCs w:val="32"/>
        </w:rPr>
      </w:pPr>
      <w:bookmarkStart w:id="70" w:name="_Toc110460665"/>
    </w:p>
    <w:p w14:paraId="1A92AF6E">
      <w:pPr>
        <w:pStyle w:val="3"/>
        <w:spacing w:line="240" w:lineRule="auto"/>
        <w:rPr>
          <w:rFonts w:hint="eastAsia" w:ascii="宋体" w:hAnsi="宋体"/>
          <w:kern w:val="2"/>
          <w:sz w:val="24"/>
          <w:szCs w:val="32"/>
        </w:rPr>
      </w:pPr>
    </w:p>
    <w:p w14:paraId="34DC5065">
      <w:pPr>
        <w:pStyle w:val="3"/>
        <w:spacing w:line="240" w:lineRule="auto"/>
        <w:rPr>
          <w:rFonts w:hint="eastAsia" w:ascii="宋体" w:hAnsi="宋体"/>
          <w:kern w:val="2"/>
          <w:sz w:val="24"/>
          <w:szCs w:val="32"/>
        </w:rPr>
      </w:pPr>
    </w:p>
    <w:p w14:paraId="5ACF7B4F">
      <w:pPr>
        <w:pStyle w:val="3"/>
        <w:spacing w:line="240" w:lineRule="auto"/>
        <w:rPr>
          <w:rFonts w:ascii="宋体" w:hAnsi="宋体"/>
          <w:kern w:val="2"/>
          <w:sz w:val="24"/>
          <w:szCs w:val="32"/>
        </w:rPr>
      </w:pPr>
      <w:r>
        <w:rPr>
          <w:rFonts w:hint="eastAsia" w:ascii="宋体" w:hAnsi="宋体"/>
          <w:kern w:val="2"/>
          <w:sz w:val="24"/>
          <w:szCs w:val="32"/>
        </w:rPr>
        <w:t>附件二： 质量/环境/职业健康安全管理体系职能分配表</w:t>
      </w:r>
      <w:bookmarkEnd w:id="68"/>
      <w:bookmarkEnd w:id="69"/>
      <w:bookmarkEnd w:id="70"/>
    </w:p>
    <w:tbl>
      <w:tblPr>
        <w:tblStyle w:val="23"/>
        <w:tblW w:w="10348" w:type="dxa"/>
        <w:jc w:val="center"/>
        <w:tblLayout w:type="fixed"/>
        <w:tblCellMar>
          <w:top w:w="0" w:type="dxa"/>
          <w:left w:w="0" w:type="dxa"/>
          <w:bottom w:w="0" w:type="dxa"/>
          <w:right w:w="0" w:type="dxa"/>
        </w:tblCellMar>
      </w:tblPr>
      <w:tblGrid>
        <w:gridCol w:w="2228"/>
        <w:gridCol w:w="2039"/>
        <w:gridCol w:w="2233"/>
        <w:gridCol w:w="741"/>
        <w:gridCol w:w="779"/>
        <w:gridCol w:w="1164"/>
        <w:gridCol w:w="1164"/>
      </w:tblGrid>
      <w:tr w14:paraId="6231C042">
        <w:tblPrEx>
          <w:tblCellMar>
            <w:top w:w="0" w:type="dxa"/>
            <w:left w:w="0" w:type="dxa"/>
            <w:bottom w:w="0" w:type="dxa"/>
            <w:right w:w="0" w:type="dxa"/>
          </w:tblCellMar>
        </w:tblPrEx>
        <w:trPr>
          <w:trHeight w:val="241" w:hRule="exact"/>
          <w:tblHeader/>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4E41F0F1">
            <w:pPr>
              <w:spacing w:line="240" w:lineRule="exact"/>
              <w:jc w:val="center"/>
              <w:rPr>
                <w:rFonts w:ascii="宋体" w:hAnsi="宋体" w:cs="宋体"/>
                <w:b/>
                <w:szCs w:val="21"/>
              </w:rPr>
            </w:pPr>
            <w:r>
              <w:rPr>
                <w:rFonts w:hint="eastAsia" w:ascii="宋体" w:hAnsi="宋体" w:cs="宋体"/>
                <w:b/>
                <w:szCs w:val="21"/>
              </w:rPr>
              <w:t>GB/T19001-2016</w:t>
            </w:r>
          </w:p>
        </w:tc>
        <w:tc>
          <w:tcPr>
            <w:tcW w:w="2039" w:type="dxa"/>
            <w:tcBorders>
              <w:top w:val="single" w:color="000000" w:sz="4" w:space="0"/>
              <w:left w:val="single" w:color="000000" w:sz="4" w:space="0"/>
              <w:bottom w:val="single" w:color="000000" w:sz="4" w:space="0"/>
              <w:right w:val="single" w:color="auto" w:sz="4" w:space="0"/>
            </w:tcBorders>
            <w:vAlign w:val="center"/>
          </w:tcPr>
          <w:p w14:paraId="315C68D5">
            <w:pPr>
              <w:spacing w:line="240" w:lineRule="exact"/>
              <w:ind w:right="-252" w:rightChars="-120"/>
              <w:jc w:val="center"/>
              <w:rPr>
                <w:rFonts w:ascii="宋体" w:hAnsi="宋体" w:cs="宋体"/>
                <w:b/>
                <w:szCs w:val="21"/>
              </w:rPr>
            </w:pPr>
            <w:r>
              <w:rPr>
                <w:rFonts w:hint="eastAsia" w:ascii="宋体" w:hAnsi="宋体" w:cs="宋体"/>
                <w:b/>
                <w:szCs w:val="21"/>
              </w:rPr>
              <w:t>GB/T24001-2016</w:t>
            </w:r>
          </w:p>
        </w:tc>
        <w:tc>
          <w:tcPr>
            <w:tcW w:w="2233" w:type="dxa"/>
            <w:tcBorders>
              <w:top w:val="single" w:color="000000" w:sz="4" w:space="0"/>
              <w:left w:val="single" w:color="auto" w:sz="4" w:space="0"/>
              <w:bottom w:val="single" w:color="000000" w:sz="4" w:space="0"/>
              <w:right w:val="single" w:color="000000" w:sz="4" w:space="0"/>
            </w:tcBorders>
            <w:vAlign w:val="center"/>
          </w:tcPr>
          <w:p w14:paraId="32D62A1D">
            <w:pPr>
              <w:spacing w:line="240" w:lineRule="exact"/>
              <w:jc w:val="center"/>
              <w:rPr>
                <w:rFonts w:ascii="宋体" w:hAnsi="宋体" w:cs="宋体"/>
                <w:b/>
                <w:szCs w:val="21"/>
              </w:rPr>
            </w:pPr>
            <w:r>
              <w:rPr>
                <w:rFonts w:hint="eastAsia" w:ascii="宋体" w:hAnsi="宋体" w:cs="宋体"/>
                <w:b/>
                <w:szCs w:val="21"/>
              </w:rPr>
              <w:t>GB/T45001-2020  ISO45001:2018</w:t>
            </w:r>
          </w:p>
        </w:tc>
        <w:tc>
          <w:tcPr>
            <w:tcW w:w="741" w:type="dxa"/>
            <w:tcBorders>
              <w:top w:val="single" w:color="000000" w:sz="4" w:space="0"/>
              <w:left w:val="single" w:color="000000" w:sz="4" w:space="0"/>
              <w:bottom w:val="single" w:color="000000" w:sz="4" w:space="0"/>
              <w:right w:val="single" w:color="000000" w:sz="4" w:space="0"/>
            </w:tcBorders>
            <w:vAlign w:val="center"/>
          </w:tcPr>
          <w:p w14:paraId="260C6015">
            <w:pPr>
              <w:autoSpaceDE w:val="0"/>
              <w:autoSpaceDN w:val="0"/>
              <w:adjustRightInd w:val="0"/>
              <w:spacing w:line="220" w:lineRule="exact"/>
              <w:ind w:left="102" w:right="-23"/>
              <w:jc w:val="center"/>
              <w:rPr>
                <w:rFonts w:ascii="宋体" w:hAnsi="宋体" w:cs="宋体"/>
                <w:kern w:val="0"/>
                <w:position w:val="-2"/>
                <w:szCs w:val="21"/>
              </w:rPr>
            </w:pPr>
            <w:r>
              <w:rPr>
                <w:rFonts w:hint="eastAsia" w:ascii="宋体" w:hAnsi="宋体" w:cs="宋体"/>
                <w:kern w:val="0"/>
                <w:position w:val="-2"/>
                <w:szCs w:val="21"/>
              </w:rPr>
              <w:t>管理层</w:t>
            </w:r>
          </w:p>
        </w:tc>
        <w:tc>
          <w:tcPr>
            <w:tcW w:w="779" w:type="dxa"/>
            <w:tcBorders>
              <w:top w:val="single" w:color="000000" w:sz="4" w:space="0"/>
              <w:left w:val="single" w:color="000000" w:sz="4" w:space="0"/>
              <w:bottom w:val="single" w:color="000000" w:sz="4" w:space="0"/>
              <w:right w:val="single" w:color="000000" w:sz="4" w:space="0"/>
            </w:tcBorders>
            <w:vAlign w:val="center"/>
          </w:tcPr>
          <w:p w14:paraId="4198FD20">
            <w:pPr>
              <w:autoSpaceDE w:val="0"/>
              <w:autoSpaceDN w:val="0"/>
              <w:adjustRightInd w:val="0"/>
              <w:spacing w:line="220" w:lineRule="exact"/>
              <w:ind w:left="102" w:right="-23"/>
              <w:jc w:val="center"/>
              <w:rPr>
                <w:rFonts w:ascii="宋体" w:hAnsi="宋体" w:cs="宋体" w:eastAsiaTheme="minorEastAsia"/>
                <w:kern w:val="0"/>
                <w:position w:val="-2"/>
                <w:szCs w:val="21"/>
              </w:rPr>
            </w:pPr>
            <w:r>
              <w:rPr>
                <w:rFonts w:hint="eastAsia" w:ascii="宋体" w:hAnsi="宋体" w:cs="宋体"/>
                <w:kern w:val="0"/>
                <w:position w:val="-2"/>
                <w:szCs w:val="21"/>
              </w:rPr>
              <w:t>行政部</w:t>
            </w:r>
          </w:p>
        </w:tc>
        <w:tc>
          <w:tcPr>
            <w:tcW w:w="1164" w:type="dxa"/>
            <w:tcBorders>
              <w:top w:val="single" w:color="000000" w:sz="4" w:space="0"/>
              <w:left w:val="single" w:color="000000" w:sz="4" w:space="0"/>
              <w:bottom w:val="single" w:color="000000" w:sz="4" w:space="0"/>
              <w:right w:val="single" w:color="000000" w:sz="4" w:space="0"/>
            </w:tcBorders>
          </w:tcPr>
          <w:p w14:paraId="15376155">
            <w:pPr>
              <w:autoSpaceDE w:val="0"/>
              <w:autoSpaceDN w:val="0"/>
              <w:adjustRightInd w:val="0"/>
              <w:spacing w:line="220" w:lineRule="exact"/>
              <w:ind w:left="102" w:right="-23"/>
              <w:jc w:val="center"/>
              <w:rPr>
                <w:rFonts w:hint="eastAsia" w:ascii="宋体" w:hAnsi="宋体" w:eastAsia="宋体" w:cs="宋体"/>
                <w:kern w:val="0"/>
                <w:position w:val="-2"/>
                <w:szCs w:val="21"/>
                <w:lang w:eastAsia="zh-CN"/>
              </w:rPr>
            </w:pPr>
            <w:r>
              <w:rPr>
                <w:rFonts w:hint="eastAsia" w:ascii="宋体" w:hAnsi="宋体" w:cs="宋体"/>
                <w:kern w:val="0"/>
                <w:position w:val="-2"/>
                <w:szCs w:val="21"/>
                <w:lang w:eastAsia="zh-CN"/>
              </w:rPr>
              <w:t>市场部</w:t>
            </w:r>
          </w:p>
        </w:tc>
        <w:tc>
          <w:tcPr>
            <w:tcW w:w="1164" w:type="dxa"/>
            <w:tcBorders>
              <w:top w:val="single" w:color="000000" w:sz="4" w:space="0"/>
              <w:left w:val="single" w:color="000000" w:sz="4" w:space="0"/>
              <w:bottom w:val="single" w:color="000000" w:sz="4" w:space="0"/>
              <w:right w:val="single" w:color="000000" w:sz="4" w:space="0"/>
            </w:tcBorders>
          </w:tcPr>
          <w:p w14:paraId="201955F2">
            <w:pPr>
              <w:autoSpaceDE w:val="0"/>
              <w:autoSpaceDN w:val="0"/>
              <w:adjustRightInd w:val="0"/>
              <w:spacing w:line="220" w:lineRule="exact"/>
              <w:ind w:left="102" w:right="-23"/>
              <w:jc w:val="center"/>
              <w:rPr>
                <w:rFonts w:ascii="宋体" w:hAnsi="宋体" w:cs="宋体"/>
                <w:kern w:val="0"/>
                <w:position w:val="-2"/>
                <w:szCs w:val="21"/>
              </w:rPr>
            </w:pPr>
            <w:r>
              <w:rPr>
                <w:rFonts w:hint="eastAsia" w:ascii="宋体" w:hAnsi="宋体" w:cs="宋体"/>
                <w:kern w:val="0"/>
                <w:position w:val="-2"/>
                <w:szCs w:val="21"/>
              </w:rPr>
              <w:t>财务部</w:t>
            </w:r>
          </w:p>
        </w:tc>
      </w:tr>
      <w:tr w14:paraId="31227BF8">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79533373">
            <w:pPr>
              <w:spacing w:line="240" w:lineRule="exact"/>
              <w:rPr>
                <w:rFonts w:ascii="宋体" w:hAnsi="宋体" w:cs="宋体"/>
                <w:szCs w:val="21"/>
              </w:rPr>
            </w:pPr>
            <w:r>
              <w:rPr>
                <w:rFonts w:hint="eastAsia" w:ascii="宋体" w:hAnsi="宋体" w:cs="宋体"/>
                <w:szCs w:val="21"/>
              </w:rPr>
              <w:t>4.1理解组织及其背景环境</w:t>
            </w:r>
          </w:p>
        </w:tc>
        <w:tc>
          <w:tcPr>
            <w:tcW w:w="2039" w:type="dxa"/>
            <w:tcBorders>
              <w:top w:val="single" w:color="000000" w:sz="4" w:space="0"/>
              <w:left w:val="single" w:color="000000" w:sz="4" w:space="0"/>
              <w:bottom w:val="single" w:color="000000" w:sz="4" w:space="0"/>
              <w:right w:val="single" w:color="auto" w:sz="4" w:space="0"/>
            </w:tcBorders>
            <w:vAlign w:val="center"/>
          </w:tcPr>
          <w:p w14:paraId="0FA6B6E1">
            <w:pPr>
              <w:spacing w:line="240" w:lineRule="exact"/>
              <w:rPr>
                <w:rFonts w:ascii="宋体" w:hAnsi="宋体" w:cs="宋体"/>
                <w:szCs w:val="21"/>
              </w:rPr>
            </w:pPr>
            <w:r>
              <w:rPr>
                <w:rFonts w:hint="eastAsia" w:ascii="宋体" w:hAnsi="宋体" w:cs="宋体"/>
                <w:szCs w:val="21"/>
              </w:rPr>
              <w:t>4.1理解组织及其所处环境</w:t>
            </w:r>
          </w:p>
        </w:tc>
        <w:tc>
          <w:tcPr>
            <w:tcW w:w="2233" w:type="dxa"/>
            <w:tcBorders>
              <w:top w:val="single" w:color="000000" w:sz="4" w:space="0"/>
              <w:left w:val="single" w:color="auto" w:sz="4" w:space="0"/>
              <w:bottom w:val="single" w:color="000000" w:sz="4" w:space="0"/>
              <w:right w:val="single" w:color="000000" w:sz="4" w:space="0"/>
            </w:tcBorders>
            <w:vAlign w:val="center"/>
          </w:tcPr>
          <w:p w14:paraId="4058EB62">
            <w:pPr>
              <w:spacing w:line="240" w:lineRule="exact"/>
              <w:rPr>
                <w:rFonts w:ascii="宋体" w:hAnsi="宋体" w:cs="宋体"/>
                <w:szCs w:val="21"/>
              </w:rPr>
            </w:pPr>
            <w:r>
              <w:rPr>
                <w:rFonts w:hint="eastAsia" w:ascii="宋体" w:hAnsi="宋体" w:cs="宋体"/>
                <w:szCs w:val="21"/>
              </w:rPr>
              <w:t>4.1 理解组织及其所处的环境</w:t>
            </w:r>
          </w:p>
        </w:tc>
        <w:tc>
          <w:tcPr>
            <w:tcW w:w="741" w:type="dxa"/>
            <w:tcBorders>
              <w:top w:val="single" w:color="000000" w:sz="4" w:space="0"/>
              <w:left w:val="single" w:color="000000" w:sz="4" w:space="0"/>
              <w:bottom w:val="single" w:color="000000" w:sz="4" w:space="0"/>
              <w:right w:val="single" w:color="000000" w:sz="4" w:space="0"/>
            </w:tcBorders>
            <w:vAlign w:val="center"/>
          </w:tcPr>
          <w:p w14:paraId="36FB1916">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44685A75">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CF4B424">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35EB1FD">
            <w:pPr>
              <w:spacing w:line="240" w:lineRule="exact"/>
              <w:jc w:val="center"/>
              <w:rPr>
                <w:rFonts w:ascii="宋体" w:hAnsi="宋体" w:cs="宋体"/>
                <w:szCs w:val="21"/>
              </w:rPr>
            </w:pPr>
            <w:r>
              <w:rPr>
                <w:rFonts w:hint="eastAsia" w:ascii="宋体" w:hAnsi="宋体" w:cs="宋体"/>
                <w:szCs w:val="21"/>
              </w:rPr>
              <w:t>△</w:t>
            </w:r>
          </w:p>
        </w:tc>
      </w:tr>
      <w:tr w14:paraId="12071819">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7A0E4CAA">
            <w:pPr>
              <w:spacing w:line="240" w:lineRule="exact"/>
              <w:rPr>
                <w:rFonts w:ascii="宋体" w:hAnsi="宋体" w:cs="宋体"/>
                <w:szCs w:val="21"/>
              </w:rPr>
            </w:pPr>
            <w:r>
              <w:rPr>
                <w:rFonts w:hint="eastAsia" w:ascii="宋体" w:hAnsi="宋体" w:cs="宋体"/>
                <w:szCs w:val="21"/>
              </w:rPr>
              <w:t>4.2理解相关方的需求和期望</w:t>
            </w:r>
          </w:p>
        </w:tc>
        <w:tc>
          <w:tcPr>
            <w:tcW w:w="2039" w:type="dxa"/>
            <w:tcBorders>
              <w:top w:val="single" w:color="000000" w:sz="4" w:space="0"/>
              <w:left w:val="single" w:color="000000" w:sz="4" w:space="0"/>
              <w:bottom w:val="single" w:color="000000" w:sz="4" w:space="0"/>
              <w:right w:val="single" w:color="auto" w:sz="4" w:space="0"/>
            </w:tcBorders>
            <w:vAlign w:val="center"/>
          </w:tcPr>
          <w:p w14:paraId="544096BB">
            <w:pPr>
              <w:spacing w:line="240" w:lineRule="exact"/>
              <w:rPr>
                <w:rFonts w:ascii="宋体" w:hAnsi="宋体" w:cs="宋体"/>
                <w:szCs w:val="21"/>
              </w:rPr>
            </w:pPr>
            <w:r>
              <w:rPr>
                <w:rFonts w:hint="eastAsia" w:ascii="宋体" w:hAnsi="宋体" w:cs="宋体"/>
                <w:szCs w:val="21"/>
              </w:rPr>
              <w:t>4.2理解相关方的需求和期望</w:t>
            </w:r>
          </w:p>
        </w:tc>
        <w:tc>
          <w:tcPr>
            <w:tcW w:w="2233" w:type="dxa"/>
            <w:tcBorders>
              <w:top w:val="single" w:color="000000" w:sz="4" w:space="0"/>
              <w:left w:val="single" w:color="auto" w:sz="4" w:space="0"/>
              <w:bottom w:val="single" w:color="000000" w:sz="4" w:space="0"/>
              <w:right w:val="single" w:color="000000" w:sz="4" w:space="0"/>
            </w:tcBorders>
            <w:vAlign w:val="center"/>
          </w:tcPr>
          <w:p w14:paraId="02A96798">
            <w:pPr>
              <w:spacing w:line="240" w:lineRule="exact"/>
              <w:rPr>
                <w:rFonts w:ascii="宋体" w:hAnsi="宋体" w:cs="宋体"/>
                <w:szCs w:val="21"/>
              </w:rPr>
            </w:pPr>
            <w:r>
              <w:rPr>
                <w:rFonts w:hint="eastAsia" w:ascii="宋体" w:hAnsi="宋体" w:cs="宋体"/>
                <w:szCs w:val="21"/>
              </w:rPr>
              <w:t>4.2 理解工作人员和其他相关方的需求和期望</w:t>
            </w:r>
          </w:p>
        </w:tc>
        <w:tc>
          <w:tcPr>
            <w:tcW w:w="741" w:type="dxa"/>
            <w:tcBorders>
              <w:top w:val="single" w:color="000000" w:sz="4" w:space="0"/>
              <w:left w:val="single" w:color="000000" w:sz="4" w:space="0"/>
              <w:bottom w:val="single" w:color="000000" w:sz="4" w:space="0"/>
              <w:right w:val="single" w:color="000000" w:sz="4" w:space="0"/>
            </w:tcBorders>
            <w:vAlign w:val="center"/>
          </w:tcPr>
          <w:p w14:paraId="772D1F45">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32906532">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07DF334">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27C1041E">
            <w:pPr>
              <w:spacing w:line="240" w:lineRule="exact"/>
              <w:jc w:val="center"/>
              <w:rPr>
                <w:rFonts w:ascii="宋体" w:hAnsi="宋体" w:cs="宋体"/>
                <w:szCs w:val="21"/>
              </w:rPr>
            </w:pPr>
            <w:r>
              <w:rPr>
                <w:rFonts w:hint="eastAsia" w:ascii="宋体" w:hAnsi="宋体" w:cs="宋体"/>
                <w:szCs w:val="21"/>
              </w:rPr>
              <w:t>△</w:t>
            </w:r>
          </w:p>
        </w:tc>
      </w:tr>
      <w:tr w14:paraId="5324AAE9">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4731593E">
            <w:pPr>
              <w:spacing w:line="240" w:lineRule="exact"/>
              <w:rPr>
                <w:rFonts w:ascii="宋体" w:hAnsi="宋体" w:cs="宋体"/>
                <w:szCs w:val="21"/>
              </w:rPr>
            </w:pPr>
            <w:r>
              <w:rPr>
                <w:rFonts w:hint="eastAsia" w:ascii="宋体" w:hAnsi="宋体" w:cs="宋体"/>
                <w:szCs w:val="21"/>
              </w:rPr>
              <w:t>4.3确定质量管理体系的范围</w:t>
            </w:r>
          </w:p>
        </w:tc>
        <w:tc>
          <w:tcPr>
            <w:tcW w:w="2039" w:type="dxa"/>
            <w:tcBorders>
              <w:top w:val="single" w:color="000000" w:sz="4" w:space="0"/>
              <w:left w:val="single" w:color="000000" w:sz="4" w:space="0"/>
              <w:bottom w:val="single" w:color="000000" w:sz="4" w:space="0"/>
              <w:right w:val="single" w:color="auto" w:sz="4" w:space="0"/>
            </w:tcBorders>
            <w:vAlign w:val="center"/>
          </w:tcPr>
          <w:p w14:paraId="331B157C">
            <w:pPr>
              <w:spacing w:line="240" w:lineRule="exact"/>
              <w:rPr>
                <w:rFonts w:ascii="宋体" w:hAnsi="宋体" w:cs="宋体"/>
                <w:szCs w:val="21"/>
              </w:rPr>
            </w:pPr>
            <w:r>
              <w:rPr>
                <w:rFonts w:hint="eastAsia" w:ascii="宋体" w:hAnsi="宋体" w:cs="宋体"/>
                <w:szCs w:val="21"/>
              </w:rPr>
              <w:t>4.3确定环境管理体系的范围</w:t>
            </w:r>
          </w:p>
        </w:tc>
        <w:tc>
          <w:tcPr>
            <w:tcW w:w="2233" w:type="dxa"/>
            <w:tcBorders>
              <w:top w:val="single" w:color="000000" w:sz="4" w:space="0"/>
              <w:left w:val="single" w:color="auto" w:sz="4" w:space="0"/>
              <w:bottom w:val="single" w:color="000000" w:sz="4" w:space="0"/>
              <w:right w:val="single" w:color="000000" w:sz="4" w:space="0"/>
            </w:tcBorders>
            <w:vAlign w:val="center"/>
          </w:tcPr>
          <w:p w14:paraId="06FC261E">
            <w:pPr>
              <w:spacing w:line="240" w:lineRule="exact"/>
              <w:rPr>
                <w:rFonts w:ascii="宋体" w:hAnsi="宋体" w:cs="宋体"/>
                <w:szCs w:val="21"/>
              </w:rPr>
            </w:pPr>
            <w:r>
              <w:rPr>
                <w:rFonts w:hint="eastAsia" w:ascii="宋体" w:hAnsi="宋体" w:cs="宋体"/>
                <w:szCs w:val="21"/>
              </w:rPr>
              <w:t>4.3 确定职业健康安全管理体系范围</w:t>
            </w:r>
          </w:p>
        </w:tc>
        <w:tc>
          <w:tcPr>
            <w:tcW w:w="741" w:type="dxa"/>
            <w:tcBorders>
              <w:top w:val="single" w:color="000000" w:sz="4" w:space="0"/>
              <w:left w:val="single" w:color="000000" w:sz="4" w:space="0"/>
              <w:bottom w:val="single" w:color="000000" w:sz="4" w:space="0"/>
              <w:right w:val="single" w:color="000000" w:sz="4" w:space="0"/>
            </w:tcBorders>
            <w:vAlign w:val="center"/>
          </w:tcPr>
          <w:p w14:paraId="28645C0A">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70A6B1D9">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482B3F01">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BA9DFF2">
            <w:pPr>
              <w:spacing w:line="240" w:lineRule="exact"/>
              <w:jc w:val="center"/>
              <w:rPr>
                <w:rFonts w:ascii="宋体" w:hAnsi="宋体" w:cs="宋体"/>
                <w:szCs w:val="21"/>
              </w:rPr>
            </w:pPr>
            <w:r>
              <w:rPr>
                <w:rFonts w:hint="eastAsia" w:ascii="宋体" w:hAnsi="宋体" w:cs="宋体"/>
                <w:szCs w:val="21"/>
              </w:rPr>
              <w:t>△</w:t>
            </w:r>
          </w:p>
        </w:tc>
      </w:tr>
      <w:tr w14:paraId="027D9C84">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09288E2F">
            <w:pPr>
              <w:spacing w:line="240" w:lineRule="exact"/>
              <w:rPr>
                <w:rFonts w:ascii="宋体" w:hAnsi="宋体" w:cs="宋体"/>
                <w:szCs w:val="21"/>
              </w:rPr>
            </w:pPr>
            <w:r>
              <w:rPr>
                <w:rFonts w:hint="eastAsia" w:ascii="宋体" w:hAnsi="宋体" w:cs="宋体"/>
                <w:szCs w:val="21"/>
              </w:rPr>
              <w:t>4.4质量管理体系</w:t>
            </w:r>
          </w:p>
        </w:tc>
        <w:tc>
          <w:tcPr>
            <w:tcW w:w="2039" w:type="dxa"/>
            <w:tcBorders>
              <w:top w:val="single" w:color="000000" w:sz="4" w:space="0"/>
              <w:left w:val="single" w:color="000000" w:sz="4" w:space="0"/>
              <w:bottom w:val="single" w:color="auto" w:sz="4" w:space="0"/>
              <w:right w:val="single" w:color="auto" w:sz="4" w:space="0"/>
            </w:tcBorders>
            <w:vAlign w:val="center"/>
          </w:tcPr>
          <w:p w14:paraId="36D3CF3E">
            <w:pPr>
              <w:spacing w:line="240" w:lineRule="exact"/>
              <w:rPr>
                <w:rFonts w:ascii="宋体" w:hAnsi="宋体" w:cs="宋体"/>
                <w:szCs w:val="21"/>
              </w:rPr>
            </w:pPr>
            <w:r>
              <w:rPr>
                <w:rFonts w:hint="eastAsia" w:ascii="宋体" w:hAnsi="宋体" w:cs="宋体"/>
                <w:szCs w:val="21"/>
              </w:rPr>
              <w:t>4.4环境管理体系</w:t>
            </w:r>
          </w:p>
        </w:tc>
        <w:tc>
          <w:tcPr>
            <w:tcW w:w="2233" w:type="dxa"/>
            <w:tcBorders>
              <w:top w:val="single" w:color="000000" w:sz="4" w:space="0"/>
              <w:left w:val="single" w:color="auto" w:sz="4" w:space="0"/>
              <w:bottom w:val="single" w:color="000000" w:sz="4" w:space="0"/>
              <w:right w:val="single" w:color="000000" w:sz="4" w:space="0"/>
            </w:tcBorders>
            <w:vAlign w:val="center"/>
          </w:tcPr>
          <w:p w14:paraId="067FB8E1">
            <w:pPr>
              <w:spacing w:line="240" w:lineRule="exact"/>
              <w:rPr>
                <w:rFonts w:ascii="宋体" w:hAnsi="宋体" w:cs="宋体"/>
                <w:szCs w:val="21"/>
              </w:rPr>
            </w:pPr>
            <w:r>
              <w:rPr>
                <w:rFonts w:hint="eastAsia" w:ascii="宋体" w:hAnsi="宋体" w:cs="宋体"/>
                <w:szCs w:val="21"/>
              </w:rPr>
              <w:t>4.4 职业健康安全管理体系</w:t>
            </w:r>
          </w:p>
        </w:tc>
        <w:tc>
          <w:tcPr>
            <w:tcW w:w="741" w:type="dxa"/>
            <w:tcBorders>
              <w:top w:val="single" w:color="000000" w:sz="4" w:space="0"/>
              <w:left w:val="single" w:color="000000" w:sz="4" w:space="0"/>
              <w:bottom w:val="single" w:color="000000" w:sz="4" w:space="0"/>
              <w:right w:val="single" w:color="000000" w:sz="4" w:space="0"/>
            </w:tcBorders>
            <w:vAlign w:val="center"/>
          </w:tcPr>
          <w:p w14:paraId="17712283">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15EA418B">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4ADDD9D">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A4FDAAA">
            <w:pPr>
              <w:spacing w:line="240" w:lineRule="exact"/>
              <w:jc w:val="center"/>
              <w:rPr>
                <w:rFonts w:ascii="宋体" w:hAnsi="宋体" w:cs="宋体"/>
                <w:szCs w:val="21"/>
              </w:rPr>
            </w:pPr>
            <w:r>
              <w:rPr>
                <w:rFonts w:hint="eastAsia" w:ascii="宋体" w:hAnsi="宋体" w:cs="宋体"/>
                <w:szCs w:val="21"/>
              </w:rPr>
              <w:t>△</w:t>
            </w:r>
          </w:p>
        </w:tc>
      </w:tr>
      <w:tr w14:paraId="644DFFB3">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7AF91BB0">
            <w:pPr>
              <w:spacing w:line="240" w:lineRule="exact"/>
              <w:rPr>
                <w:rFonts w:ascii="宋体" w:hAnsi="宋体" w:cs="宋体"/>
                <w:szCs w:val="21"/>
              </w:rPr>
            </w:pPr>
            <w:r>
              <w:rPr>
                <w:rFonts w:hint="eastAsia" w:ascii="宋体" w:hAnsi="宋体" w:cs="宋体"/>
                <w:szCs w:val="21"/>
              </w:rPr>
              <w:t>5.1领导作用与承诺</w:t>
            </w:r>
          </w:p>
        </w:tc>
        <w:tc>
          <w:tcPr>
            <w:tcW w:w="2039" w:type="dxa"/>
            <w:tcBorders>
              <w:top w:val="single" w:color="auto" w:sz="4" w:space="0"/>
              <w:left w:val="single" w:color="000000" w:sz="4" w:space="0"/>
              <w:bottom w:val="single" w:color="000000" w:sz="4" w:space="0"/>
              <w:right w:val="single" w:color="auto" w:sz="4" w:space="0"/>
            </w:tcBorders>
            <w:vAlign w:val="center"/>
          </w:tcPr>
          <w:p w14:paraId="16EE3D6B">
            <w:pPr>
              <w:spacing w:line="240" w:lineRule="exact"/>
              <w:rPr>
                <w:rFonts w:ascii="宋体" w:hAnsi="宋体" w:cs="宋体"/>
                <w:szCs w:val="21"/>
              </w:rPr>
            </w:pPr>
            <w:r>
              <w:rPr>
                <w:rFonts w:hint="eastAsia" w:ascii="宋体" w:hAnsi="宋体" w:cs="宋体"/>
                <w:szCs w:val="21"/>
              </w:rPr>
              <w:t>5.1领导作用与承诺</w:t>
            </w:r>
          </w:p>
        </w:tc>
        <w:tc>
          <w:tcPr>
            <w:tcW w:w="2233" w:type="dxa"/>
            <w:tcBorders>
              <w:top w:val="single" w:color="000000" w:sz="4" w:space="0"/>
              <w:left w:val="single" w:color="auto" w:sz="4" w:space="0"/>
              <w:bottom w:val="single" w:color="000000" w:sz="4" w:space="0"/>
              <w:right w:val="single" w:color="000000" w:sz="4" w:space="0"/>
            </w:tcBorders>
            <w:vAlign w:val="center"/>
          </w:tcPr>
          <w:p w14:paraId="3D78F447">
            <w:pPr>
              <w:spacing w:line="240" w:lineRule="exact"/>
              <w:rPr>
                <w:rFonts w:ascii="宋体" w:hAnsi="宋体" w:cs="宋体"/>
                <w:szCs w:val="21"/>
              </w:rPr>
            </w:pPr>
            <w:r>
              <w:rPr>
                <w:rFonts w:hint="eastAsia" w:ascii="宋体" w:hAnsi="宋体" w:cs="宋体"/>
                <w:szCs w:val="21"/>
              </w:rPr>
              <w:t>5.1领导作用与承诺</w:t>
            </w:r>
          </w:p>
        </w:tc>
        <w:tc>
          <w:tcPr>
            <w:tcW w:w="741" w:type="dxa"/>
            <w:tcBorders>
              <w:top w:val="single" w:color="000000" w:sz="4" w:space="0"/>
              <w:left w:val="single" w:color="000000" w:sz="4" w:space="0"/>
              <w:bottom w:val="single" w:color="000000" w:sz="4" w:space="0"/>
              <w:right w:val="single" w:color="000000" w:sz="4" w:space="0"/>
            </w:tcBorders>
            <w:vAlign w:val="center"/>
          </w:tcPr>
          <w:p w14:paraId="315DED45">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1AAFB492">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44C7DAD">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8ACB34A">
            <w:pPr>
              <w:spacing w:line="240" w:lineRule="exact"/>
              <w:jc w:val="center"/>
              <w:rPr>
                <w:rFonts w:ascii="宋体" w:hAnsi="宋体" w:cs="宋体"/>
                <w:szCs w:val="21"/>
              </w:rPr>
            </w:pPr>
            <w:r>
              <w:rPr>
                <w:rFonts w:hint="eastAsia" w:ascii="宋体" w:hAnsi="宋体" w:cs="宋体"/>
                <w:szCs w:val="21"/>
              </w:rPr>
              <w:t>△</w:t>
            </w:r>
          </w:p>
        </w:tc>
      </w:tr>
      <w:tr w14:paraId="563FBA68">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65DB6A9A">
            <w:pPr>
              <w:spacing w:line="240" w:lineRule="exact"/>
              <w:rPr>
                <w:rFonts w:ascii="宋体" w:hAnsi="宋体" w:cs="宋体"/>
                <w:szCs w:val="21"/>
              </w:rPr>
            </w:pPr>
            <w:r>
              <w:rPr>
                <w:rFonts w:hint="eastAsia" w:ascii="宋体" w:hAnsi="宋体" w:cs="宋体"/>
                <w:szCs w:val="21"/>
              </w:rPr>
              <w:t>5.1.2以顾客为关注焦点</w:t>
            </w:r>
          </w:p>
        </w:tc>
        <w:tc>
          <w:tcPr>
            <w:tcW w:w="2039" w:type="dxa"/>
            <w:tcBorders>
              <w:top w:val="single" w:color="000000" w:sz="4" w:space="0"/>
              <w:left w:val="single" w:color="000000" w:sz="4" w:space="0"/>
              <w:bottom w:val="single" w:color="000000" w:sz="4" w:space="0"/>
              <w:right w:val="single" w:color="auto" w:sz="4" w:space="0"/>
            </w:tcBorders>
            <w:vAlign w:val="center"/>
          </w:tcPr>
          <w:p w14:paraId="04237717">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522DC56E">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530EB1E1">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47D9A1E2">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8BC5CEF">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42E3347">
            <w:pPr>
              <w:spacing w:line="240" w:lineRule="exact"/>
              <w:jc w:val="center"/>
              <w:rPr>
                <w:rFonts w:ascii="宋体" w:hAnsi="宋体" w:cs="宋体"/>
                <w:szCs w:val="21"/>
              </w:rPr>
            </w:pPr>
            <w:r>
              <w:rPr>
                <w:rFonts w:hint="eastAsia" w:ascii="宋体" w:hAnsi="宋体" w:cs="宋体"/>
                <w:szCs w:val="21"/>
              </w:rPr>
              <w:t>△</w:t>
            </w:r>
          </w:p>
        </w:tc>
      </w:tr>
      <w:tr w14:paraId="521C9463">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05A3F75E">
            <w:pPr>
              <w:spacing w:line="240" w:lineRule="exact"/>
              <w:rPr>
                <w:rFonts w:ascii="宋体" w:hAnsi="宋体" w:cs="宋体"/>
                <w:szCs w:val="21"/>
              </w:rPr>
            </w:pPr>
            <w:r>
              <w:rPr>
                <w:rFonts w:hint="eastAsia" w:ascii="宋体" w:hAnsi="宋体" w:cs="宋体"/>
                <w:szCs w:val="21"/>
              </w:rPr>
              <w:t>5.2质量方针</w:t>
            </w:r>
          </w:p>
        </w:tc>
        <w:tc>
          <w:tcPr>
            <w:tcW w:w="2039" w:type="dxa"/>
            <w:tcBorders>
              <w:top w:val="single" w:color="000000" w:sz="4" w:space="0"/>
              <w:left w:val="single" w:color="000000" w:sz="4" w:space="0"/>
              <w:bottom w:val="single" w:color="000000" w:sz="4" w:space="0"/>
              <w:right w:val="single" w:color="auto" w:sz="4" w:space="0"/>
            </w:tcBorders>
            <w:vAlign w:val="center"/>
          </w:tcPr>
          <w:p w14:paraId="21A4A891">
            <w:pPr>
              <w:spacing w:line="240" w:lineRule="exact"/>
              <w:rPr>
                <w:rFonts w:ascii="宋体" w:hAnsi="宋体" w:cs="宋体"/>
                <w:szCs w:val="21"/>
              </w:rPr>
            </w:pPr>
            <w:r>
              <w:rPr>
                <w:rFonts w:hint="eastAsia" w:ascii="宋体" w:hAnsi="宋体" w:cs="宋体"/>
                <w:szCs w:val="21"/>
              </w:rPr>
              <w:t>5.2环境方针</w:t>
            </w:r>
          </w:p>
        </w:tc>
        <w:tc>
          <w:tcPr>
            <w:tcW w:w="2233" w:type="dxa"/>
            <w:tcBorders>
              <w:top w:val="single" w:color="000000" w:sz="4" w:space="0"/>
              <w:left w:val="single" w:color="auto" w:sz="4" w:space="0"/>
              <w:bottom w:val="single" w:color="000000" w:sz="4" w:space="0"/>
              <w:right w:val="single" w:color="000000" w:sz="4" w:space="0"/>
            </w:tcBorders>
          </w:tcPr>
          <w:p w14:paraId="5B311888">
            <w:pPr>
              <w:rPr>
                <w:rFonts w:ascii="宋体" w:hAnsi="宋体" w:cs="宋体"/>
                <w:szCs w:val="21"/>
              </w:rPr>
            </w:pPr>
            <w:r>
              <w:rPr>
                <w:rFonts w:hint="eastAsia" w:ascii="宋体" w:hAnsi="宋体" w:cs="宋体"/>
                <w:szCs w:val="21"/>
              </w:rPr>
              <w:t>5.2 职业健康安全方针</w:t>
            </w:r>
          </w:p>
        </w:tc>
        <w:tc>
          <w:tcPr>
            <w:tcW w:w="741" w:type="dxa"/>
            <w:tcBorders>
              <w:top w:val="single" w:color="000000" w:sz="4" w:space="0"/>
              <w:left w:val="single" w:color="000000" w:sz="4" w:space="0"/>
              <w:bottom w:val="single" w:color="000000" w:sz="4" w:space="0"/>
              <w:right w:val="single" w:color="000000" w:sz="4" w:space="0"/>
            </w:tcBorders>
            <w:vAlign w:val="center"/>
          </w:tcPr>
          <w:p w14:paraId="110FE761">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5D67BA4B">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4DDF08C3">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45EBFB44">
            <w:pPr>
              <w:spacing w:line="240" w:lineRule="exact"/>
              <w:jc w:val="center"/>
              <w:rPr>
                <w:rFonts w:ascii="宋体" w:hAnsi="宋体" w:cs="宋体"/>
                <w:szCs w:val="21"/>
              </w:rPr>
            </w:pPr>
            <w:r>
              <w:rPr>
                <w:rFonts w:hint="eastAsia" w:ascii="宋体" w:hAnsi="宋体" w:cs="宋体"/>
                <w:szCs w:val="21"/>
              </w:rPr>
              <w:t>△</w:t>
            </w:r>
          </w:p>
        </w:tc>
      </w:tr>
      <w:tr w14:paraId="2E8F6989">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5FD8A133">
            <w:pPr>
              <w:spacing w:line="240" w:lineRule="exact"/>
              <w:rPr>
                <w:rFonts w:ascii="宋体" w:hAnsi="宋体" w:cs="宋体"/>
                <w:szCs w:val="21"/>
              </w:rPr>
            </w:pPr>
            <w:r>
              <w:rPr>
                <w:rFonts w:hint="eastAsia" w:ascii="宋体" w:hAnsi="宋体" w:cs="宋体"/>
                <w:szCs w:val="21"/>
              </w:rPr>
              <w:t>5.3组织的岗位、职责和权限</w:t>
            </w:r>
          </w:p>
        </w:tc>
        <w:tc>
          <w:tcPr>
            <w:tcW w:w="2039" w:type="dxa"/>
            <w:tcBorders>
              <w:top w:val="single" w:color="000000" w:sz="4" w:space="0"/>
              <w:left w:val="single" w:color="000000" w:sz="4" w:space="0"/>
              <w:bottom w:val="single" w:color="000000" w:sz="4" w:space="0"/>
              <w:right w:val="single" w:color="auto" w:sz="4" w:space="0"/>
            </w:tcBorders>
            <w:vAlign w:val="center"/>
          </w:tcPr>
          <w:p w14:paraId="6F54F569">
            <w:pPr>
              <w:spacing w:line="240" w:lineRule="exact"/>
              <w:rPr>
                <w:rFonts w:ascii="宋体" w:hAnsi="宋体" w:cs="宋体"/>
                <w:szCs w:val="21"/>
              </w:rPr>
            </w:pPr>
            <w:r>
              <w:rPr>
                <w:rFonts w:hint="eastAsia" w:ascii="宋体" w:hAnsi="宋体" w:cs="宋体"/>
                <w:szCs w:val="21"/>
              </w:rPr>
              <w:t>5.3组织的岗位、职责和权限</w:t>
            </w:r>
          </w:p>
        </w:tc>
        <w:tc>
          <w:tcPr>
            <w:tcW w:w="2233" w:type="dxa"/>
            <w:tcBorders>
              <w:top w:val="single" w:color="000000" w:sz="4" w:space="0"/>
              <w:left w:val="single" w:color="auto" w:sz="4" w:space="0"/>
              <w:bottom w:val="single" w:color="000000" w:sz="4" w:space="0"/>
              <w:right w:val="single" w:color="000000" w:sz="4" w:space="0"/>
            </w:tcBorders>
          </w:tcPr>
          <w:p w14:paraId="374B6834">
            <w:pPr>
              <w:rPr>
                <w:rFonts w:ascii="宋体" w:hAnsi="宋体" w:cs="宋体"/>
                <w:szCs w:val="21"/>
              </w:rPr>
            </w:pPr>
            <w:r>
              <w:rPr>
                <w:rFonts w:hint="eastAsia" w:ascii="宋体" w:hAnsi="宋体" w:cs="宋体"/>
                <w:szCs w:val="21"/>
              </w:rPr>
              <w:t>5.3 组织的角色、职责和权限</w:t>
            </w:r>
          </w:p>
        </w:tc>
        <w:tc>
          <w:tcPr>
            <w:tcW w:w="741" w:type="dxa"/>
            <w:tcBorders>
              <w:top w:val="single" w:color="000000" w:sz="4" w:space="0"/>
              <w:left w:val="single" w:color="000000" w:sz="4" w:space="0"/>
              <w:bottom w:val="single" w:color="000000" w:sz="4" w:space="0"/>
              <w:right w:val="single" w:color="000000" w:sz="4" w:space="0"/>
            </w:tcBorders>
            <w:vAlign w:val="center"/>
          </w:tcPr>
          <w:p w14:paraId="39C795E8">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3953CA7E">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DB885D2">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307D824">
            <w:pPr>
              <w:spacing w:line="240" w:lineRule="exact"/>
              <w:jc w:val="center"/>
              <w:rPr>
                <w:rFonts w:ascii="宋体" w:hAnsi="宋体" w:cs="宋体"/>
                <w:szCs w:val="21"/>
              </w:rPr>
            </w:pPr>
            <w:r>
              <w:rPr>
                <w:rFonts w:hint="eastAsia" w:ascii="宋体" w:hAnsi="宋体" w:cs="宋体"/>
                <w:szCs w:val="21"/>
              </w:rPr>
              <w:t>★</w:t>
            </w:r>
          </w:p>
        </w:tc>
      </w:tr>
      <w:tr w14:paraId="7EEB85F5">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52F53B38">
            <w:pPr>
              <w:spacing w:line="240" w:lineRule="exact"/>
              <w:rPr>
                <w:rFonts w:ascii="宋体" w:hAnsi="宋体" w:cs="宋体"/>
                <w:szCs w:val="21"/>
              </w:rPr>
            </w:pPr>
          </w:p>
        </w:tc>
        <w:tc>
          <w:tcPr>
            <w:tcW w:w="2039" w:type="dxa"/>
            <w:tcBorders>
              <w:top w:val="single" w:color="000000" w:sz="4" w:space="0"/>
              <w:left w:val="single" w:color="000000" w:sz="4" w:space="0"/>
              <w:bottom w:val="single" w:color="000000" w:sz="4" w:space="0"/>
              <w:right w:val="single" w:color="auto" w:sz="4" w:space="0"/>
            </w:tcBorders>
            <w:vAlign w:val="center"/>
          </w:tcPr>
          <w:p w14:paraId="694CEC65">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tcPr>
          <w:p w14:paraId="0FD9893F">
            <w:pPr>
              <w:rPr>
                <w:rFonts w:ascii="宋体" w:hAnsi="宋体" w:cs="宋体"/>
                <w:szCs w:val="21"/>
              </w:rPr>
            </w:pPr>
            <w:r>
              <w:rPr>
                <w:rFonts w:hint="eastAsia" w:ascii="宋体" w:hAnsi="宋体" w:cs="宋体"/>
                <w:szCs w:val="21"/>
              </w:rPr>
              <w:t>5.4 工作人员的协商和参与</w:t>
            </w:r>
          </w:p>
        </w:tc>
        <w:tc>
          <w:tcPr>
            <w:tcW w:w="741" w:type="dxa"/>
            <w:tcBorders>
              <w:top w:val="single" w:color="000000" w:sz="4" w:space="0"/>
              <w:left w:val="single" w:color="000000" w:sz="4" w:space="0"/>
              <w:bottom w:val="single" w:color="000000" w:sz="4" w:space="0"/>
              <w:right w:val="single" w:color="000000" w:sz="4" w:space="0"/>
            </w:tcBorders>
            <w:vAlign w:val="center"/>
          </w:tcPr>
          <w:p w14:paraId="0E692DCA">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269C176C">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B468900">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0ED4B319">
            <w:pPr>
              <w:spacing w:line="240" w:lineRule="exact"/>
              <w:jc w:val="center"/>
              <w:rPr>
                <w:rFonts w:ascii="宋体" w:hAnsi="宋体" w:cs="宋体"/>
                <w:szCs w:val="21"/>
              </w:rPr>
            </w:pPr>
            <w:r>
              <w:rPr>
                <w:rFonts w:hint="eastAsia" w:ascii="宋体" w:hAnsi="宋体" w:cs="宋体"/>
                <w:szCs w:val="21"/>
              </w:rPr>
              <w:t>△</w:t>
            </w:r>
          </w:p>
        </w:tc>
      </w:tr>
      <w:tr w14:paraId="54260ADB">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3CCBB30E">
            <w:pPr>
              <w:spacing w:line="240" w:lineRule="exact"/>
              <w:rPr>
                <w:rFonts w:ascii="宋体" w:hAnsi="宋体" w:cs="宋体"/>
                <w:szCs w:val="21"/>
              </w:rPr>
            </w:pPr>
            <w:r>
              <w:rPr>
                <w:rFonts w:hint="eastAsia" w:ascii="宋体" w:hAnsi="宋体" w:cs="宋体"/>
                <w:szCs w:val="21"/>
              </w:rPr>
              <w:t>6.1应对风险和机遇的措施</w:t>
            </w:r>
          </w:p>
        </w:tc>
        <w:tc>
          <w:tcPr>
            <w:tcW w:w="2039" w:type="dxa"/>
            <w:tcBorders>
              <w:top w:val="single" w:color="000000" w:sz="4" w:space="0"/>
              <w:left w:val="single" w:color="000000" w:sz="4" w:space="0"/>
              <w:bottom w:val="single" w:color="000000" w:sz="4" w:space="0"/>
              <w:right w:val="single" w:color="auto" w:sz="4" w:space="0"/>
            </w:tcBorders>
            <w:vAlign w:val="center"/>
          </w:tcPr>
          <w:p w14:paraId="319818E9">
            <w:pPr>
              <w:spacing w:line="240" w:lineRule="exact"/>
              <w:rPr>
                <w:rFonts w:ascii="宋体" w:hAnsi="宋体" w:cs="宋体"/>
                <w:szCs w:val="21"/>
              </w:rPr>
            </w:pPr>
            <w:r>
              <w:rPr>
                <w:rFonts w:hint="eastAsia" w:ascii="宋体" w:hAnsi="宋体" w:cs="宋体"/>
                <w:szCs w:val="21"/>
              </w:rPr>
              <w:t>6.1总则</w:t>
            </w:r>
          </w:p>
        </w:tc>
        <w:tc>
          <w:tcPr>
            <w:tcW w:w="2233" w:type="dxa"/>
            <w:tcBorders>
              <w:top w:val="single" w:color="000000" w:sz="4" w:space="0"/>
              <w:left w:val="single" w:color="auto" w:sz="4" w:space="0"/>
              <w:bottom w:val="single" w:color="000000" w:sz="4" w:space="0"/>
              <w:right w:val="single" w:color="000000" w:sz="4" w:space="0"/>
            </w:tcBorders>
          </w:tcPr>
          <w:p w14:paraId="0A206519">
            <w:pPr>
              <w:rPr>
                <w:rFonts w:ascii="宋体" w:hAnsi="宋体" w:cs="宋体"/>
                <w:szCs w:val="21"/>
              </w:rPr>
            </w:pPr>
            <w:r>
              <w:rPr>
                <w:rFonts w:hint="eastAsia" w:ascii="宋体" w:hAnsi="宋体" w:cs="宋体"/>
                <w:szCs w:val="21"/>
              </w:rPr>
              <w:t>6.1.1 总则</w:t>
            </w:r>
          </w:p>
        </w:tc>
        <w:tc>
          <w:tcPr>
            <w:tcW w:w="741" w:type="dxa"/>
            <w:tcBorders>
              <w:top w:val="single" w:color="000000" w:sz="4" w:space="0"/>
              <w:left w:val="single" w:color="000000" w:sz="4" w:space="0"/>
              <w:bottom w:val="single" w:color="000000" w:sz="4" w:space="0"/>
              <w:right w:val="single" w:color="000000" w:sz="4" w:space="0"/>
            </w:tcBorders>
            <w:vAlign w:val="center"/>
          </w:tcPr>
          <w:p w14:paraId="79A8FBBE">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2892A3D3">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2CC51B01">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13A07F5">
            <w:pPr>
              <w:spacing w:line="240" w:lineRule="exact"/>
              <w:jc w:val="center"/>
              <w:rPr>
                <w:rFonts w:ascii="宋体" w:hAnsi="宋体" w:cs="宋体"/>
                <w:szCs w:val="21"/>
              </w:rPr>
            </w:pPr>
            <w:r>
              <w:rPr>
                <w:rFonts w:hint="eastAsia" w:ascii="宋体" w:hAnsi="宋体" w:cs="宋体"/>
                <w:szCs w:val="21"/>
              </w:rPr>
              <w:t>△</w:t>
            </w:r>
          </w:p>
        </w:tc>
      </w:tr>
      <w:tr w14:paraId="0812AE7E">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2B75B65E">
            <w:pPr>
              <w:spacing w:line="240" w:lineRule="exact"/>
              <w:rPr>
                <w:rFonts w:ascii="宋体" w:hAnsi="宋体" w:cs="宋体"/>
                <w:szCs w:val="21"/>
              </w:rPr>
            </w:pPr>
          </w:p>
        </w:tc>
        <w:tc>
          <w:tcPr>
            <w:tcW w:w="2039" w:type="dxa"/>
            <w:tcBorders>
              <w:top w:val="single" w:color="000000" w:sz="4" w:space="0"/>
              <w:left w:val="single" w:color="000000" w:sz="4" w:space="0"/>
              <w:bottom w:val="single" w:color="000000" w:sz="4" w:space="0"/>
              <w:right w:val="single" w:color="auto" w:sz="4" w:space="0"/>
            </w:tcBorders>
            <w:vAlign w:val="center"/>
          </w:tcPr>
          <w:p w14:paraId="439D7AC8">
            <w:pPr>
              <w:spacing w:line="240" w:lineRule="exact"/>
              <w:rPr>
                <w:rFonts w:ascii="宋体" w:hAnsi="宋体" w:cs="宋体"/>
                <w:szCs w:val="21"/>
              </w:rPr>
            </w:pPr>
            <w:r>
              <w:rPr>
                <w:rFonts w:hint="eastAsia" w:ascii="宋体" w:hAnsi="宋体" w:cs="宋体"/>
                <w:szCs w:val="21"/>
              </w:rPr>
              <w:t>6.1.2环境因素</w:t>
            </w:r>
          </w:p>
        </w:tc>
        <w:tc>
          <w:tcPr>
            <w:tcW w:w="2233" w:type="dxa"/>
            <w:tcBorders>
              <w:top w:val="single" w:color="000000" w:sz="4" w:space="0"/>
              <w:left w:val="single" w:color="auto" w:sz="4" w:space="0"/>
              <w:bottom w:val="single" w:color="000000" w:sz="4" w:space="0"/>
              <w:right w:val="single" w:color="000000" w:sz="4" w:space="0"/>
            </w:tcBorders>
          </w:tcPr>
          <w:p w14:paraId="7D362E0B">
            <w:pPr>
              <w:rPr>
                <w:rFonts w:ascii="宋体" w:hAnsi="宋体" w:cs="宋体"/>
                <w:szCs w:val="21"/>
              </w:rPr>
            </w:pPr>
            <w:r>
              <w:rPr>
                <w:rFonts w:hint="eastAsia" w:ascii="宋体" w:hAnsi="宋体" w:cs="宋体"/>
                <w:szCs w:val="21"/>
              </w:rPr>
              <w:t>6.1.2 危险源辨识及风险和机遇的评价</w:t>
            </w:r>
          </w:p>
        </w:tc>
        <w:tc>
          <w:tcPr>
            <w:tcW w:w="741" w:type="dxa"/>
            <w:tcBorders>
              <w:top w:val="single" w:color="000000" w:sz="4" w:space="0"/>
              <w:left w:val="single" w:color="000000" w:sz="4" w:space="0"/>
              <w:bottom w:val="single" w:color="000000" w:sz="4" w:space="0"/>
              <w:right w:val="single" w:color="000000" w:sz="4" w:space="0"/>
            </w:tcBorders>
            <w:vAlign w:val="center"/>
          </w:tcPr>
          <w:p w14:paraId="5B15658C">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370B338E">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63A6264">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13F8A60">
            <w:pPr>
              <w:spacing w:line="240" w:lineRule="exact"/>
              <w:jc w:val="center"/>
              <w:rPr>
                <w:rFonts w:ascii="宋体" w:hAnsi="宋体" w:cs="宋体"/>
                <w:szCs w:val="21"/>
              </w:rPr>
            </w:pPr>
            <w:r>
              <w:rPr>
                <w:rFonts w:hint="eastAsia" w:ascii="宋体" w:hAnsi="宋体" w:cs="宋体"/>
                <w:szCs w:val="21"/>
              </w:rPr>
              <w:t>★</w:t>
            </w:r>
          </w:p>
        </w:tc>
      </w:tr>
      <w:tr w14:paraId="5D006B61">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35E9584C">
            <w:pPr>
              <w:spacing w:line="240" w:lineRule="exact"/>
              <w:rPr>
                <w:rFonts w:ascii="宋体" w:hAnsi="宋体" w:cs="宋体"/>
                <w:szCs w:val="21"/>
              </w:rPr>
            </w:pPr>
          </w:p>
        </w:tc>
        <w:tc>
          <w:tcPr>
            <w:tcW w:w="2039" w:type="dxa"/>
            <w:tcBorders>
              <w:top w:val="single" w:color="000000" w:sz="4" w:space="0"/>
              <w:left w:val="single" w:color="000000" w:sz="4" w:space="0"/>
              <w:bottom w:val="single" w:color="000000" w:sz="4" w:space="0"/>
              <w:right w:val="single" w:color="auto" w:sz="4" w:space="0"/>
            </w:tcBorders>
            <w:vAlign w:val="center"/>
          </w:tcPr>
          <w:p w14:paraId="363783F2">
            <w:pPr>
              <w:spacing w:line="240" w:lineRule="exact"/>
              <w:rPr>
                <w:rFonts w:ascii="宋体" w:hAnsi="宋体" w:cs="宋体"/>
                <w:szCs w:val="21"/>
              </w:rPr>
            </w:pPr>
            <w:r>
              <w:rPr>
                <w:rFonts w:hint="eastAsia" w:ascii="宋体" w:hAnsi="宋体" w:cs="宋体"/>
                <w:szCs w:val="21"/>
              </w:rPr>
              <w:t>6.1.3合规义务</w:t>
            </w:r>
          </w:p>
        </w:tc>
        <w:tc>
          <w:tcPr>
            <w:tcW w:w="2233" w:type="dxa"/>
            <w:tcBorders>
              <w:top w:val="single" w:color="000000" w:sz="4" w:space="0"/>
              <w:left w:val="single" w:color="auto" w:sz="4" w:space="0"/>
              <w:bottom w:val="single" w:color="000000" w:sz="4" w:space="0"/>
              <w:right w:val="single" w:color="000000" w:sz="4" w:space="0"/>
            </w:tcBorders>
          </w:tcPr>
          <w:p w14:paraId="0A51CF96">
            <w:pPr>
              <w:rPr>
                <w:rFonts w:ascii="宋体" w:hAnsi="宋体" w:cs="宋体"/>
                <w:szCs w:val="21"/>
              </w:rPr>
            </w:pPr>
            <w:r>
              <w:rPr>
                <w:rFonts w:hint="eastAsia" w:ascii="宋体" w:hAnsi="宋体" w:cs="宋体"/>
                <w:szCs w:val="21"/>
              </w:rPr>
              <w:t>6.1.3 法律法规要求和其他要求的确定</w:t>
            </w:r>
          </w:p>
        </w:tc>
        <w:tc>
          <w:tcPr>
            <w:tcW w:w="741" w:type="dxa"/>
            <w:tcBorders>
              <w:top w:val="single" w:color="000000" w:sz="4" w:space="0"/>
              <w:left w:val="single" w:color="000000" w:sz="4" w:space="0"/>
              <w:bottom w:val="single" w:color="000000" w:sz="4" w:space="0"/>
              <w:right w:val="single" w:color="000000" w:sz="4" w:space="0"/>
            </w:tcBorders>
            <w:vAlign w:val="center"/>
          </w:tcPr>
          <w:p w14:paraId="2117EA52">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34442C28">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1217FC9">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E38D020">
            <w:pPr>
              <w:spacing w:line="240" w:lineRule="exact"/>
              <w:jc w:val="center"/>
              <w:rPr>
                <w:rFonts w:ascii="宋体" w:hAnsi="宋体" w:cs="宋体"/>
                <w:szCs w:val="21"/>
              </w:rPr>
            </w:pPr>
            <w:r>
              <w:rPr>
                <w:rFonts w:hint="eastAsia" w:ascii="宋体" w:hAnsi="宋体" w:cs="宋体"/>
                <w:szCs w:val="21"/>
              </w:rPr>
              <w:t>△</w:t>
            </w:r>
          </w:p>
        </w:tc>
      </w:tr>
      <w:tr w14:paraId="4EF909C3">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4FD51EE3">
            <w:pPr>
              <w:spacing w:line="240" w:lineRule="exact"/>
              <w:rPr>
                <w:rFonts w:ascii="宋体" w:hAnsi="宋体" w:cs="宋体"/>
                <w:szCs w:val="21"/>
              </w:rPr>
            </w:pPr>
          </w:p>
        </w:tc>
        <w:tc>
          <w:tcPr>
            <w:tcW w:w="2039" w:type="dxa"/>
            <w:tcBorders>
              <w:top w:val="single" w:color="000000" w:sz="4" w:space="0"/>
              <w:left w:val="single" w:color="000000" w:sz="4" w:space="0"/>
              <w:bottom w:val="single" w:color="000000" w:sz="4" w:space="0"/>
              <w:right w:val="single" w:color="auto" w:sz="4" w:space="0"/>
            </w:tcBorders>
            <w:vAlign w:val="center"/>
          </w:tcPr>
          <w:p w14:paraId="1A1A70CC">
            <w:pPr>
              <w:spacing w:line="240" w:lineRule="exact"/>
              <w:rPr>
                <w:rFonts w:ascii="宋体" w:hAnsi="宋体" w:cs="宋体"/>
                <w:szCs w:val="21"/>
              </w:rPr>
            </w:pPr>
            <w:r>
              <w:rPr>
                <w:rFonts w:hint="eastAsia" w:ascii="宋体" w:hAnsi="宋体" w:cs="宋体"/>
                <w:szCs w:val="21"/>
              </w:rPr>
              <w:t>6.1.4措施的策划</w:t>
            </w:r>
          </w:p>
        </w:tc>
        <w:tc>
          <w:tcPr>
            <w:tcW w:w="2233" w:type="dxa"/>
            <w:tcBorders>
              <w:top w:val="single" w:color="000000" w:sz="4" w:space="0"/>
              <w:left w:val="single" w:color="auto" w:sz="4" w:space="0"/>
              <w:bottom w:val="single" w:color="000000" w:sz="4" w:space="0"/>
              <w:right w:val="single" w:color="000000" w:sz="4" w:space="0"/>
            </w:tcBorders>
          </w:tcPr>
          <w:p w14:paraId="6A5079D8">
            <w:pPr>
              <w:ind w:left="416" w:hanging="416"/>
              <w:rPr>
                <w:rFonts w:ascii="宋体" w:hAnsi="宋体" w:cs="宋体"/>
                <w:szCs w:val="21"/>
              </w:rPr>
            </w:pPr>
            <w:r>
              <w:rPr>
                <w:rFonts w:hint="eastAsia" w:ascii="宋体" w:hAnsi="宋体" w:cs="宋体"/>
                <w:szCs w:val="21"/>
              </w:rPr>
              <w:t>6.1.4　措施的策划</w:t>
            </w:r>
          </w:p>
        </w:tc>
        <w:tc>
          <w:tcPr>
            <w:tcW w:w="741" w:type="dxa"/>
            <w:tcBorders>
              <w:top w:val="single" w:color="000000" w:sz="4" w:space="0"/>
              <w:left w:val="single" w:color="000000" w:sz="4" w:space="0"/>
              <w:bottom w:val="single" w:color="000000" w:sz="4" w:space="0"/>
              <w:right w:val="single" w:color="000000" w:sz="4" w:space="0"/>
            </w:tcBorders>
            <w:vAlign w:val="center"/>
          </w:tcPr>
          <w:p w14:paraId="3F1356C1">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7E58DEAF">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930AD33">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E63B6FD">
            <w:pPr>
              <w:spacing w:line="240" w:lineRule="exact"/>
              <w:jc w:val="center"/>
              <w:rPr>
                <w:rFonts w:ascii="宋体" w:hAnsi="宋体" w:cs="宋体"/>
                <w:szCs w:val="21"/>
              </w:rPr>
            </w:pPr>
            <w:r>
              <w:rPr>
                <w:rFonts w:hint="eastAsia" w:ascii="宋体" w:hAnsi="宋体" w:cs="宋体"/>
                <w:szCs w:val="21"/>
              </w:rPr>
              <w:t>△</w:t>
            </w:r>
          </w:p>
        </w:tc>
      </w:tr>
      <w:tr w14:paraId="35ED8256">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24D7B0BA">
            <w:pPr>
              <w:spacing w:line="240" w:lineRule="exact"/>
              <w:rPr>
                <w:rFonts w:ascii="宋体" w:hAnsi="宋体" w:cs="宋体"/>
                <w:szCs w:val="21"/>
              </w:rPr>
            </w:pPr>
            <w:r>
              <w:rPr>
                <w:rFonts w:hint="eastAsia" w:ascii="宋体" w:hAnsi="宋体" w:cs="宋体"/>
                <w:szCs w:val="21"/>
              </w:rPr>
              <w:t>6.2质量目标及其实施的策划</w:t>
            </w:r>
          </w:p>
        </w:tc>
        <w:tc>
          <w:tcPr>
            <w:tcW w:w="2039" w:type="dxa"/>
            <w:tcBorders>
              <w:top w:val="single" w:color="000000" w:sz="4" w:space="0"/>
              <w:left w:val="single" w:color="000000" w:sz="4" w:space="0"/>
              <w:bottom w:val="single" w:color="000000" w:sz="4" w:space="0"/>
              <w:right w:val="single" w:color="auto" w:sz="4" w:space="0"/>
            </w:tcBorders>
            <w:vAlign w:val="center"/>
          </w:tcPr>
          <w:p w14:paraId="4804BAAA">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tcPr>
          <w:p w14:paraId="04B8F494">
            <w:pPr>
              <w:spacing w:line="320" w:lineRule="exact"/>
              <w:ind w:left="416" w:hanging="416"/>
              <w:rPr>
                <w:rFonts w:asciiTheme="minorEastAsia" w:hAnsiTheme="minorEastAsia"/>
                <w:sz w:val="18"/>
                <w:szCs w:val="18"/>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05EF8007">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670D27D1">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340CAF7">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50CE2F4">
            <w:pPr>
              <w:spacing w:line="240" w:lineRule="exact"/>
              <w:jc w:val="center"/>
              <w:rPr>
                <w:rFonts w:ascii="宋体" w:hAnsi="宋体" w:cs="宋体"/>
                <w:szCs w:val="21"/>
              </w:rPr>
            </w:pPr>
            <w:r>
              <w:rPr>
                <w:rFonts w:hint="eastAsia" w:ascii="宋体" w:hAnsi="宋体" w:cs="宋体"/>
                <w:szCs w:val="21"/>
              </w:rPr>
              <w:t>★</w:t>
            </w:r>
          </w:p>
        </w:tc>
      </w:tr>
      <w:tr w14:paraId="24D6720A">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1688AA2C">
            <w:pPr>
              <w:spacing w:line="240" w:lineRule="exact"/>
              <w:rPr>
                <w:rFonts w:ascii="宋体" w:hAnsi="宋体" w:cs="宋体"/>
                <w:szCs w:val="21"/>
              </w:rPr>
            </w:pPr>
          </w:p>
        </w:tc>
        <w:tc>
          <w:tcPr>
            <w:tcW w:w="2039" w:type="dxa"/>
            <w:tcBorders>
              <w:top w:val="single" w:color="000000" w:sz="4" w:space="0"/>
              <w:left w:val="single" w:color="000000" w:sz="4" w:space="0"/>
              <w:bottom w:val="single" w:color="000000" w:sz="4" w:space="0"/>
              <w:right w:val="single" w:color="auto" w:sz="4" w:space="0"/>
            </w:tcBorders>
            <w:vAlign w:val="center"/>
          </w:tcPr>
          <w:p w14:paraId="4EC61D9A">
            <w:pPr>
              <w:spacing w:line="240" w:lineRule="exact"/>
              <w:rPr>
                <w:rFonts w:ascii="宋体" w:hAnsi="宋体" w:cs="宋体"/>
                <w:szCs w:val="21"/>
              </w:rPr>
            </w:pPr>
            <w:r>
              <w:rPr>
                <w:rFonts w:hint="eastAsia" w:ascii="宋体" w:hAnsi="宋体" w:cs="宋体"/>
                <w:szCs w:val="21"/>
              </w:rPr>
              <w:t>6.2环境目标及其实施的策划</w:t>
            </w:r>
          </w:p>
        </w:tc>
        <w:tc>
          <w:tcPr>
            <w:tcW w:w="2233" w:type="dxa"/>
            <w:tcBorders>
              <w:top w:val="single" w:color="000000" w:sz="4" w:space="0"/>
              <w:left w:val="single" w:color="auto" w:sz="4" w:space="0"/>
              <w:bottom w:val="single" w:color="000000" w:sz="4" w:space="0"/>
              <w:right w:val="single" w:color="000000" w:sz="4" w:space="0"/>
            </w:tcBorders>
            <w:vAlign w:val="center"/>
          </w:tcPr>
          <w:p w14:paraId="3A865B7E">
            <w:pPr>
              <w:spacing w:line="240" w:lineRule="exact"/>
              <w:rPr>
                <w:rFonts w:ascii="宋体" w:hAnsi="宋体" w:cs="宋体"/>
                <w:szCs w:val="21"/>
              </w:rPr>
            </w:pPr>
            <w:r>
              <w:rPr>
                <w:rFonts w:hint="eastAsia" w:ascii="宋体" w:hAnsi="宋体" w:cs="宋体"/>
                <w:szCs w:val="21"/>
              </w:rPr>
              <w:t>6.2 职业健康安全目标及其实现的策划</w:t>
            </w:r>
          </w:p>
        </w:tc>
        <w:tc>
          <w:tcPr>
            <w:tcW w:w="741" w:type="dxa"/>
            <w:tcBorders>
              <w:top w:val="single" w:color="000000" w:sz="4" w:space="0"/>
              <w:left w:val="single" w:color="000000" w:sz="4" w:space="0"/>
              <w:bottom w:val="single" w:color="000000" w:sz="4" w:space="0"/>
              <w:right w:val="single" w:color="000000" w:sz="4" w:space="0"/>
            </w:tcBorders>
            <w:vAlign w:val="center"/>
          </w:tcPr>
          <w:p w14:paraId="45350B39">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513A9E0A">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A3CE343">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07E305B6">
            <w:pPr>
              <w:spacing w:line="240" w:lineRule="exact"/>
              <w:jc w:val="center"/>
              <w:rPr>
                <w:rFonts w:ascii="宋体" w:hAnsi="宋体" w:cs="宋体"/>
                <w:szCs w:val="21"/>
              </w:rPr>
            </w:pPr>
            <w:r>
              <w:rPr>
                <w:rFonts w:hint="eastAsia" w:ascii="宋体" w:hAnsi="宋体" w:cs="宋体"/>
                <w:szCs w:val="21"/>
              </w:rPr>
              <w:t>△</w:t>
            </w:r>
          </w:p>
        </w:tc>
      </w:tr>
      <w:tr w14:paraId="19FC3B7F">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auto" w:sz="4" w:space="0"/>
              <w:right w:val="single" w:color="000000" w:sz="4" w:space="0"/>
            </w:tcBorders>
            <w:vAlign w:val="center"/>
          </w:tcPr>
          <w:p w14:paraId="378A6AF5">
            <w:pPr>
              <w:spacing w:line="240" w:lineRule="exact"/>
              <w:rPr>
                <w:rFonts w:ascii="宋体" w:hAnsi="宋体" w:cs="宋体"/>
                <w:szCs w:val="21"/>
              </w:rPr>
            </w:pPr>
            <w:r>
              <w:rPr>
                <w:rFonts w:hint="eastAsia" w:ascii="宋体" w:hAnsi="宋体" w:cs="宋体"/>
                <w:szCs w:val="21"/>
              </w:rPr>
              <w:t>6.3变更的策划</w:t>
            </w:r>
          </w:p>
        </w:tc>
        <w:tc>
          <w:tcPr>
            <w:tcW w:w="2039" w:type="dxa"/>
            <w:tcBorders>
              <w:top w:val="single" w:color="000000" w:sz="4" w:space="0"/>
              <w:left w:val="single" w:color="000000" w:sz="4" w:space="0"/>
              <w:bottom w:val="single" w:color="auto" w:sz="4" w:space="0"/>
              <w:right w:val="single" w:color="auto" w:sz="4" w:space="0"/>
            </w:tcBorders>
            <w:vAlign w:val="center"/>
          </w:tcPr>
          <w:p w14:paraId="2272BA5D">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0A3BA923">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53516F08">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351E2674">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29F27059">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0B7C6E01">
            <w:pPr>
              <w:spacing w:line="240" w:lineRule="exact"/>
              <w:jc w:val="center"/>
              <w:rPr>
                <w:rFonts w:ascii="宋体" w:hAnsi="宋体" w:cs="宋体"/>
                <w:szCs w:val="21"/>
              </w:rPr>
            </w:pPr>
            <w:r>
              <w:rPr>
                <w:rFonts w:hint="eastAsia" w:ascii="宋体" w:hAnsi="宋体" w:cs="宋体"/>
                <w:szCs w:val="21"/>
              </w:rPr>
              <w:t>△</w:t>
            </w:r>
          </w:p>
        </w:tc>
      </w:tr>
      <w:tr w14:paraId="6CA917DE">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66D91B87">
            <w:pPr>
              <w:spacing w:line="240" w:lineRule="exact"/>
              <w:rPr>
                <w:rFonts w:ascii="宋体" w:hAnsi="宋体" w:cs="宋体"/>
                <w:szCs w:val="21"/>
              </w:rPr>
            </w:pPr>
            <w:r>
              <w:rPr>
                <w:rFonts w:hint="eastAsia" w:ascii="宋体" w:hAnsi="宋体" w:cs="宋体"/>
                <w:szCs w:val="21"/>
              </w:rPr>
              <w:t>7.1.1总则</w:t>
            </w:r>
          </w:p>
        </w:tc>
        <w:tc>
          <w:tcPr>
            <w:tcW w:w="2039" w:type="dxa"/>
            <w:tcBorders>
              <w:top w:val="single" w:color="000000" w:sz="4" w:space="0"/>
              <w:left w:val="single" w:color="000000" w:sz="4" w:space="0"/>
              <w:bottom w:val="single" w:color="auto" w:sz="4" w:space="0"/>
              <w:right w:val="single" w:color="auto" w:sz="4" w:space="0"/>
            </w:tcBorders>
            <w:vAlign w:val="center"/>
          </w:tcPr>
          <w:p w14:paraId="4D194925">
            <w:pPr>
              <w:spacing w:line="240" w:lineRule="exact"/>
              <w:rPr>
                <w:rFonts w:ascii="宋体" w:hAnsi="宋体" w:cs="宋体"/>
                <w:szCs w:val="21"/>
              </w:rPr>
            </w:pPr>
            <w:r>
              <w:rPr>
                <w:rFonts w:hint="eastAsia" w:ascii="宋体" w:hAnsi="宋体" w:cs="宋体"/>
                <w:szCs w:val="21"/>
              </w:rPr>
              <w:t>7.1资源</w:t>
            </w:r>
          </w:p>
        </w:tc>
        <w:tc>
          <w:tcPr>
            <w:tcW w:w="2233" w:type="dxa"/>
            <w:tcBorders>
              <w:top w:val="single" w:color="000000" w:sz="4" w:space="0"/>
              <w:left w:val="single" w:color="auto" w:sz="4" w:space="0"/>
              <w:bottom w:val="single" w:color="000000" w:sz="4" w:space="0"/>
              <w:right w:val="single" w:color="000000" w:sz="4" w:space="0"/>
            </w:tcBorders>
            <w:vAlign w:val="center"/>
          </w:tcPr>
          <w:p w14:paraId="198A8FE3">
            <w:pPr>
              <w:spacing w:line="240" w:lineRule="exact"/>
              <w:rPr>
                <w:rFonts w:ascii="宋体" w:hAnsi="宋体" w:cs="宋体"/>
                <w:szCs w:val="21"/>
              </w:rPr>
            </w:pPr>
            <w:r>
              <w:rPr>
                <w:rFonts w:hint="eastAsia" w:ascii="宋体" w:hAnsi="宋体" w:cs="宋体"/>
                <w:szCs w:val="21"/>
              </w:rPr>
              <w:t>7.1 资源</w:t>
            </w:r>
          </w:p>
        </w:tc>
        <w:tc>
          <w:tcPr>
            <w:tcW w:w="741" w:type="dxa"/>
            <w:tcBorders>
              <w:top w:val="single" w:color="000000" w:sz="4" w:space="0"/>
              <w:left w:val="single" w:color="000000" w:sz="4" w:space="0"/>
              <w:bottom w:val="single" w:color="000000" w:sz="4" w:space="0"/>
              <w:right w:val="single" w:color="000000" w:sz="4" w:space="0"/>
            </w:tcBorders>
            <w:vAlign w:val="center"/>
          </w:tcPr>
          <w:p w14:paraId="669D6689">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466FE034">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C46DB64">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C4D4BE4">
            <w:pPr>
              <w:spacing w:line="240" w:lineRule="exact"/>
              <w:jc w:val="center"/>
              <w:rPr>
                <w:rFonts w:ascii="宋体" w:hAnsi="宋体" w:cs="宋体"/>
                <w:szCs w:val="21"/>
              </w:rPr>
            </w:pPr>
            <w:r>
              <w:rPr>
                <w:rFonts w:hint="eastAsia" w:ascii="宋体" w:hAnsi="宋体" w:cs="宋体"/>
                <w:szCs w:val="21"/>
              </w:rPr>
              <w:t>△</w:t>
            </w:r>
          </w:p>
        </w:tc>
      </w:tr>
      <w:tr w14:paraId="315372A9">
        <w:tblPrEx>
          <w:tblCellMar>
            <w:top w:w="0" w:type="dxa"/>
            <w:left w:w="0" w:type="dxa"/>
            <w:bottom w:w="0" w:type="dxa"/>
            <w:right w:w="0" w:type="dxa"/>
          </w:tblCellMar>
        </w:tblPrEx>
        <w:trPr>
          <w:trHeight w:val="302"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0D39495D">
            <w:pPr>
              <w:spacing w:line="240" w:lineRule="exact"/>
              <w:rPr>
                <w:rFonts w:ascii="宋体" w:hAnsi="宋体" w:cs="宋体"/>
                <w:szCs w:val="21"/>
              </w:rPr>
            </w:pPr>
            <w:r>
              <w:rPr>
                <w:rFonts w:hint="eastAsia" w:ascii="宋体" w:hAnsi="宋体" w:cs="宋体"/>
                <w:szCs w:val="21"/>
              </w:rPr>
              <w:t>7.1.2人员</w:t>
            </w:r>
          </w:p>
        </w:tc>
        <w:tc>
          <w:tcPr>
            <w:tcW w:w="2039" w:type="dxa"/>
            <w:tcBorders>
              <w:top w:val="single" w:color="auto" w:sz="4" w:space="0"/>
              <w:left w:val="single" w:color="000000" w:sz="4" w:space="0"/>
              <w:bottom w:val="single" w:color="000000" w:sz="4" w:space="0"/>
              <w:right w:val="single" w:color="auto" w:sz="4" w:space="0"/>
            </w:tcBorders>
            <w:vAlign w:val="center"/>
          </w:tcPr>
          <w:p w14:paraId="55D9977F">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7ACFCE25">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68904CBE">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1169D9AB">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2A23D6EE">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22C87F4E">
            <w:pPr>
              <w:spacing w:line="240" w:lineRule="exact"/>
              <w:jc w:val="center"/>
              <w:rPr>
                <w:rFonts w:ascii="宋体" w:hAnsi="宋体" w:cs="宋体"/>
                <w:szCs w:val="21"/>
              </w:rPr>
            </w:pPr>
            <w:r>
              <w:rPr>
                <w:rFonts w:hint="eastAsia" w:ascii="宋体" w:hAnsi="宋体" w:cs="宋体"/>
                <w:szCs w:val="21"/>
              </w:rPr>
              <w:t>△</w:t>
            </w:r>
          </w:p>
        </w:tc>
      </w:tr>
      <w:tr w14:paraId="63B66205">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3DCCA12F">
            <w:pPr>
              <w:spacing w:line="240" w:lineRule="exact"/>
              <w:rPr>
                <w:rFonts w:ascii="宋体" w:hAnsi="宋体" w:cs="宋体"/>
                <w:szCs w:val="21"/>
              </w:rPr>
            </w:pPr>
            <w:r>
              <w:rPr>
                <w:rFonts w:hint="eastAsia" w:ascii="宋体" w:hAnsi="宋体" w:cs="宋体"/>
                <w:szCs w:val="21"/>
              </w:rPr>
              <w:t>7.1.3基础设施</w:t>
            </w:r>
          </w:p>
        </w:tc>
        <w:tc>
          <w:tcPr>
            <w:tcW w:w="2039" w:type="dxa"/>
            <w:tcBorders>
              <w:top w:val="single" w:color="000000" w:sz="4" w:space="0"/>
              <w:left w:val="single" w:color="000000" w:sz="4" w:space="0"/>
              <w:bottom w:val="single" w:color="000000" w:sz="4" w:space="0"/>
              <w:right w:val="single" w:color="auto" w:sz="4" w:space="0"/>
            </w:tcBorders>
            <w:vAlign w:val="center"/>
          </w:tcPr>
          <w:p w14:paraId="75EDD79B">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0E331C30">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74F6D47C">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6B9307C4">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0C26F2D">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70F578B">
            <w:pPr>
              <w:spacing w:line="240" w:lineRule="exact"/>
              <w:jc w:val="center"/>
              <w:rPr>
                <w:rFonts w:ascii="宋体" w:hAnsi="宋体" w:cs="宋体"/>
                <w:szCs w:val="21"/>
              </w:rPr>
            </w:pPr>
            <w:r>
              <w:rPr>
                <w:rFonts w:hint="eastAsia" w:ascii="宋体" w:hAnsi="宋体" w:cs="宋体"/>
                <w:szCs w:val="21"/>
              </w:rPr>
              <w:t>△</w:t>
            </w:r>
          </w:p>
        </w:tc>
      </w:tr>
      <w:tr w14:paraId="08687361">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4FFE631D">
            <w:pPr>
              <w:spacing w:line="240" w:lineRule="exact"/>
              <w:rPr>
                <w:rFonts w:ascii="宋体" w:hAnsi="宋体" w:cs="宋体"/>
                <w:szCs w:val="21"/>
              </w:rPr>
            </w:pPr>
            <w:r>
              <w:rPr>
                <w:rFonts w:hint="eastAsia" w:ascii="宋体" w:hAnsi="宋体" w:cs="宋体"/>
                <w:szCs w:val="21"/>
              </w:rPr>
              <w:t>7.1.4过程环境</w:t>
            </w:r>
          </w:p>
        </w:tc>
        <w:tc>
          <w:tcPr>
            <w:tcW w:w="2039" w:type="dxa"/>
            <w:tcBorders>
              <w:top w:val="single" w:color="000000" w:sz="4" w:space="0"/>
              <w:left w:val="single" w:color="000000" w:sz="4" w:space="0"/>
              <w:bottom w:val="single" w:color="000000" w:sz="4" w:space="0"/>
              <w:right w:val="single" w:color="auto" w:sz="4" w:space="0"/>
            </w:tcBorders>
            <w:vAlign w:val="center"/>
          </w:tcPr>
          <w:p w14:paraId="68752C37">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3E9A37A3">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6CF89410">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0F3EA386">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2271D6C">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3C5581C">
            <w:pPr>
              <w:spacing w:line="240" w:lineRule="exact"/>
              <w:jc w:val="center"/>
              <w:rPr>
                <w:rFonts w:ascii="宋体" w:hAnsi="宋体" w:cs="宋体"/>
                <w:szCs w:val="21"/>
              </w:rPr>
            </w:pPr>
            <w:r>
              <w:rPr>
                <w:rFonts w:hint="eastAsia" w:ascii="宋体" w:hAnsi="宋体" w:cs="宋体"/>
                <w:szCs w:val="21"/>
              </w:rPr>
              <w:t>△</w:t>
            </w:r>
          </w:p>
        </w:tc>
      </w:tr>
      <w:tr w14:paraId="07882015">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409A49A1">
            <w:pPr>
              <w:spacing w:line="240" w:lineRule="exact"/>
              <w:rPr>
                <w:rFonts w:ascii="宋体" w:hAnsi="宋体" w:cs="宋体"/>
                <w:szCs w:val="21"/>
              </w:rPr>
            </w:pPr>
            <w:r>
              <w:rPr>
                <w:rFonts w:hint="eastAsia" w:ascii="宋体" w:hAnsi="宋体" w:cs="宋体"/>
                <w:szCs w:val="21"/>
              </w:rPr>
              <w:t>7.1.5监视和测量设备</w:t>
            </w:r>
          </w:p>
        </w:tc>
        <w:tc>
          <w:tcPr>
            <w:tcW w:w="2039" w:type="dxa"/>
            <w:tcBorders>
              <w:top w:val="single" w:color="000000" w:sz="4" w:space="0"/>
              <w:left w:val="single" w:color="000000" w:sz="4" w:space="0"/>
              <w:bottom w:val="single" w:color="000000" w:sz="4" w:space="0"/>
              <w:right w:val="single" w:color="auto" w:sz="4" w:space="0"/>
            </w:tcBorders>
            <w:vAlign w:val="center"/>
          </w:tcPr>
          <w:p w14:paraId="36DEFFF3">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430D4B95">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580B02C6">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406555CC">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DF66C22">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4E0AFFC6">
            <w:pPr>
              <w:spacing w:line="240" w:lineRule="exact"/>
              <w:jc w:val="center"/>
              <w:rPr>
                <w:rFonts w:ascii="宋体" w:hAnsi="宋体" w:cs="宋体"/>
                <w:szCs w:val="21"/>
              </w:rPr>
            </w:pPr>
            <w:r>
              <w:rPr>
                <w:rFonts w:hint="eastAsia" w:ascii="宋体" w:hAnsi="宋体" w:cs="宋体"/>
                <w:szCs w:val="21"/>
              </w:rPr>
              <w:t>△</w:t>
            </w:r>
          </w:p>
        </w:tc>
      </w:tr>
      <w:tr w14:paraId="4CFDC943">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62F572A8">
            <w:pPr>
              <w:spacing w:line="240" w:lineRule="exact"/>
              <w:rPr>
                <w:rFonts w:ascii="宋体" w:hAnsi="宋体" w:cs="宋体"/>
                <w:szCs w:val="21"/>
              </w:rPr>
            </w:pPr>
            <w:r>
              <w:rPr>
                <w:rFonts w:hint="eastAsia" w:ascii="宋体" w:hAnsi="宋体" w:cs="宋体"/>
                <w:szCs w:val="21"/>
              </w:rPr>
              <w:t>7.1.6组织的知识</w:t>
            </w:r>
          </w:p>
        </w:tc>
        <w:tc>
          <w:tcPr>
            <w:tcW w:w="2039" w:type="dxa"/>
            <w:tcBorders>
              <w:top w:val="single" w:color="000000" w:sz="4" w:space="0"/>
              <w:left w:val="single" w:color="000000" w:sz="4" w:space="0"/>
              <w:bottom w:val="single" w:color="000000" w:sz="4" w:space="0"/>
              <w:right w:val="single" w:color="auto" w:sz="4" w:space="0"/>
            </w:tcBorders>
            <w:vAlign w:val="center"/>
          </w:tcPr>
          <w:p w14:paraId="6A9D5CA9">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69024FB6">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0CAA87FE">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7AFE04F0">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023C5D26">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0528DAE">
            <w:pPr>
              <w:spacing w:line="240" w:lineRule="exact"/>
              <w:jc w:val="center"/>
              <w:rPr>
                <w:rFonts w:ascii="宋体" w:hAnsi="宋体" w:cs="宋体"/>
                <w:szCs w:val="21"/>
              </w:rPr>
            </w:pPr>
            <w:r>
              <w:rPr>
                <w:rFonts w:hint="eastAsia" w:ascii="宋体" w:hAnsi="宋体" w:cs="宋体"/>
                <w:szCs w:val="21"/>
              </w:rPr>
              <w:t>△</w:t>
            </w:r>
          </w:p>
        </w:tc>
      </w:tr>
      <w:tr w14:paraId="6A5C7A34">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5F322423">
            <w:pPr>
              <w:spacing w:line="240" w:lineRule="exact"/>
              <w:rPr>
                <w:rFonts w:ascii="宋体" w:hAnsi="宋体" w:cs="宋体"/>
                <w:szCs w:val="21"/>
              </w:rPr>
            </w:pPr>
            <w:r>
              <w:rPr>
                <w:rFonts w:hint="eastAsia" w:ascii="宋体" w:hAnsi="宋体" w:cs="宋体"/>
                <w:szCs w:val="21"/>
              </w:rPr>
              <w:t>7.2能力</w:t>
            </w:r>
          </w:p>
        </w:tc>
        <w:tc>
          <w:tcPr>
            <w:tcW w:w="2039" w:type="dxa"/>
            <w:tcBorders>
              <w:top w:val="single" w:color="000000" w:sz="4" w:space="0"/>
              <w:left w:val="single" w:color="000000" w:sz="4" w:space="0"/>
              <w:bottom w:val="single" w:color="000000" w:sz="4" w:space="0"/>
              <w:right w:val="single" w:color="auto" w:sz="4" w:space="0"/>
            </w:tcBorders>
            <w:vAlign w:val="center"/>
          </w:tcPr>
          <w:p w14:paraId="4EBAFCEB">
            <w:pPr>
              <w:spacing w:line="240" w:lineRule="exact"/>
              <w:rPr>
                <w:rFonts w:ascii="宋体" w:hAnsi="宋体" w:cs="宋体"/>
                <w:szCs w:val="21"/>
              </w:rPr>
            </w:pPr>
            <w:r>
              <w:rPr>
                <w:rFonts w:hint="eastAsia" w:ascii="宋体" w:hAnsi="宋体" w:cs="宋体"/>
                <w:szCs w:val="21"/>
              </w:rPr>
              <w:t>7.2能力</w:t>
            </w:r>
          </w:p>
        </w:tc>
        <w:tc>
          <w:tcPr>
            <w:tcW w:w="2233" w:type="dxa"/>
            <w:tcBorders>
              <w:top w:val="single" w:color="000000" w:sz="4" w:space="0"/>
              <w:left w:val="single" w:color="auto" w:sz="4" w:space="0"/>
              <w:bottom w:val="single" w:color="000000" w:sz="4" w:space="0"/>
              <w:right w:val="single" w:color="000000" w:sz="4" w:space="0"/>
            </w:tcBorders>
          </w:tcPr>
          <w:p w14:paraId="7884E774">
            <w:pPr>
              <w:rPr>
                <w:rFonts w:ascii="宋体" w:hAnsi="宋体" w:cs="宋体"/>
                <w:szCs w:val="21"/>
              </w:rPr>
            </w:pPr>
            <w:r>
              <w:rPr>
                <w:rFonts w:hint="eastAsia" w:ascii="宋体" w:hAnsi="宋体" w:cs="宋体"/>
                <w:szCs w:val="21"/>
              </w:rPr>
              <w:t>7.2 能力</w:t>
            </w:r>
          </w:p>
        </w:tc>
        <w:tc>
          <w:tcPr>
            <w:tcW w:w="741" w:type="dxa"/>
            <w:tcBorders>
              <w:top w:val="single" w:color="000000" w:sz="4" w:space="0"/>
              <w:left w:val="single" w:color="000000" w:sz="4" w:space="0"/>
              <w:bottom w:val="single" w:color="000000" w:sz="4" w:space="0"/>
              <w:right w:val="single" w:color="000000" w:sz="4" w:space="0"/>
            </w:tcBorders>
            <w:vAlign w:val="center"/>
          </w:tcPr>
          <w:p w14:paraId="42943B69">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5BB0D720">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7A4E351C">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067A2AA6">
            <w:pPr>
              <w:spacing w:line="240" w:lineRule="exact"/>
              <w:jc w:val="center"/>
              <w:rPr>
                <w:rFonts w:ascii="宋体" w:hAnsi="宋体" w:cs="宋体"/>
                <w:szCs w:val="21"/>
              </w:rPr>
            </w:pPr>
            <w:r>
              <w:rPr>
                <w:rFonts w:hint="eastAsia" w:ascii="宋体" w:hAnsi="宋体" w:cs="宋体"/>
                <w:szCs w:val="21"/>
              </w:rPr>
              <w:t>△</w:t>
            </w:r>
          </w:p>
        </w:tc>
      </w:tr>
      <w:tr w14:paraId="5D2B3EE0">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36F33E1A">
            <w:pPr>
              <w:spacing w:line="240" w:lineRule="exact"/>
              <w:rPr>
                <w:rFonts w:ascii="宋体" w:hAnsi="宋体" w:cs="宋体"/>
                <w:szCs w:val="21"/>
              </w:rPr>
            </w:pPr>
            <w:r>
              <w:rPr>
                <w:rFonts w:hint="eastAsia" w:ascii="宋体" w:hAnsi="宋体" w:cs="宋体"/>
                <w:szCs w:val="21"/>
              </w:rPr>
              <w:t>7.3意识</w:t>
            </w:r>
          </w:p>
        </w:tc>
        <w:tc>
          <w:tcPr>
            <w:tcW w:w="2039" w:type="dxa"/>
            <w:tcBorders>
              <w:top w:val="single" w:color="000000" w:sz="4" w:space="0"/>
              <w:left w:val="single" w:color="000000" w:sz="4" w:space="0"/>
              <w:bottom w:val="single" w:color="000000" w:sz="4" w:space="0"/>
              <w:right w:val="single" w:color="auto" w:sz="4" w:space="0"/>
            </w:tcBorders>
            <w:vAlign w:val="center"/>
          </w:tcPr>
          <w:p w14:paraId="558C73F4">
            <w:pPr>
              <w:spacing w:line="240" w:lineRule="exact"/>
              <w:rPr>
                <w:rFonts w:ascii="宋体" w:hAnsi="宋体" w:cs="宋体"/>
                <w:szCs w:val="21"/>
              </w:rPr>
            </w:pPr>
            <w:r>
              <w:rPr>
                <w:rFonts w:hint="eastAsia" w:ascii="宋体" w:hAnsi="宋体" w:cs="宋体"/>
                <w:szCs w:val="21"/>
              </w:rPr>
              <w:t>7.3意识</w:t>
            </w:r>
          </w:p>
        </w:tc>
        <w:tc>
          <w:tcPr>
            <w:tcW w:w="2233" w:type="dxa"/>
            <w:tcBorders>
              <w:top w:val="single" w:color="000000" w:sz="4" w:space="0"/>
              <w:left w:val="single" w:color="auto" w:sz="4" w:space="0"/>
              <w:bottom w:val="single" w:color="000000" w:sz="4" w:space="0"/>
              <w:right w:val="single" w:color="000000" w:sz="4" w:space="0"/>
            </w:tcBorders>
          </w:tcPr>
          <w:p w14:paraId="57E614E7">
            <w:pPr>
              <w:rPr>
                <w:rFonts w:ascii="宋体" w:hAnsi="宋体" w:cs="宋体"/>
                <w:szCs w:val="21"/>
              </w:rPr>
            </w:pPr>
            <w:r>
              <w:rPr>
                <w:rFonts w:hint="eastAsia" w:ascii="宋体" w:hAnsi="宋体" w:cs="宋体"/>
                <w:szCs w:val="21"/>
              </w:rPr>
              <w:t>7.3 意识</w:t>
            </w:r>
          </w:p>
        </w:tc>
        <w:tc>
          <w:tcPr>
            <w:tcW w:w="741" w:type="dxa"/>
            <w:tcBorders>
              <w:top w:val="single" w:color="000000" w:sz="4" w:space="0"/>
              <w:left w:val="single" w:color="000000" w:sz="4" w:space="0"/>
              <w:bottom w:val="single" w:color="000000" w:sz="4" w:space="0"/>
              <w:right w:val="single" w:color="000000" w:sz="4" w:space="0"/>
            </w:tcBorders>
            <w:vAlign w:val="center"/>
          </w:tcPr>
          <w:p w14:paraId="2EB884B8">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772454A0">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B6F7944">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CFC4ECA">
            <w:pPr>
              <w:spacing w:line="240" w:lineRule="exact"/>
              <w:jc w:val="center"/>
              <w:rPr>
                <w:rFonts w:ascii="宋体" w:hAnsi="宋体" w:cs="宋体"/>
                <w:szCs w:val="21"/>
              </w:rPr>
            </w:pPr>
            <w:r>
              <w:rPr>
                <w:rFonts w:hint="eastAsia" w:ascii="宋体" w:hAnsi="宋体" w:cs="宋体"/>
                <w:szCs w:val="21"/>
              </w:rPr>
              <w:t>△</w:t>
            </w:r>
          </w:p>
        </w:tc>
      </w:tr>
      <w:tr w14:paraId="743D9D86">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0CF8EE6A">
            <w:pPr>
              <w:spacing w:line="240" w:lineRule="exact"/>
              <w:rPr>
                <w:rFonts w:ascii="宋体" w:hAnsi="宋体" w:cs="宋体"/>
                <w:szCs w:val="21"/>
              </w:rPr>
            </w:pPr>
            <w:r>
              <w:rPr>
                <w:rFonts w:hint="eastAsia" w:ascii="宋体" w:hAnsi="宋体" w:cs="宋体"/>
                <w:szCs w:val="21"/>
              </w:rPr>
              <w:t>7.4沟通</w:t>
            </w:r>
          </w:p>
        </w:tc>
        <w:tc>
          <w:tcPr>
            <w:tcW w:w="2039" w:type="dxa"/>
            <w:tcBorders>
              <w:top w:val="single" w:color="000000" w:sz="4" w:space="0"/>
              <w:left w:val="single" w:color="000000" w:sz="4" w:space="0"/>
              <w:bottom w:val="single" w:color="000000" w:sz="4" w:space="0"/>
              <w:right w:val="single" w:color="auto" w:sz="4" w:space="0"/>
            </w:tcBorders>
            <w:vAlign w:val="center"/>
          </w:tcPr>
          <w:p w14:paraId="65CCEE96">
            <w:pPr>
              <w:spacing w:line="240" w:lineRule="exact"/>
              <w:rPr>
                <w:rFonts w:ascii="宋体" w:hAnsi="宋体" w:cs="宋体"/>
                <w:szCs w:val="21"/>
              </w:rPr>
            </w:pPr>
            <w:r>
              <w:rPr>
                <w:rFonts w:hint="eastAsia" w:ascii="宋体" w:hAnsi="宋体" w:cs="宋体"/>
                <w:szCs w:val="21"/>
              </w:rPr>
              <w:t>7.4信息交流</w:t>
            </w:r>
          </w:p>
        </w:tc>
        <w:tc>
          <w:tcPr>
            <w:tcW w:w="2233" w:type="dxa"/>
            <w:tcBorders>
              <w:top w:val="single" w:color="000000" w:sz="4" w:space="0"/>
              <w:left w:val="single" w:color="auto" w:sz="4" w:space="0"/>
              <w:bottom w:val="single" w:color="000000" w:sz="4" w:space="0"/>
              <w:right w:val="single" w:color="000000" w:sz="4" w:space="0"/>
            </w:tcBorders>
          </w:tcPr>
          <w:p w14:paraId="7FD2C2A2">
            <w:pPr>
              <w:rPr>
                <w:rFonts w:ascii="宋体" w:hAnsi="宋体" w:cs="宋体"/>
                <w:szCs w:val="21"/>
              </w:rPr>
            </w:pPr>
            <w:r>
              <w:rPr>
                <w:rFonts w:hint="eastAsia" w:ascii="宋体" w:hAnsi="宋体" w:cs="宋体"/>
                <w:szCs w:val="21"/>
              </w:rPr>
              <w:t>7.4 沟通</w:t>
            </w:r>
          </w:p>
        </w:tc>
        <w:tc>
          <w:tcPr>
            <w:tcW w:w="741" w:type="dxa"/>
            <w:tcBorders>
              <w:top w:val="single" w:color="000000" w:sz="4" w:space="0"/>
              <w:left w:val="single" w:color="000000" w:sz="4" w:space="0"/>
              <w:bottom w:val="single" w:color="000000" w:sz="4" w:space="0"/>
              <w:right w:val="single" w:color="000000" w:sz="4" w:space="0"/>
            </w:tcBorders>
            <w:vAlign w:val="center"/>
          </w:tcPr>
          <w:p w14:paraId="3D4E48B7">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4DA44A3B">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35BB335">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4DA24698">
            <w:pPr>
              <w:spacing w:line="240" w:lineRule="exact"/>
              <w:jc w:val="center"/>
              <w:rPr>
                <w:rFonts w:ascii="宋体" w:hAnsi="宋体" w:cs="宋体"/>
                <w:szCs w:val="21"/>
              </w:rPr>
            </w:pPr>
            <w:r>
              <w:rPr>
                <w:rFonts w:hint="eastAsia" w:ascii="宋体" w:hAnsi="宋体" w:cs="宋体"/>
                <w:szCs w:val="21"/>
              </w:rPr>
              <w:t>△</w:t>
            </w:r>
          </w:p>
        </w:tc>
      </w:tr>
      <w:tr w14:paraId="44ADADE2">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571B5F93">
            <w:pPr>
              <w:spacing w:line="240" w:lineRule="exact"/>
              <w:rPr>
                <w:rFonts w:ascii="宋体" w:hAnsi="宋体" w:cs="宋体"/>
                <w:szCs w:val="21"/>
              </w:rPr>
            </w:pPr>
            <w:r>
              <w:rPr>
                <w:rFonts w:hint="eastAsia" w:ascii="宋体" w:hAnsi="宋体" w:cs="宋体"/>
                <w:szCs w:val="21"/>
              </w:rPr>
              <w:t>7.5形成文件的信息</w:t>
            </w:r>
          </w:p>
        </w:tc>
        <w:tc>
          <w:tcPr>
            <w:tcW w:w="2039" w:type="dxa"/>
            <w:tcBorders>
              <w:top w:val="single" w:color="000000" w:sz="4" w:space="0"/>
              <w:left w:val="single" w:color="000000" w:sz="4" w:space="0"/>
              <w:bottom w:val="single" w:color="000000" w:sz="4" w:space="0"/>
              <w:right w:val="single" w:color="auto" w:sz="4" w:space="0"/>
            </w:tcBorders>
            <w:vAlign w:val="center"/>
          </w:tcPr>
          <w:p w14:paraId="37C17805">
            <w:pPr>
              <w:spacing w:line="240" w:lineRule="exact"/>
              <w:rPr>
                <w:rFonts w:ascii="宋体" w:hAnsi="宋体" w:cs="宋体"/>
                <w:szCs w:val="21"/>
              </w:rPr>
            </w:pPr>
            <w:r>
              <w:rPr>
                <w:rFonts w:hint="eastAsia" w:ascii="宋体" w:hAnsi="宋体" w:cs="宋体"/>
                <w:szCs w:val="21"/>
              </w:rPr>
              <w:t>7.5形成文件的信息</w:t>
            </w:r>
          </w:p>
        </w:tc>
        <w:tc>
          <w:tcPr>
            <w:tcW w:w="2233" w:type="dxa"/>
            <w:tcBorders>
              <w:top w:val="single" w:color="000000" w:sz="4" w:space="0"/>
              <w:left w:val="single" w:color="auto" w:sz="4" w:space="0"/>
              <w:bottom w:val="single" w:color="000000" w:sz="4" w:space="0"/>
              <w:right w:val="single" w:color="000000" w:sz="4" w:space="0"/>
            </w:tcBorders>
            <w:vAlign w:val="center"/>
          </w:tcPr>
          <w:p w14:paraId="2E9DF47E">
            <w:pPr>
              <w:spacing w:line="240" w:lineRule="exact"/>
              <w:rPr>
                <w:rFonts w:ascii="宋体" w:hAnsi="宋体" w:cs="宋体"/>
                <w:szCs w:val="21"/>
              </w:rPr>
            </w:pPr>
            <w:r>
              <w:rPr>
                <w:rFonts w:hint="eastAsia" w:ascii="宋体" w:hAnsi="宋体" w:cs="宋体"/>
                <w:szCs w:val="21"/>
              </w:rPr>
              <w:t>7.5 成文信息</w:t>
            </w:r>
          </w:p>
        </w:tc>
        <w:tc>
          <w:tcPr>
            <w:tcW w:w="741" w:type="dxa"/>
            <w:tcBorders>
              <w:top w:val="single" w:color="000000" w:sz="4" w:space="0"/>
              <w:left w:val="single" w:color="000000" w:sz="4" w:space="0"/>
              <w:bottom w:val="single" w:color="000000" w:sz="4" w:space="0"/>
              <w:right w:val="single" w:color="000000" w:sz="4" w:space="0"/>
            </w:tcBorders>
            <w:vAlign w:val="center"/>
          </w:tcPr>
          <w:p w14:paraId="52CCB272">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4262FBF2">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040BC9D6">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2721BAF">
            <w:pPr>
              <w:spacing w:line="240" w:lineRule="exact"/>
              <w:jc w:val="center"/>
              <w:rPr>
                <w:rFonts w:ascii="宋体" w:hAnsi="宋体" w:cs="宋体"/>
                <w:szCs w:val="21"/>
              </w:rPr>
            </w:pPr>
            <w:r>
              <w:rPr>
                <w:rFonts w:hint="eastAsia" w:ascii="宋体" w:hAnsi="宋体" w:cs="宋体"/>
                <w:szCs w:val="21"/>
              </w:rPr>
              <w:t>△</w:t>
            </w:r>
          </w:p>
        </w:tc>
      </w:tr>
      <w:tr w14:paraId="2F0F562C">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0046FF20">
            <w:pPr>
              <w:spacing w:line="240" w:lineRule="exact"/>
              <w:rPr>
                <w:rFonts w:ascii="宋体" w:hAnsi="宋体" w:cs="宋体"/>
                <w:szCs w:val="21"/>
              </w:rPr>
            </w:pPr>
            <w:r>
              <w:rPr>
                <w:rFonts w:hint="eastAsia" w:ascii="宋体" w:hAnsi="宋体" w:cs="宋体"/>
                <w:szCs w:val="21"/>
              </w:rPr>
              <w:t>7.5.2创建和更新</w:t>
            </w:r>
          </w:p>
        </w:tc>
        <w:tc>
          <w:tcPr>
            <w:tcW w:w="2039" w:type="dxa"/>
            <w:tcBorders>
              <w:top w:val="single" w:color="000000" w:sz="4" w:space="0"/>
              <w:left w:val="single" w:color="000000" w:sz="4" w:space="0"/>
              <w:bottom w:val="single" w:color="000000" w:sz="4" w:space="0"/>
              <w:right w:val="single" w:color="auto" w:sz="4" w:space="0"/>
            </w:tcBorders>
            <w:vAlign w:val="center"/>
          </w:tcPr>
          <w:p w14:paraId="5C1BFFBA">
            <w:pPr>
              <w:spacing w:line="240" w:lineRule="exact"/>
              <w:rPr>
                <w:rFonts w:ascii="宋体" w:hAnsi="宋体" w:cs="宋体"/>
                <w:szCs w:val="21"/>
              </w:rPr>
            </w:pPr>
            <w:r>
              <w:rPr>
                <w:rFonts w:hint="eastAsia" w:ascii="宋体" w:hAnsi="宋体" w:cs="宋体"/>
                <w:szCs w:val="21"/>
              </w:rPr>
              <w:t>7.5.2创建和更新</w:t>
            </w:r>
          </w:p>
        </w:tc>
        <w:tc>
          <w:tcPr>
            <w:tcW w:w="2233" w:type="dxa"/>
            <w:tcBorders>
              <w:top w:val="single" w:color="000000" w:sz="4" w:space="0"/>
              <w:left w:val="single" w:color="auto" w:sz="4" w:space="0"/>
              <w:bottom w:val="single" w:color="000000" w:sz="4" w:space="0"/>
              <w:right w:val="single" w:color="000000" w:sz="4" w:space="0"/>
            </w:tcBorders>
          </w:tcPr>
          <w:p w14:paraId="18EB31DD">
            <w:pPr>
              <w:rPr>
                <w:rFonts w:ascii="宋体" w:hAnsi="宋体" w:cs="宋体"/>
                <w:szCs w:val="21"/>
              </w:rPr>
            </w:pPr>
            <w:r>
              <w:rPr>
                <w:rFonts w:hint="eastAsia" w:ascii="宋体" w:hAnsi="宋体" w:cs="宋体"/>
                <w:szCs w:val="21"/>
              </w:rPr>
              <w:t>7.5.2 创建和更新</w:t>
            </w:r>
          </w:p>
        </w:tc>
        <w:tc>
          <w:tcPr>
            <w:tcW w:w="741" w:type="dxa"/>
            <w:tcBorders>
              <w:top w:val="single" w:color="000000" w:sz="4" w:space="0"/>
              <w:left w:val="single" w:color="000000" w:sz="4" w:space="0"/>
              <w:bottom w:val="single" w:color="000000" w:sz="4" w:space="0"/>
              <w:right w:val="single" w:color="000000" w:sz="4" w:space="0"/>
            </w:tcBorders>
            <w:vAlign w:val="center"/>
          </w:tcPr>
          <w:p w14:paraId="027C7A7C">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6D009E9E">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201F18DD">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295136BB">
            <w:pPr>
              <w:spacing w:line="240" w:lineRule="exact"/>
              <w:jc w:val="center"/>
              <w:rPr>
                <w:rFonts w:ascii="宋体" w:hAnsi="宋体" w:cs="宋体"/>
                <w:szCs w:val="21"/>
              </w:rPr>
            </w:pPr>
            <w:r>
              <w:rPr>
                <w:rFonts w:hint="eastAsia" w:ascii="宋体" w:hAnsi="宋体" w:cs="宋体"/>
                <w:szCs w:val="21"/>
              </w:rPr>
              <w:t>△</w:t>
            </w:r>
          </w:p>
        </w:tc>
      </w:tr>
      <w:tr w14:paraId="78326ED7">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3606EC70">
            <w:pPr>
              <w:spacing w:line="240" w:lineRule="exact"/>
              <w:rPr>
                <w:rFonts w:ascii="宋体" w:hAnsi="宋体" w:cs="宋体"/>
                <w:szCs w:val="21"/>
              </w:rPr>
            </w:pPr>
            <w:r>
              <w:rPr>
                <w:rFonts w:hint="eastAsia" w:ascii="宋体" w:hAnsi="宋体" w:cs="宋体"/>
                <w:szCs w:val="21"/>
              </w:rPr>
              <w:t>7.5.3形成文件的信息的控制</w:t>
            </w:r>
          </w:p>
        </w:tc>
        <w:tc>
          <w:tcPr>
            <w:tcW w:w="2039" w:type="dxa"/>
            <w:tcBorders>
              <w:top w:val="single" w:color="000000" w:sz="4" w:space="0"/>
              <w:left w:val="single" w:color="000000" w:sz="4" w:space="0"/>
              <w:bottom w:val="single" w:color="000000" w:sz="4" w:space="0"/>
              <w:right w:val="single" w:color="auto" w:sz="4" w:space="0"/>
            </w:tcBorders>
            <w:vAlign w:val="center"/>
          </w:tcPr>
          <w:p w14:paraId="5A26D528">
            <w:pPr>
              <w:spacing w:line="240" w:lineRule="exact"/>
              <w:rPr>
                <w:rFonts w:ascii="宋体" w:hAnsi="宋体" w:cs="宋体"/>
                <w:szCs w:val="21"/>
              </w:rPr>
            </w:pPr>
            <w:r>
              <w:rPr>
                <w:rFonts w:hint="eastAsia" w:ascii="宋体" w:hAnsi="宋体" w:cs="宋体"/>
                <w:szCs w:val="21"/>
              </w:rPr>
              <w:t>7.5.3文件化信息的控制</w:t>
            </w:r>
          </w:p>
        </w:tc>
        <w:tc>
          <w:tcPr>
            <w:tcW w:w="2233" w:type="dxa"/>
            <w:tcBorders>
              <w:top w:val="single" w:color="000000" w:sz="4" w:space="0"/>
              <w:left w:val="single" w:color="auto" w:sz="4" w:space="0"/>
              <w:bottom w:val="single" w:color="000000" w:sz="4" w:space="0"/>
              <w:right w:val="single" w:color="000000" w:sz="4" w:space="0"/>
            </w:tcBorders>
          </w:tcPr>
          <w:p w14:paraId="5AB8ECBB">
            <w:pPr>
              <w:rPr>
                <w:rFonts w:ascii="宋体" w:hAnsi="宋体" w:cs="宋体"/>
                <w:szCs w:val="21"/>
              </w:rPr>
            </w:pPr>
            <w:r>
              <w:rPr>
                <w:rFonts w:hint="eastAsia" w:ascii="宋体" w:hAnsi="宋体" w:cs="宋体"/>
                <w:szCs w:val="21"/>
              </w:rPr>
              <w:t>7.5.3 成文信息的控制</w:t>
            </w:r>
          </w:p>
        </w:tc>
        <w:tc>
          <w:tcPr>
            <w:tcW w:w="741" w:type="dxa"/>
            <w:tcBorders>
              <w:top w:val="single" w:color="000000" w:sz="4" w:space="0"/>
              <w:left w:val="single" w:color="000000" w:sz="4" w:space="0"/>
              <w:bottom w:val="single" w:color="000000" w:sz="4" w:space="0"/>
              <w:right w:val="single" w:color="000000" w:sz="4" w:space="0"/>
            </w:tcBorders>
            <w:vAlign w:val="center"/>
          </w:tcPr>
          <w:p w14:paraId="04663464">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14AE4FE5">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463A6D2B">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E9DDC4C">
            <w:pPr>
              <w:spacing w:line="240" w:lineRule="exact"/>
              <w:jc w:val="center"/>
              <w:rPr>
                <w:rFonts w:ascii="宋体" w:hAnsi="宋体" w:cs="宋体"/>
                <w:szCs w:val="21"/>
              </w:rPr>
            </w:pPr>
            <w:r>
              <w:rPr>
                <w:rFonts w:hint="eastAsia" w:ascii="宋体" w:hAnsi="宋体" w:cs="宋体"/>
                <w:szCs w:val="21"/>
              </w:rPr>
              <w:t>△</w:t>
            </w:r>
          </w:p>
        </w:tc>
      </w:tr>
      <w:tr w14:paraId="3610AE15">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4B45142C">
            <w:pPr>
              <w:spacing w:line="240" w:lineRule="exact"/>
              <w:rPr>
                <w:rFonts w:ascii="宋体" w:hAnsi="宋体" w:cs="宋体"/>
                <w:szCs w:val="21"/>
              </w:rPr>
            </w:pPr>
            <w:r>
              <w:rPr>
                <w:rFonts w:hint="eastAsia" w:ascii="宋体" w:hAnsi="宋体" w:cs="宋体"/>
                <w:szCs w:val="21"/>
              </w:rPr>
              <w:t>8.1运行策划和控制</w:t>
            </w:r>
          </w:p>
        </w:tc>
        <w:tc>
          <w:tcPr>
            <w:tcW w:w="2039" w:type="dxa"/>
            <w:tcBorders>
              <w:top w:val="single" w:color="000000" w:sz="4" w:space="0"/>
              <w:left w:val="single" w:color="000000" w:sz="4" w:space="0"/>
              <w:bottom w:val="single" w:color="000000" w:sz="4" w:space="0"/>
              <w:right w:val="single" w:color="auto" w:sz="4" w:space="0"/>
            </w:tcBorders>
            <w:vAlign w:val="center"/>
          </w:tcPr>
          <w:p w14:paraId="02CD5839">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74BE16DD">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411B6826">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681290DF">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D31475B">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45E9BC2">
            <w:pPr>
              <w:spacing w:line="240" w:lineRule="exact"/>
              <w:jc w:val="center"/>
              <w:rPr>
                <w:rFonts w:ascii="宋体" w:hAnsi="宋体" w:cs="宋体"/>
                <w:szCs w:val="21"/>
              </w:rPr>
            </w:pPr>
            <w:r>
              <w:rPr>
                <w:rFonts w:hint="eastAsia" w:ascii="宋体" w:hAnsi="宋体" w:cs="宋体"/>
                <w:szCs w:val="21"/>
              </w:rPr>
              <w:t>△</w:t>
            </w:r>
          </w:p>
        </w:tc>
      </w:tr>
      <w:tr w14:paraId="2EE4436C">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62B59F97">
            <w:pPr>
              <w:spacing w:line="240" w:lineRule="exact"/>
              <w:rPr>
                <w:rFonts w:ascii="宋体" w:hAnsi="宋体" w:cs="宋体"/>
                <w:szCs w:val="21"/>
              </w:rPr>
            </w:pPr>
          </w:p>
        </w:tc>
        <w:tc>
          <w:tcPr>
            <w:tcW w:w="2039" w:type="dxa"/>
            <w:tcBorders>
              <w:top w:val="single" w:color="000000" w:sz="4" w:space="0"/>
              <w:left w:val="single" w:color="000000" w:sz="4" w:space="0"/>
              <w:bottom w:val="single" w:color="000000" w:sz="4" w:space="0"/>
              <w:right w:val="single" w:color="auto" w:sz="4" w:space="0"/>
            </w:tcBorders>
            <w:vAlign w:val="center"/>
          </w:tcPr>
          <w:p w14:paraId="504168F3">
            <w:pPr>
              <w:spacing w:line="240" w:lineRule="exact"/>
              <w:rPr>
                <w:rFonts w:ascii="宋体" w:hAnsi="宋体" w:cs="宋体"/>
                <w:szCs w:val="21"/>
              </w:rPr>
            </w:pPr>
            <w:r>
              <w:rPr>
                <w:rFonts w:hint="eastAsia" w:ascii="宋体" w:hAnsi="宋体" w:cs="宋体"/>
                <w:szCs w:val="21"/>
              </w:rPr>
              <w:t>8.1运行策划和控制</w:t>
            </w:r>
          </w:p>
        </w:tc>
        <w:tc>
          <w:tcPr>
            <w:tcW w:w="2233" w:type="dxa"/>
            <w:tcBorders>
              <w:top w:val="single" w:color="000000" w:sz="4" w:space="0"/>
              <w:left w:val="single" w:color="auto" w:sz="4" w:space="0"/>
              <w:bottom w:val="single" w:color="000000" w:sz="4" w:space="0"/>
              <w:right w:val="single" w:color="000000" w:sz="4" w:space="0"/>
            </w:tcBorders>
            <w:vAlign w:val="center"/>
          </w:tcPr>
          <w:p w14:paraId="05037DD3">
            <w:pPr>
              <w:spacing w:line="240" w:lineRule="exact"/>
              <w:rPr>
                <w:rFonts w:ascii="宋体" w:hAnsi="宋体" w:cs="宋体"/>
                <w:szCs w:val="21"/>
              </w:rPr>
            </w:pPr>
            <w:r>
              <w:rPr>
                <w:rFonts w:hint="eastAsia" w:ascii="宋体" w:hAnsi="宋体" w:cs="宋体"/>
                <w:szCs w:val="21"/>
              </w:rPr>
              <w:t>8.1 运行策划和控制</w:t>
            </w:r>
          </w:p>
        </w:tc>
        <w:tc>
          <w:tcPr>
            <w:tcW w:w="741" w:type="dxa"/>
            <w:tcBorders>
              <w:top w:val="single" w:color="000000" w:sz="4" w:space="0"/>
              <w:left w:val="single" w:color="000000" w:sz="4" w:space="0"/>
              <w:bottom w:val="single" w:color="000000" w:sz="4" w:space="0"/>
              <w:right w:val="single" w:color="000000" w:sz="4" w:space="0"/>
            </w:tcBorders>
            <w:vAlign w:val="center"/>
          </w:tcPr>
          <w:p w14:paraId="5C4450F3">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55A711CE">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E8133D9">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16BD2BB">
            <w:pPr>
              <w:spacing w:line="240" w:lineRule="exact"/>
              <w:jc w:val="center"/>
              <w:rPr>
                <w:rFonts w:ascii="宋体" w:hAnsi="宋体" w:cs="宋体"/>
                <w:szCs w:val="21"/>
              </w:rPr>
            </w:pPr>
            <w:r>
              <w:rPr>
                <w:rFonts w:hint="eastAsia" w:ascii="宋体" w:hAnsi="宋体" w:cs="宋体"/>
                <w:szCs w:val="21"/>
              </w:rPr>
              <w:t>★</w:t>
            </w:r>
          </w:p>
        </w:tc>
      </w:tr>
      <w:tr w14:paraId="6DF7AB18">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7CF48C5D">
            <w:pPr>
              <w:spacing w:line="240" w:lineRule="exact"/>
              <w:rPr>
                <w:rFonts w:ascii="宋体" w:hAnsi="宋体" w:cs="宋体"/>
                <w:szCs w:val="21"/>
              </w:rPr>
            </w:pPr>
            <w:r>
              <w:rPr>
                <w:rFonts w:hint="eastAsia" w:ascii="宋体" w:hAnsi="宋体" w:cs="宋体"/>
                <w:szCs w:val="21"/>
              </w:rPr>
              <w:t>8.2.1顾客沟通</w:t>
            </w:r>
          </w:p>
        </w:tc>
        <w:tc>
          <w:tcPr>
            <w:tcW w:w="2039" w:type="dxa"/>
            <w:tcBorders>
              <w:top w:val="single" w:color="000000" w:sz="4" w:space="0"/>
              <w:left w:val="single" w:color="000000" w:sz="4" w:space="0"/>
              <w:bottom w:val="single" w:color="000000" w:sz="4" w:space="0"/>
              <w:right w:val="single" w:color="auto" w:sz="4" w:space="0"/>
            </w:tcBorders>
            <w:vAlign w:val="center"/>
          </w:tcPr>
          <w:p w14:paraId="0F8436D1">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1B4F8C9A">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28C48CC0">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70F29AE2">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552845A">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7A0B6301">
            <w:pPr>
              <w:spacing w:line="240" w:lineRule="exact"/>
              <w:jc w:val="center"/>
              <w:rPr>
                <w:rFonts w:ascii="宋体" w:hAnsi="宋体" w:cs="宋体"/>
                <w:szCs w:val="21"/>
              </w:rPr>
            </w:pPr>
            <w:r>
              <w:rPr>
                <w:rFonts w:hint="eastAsia" w:ascii="宋体" w:hAnsi="宋体" w:cs="宋体"/>
                <w:szCs w:val="21"/>
              </w:rPr>
              <w:t>△</w:t>
            </w:r>
          </w:p>
        </w:tc>
      </w:tr>
      <w:tr w14:paraId="577CADE6">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4B0D5249">
            <w:pPr>
              <w:spacing w:line="240" w:lineRule="exact"/>
              <w:rPr>
                <w:rFonts w:ascii="宋体" w:hAnsi="宋体" w:cs="宋体"/>
                <w:szCs w:val="21"/>
              </w:rPr>
            </w:pPr>
            <w:r>
              <w:rPr>
                <w:rFonts w:hint="eastAsia" w:ascii="宋体" w:hAnsi="宋体" w:cs="宋体"/>
                <w:szCs w:val="21"/>
              </w:rPr>
              <w:t>8.2.2与服务相关的要求的确定</w:t>
            </w:r>
          </w:p>
        </w:tc>
        <w:tc>
          <w:tcPr>
            <w:tcW w:w="2039" w:type="dxa"/>
            <w:tcBorders>
              <w:top w:val="single" w:color="000000" w:sz="4" w:space="0"/>
              <w:left w:val="single" w:color="000000" w:sz="4" w:space="0"/>
              <w:bottom w:val="single" w:color="000000" w:sz="4" w:space="0"/>
              <w:right w:val="single" w:color="auto" w:sz="4" w:space="0"/>
            </w:tcBorders>
            <w:vAlign w:val="center"/>
          </w:tcPr>
          <w:p w14:paraId="21EB3956">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0ABF43DB">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378DEDF0">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60E338FB">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0984E87">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2D51C92F">
            <w:pPr>
              <w:spacing w:line="240" w:lineRule="exact"/>
              <w:jc w:val="center"/>
              <w:rPr>
                <w:rFonts w:ascii="宋体" w:hAnsi="宋体" w:cs="宋体"/>
                <w:szCs w:val="21"/>
              </w:rPr>
            </w:pPr>
            <w:r>
              <w:rPr>
                <w:rFonts w:hint="eastAsia" w:ascii="宋体" w:hAnsi="宋体" w:cs="宋体"/>
                <w:szCs w:val="21"/>
              </w:rPr>
              <w:t>△</w:t>
            </w:r>
          </w:p>
        </w:tc>
      </w:tr>
      <w:tr w14:paraId="55B68C03">
        <w:tblPrEx>
          <w:tblCellMar>
            <w:top w:w="0" w:type="dxa"/>
            <w:left w:w="0" w:type="dxa"/>
            <w:bottom w:w="0" w:type="dxa"/>
            <w:right w:w="0" w:type="dxa"/>
          </w:tblCellMar>
        </w:tblPrEx>
        <w:trPr>
          <w:trHeight w:val="479"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367756D0">
            <w:pPr>
              <w:spacing w:line="240" w:lineRule="exact"/>
              <w:rPr>
                <w:rFonts w:ascii="宋体" w:hAnsi="宋体" w:cs="宋体"/>
                <w:szCs w:val="21"/>
              </w:rPr>
            </w:pPr>
            <w:r>
              <w:rPr>
                <w:rFonts w:hint="eastAsia" w:ascii="宋体" w:hAnsi="宋体" w:cs="宋体"/>
                <w:szCs w:val="21"/>
              </w:rPr>
              <w:t>8.2.3与服务相关的要求的评审</w:t>
            </w:r>
          </w:p>
        </w:tc>
        <w:tc>
          <w:tcPr>
            <w:tcW w:w="2039" w:type="dxa"/>
            <w:tcBorders>
              <w:top w:val="single" w:color="000000" w:sz="4" w:space="0"/>
              <w:left w:val="single" w:color="000000" w:sz="4" w:space="0"/>
              <w:bottom w:val="single" w:color="000000" w:sz="4" w:space="0"/>
              <w:right w:val="single" w:color="auto" w:sz="4" w:space="0"/>
            </w:tcBorders>
            <w:vAlign w:val="center"/>
          </w:tcPr>
          <w:p w14:paraId="6F3AC2AC">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3DB536CF">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36B83B7A">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25707245">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4C2B6BA">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6E6A47B">
            <w:pPr>
              <w:spacing w:line="240" w:lineRule="exact"/>
              <w:jc w:val="center"/>
              <w:rPr>
                <w:rFonts w:ascii="宋体" w:hAnsi="宋体" w:cs="宋体"/>
                <w:szCs w:val="21"/>
              </w:rPr>
            </w:pPr>
            <w:r>
              <w:rPr>
                <w:rFonts w:hint="eastAsia" w:ascii="宋体" w:hAnsi="宋体" w:cs="宋体"/>
                <w:szCs w:val="21"/>
              </w:rPr>
              <w:t>△</w:t>
            </w:r>
          </w:p>
        </w:tc>
      </w:tr>
      <w:tr w14:paraId="438D103F">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077E450F">
            <w:pPr>
              <w:spacing w:line="240" w:lineRule="exact"/>
              <w:rPr>
                <w:rFonts w:ascii="宋体" w:hAnsi="宋体" w:cs="宋体"/>
                <w:szCs w:val="21"/>
              </w:rPr>
            </w:pPr>
            <w:r>
              <w:rPr>
                <w:rFonts w:hint="eastAsia" w:ascii="宋体" w:hAnsi="宋体" w:cs="宋体"/>
                <w:szCs w:val="21"/>
              </w:rPr>
              <w:t>8.2.4服务要求的更改</w:t>
            </w:r>
          </w:p>
        </w:tc>
        <w:tc>
          <w:tcPr>
            <w:tcW w:w="2039" w:type="dxa"/>
            <w:tcBorders>
              <w:top w:val="single" w:color="000000" w:sz="4" w:space="0"/>
              <w:left w:val="single" w:color="000000" w:sz="4" w:space="0"/>
              <w:bottom w:val="single" w:color="000000" w:sz="4" w:space="0"/>
              <w:right w:val="single" w:color="auto" w:sz="4" w:space="0"/>
            </w:tcBorders>
            <w:vAlign w:val="center"/>
          </w:tcPr>
          <w:p w14:paraId="30A0DF35">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36EA3A09">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0CEE1818">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38817005">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auto" w:sz="4" w:space="0"/>
            </w:tcBorders>
            <w:vAlign w:val="center"/>
          </w:tcPr>
          <w:p w14:paraId="4336FF4F">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auto" w:sz="4" w:space="0"/>
            </w:tcBorders>
            <w:vAlign w:val="center"/>
          </w:tcPr>
          <w:p w14:paraId="2BFC8869">
            <w:pPr>
              <w:spacing w:line="240" w:lineRule="exact"/>
              <w:jc w:val="center"/>
              <w:rPr>
                <w:rFonts w:ascii="宋体" w:hAnsi="宋体" w:cs="宋体"/>
                <w:szCs w:val="21"/>
              </w:rPr>
            </w:pPr>
            <w:r>
              <w:rPr>
                <w:rFonts w:hint="eastAsia" w:ascii="宋体" w:hAnsi="宋体" w:cs="宋体"/>
                <w:szCs w:val="21"/>
              </w:rPr>
              <w:t>△</w:t>
            </w:r>
          </w:p>
        </w:tc>
      </w:tr>
      <w:tr w14:paraId="48680A8F">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75EF54EB">
            <w:pPr>
              <w:spacing w:line="240" w:lineRule="exact"/>
              <w:rPr>
                <w:rFonts w:ascii="宋体" w:hAnsi="宋体" w:cs="宋体"/>
                <w:szCs w:val="21"/>
              </w:rPr>
            </w:pPr>
            <w:r>
              <w:rPr>
                <w:rFonts w:hint="eastAsia" w:ascii="宋体" w:hAnsi="宋体" w:cs="宋体"/>
                <w:szCs w:val="21"/>
              </w:rPr>
              <w:t>8.3服务的设计开发</w:t>
            </w:r>
          </w:p>
        </w:tc>
        <w:tc>
          <w:tcPr>
            <w:tcW w:w="2039" w:type="dxa"/>
            <w:tcBorders>
              <w:top w:val="single" w:color="000000" w:sz="4" w:space="0"/>
              <w:left w:val="single" w:color="000000" w:sz="4" w:space="0"/>
              <w:bottom w:val="single" w:color="000000" w:sz="4" w:space="0"/>
              <w:right w:val="single" w:color="auto" w:sz="4" w:space="0"/>
            </w:tcBorders>
            <w:vAlign w:val="center"/>
          </w:tcPr>
          <w:p w14:paraId="58165332">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03479815">
            <w:pPr>
              <w:spacing w:line="240" w:lineRule="exact"/>
              <w:rPr>
                <w:rFonts w:ascii="宋体" w:hAnsi="宋体" w:cs="宋体"/>
                <w:szCs w:val="21"/>
              </w:rPr>
            </w:pPr>
          </w:p>
        </w:tc>
        <w:tc>
          <w:tcPr>
            <w:tcW w:w="741" w:type="dxa"/>
            <w:tcBorders>
              <w:top w:val="single" w:color="auto" w:sz="4" w:space="0"/>
              <w:bottom w:val="single" w:color="auto" w:sz="4" w:space="0"/>
              <w:right w:val="single" w:color="auto" w:sz="4" w:space="0"/>
            </w:tcBorders>
            <w:shd w:val="clear" w:color="auto" w:fill="auto"/>
            <w:vAlign w:val="center"/>
          </w:tcPr>
          <w:p w14:paraId="52E3E30D">
            <w:pPr>
              <w:jc w:val="center"/>
              <w:rPr>
                <w:rFonts w:eastAsiaTheme="minorEastAsia"/>
              </w:rPr>
            </w:pPr>
            <w:r>
              <w:rPr>
                <w:rFonts w:hint="eastAsia"/>
              </w:rPr>
              <w:t>/</w:t>
            </w:r>
          </w:p>
        </w:tc>
        <w:tc>
          <w:tcPr>
            <w:tcW w:w="779" w:type="dxa"/>
            <w:tcBorders>
              <w:top w:val="single" w:color="auto" w:sz="4" w:space="0"/>
              <w:bottom w:val="single" w:color="auto" w:sz="4" w:space="0"/>
              <w:right w:val="single" w:color="auto" w:sz="4" w:space="0"/>
            </w:tcBorders>
            <w:shd w:val="clear" w:color="auto" w:fill="auto"/>
            <w:vAlign w:val="center"/>
          </w:tcPr>
          <w:p w14:paraId="6BC3EC32">
            <w:pPr>
              <w:jc w:val="center"/>
              <w:rPr>
                <w:rFonts w:eastAsiaTheme="minorEastAsia"/>
              </w:rPr>
            </w:pPr>
            <w:r>
              <w:rPr>
                <w:rFonts w:hint="eastAsia"/>
              </w:rPr>
              <w:t>/</w:t>
            </w:r>
          </w:p>
        </w:tc>
        <w:tc>
          <w:tcPr>
            <w:tcW w:w="1164" w:type="dxa"/>
            <w:tcBorders>
              <w:top w:val="single" w:color="auto" w:sz="4" w:space="0"/>
              <w:bottom w:val="single" w:color="auto" w:sz="4" w:space="0"/>
              <w:right w:val="single" w:color="auto" w:sz="4" w:space="0"/>
            </w:tcBorders>
            <w:vAlign w:val="center"/>
          </w:tcPr>
          <w:p w14:paraId="30EF2257">
            <w:pPr>
              <w:spacing w:line="240" w:lineRule="exact"/>
              <w:jc w:val="center"/>
            </w:pPr>
            <w:r>
              <w:rPr>
                <w:rFonts w:hint="eastAsia" w:ascii="宋体" w:hAnsi="宋体" w:cs="宋体"/>
                <w:szCs w:val="21"/>
              </w:rPr>
              <w:t>/</w:t>
            </w:r>
          </w:p>
        </w:tc>
        <w:tc>
          <w:tcPr>
            <w:tcW w:w="1164" w:type="dxa"/>
            <w:tcBorders>
              <w:top w:val="single" w:color="auto" w:sz="4" w:space="0"/>
              <w:bottom w:val="single" w:color="auto" w:sz="4" w:space="0"/>
              <w:right w:val="single" w:color="auto" w:sz="4" w:space="0"/>
            </w:tcBorders>
            <w:vAlign w:val="center"/>
          </w:tcPr>
          <w:p w14:paraId="1DADB933">
            <w:pPr>
              <w:spacing w:line="240" w:lineRule="exact"/>
              <w:jc w:val="center"/>
              <w:rPr>
                <w:rFonts w:ascii="宋体" w:hAnsi="宋体" w:cs="宋体"/>
                <w:szCs w:val="21"/>
              </w:rPr>
            </w:pPr>
            <w:r>
              <w:rPr>
                <w:rFonts w:hint="eastAsia" w:ascii="宋体" w:hAnsi="宋体" w:cs="宋体"/>
                <w:szCs w:val="21"/>
              </w:rPr>
              <w:t>/</w:t>
            </w:r>
          </w:p>
        </w:tc>
      </w:tr>
      <w:tr w14:paraId="69FD7161">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2517532A">
            <w:pPr>
              <w:spacing w:line="240" w:lineRule="exact"/>
              <w:rPr>
                <w:rFonts w:ascii="宋体" w:hAnsi="宋体" w:cs="宋体"/>
                <w:szCs w:val="21"/>
              </w:rPr>
            </w:pPr>
            <w:r>
              <w:rPr>
                <w:rFonts w:hint="eastAsia" w:ascii="宋体" w:hAnsi="宋体" w:cs="宋体"/>
                <w:szCs w:val="21"/>
              </w:rPr>
              <w:t>8.4外部提供过程、产品和服务的控制</w:t>
            </w:r>
          </w:p>
        </w:tc>
        <w:tc>
          <w:tcPr>
            <w:tcW w:w="2039" w:type="dxa"/>
            <w:tcBorders>
              <w:top w:val="single" w:color="000000" w:sz="4" w:space="0"/>
              <w:left w:val="single" w:color="000000" w:sz="4" w:space="0"/>
              <w:bottom w:val="single" w:color="000000" w:sz="4" w:space="0"/>
              <w:right w:val="single" w:color="auto" w:sz="4" w:space="0"/>
            </w:tcBorders>
            <w:vAlign w:val="center"/>
          </w:tcPr>
          <w:p w14:paraId="6F92333D">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71BE02D6">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232C4FBF">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1D3BAB04">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auto" w:sz="4" w:space="0"/>
            </w:tcBorders>
            <w:vAlign w:val="center"/>
          </w:tcPr>
          <w:p w14:paraId="367637AF">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auto" w:sz="4" w:space="0"/>
            </w:tcBorders>
            <w:vAlign w:val="center"/>
          </w:tcPr>
          <w:p w14:paraId="61A647C7">
            <w:pPr>
              <w:spacing w:line="240" w:lineRule="exact"/>
              <w:jc w:val="center"/>
              <w:rPr>
                <w:rFonts w:ascii="宋体" w:hAnsi="宋体" w:cs="宋体"/>
                <w:szCs w:val="21"/>
              </w:rPr>
            </w:pPr>
            <w:r>
              <w:rPr>
                <w:rFonts w:hint="eastAsia" w:ascii="宋体" w:hAnsi="宋体" w:cs="宋体"/>
                <w:szCs w:val="21"/>
              </w:rPr>
              <w:t>△</w:t>
            </w:r>
          </w:p>
        </w:tc>
      </w:tr>
      <w:tr w14:paraId="2FDFBFD7">
        <w:tblPrEx>
          <w:tblCellMar>
            <w:top w:w="0" w:type="dxa"/>
            <w:left w:w="0" w:type="dxa"/>
            <w:bottom w:w="0" w:type="dxa"/>
            <w:right w:w="0" w:type="dxa"/>
          </w:tblCellMar>
        </w:tblPrEx>
        <w:trPr>
          <w:trHeight w:val="429"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44F05365">
            <w:pPr>
              <w:spacing w:line="240" w:lineRule="exact"/>
              <w:rPr>
                <w:rFonts w:ascii="宋体" w:hAnsi="宋体" w:cs="宋体"/>
                <w:szCs w:val="21"/>
              </w:rPr>
            </w:pPr>
            <w:r>
              <w:rPr>
                <w:rFonts w:hint="eastAsia" w:ascii="宋体" w:hAnsi="宋体" w:cs="宋体"/>
                <w:szCs w:val="21"/>
              </w:rPr>
              <w:t>8.5服务提供</w:t>
            </w:r>
          </w:p>
        </w:tc>
        <w:tc>
          <w:tcPr>
            <w:tcW w:w="2039" w:type="dxa"/>
            <w:tcBorders>
              <w:top w:val="single" w:color="000000" w:sz="4" w:space="0"/>
              <w:left w:val="single" w:color="000000" w:sz="4" w:space="0"/>
              <w:bottom w:val="single" w:color="000000" w:sz="4" w:space="0"/>
              <w:right w:val="single" w:color="auto" w:sz="4" w:space="0"/>
            </w:tcBorders>
            <w:vAlign w:val="center"/>
          </w:tcPr>
          <w:p w14:paraId="1C2929C8">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684F68B6">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7267E249">
            <w:pPr>
              <w:jc w:val="center"/>
            </w:pPr>
          </w:p>
        </w:tc>
        <w:tc>
          <w:tcPr>
            <w:tcW w:w="779" w:type="dxa"/>
            <w:tcBorders>
              <w:top w:val="single" w:color="000000" w:sz="4" w:space="0"/>
              <w:left w:val="single" w:color="000000" w:sz="4" w:space="0"/>
              <w:bottom w:val="single" w:color="000000" w:sz="4" w:space="0"/>
              <w:right w:val="single" w:color="000000" w:sz="4" w:space="0"/>
            </w:tcBorders>
            <w:vAlign w:val="center"/>
          </w:tcPr>
          <w:p w14:paraId="7789DD54">
            <w:pPr>
              <w:jc w:val="center"/>
            </w:pPr>
          </w:p>
        </w:tc>
        <w:tc>
          <w:tcPr>
            <w:tcW w:w="1164" w:type="dxa"/>
            <w:tcBorders>
              <w:top w:val="single" w:color="000000" w:sz="4" w:space="0"/>
              <w:left w:val="single" w:color="000000" w:sz="4" w:space="0"/>
              <w:bottom w:val="single" w:color="000000" w:sz="4" w:space="0"/>
              <w:right w:val="single" w:color="000000" w:sz="4" w:space="0"/>
            </w:tcBorders>
            <w:vAlign w:val="center"/>
          </w:tcPr>
          <w:p w14:paraId="7AE53087">
            <w:pPr>
              <w:spacing w:line="240" w:lineRule="exact"/>
              <w:jc w:val="center"/>
              <w:rPr>
                <w:rFonts w:ascii="宋体" w:hAnsi="宋体" w:cs="宋体"/>
                <w:szCs w:val="21"/>
              </w:rPr>
            </w:pPr>
          </w:p>
        </w:tc>
        <w:tc>
          <w:tcPr>
            <w:tcW w:w="1164" w:type="dxa"/>
            <w:tcBorders>
              <w:top w:val="single" w:color="000000" w:sz="4" w:space="0"/>
              <w:left w:val="single" w:color="000000" w:sz="4" w:space="0"/>
              <w:bottom w:val="single" w:color="000000" w:sz="4" w:space="0"/>
              <w:right w:val="single" w:color="000000" w:sz="4" w:space="0"/>
            </w:tcBorders>
          </w:tcPr>
          <w:p w14:paraId="49420CFC">
            <w:pPr>
              <w:spacing w:line="240" w:lineRule="exact"/>
              <w:jc w:val="center"/>
              <w:rPr>
                <w:rFonts w:ascii="宋体" w:hAnsi="宋体" w:cs="宋体"/>
                <w:szCs w:val="21"/>
              </w:rPr>
            </w:pPr>
          </w:p>
        </w:tc>
      </w:tr>
      <w:tr w14:paraId="7F65529F">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08A65A94">
            <w:pPr>
              <w:spacing w:line="240" w:lineRule="exact"/>
              <w:rPr>
                <w:rFonts w:ascii="宋体" w:hAnsi="宋体" w:cs="宋体"/>
                <w:szCs w:val="21"/>
              </w:rPr>
            </w:pPr>
            <w:r>
              <w:rPr>
                <w:rFonts w:hint="eastAsia" w:ascii="宋体" w:hAnsi="宋体" w:cs="宋体"/>
                <w:szCs w:val="21"/>
              </w:rPr>
              <w:t>8.5.1服务提供的控制</w:t>
            </w:r>
          </w:p>
        </w:tc>
        <w:tc>
          <w:tcPr>
            <w:tcW w:w="2039" w:type="dxa"/>
            <w:tcBorders>
              <w:top w:val="single" w:color="000000" w:sz="4" w:space="0"/>
              <w:left w:val="single" w:color="000000" w:sz="4" w:space="0"/>
              <w:bottom w:val="single" w:color="000000" w:sz="4" w:space="0"/>
              <w:right w:val="single" w:color="auto" w:sz="4" w:space="0"/>
            </w:tcBorders>
            <w:vAlign w:val="center"/>
          </w:tcPr>
          <w:p w14:paraId="496460CB">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1047D2D8">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502672D2">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57F1523C">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4FE46478">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FE2AED3">
            <w:pPr>
              <w:spacing w:line="240" w:lineRule="exact"/>
              <w:jc w:val="center"/>
              <w:rPr>
                <w:rFonts w:ascii="宋体" w:hAnsi="宋体" w:cs="宋体"/>
                <w:szCs w:val="21"/>
              </w:rPr>
            </w:pPr>
            <w:r>
              <w:rPr>
                <w:rFonts w:hint="eastAsia" w:ascii="宋体" w:hAnsi="宋体" w:cs="宋体"/>
                <w:szCs w:val="21"/>
              </w:rPr>
              <w:t>△</w:t>
            </w:r>
          </w:p>
        </w:tc>
      </w:tr>
      <w:tr w14:paraId="2689AC8C">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tcPr>
          <w:p w14:paraId="59261C7C">
            <w:pPr>
              <w:spacing w:line="240" w:lineRule="exact"/>
              <w:rPr>
                <w:rFonts w:ascii="宋体" w:hAnsi="宋体" w:cs="宋体"/>
                <w:szCs w:val="21"/>
              </w:rPr>
            </w:pPr>
            <w:r>
              <w:rPr>
                <w:rFonts w:hint="eastAsia" w:ascii="宋体" w:hAnsi="宋体" w:cs="宋体"/>
                <w:szCs w:val="21"/>
              </w:rPr>
              <w:t>8.5.2 标识和可追溯性</w:t>
            </w:r>
          </w:p>
        </w:tc>
        <w:tc>
          <w:tcPr>
            <w:tcW w:w="2039" w:type="dxa"/>
            <w:tcBorders>
              <w:top w:val="single" w:color="000000" w:sz="4" w:space="0"/>
              <w:left w:val="single" w:color="000000" w:sz="4" w:space="0"/>
              <w:bottom w:val="single" w:color="000000" w:sz="4" w:space="0"/>
              <w:right w:val="single" w:color="auto" w:sz="4" w:space="0"/>
            </w:tcBorders>
            <w:vAlign w:val="center"/>
          </w:tcPr>
          <w:p w14:paraId="748B6F74">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4BB29337">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2A3F7C7A">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157D5D8D">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7093BDB8">
            <w:pPr>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B972061">
            <w:pPr>
              <w:jc w:val="center"/>
              <w:rPr>
                <w:rFonts w:ascii="宋体" w:hAnsi="宋体" w:cs="宋体"/>
                <w:szCs w:val="21"/>
              </w:rPr>
            </w:pPr>
            <w:r>
              <w:rPr>
                <w:rFonts w:hint="eastAsia" w:ascii="宋体" w:hAnsi="宋体" w:cs="宋体"/>
                <w:szCs w:val="21"/>
              </w:rPr>
              <w:t>△</w:t>
            </w:r>
          </w:p>
        </w:tc>
      </w:tr>
      <w:tr w14:paraId="34A6CAB0">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tcPr>
          <w:p w14:paraId="323DD8F9">
            <w:pPr>
              <w:spacing w:line="240" w:lineRule="exact"/>
              <w:rPr>
                <w:rFonts w:ascii="宋体" w:hAnsi="宋体" w:cs="宋体"/>
                <w:szCs w:val="21"/>
              </w:rPr>
            </w:pPr>
            <w:r>
              <w:rPr>
                <w:rFonts w:hint="eastAsia" w:ascii="宋体" w:hAnsi="宋体" w:cs="宋体"/>
                <w:szCs w:val="21"/>
              </w:rPr>
              <w:t>8.5.3 顾客或外部供方的财产</w:t>
            </w:r>
          </w:p>
        </w:tc>
        <w:tc>
          <w:tcPr>
            <w:tcW w:w="2039" w:type="dxa"/>
            <w:tcBorders>
              <w:top w:val="single" w:color="000000" w:sz="4" w:space="0"/>
              <w:left w:val="single" w:color="000000" w:sz="4" w:space="0"/>
              <w:bottom w:val="single" w:color="000000" w:sz="4" w:space="0"/>
              <w:right w:val="single" w:color="auto" w:sz="4" w:space="0"/>
            </w:tcBorders>
            <w:vAlign w:val="center"/>
          </w:tcPr>
          <w:p w14:paraId="2969632E">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6562FB03">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45B06CC9">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0DCEED3B">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1C32391">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4413B989">
            <w:pPr>
              <w:spacing w:line="240" w:lineRule="exact"/>
              <w:jc w:val="center"/>
              <w:rPr>
                <w:rFonts w:ascii="宋体" w:hAnsi="宋体" w:cs="宋体"/>
                <w:szCs w:val="21"/>
              </w:rPr>
            </w:pPr>
            <w:r>
              <w:rPr>
                <w:rFonts w:hint="eastAsia" w:ascii="宋体" w:hAnsi="宋体" w:cs="宋体"/>
                <w:szCs w:val="21"/>
              </w:rPr>
              <w:t>△</w:t>
            </w:r>
          </w:p>
        </w:tc>
      </w:tr>
      <w:tr w14:paraId="425D7A80">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tcPr>
          <w:p w14:paraId="7DB432EA">
            <w:pPr>
              <w:spacing w:line="240" w:lineRule="exact"/>
              <w:rPr>
                <w:rFonts w:ascii="宋体" w:hAnsi="宋体" w:cs="宋体"/>
                <w:szCs w:val="21"/>
              </w:rPr>
            </w:pPr>
            <w:r>
              <w:rPr>
                <w:rFonts w:hint="eastAsia" w:ascii="宋体" w:hAnsi="宋体" w:cs="宋体"/>
                <w:szCs w:val="21"/>
              </w:rPr>
              <w:t xml:space="preserve">8.5.4 防护 </w:t>
            </w:r>
          </w:p>
        </w:tc>
        <w:tc>
          <w:tcPr>
            <w:tcW w:w="2039" w:type="dxa"/>
            <w:tcBorders>
              <w:top w:val="single" w:color="000000" w:sz="4" w:space="0"/>
              <w:left w:val="single" w:color="000000" w:sz="4" w:space="0"/>
              <w:bottom w:val="single" w:color="000000" w:sz="4" w:space="0"/>
              <w:right w:val="single" w:color="auto" w:sz="4" w:space="0"/>
            </w:tcBorders>
            <w:vAlign w:val="center"/>
          </w:tcPr>
          <w:p w14:paraId="2E55DBAC">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65D7C73F">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2F3C35B6">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0A425CD5">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981EA78">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2760871A">
            <w:pPr>
              <w:jc w:val="center"/>
              <w:rPr>
                <w:rFonts w:ascii="宋体" w:hAnsi="宋体" w:cs="宋体"/>
                <w:szCs w:val="21"/>
              </w:rPr>
            </w:pPr>
            <w:r>
              <w:rPr>
                <w:rFonts w:hint="eastAsia" w:ascii="宋体" w:hAnsi="宋体" w:cs="宋体"/>
                <w:szCs w:val="21"/>
              </w:rPr>
              <w:t>△</w:t>
            </w:r>
          </w:p>
        </w:tc>
      </w:tr>
      <w:tr w14:paraId="37935D38">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tcPr>
          <w:p w14:paraId="572F894A">
            <w:pPr>
              <w:spacing w:line="240" w:lineRule="exact"/>
              <w:rPr>
                <w:rFonts w:ascii="宋体" w:hAnsi="宋体" w:cs="宋体"/>
                <w:szCs w:val="21"/>
              </w:rPr>
            </w:pPr>
            <w:r>
              <w:rPr>
                <w:rFonts w:hint="eastAsia" w:ascii="宋体" w:hAnsi="宋体" w:cs="宋体"/>
                <w:szCs w:val="21"/>
              </w:rPr>
              <w:t xml:space="preserve">8.5.5 交付后的活动 </w:t>
            </w:r>
          </w:p>
        </w:tc>
        <w:tc>
          <w:tcPr>
            <w:tcW w:w="2039" w:type="dxa"/>
            <w:tcBorders>
              <w:top w:val="single" w:color="000000" w:sz="4" w:space="0"/>
              <w:left w:val="single" w:color="000000" w:sz="4" w:space="0"/>
              <w:bottom w:val="single" w:color="000000" w:sz="4" w:space="0"/>
              <w:right w:val="single" w:color="auto" w:sz="4" w:space="0"/>
            </w:tcBorders>
            <w:vAlign w:val="center"/>
          </w:tcPr>
          <w:p w14:paraId="09EC7836">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1888DDB5">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1B8D6C76">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17200898">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72CD1C9">
            <w:pPr>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2F62326F">
            <w:pPr>
              <w:spacing w:line="240" w:lineRule="exact"/>
              <w:jc w:val="center"/>
              <w:rPr>
                <w:rFonts w:ascii="宋体" w:hAnsi="宋体" w:cs="宋体"/>
                <w:szCs w:val="21"/>
              </w:rPr>
            </w:pPr>
            <w:r>
              <w:rPr>
                <w:rFonts w:hint="eastAsia" w:ascii="宋体" w:hAnsi="宋体" w:cs="宋体"/>
                <w:szCs w:val="21"/>
              </w:rPr>
              <w:t>△</w:t>
            </w:r>
          </w:p>
        </w:tc>
      </w:tr>
      <w:tr w14:paraId="5BD6D9B7">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tcPr>
          <w:p w14:paraId="3129EE5B">
            <w:pPr>
              <w:spacing w:line="240" w:lineRule="exact"/>
              <w:rPr>
                <w:rFonts w:ascii="宋体" w:hAnsi="宋体" w:cs="宋体"/>
                <w:szCs w:val="21"/>
              </w:rPr>
            </w:pPr>
            <w:r>
              <w:rPr>
                <w:rFonts w:hint="eastAsia" w:ascii="宋体" w:hAnsi="宋体" w:cs="宋体"/>
                <w:szCs w:val="21"/>
              </w:rPr>
              <w:t xml:space="preserve">8.5.6 更改控制 </w:t>
            </w:r>
          </w:p>
        </w:tc>
        <w:tc>
          <w:tcPr>
            <w:tcW w:w="2039" w:type="dxa"/>
            <w:tcBorders>
              <w:top w:val="single" w:color="000000" w:sz="4" w:space="0"/>
              <w:left w:val="single" w:color="000000" w:sz="4" w:space="0"/>
              <w:bottom w:val="single" w:color="000000" w:sz="4" w:space="0"/>
              <w:right w:val="single" w:color="auto" w:sz="4" w:space="0"/>
            </w:tcBorders>
            <w:vAlign w:val="center"/>
          </w:tcPr>
          <w:p w14:paraId="283B09CA">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58D37EC4">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119A1569">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108C66AE">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75B2CD76">
            <w:pPr>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185B4C7">
            <w:pPr>
              <w:jc w:val="center"/>
              <w:rPr>
                <w:rFonts w:ascii="宋体" w:hAnsi="宋体" w:cs="宋体"/>
                <w:szCs w:val="21"/>
              </w:rPr>
            </w:pPr>
            <w:r>
              <w:rPr>
                <w:rFonts w:hint="eastAsia" w:ascii="宋体" w:hAnsi="宋体" w:cs="宋体"/>
                <w:szCs w:val="21"/>
              </w:rPr>
              <w:t>△</w:t>
            </w:r>
          </w:p>
        </w:tc>
      </w:tr>
      <w:tr w14:paraId="26C26060">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6536DC1E">
            <w:pPr>
              <w:spacing w:line="240" w:lineRule="exact"/>
              <w:rPr>
                <w:rFonts w:ascii="宋体" w:hAnsi="宋体" w:cs="宋体"/>
                <w:szCs w:val="21"/>
              </w:rPr>
            </w:pPr>
            <w:r>
              <w:rPr>
                <w:rFonts w:hint="eastAsia" w:ascii="宋体" w:hAnsi="宋体" w:cs="宋体"/>
                <w:szCs w:val="21"/>
              </w:rPr>
              <w:t>8.6服务的放行</w:t>
            </w:r>
          </w:p>
        </w:tc>
        <w:tc>
          <w:tcPr>
            <w:tcW w:w="2039" w:type="dxa"/>
            <w:tcBorders>
              <w:top w:val="single" w:color="000000" w:sz="4" w:space="0"/>
              <w:left w:val="single" w:color="000000" w:sz="4" w:space="0"/>
              <w:bottom w:val="single" w:color="000000" w:sz="4" w:space="0"/>
              <w:right w:val="single" w:color="auto" w:sz="4" w:space="0"/>
            </w:tcBorders>
            <w:vAlign w:val="center"/>
          </w:tcPr>
          <w:p w14:paraId="26D7E358">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1E03012F">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551E4B63">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137D94C6">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DF11609">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46EDB360">
            <w:pPr>
              <w:spacing w:line="240" w:lineRule="exact"/>
              <w:jc w:val="center"/>
              <w:rPr>
                <w:rFonts w:ascii="宋体" w:hAnsi="宋体" w:cs="宋体"/>
                <w:szCs w:val="21"/>
              </w:rPr>
            </w:pPr>
            <w:r>
              <w:rPr>
                <w:rFonts w:hint="eastAsia" w:ascii="宋体" w:hAnsi="宋体" w:cs="宋体"/>
                <w:szCs w:val="21"/>
              </w:rPr>
              <w:t>△</w:t>
            </w:r>
          </w:p>
        </w:tc>
      </w:tr>
      <w:tr w14:paraId="3D3FC876">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7DBAB1C7">
            <w:pPr>
              <w:spacing w:line="240" w:lineRule="exact"/>
              <w:rPr>
                <w:rFonts w:ascii="宋体" w:hAnsi="宋体" w:cs="宋体"/>
                <w:szCs w:val="21"/>
              </w:rPr>
            </w:pPr>
            <w:r>
              <w:rPr>
                <w:rFonts w:hint="eastAsia" w:ascii="宋体" w:hAnsi="宋体" w:cs="宋体"/>
                <w:szCs w:val="21"/>
              </w:rPr>
              <w:t>8.7不合格输出的控制</w:t>
            </w:r>
          </w:p>
        </w:tc>
        <w:tc>
          <w:tcPr>
            <w:tcW w:w="2039" w:type="dxa"/>
            <w:tcBorders>
              <w:top w:val="single" w:color="000000" w:sz="4" w:space="0"/>
              <w:left w:val="single" w:color="000000" w:sz="4" w:space="0"/>
              <w:bottom w:val="single" w:color="000000" w:sz="4" w:space="0"/>
              <w:right w:val="single" w:color="auto" w:sz="4" w:space="0"/>
            </w:tcBorders>
            <w:vAlign w:val="center"/>
          </w:tcPr>
          <w:p w14:paraId="52021D14">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707B2294">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6AD66233">
            <w:pPr>
              <w:jc w:val="cente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53F93D54">
            <w:pPr>
              <w:jc w:val="cente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426245A">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3AF2A42">
            <w:pPr>
              <w:spacing w:line="240" w:lineRule="exact"/>
              <w:jc w:val="center"/>
              <w:rPr>
                <w:rFonts w:ascii="宋体" w:hAnsi="宋体" w:cs="宋体"/>
                <w:szCs w:val="21"/>
              </w:rPr>
            </w:pPr>
            <w:r>
              <w:rPr>
                <w:rFonts w:hint="eastAsia" w:ascii="宋体" w:hAnsi="宋体" w:cs="宋体"/>
                <w:szCs w:val="21"/>
              </w:rPr>
              <w:t>△</w:t>
            </w:r>
          </w:p>
        </w:tc>
      </w:tr>
      <w:tr w14:paraId="5FD5E2CA">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2A31A985">
            <w:pPr>
              <w:spacing w:line="240" w:lineRule="exact"/>
              <w:rPr>
                <w:rFonts w:ascii="宋体" w:hAnsi="宋体" w:cs="宋体"/>
                <w:szCs w:val="21"/>
              </w:rPr>
            </w:pPr>
          </w:p>
        </w:tc>
        <w:tc>
          <w:tcPr>
            <w:tcW w:w="2039" w:type="dxa"/>
            <w:tcBorders>
              <w:top w:val="single" w:color="000000" w:sz="4" w:space="0"/>
              <w:left w:val="single" w:color="000000" w:sz="4" w:space="0"/>
              <w:bottom w:val="single" w:color="000000" w:sz="4" w:space="0"/>
              <w:right w:val="single" w:color="auto" w:sz="4" w:space="0"/>
            </w:tcBorders>
            <w:vAlign w:val="center"/>
          </w:tcPr>
          <w:p w14:paraId="6133A80B">
            <w:pPr>
              <w:spacing w:line="240" w:lineRule="exact"/>
              <w:rPr>
                <w:rFonts w:ascii="宋体" w:hAnsi="宋体" w:cs="宋体"/>
                <w:szCs w:val="21"/>
              </w:rPr>
            </w:pPr>
            <w:r>
              <w:rPr>
                <w:rFonts w:hint="eastAsia" w:ascii="宋体" w:hAnsi="宋体" w:cs="宋体"/>
                <w:szCs w:val="21"/>
              </w:rPr>
              <w:t>8.2应急准备和响应</w:t>
            </w:r>
          </w:p>
        </w:tc>
        <w:tc>
          <w:tcPr>
            <w:tcW w:w="2233" w:type="dxa"/>
            <w:tcBorders>
              <w:top w:val="single" w:color="000000" w:sz="4" w:space="0"/>
              <w:left w:val="single" w:color="auto" w:sz="4" w:space="0"/>
              <w:bottom w:val="single" w:color="000000" w:sz="4" w:space="0"/>
              <w:right w:val="single" w:color="000000" w:sz="4" w:space="0"/>
            </w:tcBorders>
            <w:vAlign w:val="center"/>
          </w:tcPr>
          <w:p w14:paraId="476624D3">
            <w:pPr>
              <w:spacing w:line="240" w:lineRule="exact"/>
              <w:rPr>
                <w:rFonts w:ascii="宋体" w:hAnsi="宋体" w:cs="宋体"/>
                <w:szCs w:val="21"/>
              </w:rPr>
            </w:pPr>
            <w:r>
              <w:rPr>
                <w:rFonts w:hint="eastAsia" w:ascii="宋体" w:hAnsi="宋体" w:cs="宋体"/>
                <w:szCs w:val="21"/>
              </w:rPr>
              <w:t>8.2 应急准备和响应</w:t>
            </w:r>
          </w:p>
        </w:tc>
        <w:tc>
          <w:tcPr>
            <w:tcW w:w="741" w:type="dxa"/>
            <w:tcBorders>
              <w:top w:val="single" w:color="000000" w:sz="4" w:space="0"/>
              <w:left w:val="single" w:color="000000" w:sz="4" w:space="0"/>
              <w:bottom w:val="single" w:color="000000" w:sz="4" w:space="0"/>
              <w:right w:val="single" w:color="000000" w:sz="4" w:space="0"/>
            </w:tcBorders>
            <w:vAlign w:val="center"/>
          </w:tcPr>
          <w:p w14:paraId="389D7FF4">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0D187189">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234B4AE">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55469A9">
            <w:pPr>
              <w:spacing w:line="240" w:lineRule="exact"/>
              <w:jc w:val="center"/>
              <w:rPr>
                <w:rFonts w:ascii="宋体" w:hAnsi="宋体" w:cs="宋体"/>
                <w:szCs w:val="21"/>
              </w:rPr>
            </w:pPr>
            <w:r>
              <w:rPr>
                <w:rFonts w:hint="eastAsia" w:ascii="宋体" w:hAnsi="宋体" w:cs="宋体"/>
                <w:szCs w:val="21"/>
              </w:rPr>
              <w:t>△</w:t>
            </w:r>
          </w:p>
        </w:tc>
      </w:tr>
      <w:tr w14:paraId="2E832F2E">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2171465F">
            <w:pPr>
              <w:spacing w:line="240" w:lineRule="exact"/>
              <w:rPr>
                <w:rFonts w:ascii="宋体" w:hAnsi="宋体" w:cs="宋体"/>
                <w:szCs w:val="21"/>
              </w:rPr>
            </w:pPr>
            <w:r>
              <w:rPr>
                <w:rFonts w:hint="eastAsia" w:ascii="宋体" w:hAnsi="宋体" w:cs="宋体"/>
                <w:szCs w:val="21"/>
              </w:rPr>
              <w:t>9绩效评价</w:t>
            </w:r>
          </w:p>
        </w:tc>
        <w:tc>
          <w:tcPr>
            <w:tcW w:w="2039" w:type="dxa"/>
            <w:tcBorders>
              <w:top w:val="single" w:color="000000" w:sz="4" w:space="0"/>
              <w:left w:val="single" w:color="000000" w:sz="4" w:space="0"/>
              <w:bottom w:val="single" w:color="000000" w:sz="4" w:space="0"/>
              <w:right w:val="single" w:color="auto" w:sz="4" w:space="0"/>
            </w:tcBorders>
            <w:vAlign w:val="center"/>
          </w:tcPr>
          <w:p w14:paraId="2A27A93C">
            <w:pPr>
              <w:spacing w:line="240" w:lineRule="exact"/>
              <w:rPr>
                <w:rFonts w:ascii="宋体" w:hAnsi="宋体" w:cs="宋体"/>
                <w:szCs w:val="21"/>
              </w:rPr>
            </w:pPr>
            <w:r>
              <w:rPr>
                <w:rFonts w:hint="eastAsia" w:ascii="宋体" w:hAnsi="宋体" w:cs="宋体"/>
                <w:szCs w:val="21"/>
              </w:rPr>
              <w:t>9绩效评价</w:t>
            </w:r>
          </w:p>
        </w:tc>
        <w:tc>
          <w:tcPr>
            <w:tcW w:w="2233" w:type="dxa"/>
            <w:tcBorders>
              <w:top w:val="single" w:color="000000" w:sz="4" w:space="0"/>
              <w:left w:val="single" w:color="auto" w:sz="4" w:space="0"/>
              <w:bottom w:val="single" w:color="000000" w:sz="4" w:space="0"/>
              <w:right w:val="single" w:color="000000" w:sz="4" w:space="0"/>
            </w:tcBorders>
          </w:tcPr>
          <w:p w14:paraId="51917A6D">
            <w:pPr>
              <w:rPr>
                <w:rFonts w:ascii="宋体" w:hAnsi="宋体" w:cs="宋体"/>
                <w:szCs w:val="21"/>
              </w:rPr>
            </w:pPr>
            <w:r>
              <w:rPr>
                <w:rFonts w:hint="eastAsia" w:ascii="宋体" w:hAnsi="宋体" w:cs="宋体"/>
                <w:szCs w:val="21"/>
              </w:rPr>
              <w:t>9.1 监视、测量、分析和评价绩效</w:t>
            </w:r>
          </w:p>
        </w:tc>
        <w:tc>
          <w:tcPr>
            <w:tcW w:w="741" w:type="dxa"/>
            <w:tcBorders>
              <w:top w:val="single" w:color="000000" w:sz="4" w:space="0"/>
              <w:left w:val="single" w:color="000000" w:sz="4" w:space="0"/>
              <w:bottom w:val="single" w:color="000000" w:sz="4" w:space="0"/>
              <w:right w:val="single" w:color="000000" w:sz="4" w:space="0"/>
            </w:tcBorders>
            <w:vAlign w:val="center"/>
          </w:tcPr>
          <w:p w14:paraId="2D0F7334">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2AEF1C46">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7FAD11DA">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C879AD7">
            <w:pPr>
              <w:spacing w:line="240" w:lineRule="exact"/>
              <w:jc w:val="center"/>
              <w:rPr>
                <w:rFonts w:ascii="宋体" w:hAnsi="宋体" w:cs="宋体"/>
                <w:szCs w:val="21"/>
              </w:rPr>
            </w:pPr>
            <w:r>
              <w:rPr>
                <w:rFonts w:hint="eastAsia" w:ascii="宋体" w:hAnsi="宋体" w:cs="宋体"/>
                <w:szCs w:val="21"/>
              </w:rPr>
              <w:t>△</w:t>
            </w:r>
          </w:p>
        </w:tc>
      </w:tr>
      <w:tr w14:paraId="3408B173">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66C12D1C">
            <w:pPr>
              <w:spacing w:line="240" w:lineRule="exact"/>
              <w:rPr>
                <w:rFonts w:ascii="宋体" w:hAnsi="宋体" w:cs="宋体"/>
                <w:szCs w:val="21"/>
              </w:rPr>
            </w:pPr>
            <w:r>
              <w:rPr>
                <w:rFonts w:hint="eastAsia" w:ascii="宋体" w:hAnsi="宋体" w:cs="宋体"/>
                <w:szCs w:val="21"/>
              </w:rPr>
              <w:t>9.1.1总则</w:t>
            </w:r>
          </w:p>
        </w:tc>
        <w:tc>
          <w:tcPr>
            <w:tcW w:w="2039" w:type="dxa"/>
            <w:tcBorders>
              <w:top w:val="single" w:color="000000" w:sz="4" w:space="0"/>
              <w:left w:val="single" w:color="000000" w:sz="4" w:space="0"/>
              <w:bottom w:val="single" w:color="000000" w:sz="4" w:space="0"/>
              <w:right w:val="single" w:color="auto" w:sz="4" w:space="0"/>
            </w:tcBorders>
            <w:vAlign w:val="center"/>
          </w:tcPr>
          <w:p w14:paraId="014177C7">
            <w:pPr>
              <w:spacing w:line="240" w:lineRule="exact"/>
              <w:rPr>
                <w:rFonts w:ascii="宋体" w:hAnsi="宋体" w:cs="宋体"/>
                <w:szCs w:val="21"/>
              </w:rPr>
            </w:pPr>
            <w:r>
              <w:rPr>
                <w:rFonts w:hint="eastAsia" w:ascii="宋体" w:hAnsi="宋体" w:cs="宋体"/>
                <w:szCs w:val="21"/>
              </w:rPr>
              <w:t>9.1.1总则</w:t>
            </w:r>
          </w:p>
        </w:tc>
        <w:tc>
          <w:tcPr>
            <w:tcW w:w="2233" w:type="dxa"/>
            <w:tcBorders>
              <w:top w:val="single" w:color="000000" w:sz="4" w:space="0"/>
              <w:left w:val="single" w:color="auto" w:sz="4" w:space="0"/>
              <w:bottom w:val="single" w:color="000000" w:sz="4" w:space="0"/>
              <w:right w:val="single" w:color="000000" w:sz="4" w:space="0"/>
            </w:tcBorders>
          </w:tcPr>
          <w:p w14:paraId="62947B1E">
            <w:pPr>
              <w:rPr>
                <w:rFonts w:ascii="宋体" w:hAnsi="宋体" w:cs="宋体"/>
                <w:szCs w:val="21"/>
              </w:rPr>
            </w:pPr>
            <w:r>
              <w:rPr>
                <w:rFonts w:hint="eastAsia" w:ascii="宋体" w:hAnsi="宋体" w:cs="宋体"/>
                <w:szCs w:val="21"/>
              </w:rPr>
              <w:t>9.1.1 总则</w:t>
            </w:r>
          </w:p>
        </w:tc>
        <w:tc>
          <w:tcPr>
            <w:tcW w:w="741" w:type="dxa"/>
            <w:tcBorders>
              <w:top w:val="single" w:color="000000" w:sz="4" w:space="0"/>
              <w:left w:val="single" w:color="000000" w:sz="4" w:space="0"/>
              <w:bottom w:val="single" w:color="000000" w:sz="4" w:space="0"/>
              <w:right w:val="single" w:color="000000" w:sz="4" w:space="0"/>
            </w:tcBorders>
            <w:vAlign w:val="center"/>
          </w:tcPr>
          <w:p w14:paraId="6D380369">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00BAFF48">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8D56255">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5102A671">
            <w:pPr>
              <w:spacing w:line="240" w:lineRule="exact"/>
              <w:jc w:val="center"/>
              <w:rPr>
                <w:rFonts w:ascii="宋体" w:hAnsi="宋体" w:cs="宋体"/>
                <w:szCs w:val="21"/>
              </w:rPr>
            </w:pPr>
            <w:r>
              <w:rPr>
                <w:rFonts w:hint="eastAsia" w:ascii="宋体" w:hAnsi="宋体" w:cs="宋体"/>
                <w:szCs w:val="21"/>
              </w:rPr>
              <w:t>△</w:t>
            </w:r>
          </w:p>
        </w:tc>
      </w:tr>
      <w:tr w14:paraId="27BF5BDC">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06ACCED0">
            <w:pPr>
              <w:spacing w:line="240" w:lineRule="exact"/>
              <w:rPr>
                <w:rFonts w:ascii="宋体" w:hAnsi="宋体" w:cs="宋体"/>
                <w:szCs w:val="21"/>
              </w:rPr>
            </w:pPr>
            <w:r>
              <w:rPr>
                <w:rFonts w:hint="eastAsia" w:ascii="宋体" w:hAnsi="宋体" w:cs="宋体"/>
                <w:szCs w:val="21"/>
              </w:rPr>
              <w:t>9.1.2顾客满意</w:t>
            </w:r>
          </w:p>
        </w:tc>
        <w:tc>
          <w:tcPr>
            <w:tcW w:w="2039" w:type="dxa"/>
            <w:tcBorders>
              <w:top w:val="single" w:color="000000" w:sz="4" w:space="0"/>
              <w:left w:val="single" w:color="000000" w:sz="4" w:space="0"/>
              <w:bottom w:val="single" w:color="000000" w:sz="4" w:space="0"/>
              <w:right w:val="single" w:color="auto" w:sz="4" w:space="0"/>
            </w:tcBorders>
            <w:vAlign w:val="center"/>
          </w:tcPr>
          <w:p w14:paraId="0E7F3B24">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284DDB8A">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50133F08">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7F7A0220">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3EB1F18">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54AC426">
            <w:pPr>
              <w:spacing w:line="240" w:lineRule="exact"/>
              <w:jc w:val="center"/>
              <w:rPr>
                <w:rFonts w:ascii="宋体" w:hAnsi="宋体" w:cs="宋体"/>
                <w:szCs w:val="21"/>
              </w:rPr>
            </w:pPr>
            <w:r>
              <w:rPr>
                <w:rFonts w:hint="eastAsia" w:ascii="宋体" w:hAnsi="宋体" w:cs="宋体"/>
                <w:szCs w:val="21"/>
              </w:rPr>
              <w:t>△</w:t>
            </w:r>
          </w:p>
        </w:tc>
      </w:tr>
      <w:tr w14:paraId="7B4AE382">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46A11FF3">
            <w:pPr>
              <w:spacing w:line="240" w:lineRule="exact"/>
              <w:rPr>
                <w:rFonts w:ascii="宋体" w:hAnsi="宋体" w:cs="宋体"/>
                <w:szCs w:val="21"/>
              </w:rPr>
            </w:pPr>
          </w:p>
        </w:tc>
        <w:tc>
          <w:tcPr>
            <w:tcW w:w="2039" w:type="dxa"/>
            <w:tcBorders>
              <w:top w:val="single" w:color="000000" w:sz="4" w:space="0"/>
              <w:left w:val="single" w:color="000000" w:sz="4" w:space="0"/>
              <w:bottom w:val="single" w:color="000000" w:sz="4" w:space="0"/>
              <w:right w:val="single" w:color="auto" w:sz="4" w:space="0"/>
            </w:tcBorders>
            <w:vAlign w:val="center"/>
          </w:tcPr>
          <w:p w14:paraId="31BCE268">
            <w:pPr>
              <w:spacing w:line="240" w:lineRule="exact"/>
              <w:rPr>
                <w:rFonts w:ascii="宋体" w:hAnsi="宋体" w:cs="宋体"/>
                <w:szCs w:val="21"/>
              </w:rPr>
            </w:pPr>
            <w:r>
              <w:rPr>
                <w:rFonts w:hint="eastAsia" w:ascii="宋体" w:hAnsi="宋体" w:cs="宋体"/>
                <w:szCs w:val="21"/>
              </w:rPr>
              <w:t>9.1.2合规性评价</w:t>
            </w:r>
          </w:p>
        </w:tc>
        <w:tc>
          <w:tcPr>
            <w:tcW w:w="2233" w:type="dxa"/>
            <w:tcBorders>
              <w:top w:val="single" w:color="000000" w:sz="4" w:space="0"/>
              <w:left w:val="single" w:color="auto" w:sz="4" w:space="0"/>
              <w:bottom w:val="single" w:color="000000" w:sz="4" w:space="0"/>
              <w:right w:val="single" w:color="000000" w:sz="4" w:space="0"/>
            </w:tcBorders>
            <w:vAlign w:val="center"/>
          </w:tcPr>
          <w:p w14:paraId="1A04846C">
            <w:pPr>
              <w:spacing w:line="240" w:lineRule="exact"/>
              <w:rPr>
                <w:rFonts w:ascii="宋体" w:hAnsi="宋体" w:cs="宋体"/>
                <w:szCs w:val="21"/>
              </w:rPr>
            </w:pPr>
            <w:r>
              <w:rPr>
                <w:rFonts w:hint="eastAsia" w:ascii="宋体" w:hAnsi="宋体" w:cs="宋体"/>
                <w:szCs w:val="21"/>
              </w:rPr>
              <w:t>9.1.2 合规性评价</w:t>
            </w:r>
          </w:p>
        </w:tc>
        <w:tc>
          <w:tcPr>
            <w:tcW w:w="741" w:type="dxa"/>
            <w:tcBorders>
              <w:top w:val="single" w:color="000000" w:sz="4" w:space="0"/>
              <w:left w:val="single" w:color="000000" w:sz="4" w:space="0"/>
              <w:bottom w:val="single" w:color="000000" w:sz="4" w:space="0"/>
              <w:right w:val="single" w:color="000000" w:sz="4" w:space="0"/>
            </w:tcBorders>
            <w:vAlign w:val="center"/>
          </w:tcPr>
          <w:p w14:paraId="4F18B8DB">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4C20D4E5">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43C0803D">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81F1E71">
            <w:pPr>
              <w:spacing w:line="240" w:lineRule="exact"/>
              <w:jc w:val="center"/>
              <w:rPr>
                <w:rFonts w:ascii="宋体" w:hAnsi="宋体" w:cs="宋体"/>
                <w:szCs w:val="21"/>
              </w:rPr>
            </w:pPr>
            <w:r>
              <w:rPr>
                <w:rFonts w:hint="eastAsia" w:ascii="宋体" w:hAnsi="宋体" w:cs="宋体"/>
                <w:szCs w:val="21"/>
              </w:rPr>
              <w:t>△</w:t>
            </w:r>
          </w:p>
        </w:tc>
      </w:tr>
      <w:tr w14:paraId="16BEB617">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50949B4D">
            <w:pPr>
              <w:spacing w:line="240" w:lineRule="exact"/>
              <w:rPr>
                <w:rFonts w:ascii="宋体" w:hAnsi="宋体" w:cs="宋体"/>
                <w:szCs w:val="21"/>
              </w:rPr>
            </w:pPr>
            <w:r>
              <w:rPr>
                <w:rFonts w:hint="eastAsia" w:ascii="宋体" w:hAnsi="宋体" w:cs="宋体"/>
                <w:szCs w:val="21"/>
              </w:rPr>
              <w:t>9.1.3分析与评价</w:t>
            </w:r>
          </w:p>
        </w:tc>
        <w:tc>
          <w:tcPr>
            <w:tcW w:w="2039" w:type="dxa"/>
            <w:tcBorders>
              <w:top w:val="single" w:color="000000" w:sz="4" w:space="0"/>
              <w:left w:val="single" w:color="000000" w:sz="4" w:space="0"/>
              <w:bottom w:val="single" w:color="000000" w:sz="4" w:space="0"/>
              <w:right w:val="single" w:color="auto" w:sz="4" w:space="0"/>
            </w:tcBorders>
            <w:vAlign w:val="center"/>
          </w:tcPr>
          <w:p w14:paraId="5670ADE9">
            <w:pPr>
              <w:spacing w:line="240" w:lineRule="exact"/>
              <w:rPr>
                <w:rFonts w:ascii="宋体" w:hAnsi="宋体" w:cs="宋体"/>
                <w:szCs w:val="21"/>
              </w:rPr>
            </w:pPr>
          </w:p>
        </w:tc>
        <w:tc>
          <w:tcPr>
            <w:tcW w:w="2233" w:type="dxa"/>
            <w:tcBorders>
              <w:top w:val="single" w:color="000000" w:sz="4" w:space="0"/>
              <w:left w:val="single" w:color="auto" w:sz="4" w:space="0"/>
              <w:bottom w:val="single" w:color="000000" w:sz="4" w:space="0"/>
              <w:right w:val="single" w:color="000000" w:sz="4" w:space="0"/>
            </w:tcBorders>
            <w:vAlign w:val="center"/>
          </w:tcPr>
          <w:p w14:paraId="1C6524D3">
            <w:pPr>
              <w:spacing w:line="240" w:lineRule="exact"/>
              <w:rPr>
                <w:rFonts w:ascii="宋体" w:hAnsi="宋体" w:cs="宋体"/>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14:paraId="07BAFE30">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48FA559C">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0AF6FE0">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D57B961">
            <w:pPr>
              <w:spacing w:line="240" w:lineRule="exact"/>
              <w:jc w:val="center"/>
              <w:rPr>
                <w:rFonts w:ascii="宋体" w:hAnsi="宋体" w:cs="宋体"/>
                <w:szCs w:val="21"/>
              </w:rPr>
            </w:pPr>
            <w:r>
              <w:rPr>
                <w:rFonts w:hint="eastAsia" w:ascii="宋体" w:hAnsi="宋体" w:cs="宋体"/>
                <w:szCs w:val="21"/>
              </w:rPr>
              <w:t>△</w:t>
            </w:r>
          </w:p>
        </w:tc>
      </w:tr>
      <w:tr w14:paraId="4A7FF3AF">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73A0DB1D">
            <w:pPr>
              <w:spacing w:line="240" w:lineRule="exact"/>
              <w:rPr>
                <w:rFonts w:ascii="宋体" w:hAnsi="宋体" w:cs="宋体"/>
                <w:szCs w:val="21"/>
              </w:rPr>
            </w:pPr>
            <w:r>
              <w:rPr>
                <w:rFonts w:hint="eastAsia" w:ascii="宋体" w:hAnsi="宋体" w:cs="宋体"/>
                <w:szCs w:val="21"/>
              </w:rPr>
              <w:t>9.2内部审核</w:t>
            </w:r>
          </w:p>
        </w:tc>
        <w:tc>
          <w:tcPr>
            <w:tcW w:w="2039" w:type="dxa"/>
            <w:tcBorders>
              <w:top w:val="single" w:color="000000" w:sz="4" w:space="0"/>
              <w:left w:val="single" w:color="000000" w:sz="4" w:space="0"/>
              <w:bottom w:val="single" w:color="000000" w:sz="4" w:space="0"/>
              <w:right w:val="single" w:color="auto" w:sz="4" w:space="0"/>
            </w:tcBorders>
            <w:vAlign w:val="center"/>
          </w:tcPr>
          <w:p w14:paraId="5B3E1B57">
            <w:pPr>
              <w:spacing w:line="240" w:lineRule="exact"/>
              <w:rPr>
                <w:rFonts w:ascii="宋体" w:hAnsi="宋体" w:cs="宋体"/>
                <w:szCs w:val="21"/>
              </w:rPr>
            </w:pPr>
            <w:r>
              <w:rPr>
                <w:rFonts w:hint="eastAsia" w:ascii="宋体" w:hAnsi="宋体" w:cs="宋体"/>
                <w:szCs w:val="21"/>
              </w:rPr>
              <w:t>9.2内部审核</w:t>
            </w:r>
          </w:p>
        </w:tc>
        <w:tc>
          <w:tcPr>
            <w:tcW w:w="2233" w:type="dxa"/>
            <w:tcBorders>
              <w:top w:val="single" w:color="000000" w:sz="4" w:space="0"/>
              <w:left w:val="single" w:color="auto" w:sz="4" w:space="0"/>
              <w:bottom w:val="single" w:color="000000" w:sz="4" w:space="0"/>
              <w:right w:val="single" w:color="000000" w:sz="4" w:space="0"/>
            </w:tcBorders>
            <w:vAlign w:val="center"/>
          </w:tcPr>
          <w:p w14:paraId="01A93467">
            <w:pPr>
              <w:spacing w:line="240" w:lineRule="exact"/>
              <w:rPr>
                <w:rFonts w:ascii="宋体" w:hAnsi="宋体" w:cs="宋体"/>
                <w:szCs w:val="21"/>
              </w:rPr>
            </w:pPr>
            <w:r>
              <w:rPr>
                <w:rFonts w:hint="eastAsia" w:ascii="宋体" w:hAnsi="宋体" w:cs="宋体"/>
                <w:szCs w:val="21"/>
              </w:rPr>
              <w:t>9.2 内部审核</w:t>
            </w:r>
          </w:p>
        </w:tc>
        <w:tc>
          <w:tcPr>
            <w:tcW w:w="741" w:type="dxa"/>
            <w:tcBorders>
              <w:top w:val="single" w:color="000000" w:sz="4" w:space="0"/>
              <w:left w:val="single" w:color="000000" w:sz="4" w:space="0"/>
              <w:bottom w:val="single" w:color="000000" w:sz="4" w:space="0"/>
              <w:right w:val="single" w:color="000000" w:sz="4" w:space="0"/>
            </w:tcBorders>
            <w:vAlign w:val="center"/>
          </w:tcPr>
          <w:p w14:paraId="73853892">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01B0465A">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031B8898">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6CF59DE1">
            <w:pPr>
              <w:spacing w:line="240" w:lineRule="exact"/>
              <w:jc w:val="center"/>
              <w:rPr>
                <w:rFonts w:ascii="宋体" w:hAnsi="宋体" w:cs="宋体"/>
                <w:szCs w:val="21"/>
              </w:rPr>
            </w:pPr>
            <w:r>
              <w:rPr>
                <w:rFonts w:hint="eastAsia" w:ascii="宋体" w:hAnsi="宋体" w:cs="宋体"/>
                <w:szCs w:val="21"/>
              </w:rPr>
              <w:t>△</w:t>
            </w:r>
          </w:p>
        </w:tc>
      </w:tr>
      <w:tr w14:paraId="15A76C98">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0989E429">
            <w:pPr>
              <w:spacing w:line="240" w:lineRule="exact"/>
              <w:rPr>
                <w:rFonts w:ascii="宋体" w:hAnsi="宋体" w:cs="宋体"/>
                <w:szCs w:val="21"/>
              </w:rPr>
            </w:pPr>
            <w:r>
              <w:rPr>
                <w:rFonts w:hint="eastAsia" w:ascii="宋体" w:hAnsi="宋体" w:cs="宋体"/>
                <w:szCs w:val="21"/>
              </w:rPr>
              <w:t>9.3管理评审</w:t>
            </w:r>
          </w:p>
        </w:tc>
        <w:tc>
          <w:tcPr>
            <w:tcW w:w="2039" w:type="dxa"/>
            <w:tcBorders>
              <w:top w:val="single" w:color="000000" w:sz="4" w:space="0"/>
              <w:left w:val="single" w:color="000000" w:sz="4" w:space="0"/>
              <w:bottom w:val="single" w:color="000000" w:sz="4" w:space="0"/>
              <w:right w:val="single" w:color="auto" w:sz="4" w:space="0"/>
            </w:tcBorders>
            <w:vAlign w:val="center"/>
          </w:tcPr>
          <w:p w14:paraId="3449B691">
            <w:pPr>
              <w:spacing w:line="240" w:lineRule="exact"/>
              <w:rPr>
                <w:rFonts w:ascii="宋体" w:hAnsi="宋体" w:cs="宋体"/>
                <w:szCs w:val="21"/>
              </w:rPr>
            </w:pPr>
            <w:r>
              <w:rPr>
                <w:rFonts w:hint="eastAsia" w:ascii="宋体" w:hAnsi="宋体" w:cs="宋体"/>
                <w:szCs w:val="21"/>
              </w:rPr>
              <w:t>9.3管理评审</w:t>
            </w:r>
          </w:p>
        </w:tc>
        <w:tc>
          <w:tcPr>
            <w:tcW w:w="2233" w:type="dxa"/>
            <w:tcBorders>
              <w:top w:val="single" w:color="000000" w:sz="4" w:space="0"/>
              <w:left w:val="single" w:color="auto" w:sz="4" w:space="0"/>
              <w:bottom w:val="single" w:color="000000" w:sz="4" w:space="0"/>
              <w:right w:val="single" w:color="000000" w:sz="4" w:space="0"/>
            </w:tcBorders>
            <w:vAlign w:val="center"/>
          </w:tcPr>
          <w:p w14:paraId="20B7BF70">
            <w:pPr>
              <w:spacing w:line="240" w:lineRule="exact"/>
              <w:rPr>
                <w:rFonts w:ascii="宋体" w:hAnsi="宋体" w:cs="宋体"/>
                <w:szCs w:val="21"/>
              </w:rPr>
            </w:pPr>
            <w:r>
              <w:rPr>
                <w:rFonts w:hint="eastAsia" w:ascii="宋体" w:hAnsi="宋体" w:cs="宋体"/>
                <w:szCs w:val="21"/>
              </w:rPr>
              <w:t>9.3 管理评审</w:t>
            </w:r>
          </w:p>
        </w:tc>
        <w:tc>
          <w:tcPr>
            <w:tcW w:w="741" w:type="dxa"/>
            <w:tcBorders>
              <w:top w:val="single" w:color="000000" w:sz="4" w:space="0"/>
              <w:left w:val="single" w:color="000000" w:sz="4" w:space="0"/>
              <w:bottom w:val="single" w:color="000000" w:sz="4" w:space="0"/>
              <w:right w:val="single" w:color="000000" w:sz="4" w:space="0"/>
            </w:tcBorders>
            <w:vAlign w:val="center"/>
          </w:tcPr>
          <w:p w14:paraId="416519D2">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579AFB12">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36A7611B">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7165C216">
            <w:pPr>
              <w:spacing w:line="240" w:lineRule="exact"/>
              <w:jc w:val="center"/>
              <w:rPr>
                <w:rFonts w:ascii="宋体" w:hAnsi="宋体" w:cs="宋体"/>
                <w:szCs w:val="21"/>
              </w:rPr>
            </w:pPr>
            <w:r>
              <w:rPr>
                <w:rFonts w:hint="eastAsia" w:ascii="宋体" w:hAnsi="宋体" w:cs="宋体"/>
                <w:szCs w:val="21"/>
              </w:rPr>
              <w:t>△</w:t>
            </w:r>
          </w:p>
        </w:tc>
      </w:tr>
      <w:tr w14:paraId="2DE6DCBD">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3DC7A4CE">
            <w:pPr>
              <w:spacing w:line="240" w:lineRule="exact"/>
              <w:rPr>
                <w:rFonts w:ascii="宋体" w:hAnsi="宋体" w:cs="宋体"/>
                <w:szCs w:val="21"/>
              </w:rPr>
            </w:pPr>
            <w:r>
              <w:rPr>
                <w:rFonts w:hint="eastAsia" w:ascii="宋体" w:hAnsi="宋体" w:cs="宋体"/>
                <w:szCs w:val="21"/>
              </w:rPr>
              <w:t>10持续改进</w:t>
            </w:r>
          </w:p>
        </w:tc>
        <w:tc>
          <w:tcPr>
            <w:tcW w:w="2039" w:type="dxa"/>
            <w:tcBorders>
              <w:top w:val="single" w:color="000000" w:sz="4" w:space="0"/>
              <w:left w:val="single" w:color="000000" w:sz="4" w:space="0"/>
              <w:bottom w:val="single" w:color="000000" w:sz="4" w:space="0"/>
              <w:right w:val="single" w:color="auto" w:sz="4" w:space="0"/>
            </w:tcBorders>
            <w:vAlign w:val="center"/>
          </w:tcPr>
          <w:p w14:paraId="153B9004">
            <w:pPr>
              <w:spacing w:line="240" w:lineRule="exact"/>
              <w:rPr>
                <w:rFonts w:ascii="宋体" w:hAnsi="宋体" w:cs="宋体"/>
                <w:szCs w:val="21"/>
              </w:rPr>
            </w:pPr>
            <w:r>
              <w:rPr>
                <w:rFonts w:hint="eastAsia" w:ascii="宋体" w:hAnsi="宋体" w:cs="宋体"/>
                <w:szCs w:val="21"/>
              </w:rPr>
              <w:t>10持续改进</w:t>
            </w:r>
          </w:p>
        </w:tc>
        <w:tc>
          <w:tcPr>
            <w:tcW w:w="2233" w:type="dxa"/>
            <w:tcBorders>
              <w:top w:val="single" w:color="000000" w:sz="4" w:space="0"/>
              <w:left w:val="single" w:color="auto" w:sz="4" w:space="0"/>
              <w:bottom w:val="single" w:color="000000" w:sz="4" w:space="0"/>
              <w:right w:val="single" w:color="000000" w:sz="4" w:space="0"/>
            </w:tcBorders>
            <w:vAlign w:val="center"/>
          </w:tcPr>
          <w:p w14:paraId="5FF4AD22">
            <w:pPr>
              <w:spacing w:line="240" w:lineRule="exact"/>
              <w:rPr>
                <w:rFonts w:ascii="宋体" w:hAnsi="宋体" w:cs="宋体"/>
                <w:szCs w:val="21"/>
              </w:rPr>
            </w:pPr>
            <w:r>
              <w:rPr>
                <w:rFonts w:hint="eastAsia" w:ascii="宋体" w:hAnsi="宋体" w:cs="宋体"/>
                <w:szCs w:val="21"/>
              </w:rPr>
              <w:t>10 改进</w:t>
            </w:r>
          </w:p>
        </w:tc>
        <w:tc>
          <w:tcPr>
            <w:tcW w:w="741" w:type="dxa"/>
            <w:tcBorders>
              <w:top w:val="single" w:color="000000" w:sz="4" w:space="0"/>
              <w:left w:val="single" w:color="000000" w:sz="4" w:space="0"/>
              <w:bottom w:val="single" w:color="000000" w:sz="4" w:space="0"/>
              <w:right w:val="single" w:color="000000" w:sz="4" w:space="0"/>
            </w:tcBorders>
            <w:vAlign w:val="center"/>
          </w:tcPr>
          <w:p w14:paraId="6C1A0B23">
            <w:pPr>
              <w:spacing w:line="240" w:lineRule="exact"/>
              <w:jc w:val="center"/>
              <w:rPr>
                <w:rFonts w:ascii="宋体" w:hAnsi="宋体" w:cs="宋体"/>
                <w:szCs w:val="21"/>
              </w:rPr>
            </w:pPr>
          </w:p>
        </w:tc>
        <w:tc>
          <w:tcPr>
            <w:tcW w:w="779" w:type="dxa"/>
            <w:tcBorders>
              <w:top w:val="single" w:color="000000" w:sz="4" w:space="0"/>
              <w:left w:val="single" w:color="000000" w:sz="4" w:space="0"/>
              <w:bottom w:val="single" w:color="000000" w:sz="4" w:space="0"/>
              <w:right w:val="single" w:color="000000" w:sz="4" w:space="0"/>
            </w:tcBorders>
            <w:vAlign w:val="center"/>
          </w:tcPr>
          <w:p w14:paraId="7C6FD5BE">
            <w:pPr>
              <w:spacing w:line="240" w:lineRule="exact"/>
              <w:jc w:val="center"/>
              <w:rPr>
                <w:rFonts w:ascii="宋体" w:hAnsi="宋体" w:cs="宋体"/>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14:paraId="49FBA3C6">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79D20B0F">
            <w:pPr>
              <w:spacing w:line="240" w:lineRule="exact"/>
              <w:jc w:val="center"/>
              <w:rPr>
                <w:rFonts w:ascii="宋体" w:hAnsi="宋体" w:cs="宋体"/>
                <w:szCs w:val="21"/>
              </w:rPr>
            </w:pPr>
            <w:r>
              <w:rPr>
                <w:rFonts w:hint="eastAsia" w:ascii="宋体" w:hAnsi="宋体" w:cs="宋体"/>
                <w:szCs w:val="21"/>
              </w:rPr>
              <w:t>△</w:t>
            </w:r>
          </w:p>
        </w:tc>
      </w:tr>
      <w:tr w14:paraId="6F7943AD">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2E65DECB">
            <w:pPr>
              <w:spacing w:line="240" w:lineRule="exact"/>
              <w:rPr>
                <w:rFonts w:ascii="宋体" w:hAnsi="宋体" w:cs="宋体"/>
                <w:szCs w:val="21"/>
              </w:rPr>
            </w:pPr>
            <w:r>
              <w:rPr>
                <w:rFonts w:hint="eastAsia" w:ascii="宋体" w:hAnsi="宋体" w:cs="宋体"/>
                <w:szCs w:val="21"/>
              </w:rPr>
              <w:t>10.1总则</w:t>
            </w:r>
          </w:p>
        </w:tc>
        <w:tc>
          <w:tcPr>
            <w:tcW w:w="2039" w:type="dxa"/>
            <w:tcBorders>
              <w:top w:val="single" w:color="000000" w:sz="4" w:space="0"/>
              <w:left w:val="single" w:color="000000" w:sz="4" w:space="0"/>
              <w:bottom w:val="single" w:color="000000" w:sz="4" w:space="0"/>
              <w:right w:val="single" w:color="auto" w:sz="4" w:space="0"/>
            </w:tcBorders>
            <w:vAlign w:val="center"/>
          </w:tcPr>
          <w:p w14:paraId="57DB4288">
            <w:pPr>
              <w:spacing w:line="240" w:lineRule="exact"/>
              <w:rPr>
                <w:rFonts w:ascii="宋体" w:hAnsi="宋体" w:cs="宋体"/>
                <w:szCs w:val="21"/>
              </w:rPr>
            </w:pPr>
            <w:r>
              <w:rPr>
                <w:rFonts w:hint="eastAsia" w:ascii="宋体" w:hAnsi="宋体" w:cs="宋体"/>
                <w:szCs w:val="21"/>
              </w:rPr>
              <w:t>10.1总则</w:t>
            </w:r>
          </w:p>
        </w:tc>
        <w:tc>
          <w:tcPr>
            <w:tcW w:w="2233" w:type="dxa"/>
            <w:tcBorders>
              <w:top w:val="single" w:color="000000" w:sz="4" w:space="0"/>
              <w:left w:val="single" w:color="auto" w:sz="4" w:space="0"/>
              <w:bottom w:val="single" w:color="000000" w:sz="4" w:space="0"/>
              <w:right w:val="single" w:color="000000" w:sz="4" w:space="0"/>
            </w:tcBorders>
          </w:tcPr>
          <w:p w14:paraId="6F5997AF">
            <w:pPr>
              <w:rPr>
                <w:rFonts w:ascii="宋体" w:hAnsi="宋体" w:cs="宋体"/>
                <w:szCs w:val="21"/>
              </w:rPr>
            </w:pPr>
            <w:r>
              <w:rPr>
                <w:rFonts w:hint="eastAsia" w:ascii="宋体" w:hAnsi="宋体" w:cs="宋体"/>
                <w:szCs w:val="21"/>
              </w:rPr>
              <w:t>10.1 总则</w:t>
            </w:r>
          </w:p>
        </w:tc>
        <w:tc>
          <w:tcPr>
            <w:tcW w:w="741" w:type="dxa"/>
            <w:tcBorders>
              <w:top w:val="single" w:color="000000" w:sz="4" w:space="0"/>
              <w:left w:val="single" w:color="000000" w:sz="4" w:space="0"/>
              <w:bottom w:val="single" w:color="000000" w:sz="4" w:space="0"/>
              <w:right w:val="single" w:color="000000" w:sz="4" w:space="0"/>
            </w:tcBorders>
            <w:vAlign w:val="center"/>
          </w:tcPr>
          <w:p w14:paraId="57FB10F1">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3D856664">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7CC5E2BD">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3BF4191">
            <w:pPr>
              <w:spacing w:line="240" w:lineRule="exact"/>
              <w:jc w:val="center"/>
              <w:rPr>
                <w:rFonts w:ascii="宋体" w:hAnsi="宋体" w:cs="宋体"/>
                <w:szCs w:val="21"/>
              </w:rPr>
            </w:pPr>
            <w:r>
              <w:rPr>
                <w:rFonts w:hint="eastAsia" w:ascii="宋体" w:hAnsi="宋体" w:cs="宋体"/>
                <w:szCs w:val="21"/>
              </w:rPr>
              <w:t>△</w:t>
            </w:r>
          </w:p>
        </w:tc>
      </w:tr>
      <w:tr w14:paraId="4827326A">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0587273B">
            <w:pPr>
              <w:spacing w:line="240" w:lineRule="exact"/>
              <w:rPr>
                <w:rFonts w:ascii="宋体" w:hAnsi="宋体" w:cs="宋体"/>
                <w:szCs w:val="21"/>
              </w:rPr>
            </w:pPr>
            <w:r>
              <w:rPr>
                <w:rFonts w:hint="eastAsia" w:ascii="宋体" w:hAnsi="宋体" w:cs="宋体"/>
                <w:szCs w:val="21"/>
              </w:rPr>
              <w:t>10.2不符合和纠正措施</w:t>
            </w:r>
          </w:p>
        </w:tc>
        <w:tc>
          <w:tcPr>
            <w:tcW w:w="2039" w:type="dxa"/>
            <w:tcBorders>
              <w:top w:val="single" w:color="000000" w:sz="4" w:space="0"/>
              <w:left w:val="single" w:color="000000" w:sz="4" w:space="0"/>
              <w:bottom w:val="single" w:color="000000" w:sz="4" w:space="0"/>
              <w:right w:val="single" w:color="auto" w:sz="4" w:space="0"/>
            </w:tcBorders>
            <w:vAlign w:val="center"/>
          </w:tcPr>
          <w:p w14:paraId="507748BB">
            <w:pPr>
              <w:spacing w:line="240" w:lineRule="exact"/>
              <w:rPr>
                <w:rFonts w:ascii="宋体" w:hAnsi="宋体" w:cs="宋体"/>
                <w:szCs w:val="21"/>
              </w:rPr>
            </w:pPr>
            <w:r>
              <w:rPr>
                <w:rFonts w:hint="eastAsia" w:ascii="宋体" w:hAnsi="宋体" w:cs="宋体"/>
                <w:szCs w:val="21"/>
              </w:rPr>
              <w:t>10.2不符合和纠正措施</w:t>
            </w:r>
          </w:p>
        </w:tc>
        <w:tc>
          <w:tcPr>
            <w:tcW w:w="2233" w:type="dxa"/>
            <w:tcBorders>
              <w:top w:val="single" w:color="000000" w:sz="4" w:space="0"/>
              <w:left w:val="single" w:color="auto" w:sz="4" w:space="0"/>
              <w:bottom w:val="single" w:color="000000" w:sz="4" w:space="0"/>
              <w:right w:val="single" w:color="000000" w:sz="4" w:space="0"/>
            </w:tcBorders>
          </w:tcPr>
          <w:p w14:paraId="06F7D55E">
            <w:pPr>
              <w:rPr>
                <w:rFonts w:ascii="宋体" w:hAnsi="宋体" w:cs="宋体"/>
                <w:szCs w:val="21"/>
              </w:rPr>
            </w:pPr>
            <w:r>
              <w:rPr>
                <w:rFonts w:hint="eastAsia" w:ascii="宋体" w:hAnsi="宋体" w:cs="宋体"/>
                <w:szCs w:val="21"/>
              </w:rPr>
              <w:t>10.2 事件、不符合和纠正措施</w:t>
            </w:r>
          </w:p>
        </w:tc>
        <w:tc>
          <w:tcPr>
            <w:tcW w:w="741" w:type="dxa"/>
            <w:tcBorders>
              <w:top w:val="single" w:color="000000" w:sz="4" w:space="0"/>
              <w:left w:val="single" w:color="000000" w:sz="4" w:space="0"/>
              <w:bottom w:val="single" w:color="000000" w:sz="4" w:space="0"/>
              <w:right w:val="single" w:color="000000" w:sz="4" w:space="0"/>
            </w:tcBorders>
            <w:vAlign w:val="center"/>
          </w:tcPr>
          <w:p w14:paraId="66F69EEE">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49332B43">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1EF02D89">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46F854B6">
            <w:pPr>
              <w:spacing w:line="240" w:lineRule="exact"/>
              <w:jc w:val="center"/>
              <w:rPr>
                <w:rFonts w:ascii="宋体" w:hAnsi="宋体" w:cs="宋体"/>
                <w:szCs w:val="21"/>
              </w:rPr>
            </w:pPr>
            <w:r>
              <w:rPr>
                <w:rFonts w:hint="eastAsia" w:ascii="宋体" w:hAnsi="宋体" w:cs="宋体"/>
                <w:szCs w:val="21"/>
              </w:rPr>
              <w:t>△</w:t>
            </w:r>
          </w:p>
        </w:tc>
      </w:tr>
      <w:tr w14:paraId="110239D8">
        <w:tblPrEx>
          <w:tblCellMar>
            <w:top w:w="0" w:type="dxa"/>
            <w:left w:w="0" w:type="dxa"/>
            <w:bottom w:w="0" w:type="dxa"/>
            <w:right w:w="0" w:type="dxa"/>
          </w:tblCellMar>
        </w:tblPrEx>
        <w:trPr>
          <w:trHeight w:val="90" w:hRule="atLeast"/>
          <w:jc w:val="center"/>
        </w:trPr>
        <w:tc>
          <w:tcPr>
            <w:tcW w:w="2228" w:type="dxa"/>
            <w:tcBorders>
              <w:top w:val="single" w:color="000000" w:sz="4" w:space="0"/>
              <w:left w:val="single" w:color="000000" w:sz="4" w:space="0"/>
              <w:bottom w:val="single" w:color="000000" w:sz="4" w:space="0"/>
              <w:right w:val="single" w:color="000000" w:sz="4" w:space="0"/>
            </w:tcBorders>
            <w:vAlign w:val="center"/>
          </w:tcPr>
          <w:p w14:paraId="0EFAAF4E">
            <w:pPr>
              <w:spacing w:line="240" w:lineRule="exact"/>
              <w:rPr>
                <w:rFonts w:ascii="宋体" w:hAnsi="宋体" w:cs="宋体"/>
                <w:szCs w:val="21"/>
              </w:rPr>
            </w:pPr>
            <w:r>
              <w:rPr>
                <w:rFonts w:hint="eastAsia" w:ascii="宋体" w:hAnsi="宋体" w:cs="宋体"/>
                <w:szCs w:val="21"/>
              </w:rPr>
              <w:t>10.3持续改进</w:t>
            </w:r>
          </w:p>
        </w:tc>
        <w:tc>
          <w:tcPr>
            <w:tcW w:w="2039" w:type="dxa"/>
            <w:tcBorders>
              <w:top w:val="single" w:color="000000" w:sz="4" w:space="0"/>
              <w:left w:val="single" w:color="000000" w:sz="4" w:space="0"/>
              <w:bottom w:val="single" w:color="000000" w:sz="4" w:space="0"/>
              <w:right w:val="single" w:color="auto" w:sz="4" w:space="0"/>
            </w:tcBorders>
            <w:vAlign w:val="center"/>
          </w:tcPr>
          <w:p w14:paraId="2A30667C">
            <w:pPr>
              <w:spacing w:line="240" w:lineRule="exact"/>
              <w:rPr>
                <w:rFonts w:ascii="宋体" w:hAnsi="宋体" w:cs="宋体"/>
                <w:szCs w:val="21"/>
              </w:rPr>
            </w:pPr>
            <w:r>
              <w:rPr>
                <w:rFonts w:hint="eastAsia" w:ascii="宋体" w:hAnsi="宋体" w:cs="宋体"/>
                <w:szCs w:val="21"/>
              </w:rPr>
              <w:t>10.3持续改进</w:t>
            </w:r>
          </w:p>
        </w:tc>
        <w:tc>
          <w:tcPr>
            <w:tcW w:w="2233" w:type="dxa"/>
            <w:tcBorders>
              <w:top w:val="single" w:color="000000" w:sz="4" w:space="0"/>
              <w:left w:val="single" w:color="auto" w:sz="4" w:space="0"/>
              <w:bottom w:val="single" w:color="000000" w:sz="4" w:space="0"/>
              <w:right w:val="single" w:color="000000" w:sz="4" w:space="0"/>
            </w:tcBorders>
          </w:tcPr>
          <w:p w14:paraId="48B4F0EA">
            <w:pPr>
              <w:rPr>
                <w:rFonts w:ascii="宋体" w:hAnsi="宋体" w:cs="宋体"/>
                <w:szCs w:val="21"/>
              </w:rPr>
            </w:pPr>
            <w:r>
              <w:rPr>
                <w:rFonts w:hint="eastAsia" w:ascii="宋体" w:hAnsi="宋体" w:cs="宋体"/>
                <w:szCs w:val="21"/>
              </w:rPr>
              <w:t>10.3 持续改进</w:t>
            </w:r>
          </w:p>
        </w:tc>
        <w:tc>
          <w:tcPr>
            <w:tcW w:w="741" w:type="dxa"/>
            <w:tcBorders>
              <w:top w:val="single" w:color="000000" w:sz="4" w:space="0"/>
              <w:left w:val="single" w:color="000000" w:sz="4" w:space="0"/>
              <w:bottom w:val="single" w:color="000000" w:sz="4" w:space="0"/>
              <w:right w:val="single" w:color="000000" w:sz="4" w:space="0"/>
            </w:tcBorders>
            <w:vAlign w:val="center"/>
          </w:tcPr>
          <w:p w14:paraId="6C84447D">
            <w:pPr>
              <w:spacing w:line="240" w:lineRule="exact"/>
              <w:jc w:val="center"/>
              <w:rPr>
                <w:rFonts w:ascii="宋体" w:hAnsi="宋体" w:cs="宋体"/>
                <w:szCs w:val="21"/>
              </w:rPr>
            </w:pPr>
            <w:r>
              <w:rPr>
                <w:rFonts w:hint="eastAsia" w:ascii="宋体" w:hAnsi="宋体" w:cs="宋体"/>
                <w:szCs w:val="21"/>
              </w:rPr>
              <w:t>★</w:t>
            </w:r>
          </w:p>
        </w:tc>
        <w:tc>
          <w:tcPr>
            <w:tcW w:w="779" w:type="dxa"/>
            <w:tcBorders>
              <w:top w:val="single" w:color="000000" w:sz="4" w:space="0"/>
              <w:left w:val="single" w:color="000000" w:sz="4" w:space="0"/>
              <w:bottom w:val="single" w:color="000000" w:sz="4" w:space="0"/>
              <w:right w:val="single" w:color="000000" w:sz="4" w:space="0"/>
            </w:tcBorders>
            <w:vAlign w:val="center"/>
          </w:tcPr>
          <w:p w14:paraId="0571B6F4">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72FA2046">
            <w:pPr>
              <w:spacing w:line="240" w:lineRule="exact"/>
              <w:jc w:val="center"/>
              <w:rPr>
                <w:rFonts w:ascii="宋体" w:hAnsi="宋体" w:cs="宋体"/>
                <w:szCs w:val="21"/>
              </w:rPr>
            </w:pPr>
            <w:r>
              <w:rPr>
                <w:rFonts w:hint="eastAsia" w:ascii="宋体" w:hAnsi="宋体" w:cs="宋体"/>
                <w:szCs w:val="21"/>
              </w:rPr>
              <w:t>△</w:t>
            </w:r>
          </w:p>
        </w:tc>
        <w:tc>
          <w:tcPr>
            <w:tcW w:w="1164" w:type="dxa"/>
            <w:tcBorders>
              <w:top w:val="single" w:color="000000" w:sz="4" w:space="0"/>
              <w:left w:val="single" w:color="000000" w:sz="4" w:space="0"/>
              <w:bottom w:val="single" w:color="000000" w:sz="4" w:space="0"/>
              <w:right w:val="single" w:color="000000" w:sz="4" w:space="0"/>
            </w:tcBorders>
            <w:vAlign w:val="center"/>
          </w:tcPr>
          <w:p w14:paraId="42CC2A9A">
            <w:pPr>
              <w:spacing w:line="240" w:lineRule="exact"/>
              <w:jc w:val="center"/>
              <w:rPr>
                <w:rFonts w:ascii="宋体" w:hAnsi="宋体" w:cs="宋体"/>
                <w:szCs w:val="21"/>
              </w:rPr>
            </w:pPr>
            <w:r>
              <w:rPr>
                <w:rFonts w:hint="eastAsia" w:ascii="宋体" w:hAnsi="宋体" w:cs="宋体"/>
                <w:szCs w:val="21"/>
              </w:rPr>
              <w:t>△</w:t>
            </w:r>
          </w:p>
        </w:tc>
      </w:tr>
    </w:tbl>
    <w:p w14:paraId="4A6D8BE1">
      <w:pPr>
        <w:spacing w:line="240" w:lineRule="exact"/>
        <w:rPr>
          <w:rFonts w:ascii="宋体" w:hAnsi="宋体" w:cs="宋体"/>
          <w:szCs w:val="21"/>
        </w:rPr>
      </w:pPr>
    </w:p>
    <w:p w14:paraId="45B1DA0E">
      <w:pPr>
        <w:spacing w:line="240" w:lineRule="exact"/>
        <w:rPr>
          <w:rFonts w:ascii="宋体" w:hAnsi="宋体" w:cs="宋体"/>
          <w:szCs w:val="21"/>
        </w:rPr>
      </w:pPr>
      <w:r>
        <w:rPr>
          <w:rFonts w:ascii="宋体" w:hAnsi="宋体" w:cs="宋体"/>
          <w:szCs w:val="21"/>
        </w:rPr>
        <w:br w:type="column"/>
      </w:r>
    </w:p>
    <w:p w14:paraId="3CB42B9A">
      <w:pPr>
        <w:pStyle w:val="22"/>
        <w:rPr>
          <w:rFonts w:ascii="宋体" w:hAnsi="宋体"/>
        </w:rPr>
      </w:pPr>
      <w:bookmarkStart w:id="71" w:name="_Toc110460666"/>
      <w:r>
        <w:rPr>
          <w:rFonts w:hint="eastAsia" w:ascii="宋体" w:hAnsi="宋体"/>
        </w:rPr>
        <w:t>附件三：食品安全管理体系职能分配表</w:t>
      </w:r>
      <w:bookmarkEnd w:id="71"/>
    </w:p>
    <w:tbl>
      <w:tblPr>
        <w:tblStyle w:val="23"/>
        <w:tblW w:w="93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57" w:type="dxa"/>
          <w:bottom w:w="0" w:type="dxa"/>
          <w:right w:w="57" w:type="dxa"/>
        </w:tblCellMar>
      </w:tblPr>
      <w:tblGrid>
        <w:gridCol w:w="4252"/>
        <w:gridCol w:w="851"/>
        <w:gridCol w:w="994"/>
        <w:gridCol w:w="851"/>
        <w:gridCol w:w="852"/>
        <w:gridCol w:w="851"/>
        <w:gridCol w:w="654"/>
      </w:tblGrid>
      <w:tr w14:paraId="6CB72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50" w:hRule="exact"/>
          <w:tblHeader/>
          <w:jc w:val="center"/>
        </w:trPr>
        <w:tc>
          <w:tcPr>
            <w:tcW w:w="4252" w:type="dxa"/>
            <w:tcBorders>
              <w:tl2br w:val="single" w:color="auto" w:sz="4" w:space="0"/>
            </w:tcBorders>
            <w:vAlign w:val="center"/>
          </w:tcPr>
          <w:p w14:paraId="12EB78D5">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部门</w:t>
            </w:r>
          </w:p>
          <w:p w14:paraId="043F7FC7">
            <w:pPr>
              <w:rPr>
                <w:rFonts w:ascii="宋体" w:hAnsi="宋体" w:cs="宋体"/>
                <w:szCs w:val="21"/>
              </w:rPr>
            </w:pPr>
            <w:r>
              <w:rPr>
                <w:rFonts w:hint="eastAsia" w:ascii="宋体" w:hAnsi="宋体" w:cs="宋体"/>
                <w:szCs w:val="21"/>
              </w:rPr>
              <w:t>标准条款/手册章节</w:t>
            </w:r>
          </w:p>
        </w:tc>
        <w:tc>
          <w:tcPr>
            <w:tcW w:w="851" w:type="dxa"/>
            <w:vAlign w:val="center"/>
          </w:tcPr>
          <w:p w14:paraId="6BE5D1A2">
            <w:pPr>
              <w:jc w:val="center"/>
              <w:rPr>
                <w:rFonts w:ascii="宋体" w:hAnsi="宋体" w:cs="宋体"/>
                <w:szCs w:val="21"/>
              </w:rPr>
            </w:pPr>
            <w:r>
              <w:rPr>
                <w:rFonts w:hint="eastAsia" w:ascii="宋体" w:hAnsi="宋体" w:cs="宋体"/>
                <w:szCs w:val="21"/>
              </w:rPr>
              <w:t>总经理</w:t>
            </w:r>
          </w:p>
        </w:tc>
        <w:tc>
          <w:tcPr>
            <w:tcW w:w="994" w:type="dxa"/>
            <w:vAlign w:val="center"/>
          </w:tcPr>
          <w:p w14:paraId="00F1068C">
            <w:pPr>
              <w:jc w:val="center"/>
              <w:rPr>
                <w:rFonts w:ascii="宋体" w:hAnsi="宋体" w:cs="宋体"/>
                <w:szCs w:val="21"/>
              </w:rPr>
            </w:pPr>
            <w:r>
              <w:rPr>
                <w:rFonts w:hint="eastAsia" w:ascii="宋体" w:hAnsi="宋体" w:cs="宋体"/>
                <w:szCs w:val="21"/>
              </w:rPr>
              <w:t>食品安全小组</w:t>
            </w:r>
          </w:p>
        </w:tc>
        <w:tc>
          <w:tcPr>
            <w:tcW w:w="851" w:type="dxa"/>
            <w:vAlign w:val="center"/>
          </w:tcPr>
          <w:p w14:paraId="2F9D6859">
            <w:pPr>
              <w:spacing w:line="360" w:lineRule="exact"/>
              <w:jc w:val="center"/>
              <w:rPr>
                <w:rFonts w:ascii="宋体" w:hAnsi="宋体" w:cs="宋体"/>
                <w:szCs w:val="21"/>
              </w:rPr>
            </w:pPr>
            <w:r>
              <w:rPr>
                <w:rFonts w:hint="eastAsia" w:ascii="宋体" w:hAnsi="宋体" w:cs="宋体"/>
                <w:szCs w:val="21"/>
              </w:rPr>
              <w:t>行政部</w:t>
            </w:r>
          </w:p>
        </w:tc>
        <w:tc>
          <w:tcPr>
            <w:tcW w:w="852" w:type="dxa"/>
            <w:vAlign w:val="center"/>
          </w:tcPr>
          <w:p w14:paraId="7F9333E7">
            <w:pPr>
              <w:spacing w:line="360" w:lineRule="exact"/>
              <w:jc w:val="center"/>
              <w:rPr>
                <w:rFonts w:ascii="宋体" w:hAnsi="宋体" w:cs="宋体"/>
                <w:szCs w:val="21"/>
              </w:rPr>
            </w:pPr>
            <w:r>
              <w:rPr>
                <w:rFonts w:hint="eastAsia" w:ascii="宋体" w:hAnsi="宋体" w:cs="宋体"/>
                <w:szCs w:val="21"/>
              </w:rPr>
              <w:t>财务部</w:t>
            </w:r>
          </w:p>
        </w:tc>
        <w:tc>
          <w:tcPr>
            <w:tcW w:w="851" w:type="dxa"/>
            <w:vAlign w:val="center"/>
          </w:tcPr>
          <w:p w14:paraId="20225865">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市场部</w:t>
            </w:r>
          </w:p>
        </w:tc>
        <w:tc>
          <w:tcPr>
            <w:tcW w:w="654" w:type="dxa"/>
            <w:vAlign w:val="center"/>
          </w:tcPr>
          <w:p w14:paraId="7E6ACBF7">
            <w:pPr>
              <w:spacing w:line="320" w:lineRule="exact"/>
              <w:jc w:val="center"/>
              <w:rPr>
                <w:rFonts w:ascii="宋体" w:hAnsi="宋体" w:cs="宋体"/>
                <w:szCs w:val="21"/>
              </w:rPr>
            </w:pPr>
          </w:p>
        </w:tc>
      </w:tr>
      <w:tr w14:paraId="0C7A5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9305" w:type="dxa"/>
            <w:gridSpan w:val="7"/>
            <w:tcBorders>
              <w:right w:val="single" w:color="auto" w:sz="4" w:space="0"/>
            </w:tcBorders>
            <w:vAlign w:val="center"/>
          </w:tcPr>
          <w:p w14:paraId="472F6355">
            <w:pPr>
              <w:jc w:val="center"/>
              <w:rPr>
                <w:rFonts w:ascii="宋体" w:hAnsi="宋体" w:cs="宋体"/>
                <w:szCs w:val="21"/>
              </w:rPr>
            </w:pPr>
            <w:r>
              <w:rPr>
                <w:rFonts w:hint="eastAsia" w:ascii="宋体" w:hAnsi="宋体"/>
                <w:color w:val="000000"/>
                <w:sz w:val="22"/>
              </w:rPr>
              <w:t>4组织环境</w:t>
            </w:r>
          </w:p>
        </w:tc>
      </w:tr>
      <w:tr w14:paraId="79FA5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788E22E8">
            <w:pPr>
              <w:rPr>
                <w:rFonts w:ascii="宋体" w:hAnsi="宋体"/>
                <w:color w:val="000000"/>
                <w:sz w:val="22"/>
              </w:rPr>
            </w:pPr>
            <w:r>
              <w:rPr>
                <w:rFonts w:hint="eastAsia" w:ascii="宋体" w:hAnsi="宋体"/>
                <w:color w:val="000000"/>
                <w:sz w:val="22"/>
              </w:rPr>
              <w:t>4.1理解组织及其环境</w:t>
            </w:r>
          </w:p>
        </w:tc>
        <w:tc>
          <w:tcPr>
            <w:tcW w:w="851" w:type="dxa"/>
            <w:vAlign w:val="center"/>
          </w:tcPr>
          <w:p w14:paraId="6D0E0E1B">
            <w:pPr>
              <w:jc w:val="center"/>
              <w:rPr>
                <w:rFonts w:ascii="宋体" w:hAnsi="宋体" w:cs="宋体"/>
                <w:szCs w:val="21"/>
              </w:rPr>
            </w:pPr>
            <w:r>
              <w:rPr>
                <w:rFonts w:hint="eastAsia" w:ascii="宋体" w:hAnsi="宋体" w:cs="宋体"/>
                <w:szCs w:val="21"/>
              </w:rPr>
              <w:t>▲</w:t>
            </w:r>
          </w:p>
        </w:tc>
        <w:tc>
          <w:tcPr>
            <w:tcW w:w="994" w:type="dxa"/>
            <w:vAlign w:val="center"/>
          </w:tcPr>
          <w:p w14:paraId="4CA91CAA">
            <w:pPr>
              <w:jc w:val="center"/>
              <w:rPr>
                <w:rFonts w:ascii="宋体" w:hAnsi="宋体" w:cs="宋体"/>
                <w:szCs w:val="21"/>
              </w:rPr>
            </w:pPr>
            <w:r>
              <w:rPr>
                <w:rFonts w:hint="eastAsia" w:ascii="宋体" w:hAnsi="宋体" w:cs="宋体"/>
                <w:szCs w:val="21"/>
              </w:rPr>
              <w:t>△</w:t>
            </w:r>
          </w:p>
        </w:tc>
        <w:tc>
          <w:tcPr>
            <w:tcW w:w="851" w:type="dxa"/>
            <w:vAlign w:val="center"/>
          </w:tcPr>
          <w:p w14:paraId="5F47E386">
            <w:pPr>
              <w:jc w:val="center"/>
              <w:rPr>
                <w:rFonts w:ascii="宋体" w:hAnsi="宋体" w:cs="宋体"/>
                <w:szCs w:val="21"/>
              </w:rPr>
            </w:pPr>
            <w:r>
              <w:rPr>
                <w:rFonts w:hint="eastAsia" w:ascii="宋体" w:hAnsi="宋体" w:cs="宋体"/>
                <w:szCs w:val="21"/>
              </w:rPr>
              <w:t>△</w:t>
            </w:r>
          </w:p>
        </w:tc>
        <w:tc>
          <w:tcPr>
            <w:tcW w:w="852" w:type="dxa"/>
            <w:vAlign w:val="center"/>
          </w:tcPr>
          <w:p w14:paraId="6975250F">
            <w:pPr>
              <w:jc w:val="center"/>
              <w:rPr>
                <w:rFonts w:ascii="宋体" w:hAnsi="宋体" w:cs="宋体"/>
                <w:szCs w:val="21"/>
              </w:rPr>
            </w:pPr>
            <w:r>
              <w:rPr>
                <w:rFonts w:hint="eastAsia" w:ascii="宋体" w:hAnsi="宋体" w:cs="宋体"/>
                <w:szCs w:val="21"/>
              </w:rPr>
              <w:t>△</w:t>
            </w:r>
          </w:p>
        </w:tc>
        <w:tc>
          <w:tcPr>
            <w:tcW w:w="851" w:type="dxa"/>
            <w:vAlign w:val="center"/>
          </w:tcPr>
          <w:p w14:paraId="1AB2D366">
            <w:pPr>
              <w:jc w:val="center"/>
              <w:rPr>
                <w:rFonts w:ascii="宋体" w:hAnsi="宋体" w:cs="宋体"/>
                <w:szCs w:val="21"/>
              </w:rPr>
            </w:pPr>
            <w:r>
              <w:rPr>
                <w:rFonts w:hint="eastAsia" w:ascii="宋体" w:hAnsi="宋体" w:cs="宋体"/>
                <w:szCs w:val="21"/>
              </w:rPr>
              <w:t>△</w:t>
            </w:r>
          </w:p>
        </w:tc>
        <w:tc>
          <w:tcPr>
            <w:tcW w:w="654" w:type="dxa"/>
            <w:vAlign w:val="center"/>
          </w:tcPr>
          <w:p w14:paraId="1953A914">
            <w:pPr>
              <w:jc w:val="center"/>
              <w:rPr>
                <w:rFonts w:ascii="宋体" w:hAnsi="宋体" w:cs="宋体"/>
                <w:szCs w:val="21"/>
              </w:rPr>
            </w:pPr>
          </w:p>
        </w:tc>
      </w:tr>
      <w:tr w14:paraId="597C2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3A886D16">
            <w:pPr>
              <w:rPr>
                <w:rFonts w:ascii="宋体" w:hAnsi="宋体"/>
                <w:color w:val="000000"/>
                <w:sz w:val="22"/>
              </w:rPr>
            </w:pPr>
            <w:r>
              <w:rPr>
                <w:rFonts w:hint="eastAsia" w:ascii="宋体" w:hAnsi="宋体"/>
                <w:color w:val="000000"/>
                <w:sz w:val="22"/>
              </w:rPr>
              <w:t>4.2理解相关方的需求和期望</w:t>
            </w:r>
          </w:p>
        </w:tc>
        <w:tc>
          <w:tcPr>
            <w:tcW w:w="851" w:type="dxa"/>
            <w:vAlign w:val="center"/>
          </w:tcPr>
          <w:p w14:paraId="4EAD1DF7">
            <w:pPr>
              <w:jc w:val="center"/>
              <w:rPr>
                <w:rFonts w:ascii="宋体" w:hAnsi="宋体" w:cs="宋体"/>
                <w:szCs w:val="21"/>
              </w:rPr>
            </w:pPr>
            <w:r>
              <w:rPr>
                <w:rFonts w:hint="eastAsia" w:ascii="宋体" w:hAnsi="宋体" w:cs="宋体"/>
                <w:szCs w:val="21"/>
              </w:rPr>
              <w:t>▲</w:t>
            </w:r>
          </w:p>
        </w:tc>
        <w:tc>
          <w:tcPr>
            <w:tcW w:w="994" w:type="dxa"/>
            <w:vAlign w:val="center"/>
          </w:tcPr>
          <w:p w14:paraId="3864874F">
            <w:pPr>
              <w:jc w:val="center"/>
              <w:rPr>
                <w:rFonts w:ascii="宋体" w:hAnsi="宋体" w:cs="宋体"/>
                <w:szCs w:val="21"/>
              </w:rPr>
            </w:pPr>
            <w:r>
              <w:rPr>
                <w:rFonts w:hint="eastAsia" w:ascii="宋体" w:hAnsi="宋体" w:cs="宋体"/>
                <w:szCs w:val="21"/>
              </w:rPr>
              <w:t>△</w:t>
            </w:r>
          </w:p>
        </w:tc>
        <w:tc>
          <w:tcPr>
            <w:tcW w:w="851" w:type="dxa"/>
            <w:vAlign w:val="center"/>
          </w:tcPr>
          <w:p w14:paraId="2F71B7F4">
            <w:pPr>
              <w:jc w:val="center"/>
              <w:rPr>
                <w:rFonts w:ascii="宋体" w:hAnsi="宋体" w:cs="宋体"/>
                <w:szCs w:val="21"/>
              </w:rPr>
            </w:pPr>
            <w:r>
              <w:rPr>
                <w:rFonts w:hint="eastAsia" w:ascii="宋体" w:hAnsi="宋体" w:cs="宋体"/>
                <w:szCs w:val="21"/>
              </w:rPr>
              <w:t>△</w:t>
            </w:r>
          </w:p>
        </w:tc>
        <w:tc>
          <w:tcPr>
            <w:tcW w:w="852" w:type="dxa"/>
            <w:vAlign w:val="center"/>
          </w:tcPr>
          <w:p w14:paraId="122E8240">
            <w:pPr>
              <w:jc w:val="center"/>
              <w:rPr>
                <w:rFonts w:ascii="宋体" w:hAnsi="宋体" w:cs="宋体"/>
                <w:szCs w:val="21"/>
              </w:rPr>
            </w:pPr>
            <w:r>
              <w:rPr>
                <w:rFonts w:hint="eastAsia" w:ascii="宋体" w:hAnsi="宋体" w:cs="宋体"/>
                <w:szCs w:val="21"/>
              </w:rPr>
              <w:t>△</w:t>
            </w:r>
          </w:p>
        </w:tc>
        <w:tc>
          <w:tcPr>
            <w:tcW w:w="851" w:type="dxa"/>
            <w:vAlign w:val="center"/>
          </w:tcPr>
          <w:p w14:paraId="79BEE9B5">
            <w:pPr>
              <w:jc w:val="center"/>
              <w:rPr>
                <w:rFonts w:ascii="宋体" w:hAnsi="宋体" w:cs="宋体"/>
                <w:szCs w:val="21"/>
              </w:rPr>
            </w:pPr>
            <w:r>
              <w:rPr>
                <w:rFonts w:hint="eastAsia" w:ascii="宋体" w:hAnsi="宋体" w:cs="宋体"/>
                <w:szCs w:val="21"/>
              </w:rPr>
              <w:t>△</w:t>
            </w:r>
          </w:p>
        </w:tc>
        <w:tc>
          <w:tcPr>
            <w:tcW w:w="654" w:type="dxa"/>
            <w:vAlign w:val="center"/>
          </w:tcPr>
          <w:p w14:paraId="67729398">
            <w:pPr>
              <w:jc w:val="center"/>
              <w:rPr>
                <w:rFonts w:ascii="宋体" w:hAnsi="宋体" w:cs="宋体"/>
                <w:szCs w:val="21"/>
              </w:rPr>
            </w:pPr>
          </w:p>
        </w:tc>
      </w:tr>
      <w:tr w14:paraId="78FBF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41329436">
            <w:pPr>
              <w:rPr>
                <w:rFonts w:ascii="宋体" w:hAnsi="宋体"/>
                <w:color w:val="000000"/>
                <w:sz w:val="22"/>
              </w:rPr>
            </w:pPr>
            <w:r>
              <w:rPr>
                <w:rFonts w:hint="eastAsia" w:ascii="宋体" w:hAnsi="宋体"/>
                <w:color w:val="000000"/>
                <w:sz w:val="22"/>
              </w:rPr>
              <w:t>4.3确定食品安全管理体系、HACCP体系的范围</w:t>
            </w:r>
          </w:p>
        </w:tc>
        <w:tc>
          <w:tcPr>
            <w:tcW w:w="851" w:type="dxa"/>
            <w:vAlign w:val="center"/>
          </w:tcPr>
          <w:p w14:paraId="0EBF483D">
            <w:pPr>
              <w:jc w:val="center"/>
              <w:rPr>
                <w:rFonts w:ascii="宋体" w:hAnsi="宋体" w:cs="宋体"/>
                <w:szCs w:val="21"/>
              </w:rPr>
            </w:pPr>
            <w:r>
              <w:rPr>
                <w:rFonts w:hint="eastAsia" w:ascii="宋体" w:hAnsi="宋体" w:cs="宋体"/>
                <w:szCs w:val="21"/>
              </w:rPr>
              <w:t>▲</w:t>
            </w:r>
          </w:p>
        </w:tc>
        <w:tc>
          <w:tcPr>
            <w:tcW w:w="994" w:type="dxa"/>
            <w:vAlign w:val="center"/>
          </w:tcPr>
          <w:p w14:paraId="2BE567BE">
            <w:pPr>
              <w:jc w:val="center"/>
              <w:rPr>
                <w:rFonts w:ascii="宋体" w:hAnsi="宋体" w:cs="宋体"/>
                <w:szCs w:val="21"/>
              </w:rPr>
            </w:pPr>
            <w:r>
              <w:rPr>
                <w:rFonts w:hint="eastAsia" w:ascii="宋体" w:hAnsi="宋体" w:cs="宋体"/>
                <w:szCs w:val="21"/>
              </w:rPr>
              <w:t>△</w:t>
            </w:r>
          </w:p>
        </w:tc>
        <w:tc>
          <w:tcPr>
            <w:tcW w:w="851" w:type="dxa"/>
            <w:vAlign w:val="center"/>
          </w:tcPr>
          <w:p w14:paraId="0E978B81">
            <w:pPr>
              <w:jc w:val="center"/>
              <w:rPr>
                <w:rFonts w:ascii="宋体" w:hAnsi="宋体" w:cs="宋体"/>
                <w:szCs w:val="21"/>
              </w:rPr>
            </w:pPr>
            <w:r>
              <w:rPr>
                <w:rFonts w:hint="eastAsia" w:ascii="宋体" w:hAnsi="宋体" w:cs="宋体"/>
                <w:szCs w:val="21"/>
              </w:rPr>
              <w:t>△</w:t>
            </w:r>
          </w:p>
        </w:tc>
        <w:tc>
          <w:tcPr>
            <w:tcW w:w="852" w:type="dxa"/>
            <w:vAlign w:val="center"/>
          </w:tcPr>
          <w:p w14:paraId="05BC94F2">
            <w:pPr>
              <w:jc w:val="center"/>
              <w:rPr>
                <w:rFonts w:ascii="宋体" w:hAnsi="宋体" w:cs="宋体"/>
                <w:szCs w:val="21"/>
              </w:rPr>
            </w:pPr>
            <w:r>
              <w:rPr>
                <w:rFonts w:hint="eastAsia" w:ascii="宋体" w:hAnsi="宋体" w:cs="宋体"/>
                <w:szCs w:val="21"/>
              </w:rPr>
              <w:t>△</w:t>
            </w:r>
          </w:p>
        </w:tc>
        <w:tc>
          <w:tcPr>
            <w:tcW w:w="851" w:type="dxa"/>
            <w:vAlign w:val="center"/>
          </w:tcPr>
          <w:p w14:paraId="2D2082FE">
            <w:pPr>
              <w:jc w:val="center"/>
              <w:rPr>
                <w:rFonts w:ascii="宋体" w:hAnsi="宋体" w:cs="宋体"/>
                <w:szCs w:val="21"/>
              </w:rPr>
            </w:pPr>
            <w:r>
              <w:rPr>
                <w:rFonts w:hint="eastAsia" w:ascii="宋体" w:hAnsi="宋体" w:cs="宋体"/>
                <w:szCs w:val="21"/>
              </w:rPr>
              <w:t>△</w:t>
            </w:r>
          </w:p>
        </w:tc>
        <w:tc>
          <w:tcPr>
            <w:tcW w:w="654" w:type="dxa"/>
            <w:vAlign w:val="center"/>
          </w:tcPr>
          <w:p w14:paraId="32EA3620">
            <w:pPr>
              <w:jc w:val="center"/>
              <w:rPr>
                <w:rFonts w:ascii="宋体" w:hAnsi="宋体" w:cs="宋体"/>
                <w:szCs w:val="21"/>
              </w:rPr>
            </w:pPr>
          </w:p>
        </w:tc>
      </w:tr>
      <w:tr w14:paraId="78E6B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4E4E1B61">
            <w:pPr>
              <w:rPr>
                <w:rFonts w:ascii="宋体" w:hAnsi="宋体"/>
                <w:color w:val="000000"/>
                <w:sz w:val="22"/>
              </w:rPr>
            </w:pPr>
            <w:r>
              <w:rPr>
                <w:rFonts w:ascii="宋体" w:hAnsi="宋体"/>
                <w:color w:val="000000"/>
                <w:sz w:val="22"/>
              </w:rPr>
              <w:t>4</w:t>
            </w:r>
            <w:r>
              <w:rPr>
                <w:rFonts w:hint="eastAsia" w:ascii="宋体" w:hAnsi="宋体"/>
                <w:color w:val="000000"/>
                <w:sz w:val="22"/>
              </w:rPr>
              <w:t>.</w:t>
            </w:r>
            <w:r>
              <w:rPr>
                <w:rFonts w:ascii="宋体" w:hAnsi="宋体"/>
                <w:color w:val="000000"/>
                <w:sz w:val="22"/>
              </w:rPr>
              <w:t>4</w:t>
            </w:r>
            <w:r>
              <w:rPr>
                <w:rFonts w:hint="eastAsia" w:ascii="宋体" w:hAnsi="宋体"/>
                <w:color w:val="000000"/>
                <w:sz w:val="22"/>
              </w:rPr>
              <w:t>合规义务</w:t>
            </w:r>
          </w:p>
          <w:p w14:paraId="3DE7DA3D">
            <w:pPr>
              <w:rPr>
                <w:rFonts w:ascii="宋体" w:hAnsi="宋体"/>
                <w:color w:val="000000"/>
                <w:sz w:val="22"/>
              </w:rPr>
            </w:pPr>
          </w:p>
        </w:tc>
        <w:tc>
          <w:tcPr>
            <w:tcW w:w="851" w:type="dxa"/>
            <w:vAlign w:val="center"/>
          </w:tcPr>
          <w:p w14:paraId="262C9057">
            <w:pPr>
              <w:jc w:val="center"/>
              <w:rPr>
                <w:rFonts w:ascii="宋体" w:hAnsi="宋体"/>
                <w:color w:val="000000"/>
                <w:sz w:val="22"/>
              </w:rPr>
            </w:pPr>
            <w:r>
              <w:rPr>
                <w:rFonts w:hint="eastAsia" w:ascii="宋体" w:hAnsi="宋体" w:cs="宋体"/>
                <w:szCs w:val="21"/>
              </w:rPr>
              <w:t>▲</w:t>
            </w:r>
          </w:p>
        </w:tc>
        <w:tc>
          <w:tcPr>
            <w:tcW w:w="994" w:type="dxa"/>
            <w:vAlign w:val="center"/>
          </w:tcPr>
          <w:p w14:paraId="6FA899A2">
            <w:pPr>
              <w:jc w:val="center"/>
              <w:rPr>
                <w:rFonts w:ascii="宋体" w:hAnsi="宋体" w:cs="宋体"/>
                <w:szCs w:val="21"/>
              </w:rPr>
            </w:pPr>
            <w:r>
              <w:rPr>
                <w:rFonts w:hint="eastAsia" w:ascii="宋体" w:hAnsi="宋体" w:cs="宋体"/>
                <w:szCs w:val="21"/>
              </w:rPr>
              <w:t>△</w:t>
            </w:r>
          </w:p>
        </w:tc>
        <w:tc>
          <w:tcPr>
            <w:tcW w:w="851" w:type="dxa"/>
            <w:vAlign w:val="center"/>
          </w:tcPr>
          <w:p w14:paraId="64BB2D30">
            <w:pPr>
              <w:jc w:val="center"/>
              <w:rPr>
                <w:rFonts w:ascii="宋体" w:hAnsi="宋体" w:cs="宋体"/>
                <w:szCs w:val="21"/>
              </w:rPr>
            </w:pPr>
            <w:r>
              <w:rPr>
                <w:rFonts w:hint="eastAsia" w:ascii="宋体" w:hAnsi="宋体" w:cs="宋体"/>
                <w:szCs w:val="21"/>
              </w:rPr>
              <w:t>△</w:t>
            </w:r>
          </w:p>
        </w:tc>
        <w:tc>
          <w:tcPr>
            <w:tcW w:w="852" w:type="dxa"/>
            <w:vAlign w:val="center"/>
          </w:tcPr>
          <w:p w14:paraId="054C5061">
            <w:pPr>
              <w:jc w:val="center"/>
              <w:rPr>
                <w:rFonts w:ascii="宋体" w:hAnsi="宋体" w:cs="宋体"/>
                <w:szCs w:val="21"/>
              </w:rPr>
            </w:pPr>
            <w:r>
              <w:rPr>
                <w:rFonts w:hint="eastAsia" w:ascii="宋体" w:hAnsi="宋体" w:cs="宋体"/>
                <w:szCs w:val="21"/>
              </w:rPr>
              <w:t>△</w:t>
            </w:r>
          </w:p>
        </w:tc>
        <w:tc>
          <w:tcPr>
            <w:tcW w:w="851" w:type="dxa"/>
            <w:vAlign w:val="center"/>
          </w:tcPr>
          <w:p w14:paraId="7BF060BC">
            <w:pPr>
              <w:jc w:val="center"/>
              <w:rPr>
                <w:rFonts w:ascii="宋体" w:hAnsi="宋体" w:cs="宋体"/>
                <w:szCs w:val="21"/>
              </w:rPr>
            </w:pPr>
            <w:r>
              <w:rPr>
                <w:rFonts w:hint="eastAsia" w:ascii="宋体" w:hAnsi="宋体" w:cs="宋体"/>
                <w:szCs w:val="21"/>
              </w:rPr>
              <w:t>△</w:t>
            </w:r>
          </w:p>
        </w:tc>
        <w:tc>
          <w:tcPr>
            <w:tcW w:w="654" w:type="dxa"/>
            <w:vAlign w:val="center"/>
          </w:tcPr>
          <w:p w14:paraId="5547272F">
            <w:pPr>
              <w:jc w:val="center"/>
              <w:rPr>
                <w:rFonts w:ascii="宋体" w:hAnsi="宋体" w:cs="宋体"/>
                <w:szCs w:val="21"/>
              </w:rPr>
            </w:pPr>
          </w:p>
        </w:tc>
      </w:tr>
      <w:tr w14:paraId="244DF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2571B9FC">
            <w:pPr>
              <w:rPr>
                <w:rFonts w:ascii="宋体" w:hAnsi="宋体"/>
                <w:color w:val="000000"/>
                <w:sz w:val="22"/>
              </w:rPr>
            </w:pPr>
            <w:r>
              <w:rPr>
                <w:rFonts w:ascii="宋体" w:hAnsi="宋体"/>
                <w:color w:val="000000"/>
                <w:sz w:val="22"/>
              </w:rPr>
              <w:t>4</w:t>
            </w:r>
            <w:r>
              <w:rPr>
                <w:rFonts w:hint="eastAsia" w:ascii="宋体" w:hAnsi="宋体"/>
                <w:color w:val="000000"/>
                <w:sz w:val="22"/>
              </w:rPr>
              <w:t>.</w:t>
            </w:r>
            <w:r>
              <w:rPr>
                <w:rFonts w:ascii="宋体" w:hAnsi="宋体"/>
                <w:color w:val="000000"/>
                <w:sz w:val="22"/>
              </w:rPr>
              <w:t>5</w:t>
            </w:r>
            <w:r>
              <w:rPr>
                <w:rFonts w:hint="eastAsia" w:ascii="宋体" w:hAnsi="宋体"/>
                <w:color w:val="000000"/>
                <w:sz w:val="22"/>
              </w:rPr>
              <w:t>食品安全文化</w:t>
            </w:r>
          </w:p>
          <w:p w14:paraId="00091BB3">
            <w:pPr>
              <w:rPr>
                <w:rFonts w:ascii="宋体" w:hAnsi="宋体"/>
                <w:color w:val="000000"/>
                <w:sz w:val="22"/>
              </w:rPr>
            </w:pPr>
          </w:p>
        </w:tc>
        <w:tc>
          <w:tcPr>
            <w:tcW w:w="851" w:type="dxa"/>
            <w:vAlign w:val="center"/>
          </w:tcPr>
          <w:p w14:paraId="27AA538C">
            <w:pPr>
              <w:jc w:val="center"/>
              <w:rPr>
                <w:rFonts w:ascii="宋体" w:hAnsi="宋体"/>
                <w:color w:val="000000"/>
                <w:sz w:val="22"/>
              </w:rPr>
            </w:pPr>
            <w:r>
              <w:rPr>
                <w:rFonts w:hint="eastAsia" w:ascii="宋体" w:hAnsi="宋体" w:cs="宋体"/>
                <w:szCs w:val="21"/>
              </w:rPr>
              <w:t>▲</w:t>
            </w:r>
          </w:p>
        </w:tc>
        <w:tc>
          <w:tcPr>
            <w:tcW w:w="994" w:type="dxa"/>
            <w:vAlign w:val="center"/>
          </w:tcPr>
          <w:p w14:paraId="68A02422">
            <w:pPr>
              <w:jc w:val="center"/>
              <w:rPr>
                <w:rFonts w:ascii="宋体" w:hAnsi="宋体" w:cs="宋体"/>
                <w:szCs w:val="21"/>
              </w:rPr>
            </w:pPr>
            <w:r>
              <w:rPr>
                <w:rFonts w:hint="eastAsia" w:ascii="宋体" w:hAnsi="宋体" w:cs="宋体"/>
                <w:szCs w:val="21"/>
              </w:rPr>
              <w:t>△</w:t>
            </w:r>
          </w:p>
        </w:tc>
        <w:tc>
          <w:tcPr>
            <w:tcW w:w="851" w:type="dxa"/>
            <w:vAlign w:val="center"/>
          </w:tcPr>
          <w:p w14:paraId="0A7C6816">
            <w:pPr>
              <w:jc w:val="center"/>
              <w:rPr>
                <w:rFonts w:ascii="宋体" w:hAnsi="宋体" w:cs="宋体"/>
                <w:szCs w:val="21"/>
              </w:rPr>
            </w:pPr>
            <w:r>
              <w:rPr>
                <w:rFonts w:hint="eastAsia" w:ascii="宋体" w:hAnsi="宋体" w:cs="宋体"/>
                <w:szCs w:val="21"/>
              </w:rPr>
              <w:t>△</w:t>
            </w:r>
          </w:p>
        </w:tc>
        <w:tc>
          <w:tcPr>
            <w:tcW w:w="852" w:type="dxa"/>
            <w:vAlign w:val="center"/>
          </w:tcPr>
          <w:p w14:paraId="6992055A">
            <w:pPr>
              <w:jc w:val="center"/>
              <w:rPr>
                <w:rFonts w:ascii="宋体" w:hAnsi="宋体" w:cs="宋体"/>
                <w:szCs w:val="21"/>
              </w:rPr>
            </w:pPr>
            <w:r>
              <w:rPr>
                <w:rFonts w:hint="eastAsia" w:ascii="宋体" w:hAnsi="宋体" w:cs="宋体"/>
                <w:szCs w:val="21"/>
              </w:rPr>
              <w:t>△</w:t>
            </w:r>
          </w:p>
        </w:tc>
        <w:tc>
          <w:tcPr>
            <w:tcW w:w="851" w:type="dxa"/>
            <w:vAlign w:val="center"/>
          </w:tcPr>
          <w:p w14:paraId="12C377A7">
            <w:pPr>
              <w:jc w:val="center"/>
              <w:rPr>
                <w:rFonts w:ascii="宋体" w:hAnsi="宋体" w:cs="宋体"/>
                <w:szCs w:val="21"/>
              </w:rPr>
            </w:pPr>
            <w:r>
              <w:rPr>
                <w:rFonts w:hint="eastAsia" w:ascii="宋体" w:hAnsi="宋体" w:cs="宋体"/>
                <w:szCs w:val="21"/>
              </w:rPr>
              <w:t>△</w:t>
            </w:r>
          </w:p>
        </w:tc>
        <w:tc>
          <w:tcPr>
            <w:tcW w:w="654" w:type="dxa"/>
            <w:vAlign w:val="center"/>
          </w:tcPr>
          <w:p w14:paraId="3086ACDE">
            <w:pPr>
              <w:jc w:val="center"/>
              <w:rPr>
                <w:rFonts w:ascii="宋体" w:hAnsi="宋体" w:cs="宋体"/>
                <w:szCs w:val="21"/>
              </w:rPr>
            </w:pPr>
          </w:p>
        </w:tc>
      </w:tr>
      <w:tr w14:paraId="121B5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9305" w:type="dxa"/>
            <w:gridSpan w:val="7"/>
            <w:tcBorders>
              <w:right w:val="single" w:color="auto" w:sz="4" w:space="0"/>
            </w:tcBorders>
            <w:vAlign w:val="center"/>
          </w:tcPr>
          <w:p w14:paraId="307B9AE6">
            <w:pPr>
              <w:jc w:val="center"/>
              <w:rPr>
                <w:rFonts w:ascii="宋体" w:hAnsi="宋体"/>
                <w:color w:val="000000"/>
                <w:sz w:val="22"/>
              </w:rPr>
            </w:pPr>
            <w:r>
              <w:rPr>
                <w:rFonts w:hint="eastAsia" w:ascii="宋体" w:hAnsi="宋体"/>
                <w:color w:val="000000"/>
                <w:sz w:val="22"/>
              </w:rPr>
              <w:t>5领导作用</w:t>
            </w:r>
          </w:p>
        </w:tc>
      </w:tr>
      <w:tr w14:paraId="2E858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41BA7238">
            <w:pPr>
              <w:rPr>
                <w:rFonts w:ascii="宋体" w:hAnsi="宋体"/>
                <w:color w:val="000000"/>
                <w:sz w:val="22"/>
              </w:rPr>
            </w:pPr>
            <w:r>
              <w:rPr>
                <w:rFonts w:hint="eastAsia" w:ascii="宋体" w:hAnsi="宋体"/>
                <w:color w:val="000000"/>
                <w:sz w:val="22"/>
              </w:rPr>
              <w:t>5.1 领导作用和承诺</w:t>
            </w:r>
          </w:p>
        </w:tc>
        <w:tc>
          <w:tcPr>
            <w:tcW w:w="851" w:type="dxa"/>
            <w:vAlign w:val="center"/>
          </w:tcPr>
          <w:p w14:paraId="684F6620">
            <w:pPr>
              <w:jc w:val="center"/>
              <w:rPr>
                <w:rFonts w:ascii="宋体" w:hAnsi="宋体" w:cs="宋体"/>
                <w:szCs w:val="21"/>
              </w:rPr>
            </w:pPr>
            <w:r>
              <w:rPr>
                <w:rFonts w:hint="eastAsia" w:ascii="宋体" w:hAnsi="宋体" w:cs="宋体"/>
                <w:szCs w:val="21"/>
              </w:rPr>
              <w:t>▲</w:t>
            </w:r>
          </w:p>
        </w:tc>
        <w:tc>
          <w:tcPr>
            <w:tcW w:w="994" w:type="dxa"/>
            <w:vAlign w:val="center"/>
          </w:tcPr>
          <w:p w14:paraId="0C60D2FB">
            <w:pPr>
              <w:jc w:val="center"/>
              <w:rPr>
                <w:rFonts w:ascii="宋体" w:hAnsi="宋体" w:cs="宋体"/>
                <w:szCs w:val="21"/>
              </w:rPr>
            </w:pPr>
            <w:r>
              <w:rPr>
                <w:rFonts w:hint="eastAsia" w:ascii="宋体" w:hAnsi="宋体" w:cs="宋体"/>
                <w:szCs w:val="21"/>
              </w:rPr>
              <w:t>△</w:t>
            </w:r>
          </w:p>
        </w:tc>
        <w:tc>
          <w:tcPr>
            <w:tcW w:w="851" w:type="dxa"/>
            <w:vAlign w:val="center"/>
          </w:tcPr>
          <w:p w14:paraId="1CD04344">
            <w:pPr>
              <w:jc w:val="center"/>
              <w:rPr>
                <w:rFonts w:ascii="宋体" w:hAnsi="宋体" w:cs="宋体"/>
                <w:szCs w:val="21"/>
              </w:rPr>
            </w:pPr>
            <w:r>
              <w:rPr>
                <w:rFonts w:hint="eastAsia" w:ascii="宋体" w:hAnsi="宋体" w:cs="宋体"/>
                <w:szCs w:val="21"/>
              </w:rPr>
              <w:t>△</w:t>
            </w:r>
          </w:p>
        </w:tc>
        <w:tc>
          <w:tcPr>
            <w:tcW w:w="852" w:type="dxa"/>
            <w:vAlign w:val="center"/>
          </w:tcPr>
          <w:p w14:paraId="6BAB1063">
            <w:pPr>
              <w:jc w:val="center"/>
              <w:rPr>
                <w:rFonts w:ascii="宋体" w:hAnsi="宋体" w:cs="宋体"/>
                <w:szCs w:val="21"/>
              </w:rPr>
            </w:pPr>
            <w:r>
              <w:rPr>
                <w:rFonts w:hint="eastAsia" w:ascii="宋体" w:hAnsi="宋体" w:cs="宋体"/>
                <w:szCs w:val="21"/>
              </w:rPr>
              <w:t>△</w:t>
            </w:r>
          </w:p>
        </w:tc>
        <w:tc>
          <w:tcPr>
            <w:tcW w:w="851" w:type="dxa"/>
            <w:vAlign w:val="center"/>
          </w:tcPr>
          <w:p w14:paraId="7C05B480">
            <w:pPr>
              <w:jc w:val="center"/>
              <w:rPr>
                <w:rFonts w:ascii="宋体" w:hAnsi="宋体" w:cs="宋体"/>
                <w:szCs w:val="21"/>
              </w:rPr>
            </w:pPr>
            <w:r>
              <w:rPr>
                <w:rFonts w:hint="eastAsia" w:ascii="宋体" w:hAnsi="宋体" w:cs="宋体"/>
                <w:szCs w:val="21"/>
              </w:rPr>
              <w:t>△</w:t>
            </w:r>
          </w:p>
        </w:tc>
        <w:tc>
          <w:tcPr>
            <w:tcW w:w="654" w:type="dxa"/>
            <w:tcBorders>
              <w:right w:val="single" w:color="auto" w:sz="4" w:space="0"/>
            </w:tcBorders>
            <w:vAlign w:val="center"/>
          </w:tcPr>
          <w:p w14:paraId="3EDC13F6">
            <w:pPr>
              <w:jc w:val="center"/>
              <w:rPr>
                <w:rFonts w:ascii="宋体" w:hAnsi="宋体" w:cs="宋体"/>
                <w:szCs w:val="21"/>
              </w:rPr>
            </w:pPr>
          </w:p>
        </w:tc>
      </w:tr>
      <w:tr w14:paraId="69C2B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00CAF1C6">
            <w:pPr>
              <w:rPr>
                <w:rFonts w:ascii="宋体" w:hAnsi="宋体"/>
                <w:color w:val="000000"/>
                <w:sz w:val="22"/>
              </w:rPr>
            </w:pPr>
            <w:r>
              <w:rPr>
                <w:rFonts w:hint="eastAsia" w:ascii="宋体" w:hAnsi="宋体"/>
                <w:color w:val="000000"/>
                <w:sz w:val="22"/>
              </w:rPr>
              <w:t>5.2方针</w:t>
            </w:r>
          </w:p>
        </w:tc>
        <w:tc>
          <w:tcPr>
            <w:tcW w:w="851" w:type="dxa"/>
            <w:vAlign w:val="center"/>
          </w:tcPr>
          <w:p w14:paraId="19CDC86A">
            <w:pPr>
              <w:jc w:val="center"/>
              <w:rPr>
                <w:rFonts w:ascii="宋体" w:hAnsi="宋体" w:cs="宋体"/>
                <w:szCs w:val="21"/>
              </w:rPr>
            </w:pPr>
            <w:r>
              <w:rPr>
                <w:rFonts w:hint="eastAsia" w:ascii="宋体" w:hAnsi="宋体" w:cs="宋体"/>
                <w:szCs w:val="21"/>
              </w:rPr>
              <w:t>▲</w:t>
            </w:r>
          </w:p>
        </w:tc>
        <w:tc>
          <w:tcPr>
            <w:tcW w:w="994" w:type="dxa"/>
            <w:vAlign w:val="center"/>
          </w:tcPr>
          <w:p w14:paraId="550FCBEE">
            <w:pPr>
              <w:jc w:val="center"/>
              <w:rPr>
                <w:rFonts w:ascii="宋体" w:hAnsi="宋体" w:cs="宋体"/>
                <w:szCs w:val="21"/>
              </w:rPr>
            </w:pPr>
            <w:r>
              <w:rPr>
                <w:rFonts w:hint="eastAsia" w:ascii="宋体" w:hAnsi="宋体" w:cs="宋体"/>
                <w:szCs w:val="21"/>
              </w:rPr>
              <w:t>△</w:t>
            </w:r>
          </w:p>
        </w:tc>
        <w:tc>
          <w:tcPr>
            <w:tcW w:w="851" w:type="dxa"/>
            <w:vAlign w:val="center"/>
          </w:tcPr>
          <w:p w14:paraId="611D00B1">
            <w:pPr>
              <w:jc w:val="center"/>
              <w:rPr>
                <w:rFonts w:ascii="宋体" w:hAnsi="宋体" w:cs="宋体"/>
                <w:szCs w:val="21"/>
              </w:rPr>
            </w:pPr>
            <w:r>
              <w:rPr>
                <w:rFonts w:hint="eastAsia" w:ascii="宋体" w:hAnsi="宋体" w:cs="宋体"/>
                <w:szCs w:val="21"/>
              </w:rPr>
              <w:t>△</w:t>
            </w:r>
          </w:p>
        </w:tc>
        <w:tc>
          <w:tcPr>
            <w:tcW w:w="852" w:type="dxa"/>
            <w:vAlign w:val="center"/>
          </w:tcPr>
          <w:p w14:paraId="30854593">
            <w:pPr>
              <w:jc w:val="center"/>
              <w:rPr>
                <w:rFonts w:ascii="宋体" w:hAnsi="宋体" w:cs="宋体"/>
                <w:szCs w:val="21"/>
              </w:rPr>
            </w:pPr>
            <w:r>
              <w:rPr>
                <w:rFonts w:hint="eastAsia" w:ascii="宋体" w:hAnsi="宋体" w:cs="宋体"/>
                <w:szCs w:val="21"/>
              </w:rPr>
              <w:t>△</w:t>
            </w:r>
          </w:p>
        </w:tc>
        <w:tc>
          <w:tcPr>
            <w:tcW w:w="851" w:type="dxa"/>
            <w:vAlign w:val="center"/>
          </w:tcPr>
          <w:p w14:paraId="1841C552">
            <w:pPr>
              <w:jc w:val="center"/>
              <w:rPr>
                <w:rFonts w:ascii="宋体" w:hAnsi="宋体" w:cs="宋体"/>
                <w:szCs w:val="21"/>
              </w:rPr>
            </w:pPr>
            <w:r>
              <w:rPr>
                <w:rFonts w:hint="eastAsia" w:ascii="宋体" w:hAnsi="宋体" w:cs="宋体"/>
                <w:szCs w:val="21"/>
              </w:rPr>
              <w:t>△</w:t>
            </w:r>
          </w:p>
        </w:tc>
        <w:tc>
          <w:tcPr>
            <w:tcW w:w="654" w:type="dxa"/>
            <w:vAlign w:val="center"/>
          </w:tcPr>
          <w:p w14:paraId="3CD0F927">
            <w:pPr>
              <w:jc w:val="center"/>
              <w:rPr>
                <w:rFonts w:ascii="宋体" w:hAnsi="宋体" w:cs="宋体"/>
                <w:szCs w:val="21"/>
              </w:rPr>
            </w:pPr>
          </w:p>
        </w:tc>
      </w:tr>
      <w:tr w14:paraId="0CA6D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174B56DA">
            <w:pPr>
              <w:rPr>
                <w:rFonts w:ascii="宋体" w:hAnsi="宋体"/>
                <w:color w:val="000000"/>
                <w:sz w:val="22"/>
              </w:rPr>
            </w:pPr>
            <w:r>
              <w:rPr>
                <w:rFonts w:hint="eastAsia" w:ascii="宋体" w:hAnsi="宋体"/>
                <w:color w:val="000000"/>
                <w:sz w:val="22"/>
              </w:rPr>
              <w:t>5.3组织的岗位、职责和权限</w:t>
            </w:r>
          </w:p>
        </w:tc>
        <w:tc>
          <w:tcPr>
            <w:tcW w:w="851" w:type="dxa"/>
            <w:vAlign w:val="center"/>
          </w:tcPr>
          <w:p w14:paraId="1B1D074F">
            <w:pPr>
              <w:jc w:val="center"/>
              <w:rPr>
                <w:rFonts w:ascii="宋体" w:hAnsi="宋体" w:cs="宋体"/>
                <w:szCs w:val="21"/>
              </w:rPr>
            </w:pPr>
            <w:r>
              <w:rPr>
                <w:rFonts w:hint="eastAsia" w:ascii="宋体" w:hAnsi="宋体" w:cs="宋体"/>
                <w:szCs w:val="21"/>
              </w:rPr>
              <w:t>▲</w:t>
            </w:r>
          </w:p>
        </w:tc>
        <w:tc>
          <w:tcPr>
            <w:tcW w:w="994" w:type="dxa"/>
            <w:vAlign w:val="center"/>
          </w:tcPr>
          <w:p w14:paraId="2A8C0364">
            <w:pPr>
              <w:jc w:val="center"/>
              <w:rPr>
                <w:rFonts w:ascii="宋体" w:hAnsi="宋体" w:cs="宋体"/>
                <w:szCs w:val="21"/>
              </w:rPr>
            </w:pPr>
            <w:r>
              <w:rPr>
                <w:rFonts w:hint="eastAsia" w:ascii="宋体" w:hAnsi="宋体" w:cs="宋体"/>
                <w:szCs w:val="21"/>
              </w:rPr>
              <w:t>▲</w:t>
            </w:r>
          </w:p>
        </w:tc>
        <w:tc>
          <w:tcPr>
            <w:tcW w:w="851" w:type="dxa"/>
            <w:vAlign w:val="center"/>
          </w:tcPr>
          <w:p w14:paraId="2DDFBCF1">
            <w:pPr>
              <w:jc w:val="center"/>
              <w:rPr>
                <w:rFonts w:ascii="宋体" w:hAnsi="宋体" w:cs="宋体"/>
                <w:szCs w:val="21"/>
              </w:rPr>
            </w:pPr>
            <w:r>
              <w:rPr>
                <w:rFonts w:hint="eastAsia" w:ascii="宋体" w:hAnsi="宋体" w:cs="宋体"/>
                <w:szCs w:val="21"/>
              </w:rPr>
              <w:t>▲</w:t>
            </w:r>
          </w:p>
        </w:tc>
        <w:tc>
          <w:tcPr>
            <w:tcW w:w="852" w:type="dxa"/>
            <w:vAlign w:val="center"/>
          </w:tcPr>
          <w:p w14:paraId="7AB94EA0">
            <w:pPr>
              <w:jc w:val="center"/>
              <w:rPr>
                <w:rFonts w:ascii="宋体" w:hAnsi="宋体" w:cs="宋体"/>
                <w:szCs w:val="21"/>
              </w:rPr>
            </w:pPr>
            <w:r>
              <w:rPr>
                <w:rFonts w:hint="eastAsia" w:ascii="宋体" w:hAnsi="宋体" w:cs="宋体"/>
                <w:szCs w:val="21"/>
              </w:rPr>
              <w:t>△</w:t>
            </w:r>
          </w:p>
        </w:tc>
        <w:tc>
          <w:tcPr>
            <w:tcW w:w="851" w:type="dxa"/>
            <w:vAlign w:val="center"/>
          </w:tcPr>
          <w:p w14:paraId="55200A03">
            <w:pPr>
              <w:jc w:val="center"/>
              <w:rPr>
                <w:rFonts w:ascii="宋体" w:hAnsi="宋体" w:cs="宋体"/>
                <w:szCs w:val="21"/>
              </w:rPr>
            </w:pPr>
            <w:r>
              <w:rPr>
                <w:rFonts w:hint="eastAsia" w:ascii="宋体" w:hAnsi="宋体" w:cs="宋体"/>
                <w:szCs w:val="21"/>
              </w:rPr>
              <w:t>▲</w:t>
            </w:r>
          </w:p>
        </w:tc>
        <w:tc>
          <w:tcPr>
            <w:tcW w:w="654" w:type="dxa"/>
            <w:vAlign w:val="center"/>
          </w:tcPr>
          <w:p w14:paraId="06FA26D6">
            <w:pPr>
              <w:jc w:val="center"/>
              <w:rPr>
                <w:rFonts w:ascii="宋体" w:hAnsi="宋体" w:cs="宋体"/>
                <w:szCs w:val="21"/>
              </w:rPr>
            </w:pPr>
          </w:p>
        </w:tc>
      </w:tr>
      <w:tr w14:paraId="73967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9305" w:type="dxa"/>
            <w:gridSpan w:val="7"/>
            <w:tcBorders>
              <w:right w:val="single" w:color="auto" w:sz="4" w:space="0"/>
            </w:tcBorders>
            <w:vAlign w:val="center"/>
          </w:tcPr>
          <w:p w14:paraId="7FAF5246">
            <w:pPr>
              <w:jc w:val="center"/>
              <w:rPr>
                <w:rFonts w:ascii="宋体" w:hAnsi="宋体" w:cs="宋体"/>
                <w:szCs w:val="21"/>
              </w:rPr>
            </w:pPr>
            <w:r>
              <w:rPr>
                <w:rFonts w:hint="eastAsia" w:ascii="宋体" w:hAnsi="宋体"/>
                <w:color w:val="000000"/>
                <w:sz w:val="22"/>
              </w:rPr>
              <w:t>6策划</w:t>
            </w:r>
          </w:p>
        </w:tc>
      </w:tr>
      <w:tr w14:paraId="184A1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1E6F665F">
            <w:pPr>
              <w:rPr>
                <w:rFonts w:ascii="宋体" w:hAnsi="宋体"/>
                <w:color w:val="000000"/>
                <w:sz w:val="22"/>
              </w:rPr>
            </w:pPr>
            <w:r>
              <w:rPr>
                <w:rFonts w:hint="eastAsia" w:ascii="宋体" w:hAnsi="宋体"/>
                <w:color w:val="000000"/>
                <w:sz w:val="22"/>
              </w:rPr>
              <w:t>6.1应对风险和机遇的措施</w:t>
            </w:r>
          </w:p>
        </w:tc>
        <w:tc>
          <w:tcPr>
            <w:tcW w:w="851" w:type="dxa"/>
            <w:vAlign w:val="center"/>
          </w:tcPr>
          <w:p w14:paraId="4F80109A">
            <w:pPr>
              <w:jc w:val="center"/>
              <w:rPr>
                <w:rFonts w:ascii="宋体" w:hAnsi="宋体" w:cs="宋体"/>
                <w:szCs w:val="21"/>
              </w:rPr>
            </w:pPr>
            <w:r>
              <w:rPr>
                <w:rFonts w:hint="eastAsia" w:ascii="宋体" w:hAnsi="宋体" w:cs="宋体"/>
                <w:szCs w:val="21"/>
              </w:rPr>
              <w:t>▲</w:t>
            </w:r>
          </w:p>
        </w:tc>
        <w:tc>
          <w:tcPr>
            <w:tcW w:w="994" w:type="dxa"/>
            <w:vAlign w:val="center"/>
          </w:tcPr>
          <w:p w14:paraId="4069DF86">
            <w:pPr>
              <w:jc w:val="center"/>
              <w:rPr>
                <w:rFonts w:ascii="宋体" w:hAnsi="宋体" w:cs="宋体"/>
                <w:szCs w:val="21"/>
              </w:rPr>
            </w:pPr>
            <w:r>
              <w:rPr>
                <w:rFonts w:hint="eastAsia" w:ascii="宋体" w:hAnsi="宋体" w:cs="宋体"/>
                <w:szCs w:val="21"/>
              </w:rPr>
              <w:t>△</w:t>
            </w:r>
          </w:p>
        </w:tc>
        <w:tc>
          <w:tcPr>
            <w:tcW w:w="851" w:type="dxa"/>
            <w:vAlign w:val="center"/>
          </w:tcPr>
          <w:p w14:paraId="28567250">
            <w:pPr>
              <w:jc w:val="center"/>
              <w:rPr>
                <w:rFonts w:ascii="宋体" w:hAnsi="宋体" w:cs="宋体"/>
                <w:szCs w:val="21"/>
              </w:rPr>
            </w:pPr>
            <w:r>
              <w:rPr>
                <w:rFonts w:hint="eastAsia" w:ascii="宋体" w:hAnsi="宋体" w:cs="宋体"/>
                <w:szCs w:val="21"/>
              </w:rPr>
              <w:t>△</w:t>
            </w:r>
          </w:p>
        </w:tc>
        <w:tc>
          <w:tcPr>
            <w:tcW w:w="852" w:type="dxa"/>
            <w:vAlign w:val="center"/>
          </w:tcPr>
          <w:p w14:paraId="1A584E2A">
            <w:pPr>
              <w:jc w:val="center"/>
              <w:rPr>
                <w:rFonts w:ascii="宋体" w:hAnsi="宋体" w:cs="宋体"/>
                <w:szCs w:val="21"/>
              </w:rPr>
            </w:pPr>
            <w:r>
              <w:rPr>
                <w:rFonts w:hint="eastAsia" w:ascii="宋体" w:hAnsi="宋体" w:cs="宋体"/>
                <w:szCs w:val="21"/>
              </w:rPr>
              <w:t>△</w:t>
            </w:r>
          </w:p>
        </w:tc>
        <w:tc>
          <w:tcPr>
            <w:tcW w:w="851" w:type="dxa"/>
            <w:vAlign w:val="center"/>
          </w:tcPr>
          <w:p w14:paraId="3842B893">
            <w:pPr>
              <w:jc w:val="center"/>
              <w:rPr>
                <w:rFonts w:ascii="宋体" w:hAnsi="宋体" w:cs="宋体"/>
                <w:szCs w:val="21"/>
              </w:rPr>
            </w:pPr>
            <w:r>
              <w:rPr>
                <w:rFonts w:hint="eastAsia" w:ascii="宋体" w:hAnsi="宋体" w:cs="宋体"/>
                <w:szCs w:val="21"/>
              </w:rPr>
              <w:t>△</w:t>
            </w:r>
          </w:p>
        </w:tc>
        <w:tc>
          <w:tcPr>
            <w:tcW w:w="654" w:type="dxa"/>
            <w:tcBorders>
              <w:right w:val="single" w:color="auto" w:sz="4" w:space="0"/>
            </w:tcBorders>
            <w:vAlign w:val="center"/>
          </w:tcPr>
          <w:p w14:paraId="60F8E13C">
            <w:pPr>
              <w:jc w:val="center"/>
              <w:rPr>
                <w:rFonts w:ascii="宋体" w:hAnsi="宋体" w:cs="宋体"/>
                <w:szCs w:val="21"/>
              </w:rPr>
            </w:pPr>
          </w:p>
        </w:tc>
      </w:tr>
      <w:tr w14:paraId="0C576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7A3DFC3A">
            <w:pPr>
              <w:rPr>
                <w:rFonts w:ascii="宋体" w:hAnsi="宋体"/>
                <w:color w:val="000000"/>
                <w:sz w:val="22"/>
              </w:rPr>
            </w:pPr>
            <w:r>
              <w:rPr>
                <w:rFonts w:hint="eastAsia" w:ascii="宋体" w:hAnsi="宋体"/>
                <w:color w:val="000000"/>
                <w:sz w:val="22"/>
              </w:rPr>
              <w:t>6.2食品安全管理体系、HACCP体系目标及其实现的策划</w:t>
            </w:r>
          </w:p>
        </w:tc>
        <w:tc>
          <w:tcPr>
            <w:tcW w:w="851" w:type="dxa"/>
            <w:vAlign w:val="center"/>
          </w:tcPr>
          <w:p w14:paraId="087BBA5A">
            <w:pPr>
              <w:jc w:val="center"/>
              <w:rPr>
                <w:rFonts w:ascii="宋体" w:hAnsi="宋体" w:cs="宋体"/>
                <w:szCs w:val="21"/>
              </w:rPr>
            </w:pPr>
            <w:r>
              <w:rPr>
                <w:rFonts w:hint="eastAsia" w:ascii="宋体" w:hAnsi="宋体" w:cs="宋体"/>
                <w:szCs w:val="21"/>
              </w:rPr>
              <w:t>▲</w:t>
            </w:r>
          </w:p>
        </w:tc>
        <w:tc>
          <w:tcPr>
            <w:tcW w:w="994" w:type="dxa"/>
            <w:vAlign w:val="center"/>
          </w:tcPr>
          <w:p w14:paraId="07430354">
            <w:pPr>
              <w:jc w:val="center"/>
              <w:rPr>
                <w:rFonts w:ascii="宋体" w:hAnsi="宋体" w:cs="宋体"/>
                <w:szCs w:val="21"/>
              </w:rPr>
            </w:pPr>
            <w:r>
              <w:rPr>
                <w:rFonts w:hint="eastAsia" w:ascii="宋体" w:hAnsi="宋体" w:cs="宋体"/>
                <w:szCs w:val="21"/>
              </w:rPr>
              <w:t>△</w:t>
            </w:r>
          </w:p>
        </w:tc>
        <w:tc>
          <w:tcPr>
            <w:tcW w:w="851" w:type="dxa"/>
            <w:vAlign w:val="center"/>
          </w:tcPr>
          <w:p w14:paraId="75011318">
            <w:pPr>
              <w:jc w:val="center"/>
              <w:rPr>
                <w:rFonts w:ascii="宋体" w:hAnsi="宋体" w:cs="宋体"/>
                <w:szCs w:val="21"/>
              </w:rPr>
            </w:pPr>
            <w:r>
              <w:rPr>
                <w:rFonts w:hint="eastAsia" w:ascii="宋体" w:hAnsi="宋体" w:cs="宋体"/>
                <w:szCs w:val="21"/>
              </w:rPr>
              <w:t>▲</w:t>
            </w:r>
          </w:p>
        </w:tc>
        <w:tc>
          <w:tcPr>
            <w:tcW w:w="852" w:type="dxa"/>
            <w:vAlign w:val="center"/>
          </w:tcPr>
          <w:p w14:paraId="41E12F8A">
            <w:pPr>
              <w:jc w:val="center"/>
              <w:rPr>
                <w:rFonts w:ascii="宋体" w:hAnsi="宋体" w:cs="宋体"/>
                <w:szCs w:val="21"/>
              </w:rPr>
            </w:pPr>
            <w:r>
              <w:rPr>
                <w:rFonts w:hint="eastAsia" w:ascii="宋体" w:hAnsi="宋体" w:cs="宋体"/>
                <w:szCs w:val="21"/>
              </w:rPr>
              <w:t>△</w:t>
            </w:r>
          </w:p>
        </w:tc>
        <w:tc>
          <w:tcPr>
            <w:tcW w:w="851" w:type="dxa"/>
            <w:vAlign w:val="center"/>
          </w:tcPr>
          <w:p w14:paraId="73E61B35">
            <w:pPr>
              <w:jc w:val="center"/>
              <w:rPr>
                <w:rFonts w:ascii="宋体" w:hAnsi="宋体" w:cs="宋体"/>
                <w:szCs w:val="21"/>
              </w:rPr>
            </w:pPr>
            <w:r>
              <w:rPr>
                <w:rFonts w:hint="eastAsia" w:ascii="宋体" w:hAnsi="宋体" w:cs="宋体"/>
                <w:szCs w:val="21"/>
              </w:rPr>
              <w:t>▲</w:t>
            </w:r>
          </w:p>
        </w:tc>
        <w:tc>
          <w:tcPr>
            <w:tcW w:w="654" w:type="dxa"/>
            <w:vAlign w:val="center"/>
          </w:tcPr>
          <w:p w14:paraId="17F1C12F">
            <w:pPr>
              <w:jc w:val="center"/>
              <w:rPr>
                <w:rFonts w:ascii="宋体" w:hAnsi="宋体" w:cs="宋体"/>
                <w:szCs w:val="21"/>
              </w:rPr>
            </w:pPr>
          </w:p>
        </w:tc>
      </w:tr>
      <w:tr w14:paraId="2876C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5433855B">
            <w:pPr>
              <w:rPr>
                <w:rFonts w:ascii="宋体" w:hAnsi="宋体"/>
                <w:color w:val="000000"/>
                <w:sz w:val="22"/>
              </w:rPr>
            </w:pPr>
            <w:r>
              <w:rPr>
                <w:rFonts w:hint="eastAsia" w:ascii="宋体" w:hAnsi="宋体"/>
                <w:color w:val="000000"/>
                <w:sz w:val="22"/>
              </w:rPr>
              <w:t>6.3变更的策划</w:t>
            </w:r>
          </w:p>
        </w:tc>
        <w:tc>
          <w:tcPr>
            <w:tcW w:w="851" w:type="dxa"/>
            <w:vAlign w:val="center"/>
          </w:tcPr>
          <w:p w14:paraId="48BF8755">
            <w:pPr>
              <w:jc w:val="center"/>
              <w:rPr>
                <w:rFonts w:ascii="宋体" w:hAnsi="宋体" w:cs="宋体"/>
                <w:szCs w:val="21"/>
              </w:rPr>
            </w:pPr>
            <w:r>
              <w:rPr>
                <w:rFonts w:hint="eastAsia" w:ascii="宋体" w:hAnsi="宋体" w:cs="宋体"/>
                <w:szCs w:val="21"/>
              </w:rPr>
              <w:t>△</w:t>
            </w:r>
          </w:p>
        </w:tc>
        <w:tc>
          <w:tcPr>
            <w:tcW w:w="994" w:type="dxa"/>
            <w:vAlign w:val="center"/>
          </w:tcPr>
          <w:p w14:paraId="75E982BD">
            <w:pPr>
              <w:jc w:val="center"/>
              <w:rPr>
                <w:rFonts w:ascii="宋体" w:hAnsi="宋体" w:cs="宋体"/>
                <w:szCs w:val="21"/>
              </w:rPr>
            </w:pPr>
            <w:r>
              <w:rPr>
                <w:rFonts w:hint="eastAsia" w:ascii="宋体" w:hAnsi="宋体" w:cs="宋体"/>
                <w:szCs w:val="21"/>
              </w:rPr>
              <w:t>▲</w:t>
            </w:r>
          </w:p>
        </w:tc>
        <w:tc>
          <w:tcPr>
            <w:tcW w:w="851" w:type="dxa"/>
            <w:vAlign w:val="center"/>
          </w:tcPr>
          <w:p w14:paraId="4F7A673D">
            <w:pPr>
              <w:jc w:val="center"/>
              <w:rPr>
                <w:rFonts w:ascii="宋体" w:hAnsi="宋体" w:cs="宋体"/>
                <w:szCs w:val="21"/>
              </w:rPr>
            </w:pPr>
            <w:r>
              <w:rPr>
                <w:rFonts w:hint="eastAsia" w:ascii="宋体" w:hAnsi="宋体" w:cs="宋体"/>
                <w:szCs w:val="21"/>
              </w:rPr>
              <w:t>△</w:t>
            </w:r>
          </w:p>
        </w:tc>
        <w:tc>
          <w:tcPr>
            <w:tcW w:w="852" w:type="dxa"/>
            <w:vAlign w:val="center"/>
          </w:tcPr>
          <w:p w14:paraId="0FFB35B7">
            <w:pPr>
              <w:jc w:val="center"/>
              <w:rPr>
                <w:rFonts w:ascii="宋体" w:hAnsi="宋体" w:cs="宋体"/>
                <w:szCs w:val="21"/>
              </w:rPr>
            </w:pPr>
            <w:r>
              <w:rPr>
                <w:rFonts w:hint="eastAsia" w:ascii="宋体" w:hAnsi="宋体" w:cs="宋体"/>
                <w:szCs w:val="21"/>
              </w:rPr>
              <w:t>△</w:t>
            </w:r>
          </w:p>
        </w:tc>
        <w:tc>
          <w:tcPr>
            <w:tcW w:w="851" w:type="dxa"/>
            <w:vAlign w:val="center"/>
          </w:tcPr>
          <w:p w14:paraId="4B589D69">
            <w:pPr>
              <w:jc w:val="center"/>
              <w:rPr>
                <w:rFonts w:ascii="宋体" w:hAnsi="宋体" w:cs="宋体"/>
                <w:szCs w:val="21"/>
              </w:rPr>
            </w:pPr>
            <w:r>
              <w:rPr>
                <w:rFonts w:hint="eastAsia" w:ascii="宋体" w:hAnsi="宋体" w:cs="宋体"/>
                <w:szCs w:val="21"/>
              </w:rPr>
              <w:t>△</w:t>
            </w:r>
          </w:p>
        </w:tc>
        <w:tc>
          <w:tcPr>
            <w:tcW w:w="654" w:type="dxa"/>
            <w:vAlign w:val="center"/>
          </w:tcPr>
          <w:p w14:paraId="0A39E6AD">
            <w:pPr>
              <w:jc w:val="center"/>
              <w:rPr>
                <w:rFonts w:ascii="宋体" w:hAnsi="宋体" w:cs="宋体"/>
                <w:szCs w:val="21"/>
              </w:rPr>
            </w:pPr>
          </w:p>
        </w:tc>
      </w:tr>
      <w:tr w14:paraId="50F31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9305" w:type="dxa"/>
            <w:gridSpan w:val="7"/>
            <w:tcBorders>
              <w:right w:val="single" w:color="auto" w:sz="4" w:space="0"/>
            </w:tcBorders>
            <w:vAlign w:val="center"/>
          </w:tcPr>
          <w:p w14:paraId="087EB2E1">
            <w:pPr>
              <w:jc w:val="center"/>
              <w:rPr>
                <w:rFonts w:ascii="宋体" w:hAnsi="宋体" w:cs="宋体"/>
                <w:szCs w:val="21"/>
              </w:rPr>
            </w:pPr>
            <w:r>
              <w:rPr>
                <w:rFonts w:hint="eastAsia" w:ascii="宋体" w:hAnsi="宋体"/>
                <w:color w:val="000000"/>
                <w:sz w:val="22"/>
              </w:rPr>
              <w:t>7支持</w:t>
            </w:r>
          </w:p>
        </w:tc>
      </w:tr>
      <w:tr w14:paraId="0712A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63FD8480">
            <w:pPr>
              <w:rPr>
                <w:rFonts w:ascii="宋体" w:hAnsi="宋体"/>
                <w:color w:val="000000"/>
                <w:sz w:val="22"/>
              </w:rPr>
            </w:pPr>
            <w:r>
              <w:rPr>
                <w:rFonts w:hint="eastAsia" w:ascii="宋体" w:hAnsi="宋体"/>
                <w:color w:val="000000"/>
                <w:sz w:val="22"/>
              </w:rPr>
              <w:t>7.1资源</w:t>
            </w:r>
          </w:p>
        </w:tc>
        <w:tc>
          <w:tcPr>
            <w:tcW w:w="851" w:type="dxa"/>
            <w:vAlign w:val="center"/>
          </w:tcPr>
          <w:p w14:paraId="3A999223">
            <w:pPr>
              <w:jc w:val="center"/>
              <w:rPr>
                <w:rFonts w:ascii="宋体" w:hAnsi="宋体" w:cs="宋体"/>
                <w:szCs w:val="21"/>
              </w:rPr>
            </w:pPr>
            <w:r>
              <w:rPr>
                <w:rFonts w:hint="eastAsia" w:ascii="宋体" w:hAnsi="宋体" w:cs="宋体"/>
                <w:szCs w:val="21"/>
              </w:rPr>
              <w:t>▲</w:t>
            </w:r>
          </w:p>
        </w:tc>
        <w:tc>
          <w:tcPr>
            <w:tcW w:w="994" w:type="dxa"/>
            <w:vAlign w:val="center"/>
          </w:tcPr>
          <w:p w14:paraId="25B86E16">
            <w:pPr>
              <w:jc w:val="center"/>
              <w:rPr>
                <w:rFonts w:ascii="宋体" w:hAnsi="宋体" w:cs="宋体"/>
                <w:szCs w:val="21"/>
              </w:rPr>
            </w:pPr>
            <w:r>
              <w:rPr>
                <w:rFonts w:hint="eastAsia" w:ascii="宋体" w:hAnsi="宋体" w:cs="宋体"/>
                <w:szCs w:val="21"/>
              </w:rPr>
              <w:t>△</w:t>
            </w:r>
          </w:p>
        </w:tc>
        <w:tc>
          <w:tcPr>
            <w:tcW w:w="851" w:type="dxa"/>
            <w:vAlign w:val="center"/>
          </w:tcPr>
          <w:p w14:paraId="3A2F9BBB">
            <w:pPr>
              <w:jc w:val="center"/>
              <w:rPr>
                <w:rFonts w:ascii="宋体" w:hAnsi="宋体" w:cs="宋体"/>
                <w:szCs w:val="21"/>
              </w:rPr>
            </w:pPr>
            <w:r>
              <w:rPr>
                <w:rFonts w:hint="eastAsia" w:ascii="宋体" w:hAnsi="宋体" w:cs="宋体"/>
                <w:szCs w:val="21"/>
              </w:rPr>
              <w:t>△</w:t>
            </w:r>
          </w:p>
        </w:tc>
        <w:tc>
          <w:tcPr>
            <w:tcW w:w="852" w:type="dxa"/>
            <w:vAlign w:val="center"/>
          </w:tcPr>
          <w:p w14:paraId="54E6AF9B">
            <w:pPr>
              <w:jc w:val="center"/>
              <w:rPr>
                <w:rFonts w:ascii="宋体" w:hAnsi="宋体" w:cs="宋体"/>
                <w:szCs w:val="21"/>
              </w:rPr>
            </w:pPr>
            <w:r>
              <w:rPr>
                <w:rFonts w:hint="eastAsia" w:ascii="宋体" w:hAnsi="宋体" w:cs="宋体"/>
                <w:szCs w:val="21"/>
              </w:rPr>
              <w:t>△</w:t>
            </w:r>
          </w:p>
        </w:tc>
        <w:tc>
          <w:tcPr>
            <w:tcW w:w="851" w:type="dxa"/>
            <w:vAlign w:val="center"/>
          </w:tcPr>
          <w:p w14:paraId="178F2E9D">
            <w:pPr>
              <w:jc w:val="center"/>
              <w:rPr>
                <w:rFonts w:ascii="宋体" w:hAnsi="宋体" w:cs="宋体"/>
                <w:szCs w:val="21"/>
              </w:rPr>
            </w:pPr>
            <w:r>
              <w:rPr>
                <w:rFonts w:hint="eastAsia" w:ascii="宋体" w:hAnsi="宋体" w:cs="宋体"/>
                <w:szCs w:val="21"/>
              </w:rPr>
              <w:t>△</w:t>
            </w:r>
          </w:p>
        </w:tc>
        <w:tc>
          <w:tcPr>
            <w:tcW w:w="654" w:type="dxa"/>
            <w:vAlign w:val="center"/>
          </w:tcPr>
          <w:p w14:paraId="00CFBB66">
            <w:pPr>
              <w:jc w:val="center"/>
              <w:rPr>
                <w:rFonts w:ascii="宋体" w:hAnsi="宋体" w:cs="宋体"/>
                <w:szCs w:val="21"/>
              </w:rPr>
            </w:pPr>
          </w:p>
        </w:tc>
      </w:tr>
      <w:tr w14:paraId="6E282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2C4E83F6">
            <w:pPr>
              <w:rPr>
                <w:rFonts w:ascii="宋体" w:hAnsi="宋体"/>
                <w:color w:val="000000"/>
                <w:sz w:val="22"/>
              </w:rPr>
            </w:pPr>
            <w:r>
              <w:rPr>
                <w:rFonts w:hint="eastAsia" w:ascii="宋体" w:hAnsi="宋体"/>
                <w:color w:val="000000"/>
                <w:sz w:val="22"/>
              </w:rPr>
              <w:t>7.1.1 总则</w:t>
            </w:r>
          </w:p>
        </w:tc>
        <w:tc>
          <w:tcPr>
            <w:tcW w:w="851" w:type="dxa"/>
            <w:vAlign w:val="center"/>
          </w:tcPr>
          <w:p w14:paraId="18E8900A">
            <w:pPr>
              <w:jc w:val="center"/>
              <w:rPr>
                <w:rFonts w:ascii="宋体" w:hAnsi="宋体" w:cs="宋体"/>
                <w:szCs w:val="21"/>
              </w:rPr>
            </w:pPr>
            <w:r>
              <w:rPr>
                <w:rFonts w:hint="eastAsia" w:ascii="宋体" w:hAnsi="宋体" w:cs="宋体"/>
                <w:szCs w:val="21"/>
              </w:rPr>
              <w:t>△</w:t>
            </w:r>
          </w:p>
        </w:tc>
        <w:tc>
          <w:tcPr>
            <w:tcW w:w="994" w:type="dxa"/>
            <w:vAlign w:val="center"/>
          </w:tcPr>
          <w:p w14:paraId="0B9B0BD2">
            <w:pPr>
              <w:jc w:val="center"/>
              <w:rPr>
                <w:rFonts w:ascii="宋体" w:hAnsi="宋体" w:cs="宋体"/>
                <w:szCs w:val="21"/>
              </w:rPr>
            </w:pPr>
            <w:r>
              <w:rPr>
                <w:rFonts w:hint="eastAsia" w:ascii="宋体" w:hAnsi="宋体" w:cs="宋体"/>
                <w:szCs w:val="21"/>
              </w:rPr>
              <w:t>▲</w:t>
            </w:r>
          </w:p>
        </w:tc>
        <w:tc>
          <w:tcPr>
            <w:tcW w:w="851" w:type="dxa"/>
            <w:vAlign w:val="center"/>
          </w:tcPr>
          <w:p w14:paraId="19096C31">
            <w:pPr>
              <w:jc w:val="center"/>
              <w:rPr>
                <w:rFonts w:ascii="宋体" w:hAnsi="宋体" w:cs="宋体"/>
                <w:szCs w:val="21"/>
              </w:rPr>
            </w:pPr>
            <w:r>
              <w:rPr>
                <w:rFonts w:hint="eastAsia" w:ascii="宋体" w:hAnsi="宋体" w:cs="宋体"/>
                <w:szCs w:val="21"/>
              </w:rPr>
              <w:t>△</w:t>
            </w:r>
          </w:p>
        </w:tc>
        <w:tc>
          <w:tcPr>
            <w:tcW w:w="852" w:type="dxa"/>
            <w:vAlign w:val="center"/>
          </w:tcPr>
          <w:p w14:paraId="61D962B3">
            <w:pPr>
              <w:jc w:val="center"/>
              <w:rPr>
                <w:rFonts w:ascii="宋体" w:hAnsi="宋体" w:cs="宋体"/>
                <w:szCs w:val="21"/>
              </w:rPr>
            </w:pPr>
            <w:r>
              <w:rPr>
                <w:rFonts w:hint="eastAsia" w:ascii="宋体" w:hAnsi="宋体" w:cs="宋体"/>
                <w:szCs w:val="21"/>
              </w:rPr>
              <w:t>△</w:t>
            </w:r>
          </w:p>
        </w:tc>
        <w:tc>
          <w:tcPr>
            <w:tcW w:w="851" w:type="dxa"/>
            <w:vAlign w:val="center"/>
          </w:tcPr>
          <w:p w14:paraId="12B6EB47">
            <w:pPr>
              <w:jc w:val="center"/>
              <w:rPr>
                <w:rFonts w:ascii="宋体" w:hAnsi="宋体" w:cs="宋体"/>
                <w:szCs w:val="21"/>
              </w:rPr>
            </w:pPr>
            <w:r>
              <w:rPr>
                <w:rFonts w:hint="eastAsia" w:ascii="宋体" w:hAnsi="宋体" w:cs="宋体"/>
                <w:szCs w:val="21"/>
              </w:rPr>
              <w:t>△</w:t>
            </w:r>
          </w:p>
        </w:tc>
        <w:tc>
          <w:tcPr>
            <w:tcW w:w="654" w:type="dxa"/>
            <w:vAlign w:val="center"/>
          </w:tcPr>
          <w:p w14:paraId="152D89D6">
            <w:pPr>
              <w:jc w:val="center"/>
              <w:rPr>
                <w:rFonts w:ascii="宋体" w:hAnsi="宋体" w:cs="宋体"/>
                <w:szCs w:val="21"/>
              </w:rPr>
            </w:pPr>
          </w:p>
        </w:tc>
      </w:tr>
      <w:tr w14:paraId="2423C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4D0D5C1F">
            <w:pPr>
              <w:rPr>
                <w:rFonts w:ascii="宋体" w:hAnsi="宋体"/>
                <w:color w:val="000000"/>
                <w:sz w:val="22"/>
              </w:rPr>
            </w:pPr>
            <w:r>
              <w:rPr>
                <w:rFonts w:hint="eastAsia" w:ascii="宋体" w:hAnsi="宋体"/>
                <w:color w:val="000000"/>
                <w:sz w:val="22"/>
              </w:rPr>
              <w:t>7.1.2人员</w:t>
            </w:r>
          </w:p>
        </w:tc>
        <w:tc>
          <w:tcPr>
            <w:tcW w:w="851" w:type="dxa"/>
            <w:vAlign w:val="center"/>
          </w:tcPr>
          <w:p w14:paraId="542F0AFE">
            <w:pPr>
              <w:jc w:val="center"/>
              <w:rPr>
                <w:rFonts w:ascii="宋体" w:hAnsi="宋体" w:cs="宋体"/>
                <w:szCs w:val="21"/>
              </w:rPr>
            </w:pPr>
            <w:r>
              <w:rPr>
                <w:rFonts w:hint="eastAsia" w:ascii="宋体" w:hAnsi="宋体" w:cs="宋体"/>
                <w:szCs w:val="21"/>
              </w:rPr>
              <w:t>△</w:t>
            </w:r>
          </w:p>
        </w:tc>
        <w:tc>
          <w:tcPr>
            <w:tcW w:w="994" w:type="dxa"/>
            <w:vAlign w:val="center"/>
          </w:tcPr>
          <w:p w14:paraId="5BCF7913">
            <w:pPr>
              <w:jc w:val="center"/>
              <w:rPr>
                <w:rFonts w:ascii="宋体" w:hAnsi="宋体" w:cs="宋体"/>
                <w:szCs w:val="21"/>
              </w:rPr>
            </w:pPr>
            <w:r>
              <w:rPr>
                <w:rFonts w:hint="eastAsia" w:ascii="宋体" w:hAnsi="宋体" w:cs="宋体"/>
                <w:szCs w:val="21"/>
              </w:rPr>
              <w:t>△</w:t>
            </w:r>
          </w:p>
        </w:tc>
        <w:tc>
          <w:tcPr>
            <w:tcW w:w="851" w:type="dxa"/>
            <w:vAlign w:val="center"/>
          </w:tcPr>
          <w:p w14:paraId="35A59367">
            <w:pPr>
              <w:jc w:val="center"/>
              <w:rPr>
                <w:rFonts w:ascii="宋体" w:hAnsi="宋体" w:cs="宋体"/>
                <w:szCs w:val="21"/>
              </w:rPr>
            </w:pPr>
            <w:r>
              <w:rPr>
                <w:rFonts w:hint="eastAsia" w:ascii="宋体" w:hAnsi="宋体" w:cs="宋体"/>
                <w:szCs w:val="21"/>
              </w:rPr>
              <w:t>▲</w:t>
            </w:r>
          </w:p>
        </w:tc>
        <w:tc>
          <w:tcPr>
            <w:tcW w:w="852" w:type="dxa"/>
            <w:vAlign w:val="center"/>
          </w:tcPr>
          <w:p w14:paraId="4640F1B8">
            <w:pPr>
              <w:jc w:val="center"/>
              <w:rPr>
                <w:rFonts w:ascii="宋体" w:hAnsi="宋体" w:cs="宋体"/>
                <w:szCs w:val="21"/>
              </w:rPr>
            </w:pPr>
            <w:r>
              <w:rPr>
                <w:rFonts w:hint="eastAsia" w:ascii="宋体" w:hAnsi="宋体" w:cs="宋体"/>
                <w:szCs w:val="21"/>
              </w:rPr>
              <w:t>△</w:t>
            </w:r>
          </w:p>
        </w:tc>
        <w:tc>
          <w:tcPr>
            <w:tcW w:w="851" w:type="dxa"/>
            <w:vAlign w:val="center"/>
          </w:tcPr>
          <w:p w14:paraId="4FE5B96A">
            <w:pPr>
              <w:jc w:val="center"/>
              <w:rPr>
                <w:rFonts w:ascii="宋体" w:hAnsi="宋体" w:cs="宋体"/>
                <w:szCs w:val="21"/>
              </w:rPr>
            </w:pPr>
            <w:r>
              <w:rPr>
                <w:rFonts w:hint="eastAsia" w:ascii="宋体" w:hAnsi="宋体" w:cs="宋体"/>
                <w:szCs w:val="21"/>
              </w:rPr>
              <w:t>△</w:t>
            </w:r>
          </w:p>
        </w:tc>
        <w:tc>
          <w:tcPr>
            <w:tcW w:w="654" w:type="dxa"/>
            <w:vAlign w:val="center"/>
          </w:tcPr>
          <w:p w14:paraId="5B8FC37C">
            <w:pPr>
              <w:jc w:val="center"/>
              <w:rPr>
                <w:rFonts w:ascii="宋体" w:hAnsi="宋体" w:cs="宋体"/>
                <w:szCs w:val="21"/>
              </w:rPr>
            </w:pPr>
          </w:p>
        </w:tc>
      </w:tr>
      <w:tr w14:paraId="6FC2D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66" w:hRule="exact"/>
          <w:jc w:val="center"/>
        </w:trPr>
        <w:tc>
          <w:tcPr>
            <w:tcW w:w="4252" w:type="dxa"/>
            <w:vAlign w:val="center"/>
          </w:tcPr>
          <w:p w14:paraId="6594D448">
            <w:pPr>
              <w:rPr>
                <w:rFonts w:ascii="宋体" w:hAnsi="宋体"/>
                <w:color w:val="000000"/>
                <w:sz w:val="22"/>
              </w:rPr>
            </w:pPr>
            <w:r>
              <w:rPr>
                <w:rFonts w:hint="eastAsia" w:ascii="宋体" w:hAnsi="宋体"/>
                <w:color w:val="000000"/>
                <w:sz w:val="22"/>
              </w:rPr>
              <w:t>7.1.3 基础设施</w:t>
            </w:r>
          </w:p>
        </w:tc>
        <w:tc>
          <w:tcPr>
            <w:tcW w:w="851" w:type="dxa"/>
            <w:vAlign w:val="center"/>
          </w:tcPr>
          <w:p w14:paraId="1EC6323B">
            <w:pPr>
              <w:jc w:val="center"/>
              <w:rPr>
                <w:rFonts w:ascii="宋体" w:hAnsi="宋体" w:cs="宋体"/>
                <w:szCs w:val="21"/>
              </w:rPr>
            </w:pPr>
            <w:r>
              <w:rPr>
                <w:rFonts w:hint="eastAsia" w:ascii="宋体" w:hAnsi="宋体" w:cs="宋体"/>
                <w:szCs w:val="21"/>
              </w:rPr>
              <w:t>△</w:t>
            </w:r>
          </w:p>
        </w:tc>
        <w:tc>
          <w:tcPr>
            <w:tcW w:w="994" w:type="dxa"/>
            <w:vAlign w:val="center"/>
          </w:tcPr>
          <w:p w14:paraId="04E301B8">
            <w:pPr>
              <w:jc w:val="center"/>
              <w:rPr>
                <w:rFonts w:ascii="宋体" w:hAnsi="宋体" w:cs="宋体"/>
                <w:szCs w:val="21"/>
              </w:rPr>
            </w:pPr>
            <w:r>
              <w:rPr>
                <w:rFonts w:hint="eastAsia" w:ascii="宋体" w:hAnsi="宋体" w:cs="宋体"/>
                <w:szCs w:val="21"/>
              </w:rPr>
              <w:t>△</w:t>
            </w:r>
          </w:p>
        </w:tc>
        <w:tc>
          <w:tcPr>
            <w:tcW w:w="851" w:type="dxa"/>
            <w:vAlign w:val="center"/>
          </w:tcPr>
          <w:p w14:paraId="14B2023A">
            <w:pPr>
              <w:jc w:val="center"/>
              <w:rPr>
                <w:rFonts w:ascii="宋体" w:hAnsi="宋体" w:cs="宋体"/>
                <w:szCs w:val="21"/>
              </w:rPr>
            </w:pPr>
            <w:r>
              <w:rPr>
                <w:rFonts w:hint="eastAsia" w:ascii="宋体" w:hAnsi="宋体" w:cs="宋体"/>
                <w:szCs w:val="21"/>
              </w:rPr>
              <w:t>△</w:t>
            </w:r>
          </w:p>
        </w:tc>
        <w:tc>
          <w:tcPr>
            <w:tcW w:w="852" w:type="dxa"/>
            <w:vAlign w:val="center"/>
          </w:tcPr>
          <w:p w14:paraId="1A070251">
            <w:pPr>
              <w:jc w:val="center"/>
              <w:rPr>
                <w:rFonts w:ascii="宋体" w:hAnsi="宋体" w:cs="宋体"/>
                <w:szCs w:val="21"/>
              </w:rPr>
            </w:pPr>
            <w:r>
              <w:rPr>
                <w:rFonts w:hint="eastAsia" w:ascii="宋体" w:hAnsi="宋体" w:cs="宋体"/>
                <w:szCs w:val="21"/>
              </w:rPr>
              <w:t>△</w:t>
            </w:r>
          </w:p>
        </w:tc>
        <w:tc>
          <w:tcPr>
            <w:tcW w:w="851" w:type="dxa"/>
            <w:vAlign w:val="center"/>
          </w:tcPr>
          <w:p w14:paraId="40D38888">
            <w:pPr>
              <w:jc w:val="center"/>
              <w:rPr>
                <w:rFonts w:ascii="宋体" w:hAnsi="宋体" w:cs="宋体"/>
                <w:szCs w:val="21"/>
              </w:rPr>
            </w:pPr>
            <w:r>
              <w:rPr>
                <w:rFonts w:hint="eastAsia" w:ascii="宋体" w:hAnsi="宋体" w:cs="宋体"/>
                <w:szCs w:val="21"/>
              </w:rPr>
              <w:t>▲</w:t>
            </w:r>
          </w:p>
        </w:tc>
        <w:tc>
          <w:tcPr>
            <w:tcW w:w="654" w:type="dxa"/>
            <w:vAlign w:val="center"/>
          </w:tcPr>
          <w:p w14:paraId="71E62871">
            <w:pPr>
              <w:jc w:val="center"/>
              <w:rPr>
                <w:rFonts w:ascii="宋体" w:hAnsi="宋体" w:cs="宋体"/>
                <w:szCs w:val="21"/>
              </w:rPr>
            </w:pPr>
          </w:p>
        </w:tc>
      </w:tr>
      <w:tr w14:paraId="3E534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25E2466F">
            <w:pPr>
              <w:rPr>
                <w:rFonts w:ascii="宋体" w:hAnsi="宋体"/>
                <w:color w:val="000000"/>
                <w:sz w:val="22"/>
              </w:rPr>
            </w:pPr>
            <w:r>
              <w:rPr>
                <w:rFonts w:hint="eastAsia" w:ascii="宋体" w:hAnsi="宋体"/>
                <w:color w:val="000000"/>
                <w:sz w:val="22"/>
              </w:rPr>
              <w:t>7.1.4工作环境</w:t>
            </w:r>
          </w:p>
        </w:tc>
        <w:tc>
          <w:tcPr>
            <w:tcW w:w="851" w:type="dxa"/>
            <w:vAlign w:val="center"/>
          </w:tcPr>
          <w:p w14:paraId="4A3E4FF4">
            <w:pPr>
              <w:jc w:val="center"/>
              <w:rPr>
                <w:rFonts w:ascii="宋体" w:hAnsi="宋体" w:cs="宋体"/>
                <w:szCs w:val="21"/>
              </w:rPr>
            </w:pPr>
            <w:r>
              <w:rPr>
                <w:rFonts w:hint="eastAsia" w:ascii="宋体" w:hAnsi="宋体" w:cs="宋体"/>
                <w:szCs w:val="21"/>
              </w:rPr>
              <w:t>△</w:t>
            </w:r>
          </w:p>
        </w:tc>
        <w:tc>
          <w:tcPr>
            <w:tcW w:w="994" w:type="dxa"/>
            <w:vAlign w:val="center"/>
          </w:tcPr>
          <w:p w14:paraId="339F1392">
            <w:pPr>
              <w:jc w:val="center"/>
              <w:rPr>
                <w:rFonts w:ascii="宋体" w:hAnsi="宋体" w:cs="宋体"/>
                <w:szCs w:val="21"/>
              </w:rPr>
            </w:pPr>
            <w:r>
              <w:rPr>
                <w:rFonts w:hint="eastAsia" w:ascii="宋体" w:hAnsi="宋体" w:cs="宋体"/>
                <w:szCs w:val="21"/>
              </w:rPr>
              <w:t>△</w:t>
            </w:r>
          </w:p>
        </w:tc>
        <w:tc>
          <w:tcPr>
            <w:tcW w:w="851" w:type="dxa"/>
            <w:vAlign w:val="center"/>
          </w:tcPr>
          <w:p w14:paraId="4D48783F">
            <w:pPr>
              <w:jc w:val="center"/>
              <w:rPr>
                <w:rFonts w:ascii="宋体" w:hAnsi="宋体" w:cs="宋体"/>
                <w:szCs w:val="21"/>
              </w:rPr>
            </w:pPr>
            <w:r>
              <w:rPr>
                <w:rFonts w:hint="eastAsia" w:ascii="宋体" w:hAnsi="宋体" w:cs="宋体"/>
                <w:szCs w:val="21"/>
              </w:rPr>
              <w:t>△</w:t>
            </w:r>
          </w:p>
        </w:tc>
        <w:tc>
          <w:tcPr>
            <w:tcW w:w="852" w:type="dxa"/>
            <w:vAlign w:val="center"/>
          </w:tcPr>
          <w:p w14:paraId="57ECBC58">
            <w:pPr>
              <w:jc w:val="center"/>
              <w:rPr>
                <w:rFonts w:ascii="宋体" w:hAnsi="宋体" w:cs="宋体"/>
                <w:szCs w:val="21"/>
              </w:rPr>
            </w:pPr>
            <w:r>
              <w:rPr>
                <w:rFonts w:hint="eastAsia" w:ascii="宋体" w:hAnsi="宋体" w:cs="宋体"/>
                <w:szCs w:val="21"/>
              </w:rPr>
              <w:t>△</w:t>
            </w:r>
          </w:p>
        </w:tc>
        <w:tc>
          <w:tcPr>
            <w:tcW w:w="851" w:type="dxa"/>
          </w:tcPr>
          <w:p w14:paraId="1F819F18">
            <w:pPr>
              <w:jc w:val="center"/>
              <w:rPr>
                <w:rFonts w:ascii="宋体" w:hAnsi="宋体" w:cs="宋体"/>
                <w:szCs w:val="21"/>
              </w:rPr>
            </w:pPr>
            <w:r>
              <w:rPr>
                <w:rFonts w:hint="eastAsia" w:ascii="宋体" w:hAnsi="宋体" w:cs="宋体"/>
                <w:szCs w:val="21"/>
              </w:rPr>
              <w:t>▲</w:t>
            </w:r>
          </w:p>
        </w:tc>
        <w:tc>
          <w:tcPr>
            <w:tcW w:w="654" w:type="dxa"/>
            <w:vAlign w:val="center"/>
          </w:tcPr>
          <w:p w14:paraId="05A2C0BE">
            <w:pPr>
              <w:jc w:val="center"/>
              <w:rPr>
                <w:rFonts w:ascii="宋体" w:hAnsi="宋体" w:cs="宋体"/>
                <w:szCs w:val="21"/>
              </w:rPr>
            </w:pPr>
          </w:p>
        </w:tc>
      </w:tr>
      <w:tr w14:paraId="11050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31BDBF85">
            <w:pPr>
              <w:rPr>
                <w:rFonts w:ascii="宋体" w:hAnsi="宋体"/>
                <w:color w:val="000000"/>
                <w:sz w:val="22"/>
              </w:rPr>
            </w:pPr>
            <w:r>
              <w:rPr>
                <w:rFonts w:hint="eastAsia" w:ascii="宋体" w:hAnsi="宋体"/>
                <w:color w:val="000000"/>
                <w:sz w:val="22"/>
              </w:rPr>
              <w:t>7.1.5食品安全管理体系、HACCP体系的外部开发要素</w:t>
            </w:r>
          </w:p>
        </w:tc>
        <w:tc>
          <w:tcPr>
            <w:tcW w:w="851" w:type="dxa"/>
            <w:vAlign w:val="center"/>
          </w:tcPr>
          <w:p w14:paraId="4E48D875">
            <w:pPr>
              <w:jc w:val="center"/>
              <w:rPr>
                <w:rFonts w:ascii="宋体" w:hAnsi="宋体" w:cs="宋体"/>
                <w:szCs w:val="21"/>
              </w:rPr>
            </w:pPr>
            <w:r>
              <w:rPr>
                <w:rFonts w:hint="eastAsia" w:ascii="宋体" w:hAnsi="宋体" w:cs="宋体"/>
                <w:szCs w:val="21"/>
              </w:rPr>
              <w:t>△</w:t>
            </w:r>
          </w:p>
        </w:tc>
        <w:tc>
          <w:tcPr>
            <w:tcW w:w="994" w:type="dxa"/>
            <w:vAlign w:val="center"/>
          </w:tcPr>
          <w:p w14:paraId="099EAEE8">
            <w:pPr>
              <w:jc w:val="center"/>
              <w:rPr>
                <w:rFonts w:ascii="宋体" w:hAnsi="宋体" w:cs="宋体"/>
                <w:szCs w:val="21"/>
              </w:rPr>
            </w:pPr>
            <w:r>
              <w:rPr>
                <w:rFonts w:hint="eastAsia" w:ascii="宋体" w:hAnsi="宋体" w:cs="宋体"/>
                <w:szCs w:val="21"/>
              </w:rPr>
              <w:t>△</w:t>
            </w:r>
          </w:p>
        </w:tc>
        <w:tc>
          <w:tcPr>
            <w:tcW w:w="851" w:type="dxa"/>
            <w:vAlign w:val="center"/>
          </w:tcPr>
          <w:p w14:paraId="1B1873B8">
            <w:pPr>
              <w:jc w:val="center"/>
              <w:rPr>
                <w:rFonts w:ascii="宋体" w:hAnsi="宋体" w:cs="宋体"/>
                <w:szCs w:val="21"/>
              </w:rPr>
            </w:pPr>
            <w:r>
              <w:rPr>
                <w:rFonts w:hint="eastAsia" w:ascii="宋体" w:hAnsi="宋体" w:cs="宋体"/>
                <w:szCs w:val="21"/>
              </w:rPr>
              <w:t>△</w:t>
            </w:r>
          </w:p>
        </w:tc>
        <w:tc>
          <w:tcPr>
            <w:tcW w:w="852" w:type="dxa"/>
            <w:vAlign w:val="center"/>
          </w:tcPr>
          <w:p w14:paraId="37F15DDC">
            <w:pPr>
              <w:jc w:val="center"/>
              <w:rPr>
                <w:rFonts w:ascii="宋体" w:hAnsi="宋体" w:cs="宋体"/>
                <w:szCs w:val="21"/>
              </w:rPr>
            </w:pPr>
            <w:r>
              <w:rPr>
                <w:rFonts w:hint="eastAsia" w:ascii="宋体" w:hAnsi="宋体" w:cs="宋体"/>
                <w:szCs w:val="21"/>
              </w:rPr>
              <w:t>△</w:t>
            </w:r>
          </w:p>
        </w:tc>
        <w:tc>
          <w:tcPr>
            <w:tcW w:w="851" w:type="dxa"/>
          </w:tcPr>
          <w:p w14:paraId="61470B88">
            <w:pPr>
              <w:jc w:val="center"/>
              <w:rPr>
                <w:rFonts w:ascii="宋体" w:hAnsi="宋体" w:cs="宋体"/>
                <w:szCs w:val="21"/>
              </w:rPr>
            </w:pPr>
            <w:r>
              <w:rPr>
                <w:rFonts w:hint="eastAsia" w:ascii="宋体" w:hAnsi="宋体" w:cs="宋体"/>
                <w:szCs w:val="21"/>
              </w:rPr>
              <w:t>▲</w:t>
            </w:r>
          </w:p>
        </w:tc>
        <w:tc>
          <w:tcPr>
            <w:tcW w:w="654" w:type="dxa"/>
            <w:vAlign w:val="center"/>
          </w:tcPr>
          <w:p w14:paraId="4E6FA216">
            <w:pPr>
              <w:jc w:val="center"/>
              <w:rPr>
                <w:rFonts w:ascii="宋体" w:hAnsi="宋体" w:cs="宋体"/>
                <w:szCs w:val="21"/>
              </w:rPr>
            </w:pPr>
          </w:p>
        </w:tc>
      </w:tr>
      <w:tr w14:paraId="768E0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5790A5C3">
            <w:pPr>
              <w:rPr>
                <w:rFonts w:ascii="宋体" w:hAnsi="宋体"/>
                <w:color w:val="000000"/>
                <w:sz w:val="22"/>
              </w:rPr>
            </w:pPr>
            <w:r>
              <w:rPr>
                <w:rFonts w:hint="eastAsia" w:ascii="宋体" w:hAnsi="宋体"/>
                <w:color w:val="000000"/>
                <w:sz w:val="22"/>
              </w:rPr>
              <w:t>7.1.6外部提供过程、产品或服务的控制</w:t>
            </w:r>
          </w:p>
        </w:tc>
        <w:tc>
          <w:tcPr>
            <w:tcW w:w="851" w:type="dxa"/>
            <w:vAlign w:val="center"/>
          </w:tcPr>
          <w:p w14:paraId="6F0B00B7">
            <w:pPr>
              <w:jc w:val="center"/>
              <w:rPr>
                <w:rFonts w:ascii="宋体" w:hAnsi="宋体" w:cs="宋体"/>
                <w:szCs w:val="21"/>
              </w:rPr>
            </w:pPr>
            <w:r>
              <w:rPr>
                <w:rFonts w:hint="eastAsia" w:ascii="宋体" w:hAnsi="宋体" w:cs="宋体"/>
                <w:szCs w:val="21"/>
              </w:rPr>
              <w:t>△</w:t>
            </w:r>
          </w:p>
        </w:tc>
        <w:tc>
          <w:tcPr>
            <w:tcW w:w="994" w:type="dxa"/>
            <w:vAlign w:val="center"/>
          </w:tcPr>
          <w:p w14:paraId="4570BE1A">
            <w:pPr>
              <w:jc w:val="center"/>
              <w:rPr>
                <w:rFonts w:ascii="宋体" w:hAnsi="宋体" w:cs="宋体"/>
                <w:szCs w:val="21"/>
              </w:rPr>
            </w:pPr>
            <w:r>
              <w:rPr>
                <w:rFonts w:hint="eastAsia" w:ascii="宋体" w:hAnsi="宋体" w:cs="宋体"/>
                <w:szCs w:val="21"/>
              </w:rPr>
              <w:t>△</w:t>
            </w:r>
          </w:p>
        </w:tc>
        <w:tc>
          <w:tcPr>
            <w:tcW w:w="851" w:type="dxa"/>
            <w:vAlign w:val="center"/>
          </w:tcPr>
          <w:p w14:paraId="267325E0">
            <w:pPr>
              <w:jc w:val="center"/>
              <w:rPr>
                <w:rFonts w:ascii="宋体" w:hAnsi="宋体" w:cs="宋体"/>
                <w:szCs w:val="21"/>
              </w:rPr>
            </w:pPr>
            <w:r>
              <w:rPr>
                <w:rFonts w:hint="eastAsia" w:ascii="宋体" w:hAnsi="宋体" w:cs="宋体"/>
                <w:szCs w:val="21"/>
              </w:rPr>
              <w:t>△</w:t>
            </w:r>
          </w:p>
        </w:tc>
        <w:tc>
          <w:tcPr>
            <w:tcW w:w="852" w:type="dxa"/>
            <w:vAlign w:val="center"/>
          </w:tcPr>
          <w:p w14:paraId="4A2CF392">
            <w:pPr>
              <w:jc w:val="center"/>
              <w:rPr>
                <w:rFonts w:ascii="宋体" w:hAnsi="宋体" w:cs="宋体"/>
                <w:szCs w:val="21"/>
              </w:rPr>
            </w:pPr>
            <w:r>
              <w:rPr>
                <w:rFonts w:hint="eastAsia" w:ascii="宋体" w:hAnsi="宋体" w:cs="宋体"/>
                <w:szCs w:val="21"/>
              </w:rPr>
              <w:t>△</w:t>
            </w:r>
          </w:p>
        </w:tc>
        <w:tc>
          <w:tcPr>
            <w:tcW w:w="851" w:type="dxa"/>
            <w:vAlign w:val="center"/>
          </w:tcPr>
          <w:p w14:paraId="35D43DC4">
            <w:pPr>
              <w:jc w:val="center"/>
              <w:rPr>
                <w:rFonts w:ascii="宋体" w:hAnsi="宋体" w:cs="宋体"/>
                <w:szCs w:val="21"/>
              </w:rPr>
            </w:pPr>
            <w:r>
              <w:rPr>
                <w:rFonts w:hint="eastAsia" w:ascii="宋体" w:hAnsi="宋体" w:cs="宋体"/>
                <w:szCs w:val="21"/>
              </w:rPr>
              <w:t>▲</w:t>
            </w:r>
          </w:p>
        </w:tc>
        <w:tc>
          <w:tcPr>
            <w:tcW w:w="654" w:type="dxa"/>
            <w:vAlign w:val="center"/>
          </w:tcPr>
          <w:p w14:paraId="77E3955C">
            <w:pPr>
              <w:jc w:val="center"/>
              <w:rPr>
                <w:rFonts w:ascii="宋体" w:hAnsi="宋体" w:cs="宋体"/>
                <w:szCs w:val="21"/>
              </w:rPr>
            </w:pPr>
          </w:p>
        </w:tc>
      </w:tr>
      <w:tr w14:paraId="2EA8B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1DB59E95">
            <w:pPr>
              <w:rPr>
                <w:rFonts w:ascii="宋体" w:hAnsi="宋体"/>
                <w:color w:val="000000"/>
                <w:sz w:val="22"/>
              </w:rPr>
            </w:pPr>
            <w:r>
              <w:rPr>
                <w:rFonts w:hint="eastAsia" w:ascii="宋体" w:hAnsi="宋体"/>
                <w:color w:val="000000"/>
                <w:sz w:val="22"/>
              </w:rPr>
              <w:t>7.2能力</w:t>
            </w:r>
          </w:p>
        </w:tc>
        <w:tc>
          <w:tcPr>
            <w:tcW w:w="851" w:type="dxa"/>
            <w:vAlign w:val="center"/>
          </w:tcPr>
          <w:p w14:paraId="08E7EB7D">
            <w:pPr>
              <w:jc w:val="center"/>
              <w:rPr>
                <w:rFonts w:ascii="宋体" w:hAnsi="宋体" w:cs="宋体"/>
                <w:szCs w:val="21"/>
              </w:rPr>
            </w:pPr>
            <w:r>
              <w:rPr>
                <w:rFonts w:hint="eastAsia" w:ascii="宋体" w:hAnsi="宋体" w:cs="宋体"/>
                <w:szCs w:val="21"/>
              </w:rPr>
              <w:t>△</w:t>
            </w:r>
          </w:p>
        </w:tc>
        <w:tc>
          <w:tcPr>
            <w:tcW w:w="994" w:type="dxa"/>
            <w:vAlign w:val="center"/>
          </w:tcPr>
          <w:p w14:paraId="4BD2AF1A">
            <w:pPr>
              <w:jc w:val="center"/>
              <w:rPr>
                <w:rFonts w:ascii="宋体" w:hAnsi="宋体" w:cs="宋体"/>
                <w:szCs w:val="21"/>
              </w:rPr>
            </w:pPr>
            <w:r>
              <w:rPr>
                <w:rFonts w:hint="eastAsia" w:ascii="宋体" w:hAnsi="宋体" w:cs="宋体"/>
                <w:szCs w:val="21"/>
              </w:rPr>
              <w:t>△</w:t>
            </w:r>
          </w:p>
        </w:tc>
        <w:tc>
          <w:tcPr>
            <w:tcW w:w="851" w:type="dxa"/>
            <w:vAlign w:val="center"/>
          </w:tcPr>
          <w:p w14:paraId="367BC3EA">
            <w:pPr>
              <w:jc w:val="center"/>
              <w:rPr>
                <w:rFonts w:ascii="宋体" w:hAnsi="宋体" w:cs="宋体"/>
                <w:szCs w:val="21"/>
              </w:rPr>
            </w:pPr>
            <w:r>
              <w:rPr>
                <w:rFonts w:hint="eastAsia" w:ascii="宋体" w:hAnsi="宋体" w:cs="宋体"/>
                <w:szCs w:val="21"/>
              </w:rPr>
              <w:t>▲</w:t>
            </w:r>
          </w:p>
        </w:tc>
        <w:tc>
          <w:tcPr>
            <w:tcW w:w="852" w:type="dxa"/>
            <w:vAlign w:val="center"/>
          </w:tcPr>
          <w:p w14:paraId="51DAF297">
            <w:pPr>
              <w:jc w:val="center"/>
              <w:rPr>
                <w:rFonts w:ascii="宋体" w:hAnsi="宋体" w:cs="宋体"/>
                <w:szCs w:val="21"/>
              </w:rPr>
            </w:pPr>
            <w:r>
              <w:rPr>
                <w:rFonts w:hint="eastAsia" w:ascii="宋体" w:hAnsi="宋体" w:cs="宋体"/>
                <w:szCs w:val="21"/>
              </w:rPr>
              <w:t>△</w:t>
            </w:r>
          </w:p>
        </w:tc>
        <w:tc>
          <w:tcPr>
            <w:tcW w:w="851" w:type="dxa"/>
            <w:vAlign w:val="center"/>
          </w:tcPr>
          <w:p w14:paraId="56D5AAE7">
            <w:pPr>
              <w:jc w:val="center"/>
              <w:rPr>
                <w:rFonts w:ascii="宋体" w:hAnsi="宋体" w:cs="宋体"/>
                <w:szCs w:val="21"/>
              </w:rPr>
            </w:pPr>
            <w:r>
              <w:rPr>
                <w:rFonts w:hint="eastAsia" w:ascii="宋体" w:hAnsi="宋体" w:cs="宋体"/>
                <w:szCs w:val="21"/>
              </w:rPr>
              <w:t>△</w:t>
            </w:r>
          </w:p>
        </w:tc>
        <w:tc>
          <w:tcPr>
            <w:tcW w:w="654" w:type="dxa"/>
            <w:vAlign w:val="center"/>
          </w:tcPr>
          <w:p w14:paraId="266D62A4">
            <w:pPr>
              <w:jc w:val="center"/>
              <w:rPr>
                <w:rFonts w:ascii="宋体" w:hAnsi="宋体" w:cs="宋体"/>
                <w:szCs w:val="21"/>
              </w:rPr>
            </w:pPr>
          </w:p>
        </w:tc>
      </w:tr>
      <w:tr w14:paraId="2F629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35A83C4A">
            <w:pPr>
              <w:rPr>
                <w:rFonts w:ascii="宋体" w:hAnsi="宋体"/>
                <w:color w:val="000000"/>
                <w:sz w:val="22"/>
              </w:rPr>
            </w:pPr>
            <w:r>
              <w:rPr>
                <w:rFonts w:hint="eastAsia" w:ascii="宋体" w:hAnsi="宋体"/>
                <w:color w:val="000000"/>
                <w:sz w:val="22"/>
              </w:rPr>
              <w:t>7.3意识</w:t>
            </w:r>
          </w:p>
        </w:tc>
        <w:tc>
          <w:tcPr>
            <w:tcW w:w="851" w:type="dxa"/>
            <w:vAlign w:val="center"/>
          </w:tcPr>
          <w:p w14:paraId="720489FE">
            <w:pPr>
              <w:jc w:val="center"/>
              <w:rPr>
                <w:rFonts w:ascii="宋体" w:hAnsi="宋体" w:cs="宋体"/>
                <w:szCs w:val="21"/>
              </w:rPr>
            </w:pPr>
            <w:r>
              <w:rPr>
                <w:rFonts w:hint="eastAsia" w:ascii="宋体" w:hAnsi="宋体" w:cs="宋体"/>
                <w:szCs w:val="21"/>
              </w:rPr>
              <w:t>△</w:t>
            </w:r>
          </w:p>
        </w:tc>
        <w:tc>
          <w:tcPr>
            <w:tcW w:w="994" w:type="dxa"/>
            <w:vAlign w:val="center"/>
          </w:tcPr>
          <w:p w14:paraId="17E5E01E">
            <w:pPr>
              <w:jc w:val="center"/>
              <w:rPr>
                <w:rFonts w:ascii="宋体" w:hAnsi="宋体" w:cs="宋体"/>
                <w:szCs w:val="21"/>
              </w:rPr>
            </w:pPr>
            <w:r>
              <w:rPr>
                <w:rFonts w:hint="eastAsia" w:ascii="宋体" w:hAnsi="宋体" w:cs="宋体"/>
                <w:szCs w:val="21"/>
              </w:rPr>
              <w:t>△</w:t>
            </w:r>
          </w:p>
        </w:tc>
        <w:tc>
          <w:tcPr>
            <w:tcW w:w="851" w:type="dxa"/>
            <w:vAlign w:val="center"/>
          </w:tcPr>
          <w:p w14:paraId="1A4C4454">
            <w:pPr>
              <w:jc w:val="center"/>
              <w:rPr>
                <w:rFonts w:ascii="宋体" w:hAnsi="宋体" w:cs="宋体"/>
                <w:szCs w:val="21"/>
              </w:rPr>
            </w:pPr>
            <w:r>
              <w:rPr>
                <w:rFonts w:hint="eastAsia" w:ascii="宋体" w:hAnsi="宋体" w:cs="宋体"/>
                <w:szCs w:val="21"/>
              </w:rPr>
              <w:t>▲</w:t>
            </w:r>
          </w:p>
        </w:tc>
        <w:tc>
          <w:tcPr>
            <w:tcW w:w="852" w:type="dxa"/>
            <w:vAlign w:val="center"/>
          </w:tcPr>
          <w:p w14:paraId="78963C54">
            <w:pPr>
              <w:jc w:val="center"/>
              <w:rPr>
                <w:rFonts w:ascii="宋体" w:hAnsi="宋体" w:cs="宋体"/>
                <w:szCs w:val="21"/>
              </w:rPr>
            </w:pPr>
            <w:r>
              <w:rPr>
                <w:rFonts w:hint="eastAsia" w:ascii="宋体" w:hAnsi="宋体" w:cs="宋体"/>
                <w:szCs w:val="21"/>
              </w:rPr>
              <w:t>△</w:t>
            </w:r>
          </w:p>
        </w:tc>
        <w:tc>
          <w:tcPr>
            <w:tcW w:w="851" w:type="dxa"/>
            <w:vAlign w:val="center"/>
          </w:tcPr>
          <w:p w14:paraId="3FB16800">
            <w:pPr>
              <w:jc w:val="center"/>
              <w:rPr>
                <w:rFonts w:ascii="宋体" w:hAnsi="宋体" w:cs="宋体"/>
                <w:szCs w:val="21"/>
              </w:rPr>
            </w:pPr>
            <w:r>
              <w:rPr>
                <w:rFonts w:hint="eastAsia" w:ascii="宋体" w:hAnsi="宋体" w:cs="宋体"/>
                <w:szCs w:val="21"/>
              </w:rPr>
              <w:t>△</w:t>
            </w:r>
          </w:p>
        </w:tc>
        <w:tc>
          <w:tcPr>
            <w:tcW w:w="654" w:type="dxa"/>
            <w:vAlign w:val="center"/>
          </w:tcPr>
          <w:p w14:paraId="4A0F7534">
            <w:pPr>
              <w:jc w:val="center"/>
              <w:rPr>
                <w:rFonts w:ascii="宋体" w:hAnsi="宋体" w:cs="宋体"/>
                <w:szCs w:val="21"/>
              </w:rPr>
            </w:pPr>
          </w:p>
        </w:tc>
      </w:tr>
      <w:tr w14:paraId="0AE0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4F74711E">
            <w:pPr>
              <w:rPr>
                <w:rFonts w:ascii="宋体" w:hAnsi="宋体"/>
                <w:color w:val="000000"/>
                <w:sz w:val="22"/>
              </w:rPr>
            </w:pPr>
            <w:r>
              <w:rPr>
                <w:rFonts w:hint="eastAsia" w:ascii="宋体" w:hAnsi="宋体"/>
                <w:color w:val="000000"/>
                <w:sz w:val="22"/>
              </w:rPr>
              <w:t>7.4沟通</w:t>
            </w:r>
          </w:p>
        </w:tc>
        <w:tc>
          <w:tcPr>
            <w:tcW w:w="851" w:type="dxa"/>
            <w:vAlign w:val="center"/>
          </w:tcPr>
          <w:p w14:paraId="402BD316">
            <w:pPr>
              <w:jc w:val="center"/>
              <w:rPr>
                <w:rFonts w:ascii="宋体" w:hAnsi="宋体" w:cs="宋体"/>
                <w:szCs w:val="21"/>
              </w:rPr>
            </w:pPr>
            <w:r>
              <w:rPr>
                <w:rFonts w:hint="eastAsia" w:ascii="宋体" w:hAnsi="宋体" w:cs="宋体"/>
                <w:szCs w:val="21"/>
              </w:rPr>
              <w:t>△</w:t>
            </w:r>
          </w:p>
        </w:tc>
        <w:tc>
          <w:tcPr>
            <w:tcW w:w="994" w:type="dxa"/>
            <w:vAlign w:val="center"/>
          </w:tcPr>
          <w:p w14:paraId="52FC0105">
            <w:pPr>
              <w:jc w:val="center"/>
              <w:rPr>
                <w:rFonts w:ascii="宋体" w:hAnsi="宋体" w:cs="宋体"/>
                <w:szCs w:val="21"/>
              </w:rPr>
            </w:pPr>
            <w:r>
              <w:rPr>
                <w:rFonts w:hint="eastAsia" w:ascii="宋体" w:hAnsi="宋体" w:cs="宋体"/>
                <w:szCs w:val="21"/>
              </w:rPr>
              <w:t>△</w:t>
            </w:r>
          </w:p>
        </w:tc>
        <w:tc>
          <w:tcPr>
            <w:tcW w:w="851" w:type="dxa"/>
            <w:vAlign w:val="center"/>
          </w:tcPr>
          <w:p w14:paraId="08761FA6">
            <w:pPr>
              <w:jc w:val="center"/>
              <w:rPr>
                <w:rFonts w:ascii="宋体" w:hAnsi="宋体" w:cs="宋体"/>
                <w:szCs w:val="21"/>
              </w:rPr>
            </w:pPr>
            <w:r>
              <w:rPr>
                <w:rFonts w:hint="eastAsia" w:ascii="宋体" w:hAnsi="宋体" w:cs="宋体"/>
                <w:szCs w:val="21"/>
              </w:rPr>
              <w:t>▲</w:t>
            </w:r>
          </w:p>
        </w:tc>
        <w:tc>
          <w:tcPr>
            <w:tcW w:w="852" w:type="dxa"/>
            <w:vAlign w:val="center"/>
          </w:tcPr>
          <w:p w14:paraId="18761FDC">
            <w:pPr>
              <w:jc w:val="center"/>
              <w:rPr>
                <w:rFonts w:ascii="宋体" w:hAnsi="宋体" w:cs="宋体"/>
                <w:szCs w:val="21"/>
              </w:rPr>
            </w:pPr>
            <w:r>
              <w:rPr>
                <w:rFonts w:hint="eastAsia" w:ascii="宋体" w:hAnsi="宋体" w:cs="宋体"/>
                <w:szCs w:val="21"/>
              </w:rPr>
              <w:t>△</w:t>
            </w:r>
          </w:p>
        </w:tc>
        <w:tc>
          <w:tcPr>
            <w:tcW w:w="851" w:type="dxa"/>
            <w:vAlign w:val="center"/>
          </w:tcPr>
          <w:p w14:paraId="7CC37353">
            <w:pPr>
              <w:jc w:val="center"/>
              <w:rPr>
                <w:rFonts w:ascii="宋体" w:hAnsi="宋体" w:cs="宋体"/>
                <w:szCs w:val="21"/>
              </w:rPr>
            </w:pPr>
            <w:r>
              <w:rPr>
                <w:rFonts w:hint="eastAsia" w:ascii="宋体" w:hAnsi="宋体" w:cs="宋体"/>
                <w:szCs w:val="21"/>
              </w:rPr>
              <w:t>△</w:t>
            </w:r>
          </w:p>
        </w:tc>
        <w:tc>
          <w:tcPr>
            <w:tcW w:w="654" w:type="dxa"/>
            <w:vAlign w:val="center"/>
          </w:tcPr>
          <w:p w14:paraId="08712AA7">
            <w:pPr>
              <w:jc w:val="center"/>
              <w:rPr>
                <w:rFonts w:ascii="宋体" w:hAnsi="宋体" w:cs="宋体"/>
                <w:szCs w:val="21"/>
              </w:rPr>
            </w:pPr>
          </w:p>
        </w:tc>
      </w:tr>
      <w:tr w14:paraId="7D1DA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0CB8C87F">
            <w:pPr>
              <w:rPr>
                <w:rFonts w:ascii="宋体" w:hAnsi="宋体"/>
                <w:color w:val="000000"/>
                <w:sz w:val="22"/>
              </w:rPr>
            </w:pPr>
            <w:r>
              <w:rPr>
                <w:rFonts w:hint="eastAsia" w:ascii="宋体" w:hAnsi="宋体"/>
                <w:color w:val="000000"/>
                <w:sz w:val="22"/>
              </w:rPr>
              <w:t>7.5成文信息</w:t>
            </w:r>
          </w:p>
        </w:tc>
        <w:tc>
          <w:tcPr>
            <w:tcW w:w="851" w:type="dxa"/>
            <w:vAlign w:val="center"/>
          </w:tcPr>
          <w:p w14:paraId="0B260B34">
            <w:pPr>
              <w:jc w:val="center"/>
              <w:rPr>
                <w:rFonts w:ascii="宋体" w:hAnsi="宋体" w:cs="宋体"/>
                <w:szCs w:val="21"/>
              </w:rPr>
            </w:pPr>
            <w:r>
              <w:rPr>
                <w:rFonts w:hint="eastAsia" w:ascii="宋体" w:hAnsi="宋体" w:cs="宋体"/>
                <w:szCs w:val="21"/>
              </w:rPr>
              <w:t>△</w:t>
            </w:r>
          </w:p>
        </w:tc>
        <w:tc>
          <w:tcPr>
            <w:tcW w:w="994" w:type="dxa"/>
            <w:vAlign w:val="center"/>
          </w:tcPr>
          <w:p w14:paraId="538F9EFA">
            <w:pPr>
              <w:jc w:val="center"/>
              <w:rPr>
                <w:rFonts w:ascii="宋体" w:hAnsi="宋体" w:cs="宋体"/>
                <w:szCs w:val="21"/>
              </w:rPr>
            </w:pPr>
            <w:r>
              <w:rPr>
                <w:rFonts w:hint="eastAsia" w:ascii="宋体" w:hAnsi="宋体" w:cs="宋体"/>
                <w:szCs w:val="21"/>
              </w:rPr>
              <w:t>△</w:t>
            </w:r>
          </w:p>
        </w:tc>
        <w:tc>
          <w:tcPr>
            <w:tcW w:w="851" w:type="dxa"/>
            <w:vAlign w:val="center"/>
          </w:tcPr>
          <w:p w14:paraId="3AE004D0">
            <w:pPr>
              <w:jc w:val="center"/>
              <w:rPr>
                <w:rFonts w:ascii="宋体" w:hAnsi="宋体" w:cs="宋体"/>
                <w:szCs w:val="21"/>
              </w:rPr>
            </w:pPr>
            <w:r>
              <w:rPr>
                <w:rFonts w:hint="eastAsia" w:ascii="宋体" w:hAnsi="宋体" w:cs="宋体"/>
                <w:szCs w:val="21"/>
              </w:rPr>
              <w:t>▲</w:t>
            </w:r>
          </w:p>
        </w:tc>
        <w:tc>
          <w:tcPr>
            <w:tcW w:w="852" w:type="dxa"/>
            <w:vAlign w:val="center"/>
          </w:tcPr>
          <w:p w14:paraId="3BA37687">
            <w:pPr>
              <w:jc w:val="center"/>
              <w:rPr>
                <w:rFonts w:ascii="宋体" w:hAnsi="宋体" w:cs="宋体"/>
                <w:szCs w:val="21"/>
              </w:rPr>
            </w:pPr>
            <w:r>
              <w:rPr>
                <w:rFonts w:hint="eastAsia" w:ascii="宋体" w:hAnsi="宋体" w:cs="宋体"/>
                <w:szCs w:val="21"/>
              </w:rPr>
              <w:t>△</w:t>
            </w:r>
          </w:p>
        </w:tc>
        <w:tc>
          <w:tcPr>
            <w:tcW w:w="851" w:type="dxa"/>
            <w:vAlign w:val="center"/>
          </w:tcPr>
          <w:p w14:paraId="45C658FE">
            <w:pPr>
              <w:jc w:val="center"/>
              <w:rPr>
                <w:rFonts w:ascii="宋体" w:hAnsi="宋体" w:cs="宋体"/>
                <w:szCs w:val="21"/>
              </w:rPr>
            </w:pPr>
            <w:r>
              <w:rPr>
                <w:rFonts w:hint="eastAsia" w:ascii="宋体" w:hAnsi="宋体" w:cs="宋体"/>
                <w:szCs w:val="21"/>
              </w:rPr>
              <w:t>△</w:t>
            </w:r>
          </w:p>
        </w:tc>
        <w:tc>
          <w:tcPr>
            <w:tcW w:w="654" w:type="dxa"/>
            <w:tcBorders>
              <w:right w:val="single" w:color="auto" w:sz="4" w:space="0"/>
            </w:tcBorders>
            <w:vAlign w:val="center"/>
          </w:tcPr>
          <w:p w14:paraId="052F7830">
            <w:pPr>
              <w:jc w:val="center"/>
              <w:rPr>
                <w:rFonts w:ascii="宋体" w:hAnsi="宋体" w:cs="宋体"/>
                <w:szCs w:val="21"/>
              </w:rPr>
            </w:pPr>
          </w:p>
        </w:tc>
      </w:tr>
      <w:tr w14:paraId="3B53D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46" w:hRule="exact"/>
          <w:jc w:val="center"/>
        </w:trPr>
        <w:tc>
          <w:tcPr>
            <w:tcW w:w="9305" w:type="dxa"/>
            <w:gridSpan w:val="7"/>
            <w:tcBorders>
              <w:right w:val="single" w:color="auto" w:sz="4" w:space="0"/>
            </w:tcBorders>
            <w:vAlign w:val="center"/>
          </w:tcPr>
          <w:p w14:paraId="5C6C1CF0">
            <w:pPr>
              <w:jc w:val="center"/>
              <w:rPr>
                <w:rFonts w:ascii="宋体" w:hAnsi="宋体" w:cs="宋体"/>
                <w:szCs w:val="21"/>
              </w:rPr>
            </w:pPr>
            <w:r>
              <w:rPr>
                <w:rFonts w:hint="eastAsia" w:ascii="宋体" w:hAnsi="宋体"/>
                <w:color w:val="000000"/>
                <w:sz w:val="22"/>
              </w:rPr>
              <w:t>8运行</w:t>
            </w:r>
          </w:p>
        </w:tc>
      </w:tr>
      <w:tr w14:paraId="170C2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37" w:hRule="exact"/>
          <w:jc w:val="center"/>
        </w:trPr>
        <w:tc>
          <w:tcPr>
            <w:tcW w:w="4252" w:type="dxa"/>
            <w:vAlign w:val="center"/>
          </w:tcPr>
          <w:p w14:paraId="2E347681">
            <w:pPr>
              <w:rPr>
                <w:rFonts w:ascii="宋体" w:hAnsi="宋体"/>
                <w:color w:val="000000"/>
                <w:sz w:val="22"/>
              </w:rPr>
            </w:pPr>
            <w:r>
              <w:rPr>
                <w:rFonts w:hint="eastAsia" w:ascii="宋体" w:hAnsi="宋体"/>
                <w:color w:val="000000"/>
                <w:sz w:val="22"/>
              </w:rPr>
              <w:t>8.1运行策划和控制</w:t>
            </w:r>
          </w:p>
        </w:tc>
        <w:tc>
          <w:tcPr>
            <w:tcW w:w="851" w:type="dxa"/>
            <w:vAlign w:val="center"/>
          </w:tcPr>
          <w:p w14:paraId="0E1DD004">
            <w:pPr>
              <w:jc w:val="center"/>
              <w:rPr>
                <w:rFonts w:ascii="宋体" w:hAnsi="宋体" w:cs="宋体"/>
                <w:szCs w:val="21"/>
              </w:rPr>
            </w:pPr>
            <w:r>
              <w:rPr>
                <w:rFonts w:hint="eastAsia" w:ascii="宋体" w:hAnsi="宋体" w:cs="宋体"/>
                <w:szCs w:val="21"/>
              </w:rPr>
              <w:t>△</w:t>
            </w:r>
          </w:p>
        </w:tc>
        <w:tc>
          <w:tcPr>
            <w:tcW w:w="994" w:type="dxa"/>
            <w:vAlign w:val="center"/>
          </w:tcPr>
          <w:p w14:paraId="6F872B02">
            <w:pPr>
              <w:jc w:val="center"/>
              <w:rPr>
                <w:rFonts w:ascii="宋体" w:hAnsi="宋体" w:cs="宋体"/>
                <w:szCs w:val="21"/>
              </w:rPr>
            </w:pPr>
            <w:r>
              <w:rPr>
                <w:rFonts w:hint="eastAsia" w:ascii="宋体" w:hAnsi="宋体" w:cs="宋体"/>
                <w:szCs w:val="21"/>
              </w:rPr>
              <w:t>▲</w:t>
            </w:r>
          </w:p>
        </w:tc>
        <w:tc>
          <w:tcPr>
            <w:tcW w:w="851" w:type="dxa"/>
            <w:vAlign w:val="center"/>
          </w:tcPr>
          <w:p w14:paraId="66899ADE">
            <w:pPr>
              <w:jc w:val="center"/>
              <w:rPr>
                <w:rFonts w:ascii="宋体" w:hAnsi="宋体" w:cs="宋体"/>
                <w:szCs w:val="21"/>
              </w:rPr>
            </w:pPr>
            <w:r>
              <w:rPr>
                <w:rFonts w:hint="eastAsia" w:ascii="宋体" w:hAnsi="宋体" w:cs="宋体"/>
                <w:szCs w:val="21"/>
              </w:rPr>
              <w:t>△</w:t>
            </w:r>
          </w:p>
        </w:tc>
        <w:tc>
          <w:tcPr>
            <w:tcW w:w="852" w:type="dxa"/>
            <w:vAlign w:val="center"/>
          </w:tcPr>
          <w:p w14:paraId="352B30BB">
            <w:pPr>
              <w:jc w:val="center"/>
              <w:rPr>
                <w:rFonts w:ascii="宋体" w:hAnsi="宋体" w:cs="宋体"/>
                <w:szCs w:val="21"/>
              </w:rPr>
            </w:pPr>
            <w:r>
              <w:rPr>
                <w:rFonts w:hint="eastAsia" w:ascii="宋体" w:hAnsi="宋体" w:cs="宋体"/>
                <w:szCs w:val="21"/>
              </w:rPr>
              <w:t>△</w:t>
            </w:r>
          </w:p>
        </w:tc>
        <w:tc>
          <w:tcPr>
            <w:tcW w:w="851" w:type="dxa"/>
            <w:vAlign w:val="center"/>
          </w:tcPr>
          <w:p w14:paraId="5376FDF2">
            <w:pPr>
              <w:jc w:val="center"/>
              <w:rPr>
                <w:rFonts w:ascii="宋体" w:hAnsi="宋体" w:cs="宋体"/>
                <w:szCs w:val="21"/>
              </w:rPr>
            </w:pPr>
            <w:r>
              <w:rPr>
                <w:rFonts w:hint="eastAsia" w:ascii="宋体" w:hAnsi="宋体" w:cs="宋体"/>
                <w:szCs w:val="21"/>
              </w:rPr>
              <w:t>▲</w:t>
            </w:r>
          </w:p>
        </w:tc>
        <w:tc>
          <w:tcPr>
            <w:tcW w:w="654" w:type="dxa"/>
            <w:vAlign w:val="center"/>
          </w:tcPr>
          <w:p w14:paraId="40876313">
            <w:pPr>
              <w:jc w:val="center"/>
              <w:rPr>
                <w:rFonts w:ascii="宋体" w:hAnsi="宋体" w:cs="宋体"/>
                <w:szCs w:val="21"/>
              </w:rPr>
            </w:pPr>
          </w:p>
        </w:tc>
      </w:tr>
      <w:tr w14:paraId="3DCE4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4BC2F635">
            <w:pPr>
              <w:rPr>
                <w:rFonts w:ascii="宋体" w:hAnsi="宋体"/>
                <w:color w:val="000000"/>
                <w:sz w:val="22"/>
              </w:rPr>
            </w:pPr>
            <w:r>
              <w:rPr>
                <w:rFonts w:hint="eastAsia" w:ascii="宋体" w:hAnsi="宋体"/>
                <w:color w:val="000000"/>
                <w:sz w:val="22"/>
              </w:rPr>
              <w:t>8.1.1良好加工规范（GHP）</w:t>
            </w:r>
          </w:p>
        </w:tc>
        <w:tc>
          <w:tcPr>
            <w:tcW w:w="851" w:type="dxa"/>
            <w:vAlign w:val="center"/>
          </w:tcPr>
          <w:p w14:paraId="70D89A29">
            <w:pPr>
              <w:jc w:val="center"/>
              <w:rPr>
                <w:rFonts w:ascii="宋体" w:hAnsi="宋体" w:cs="宋体"/>
                <w:szCs w:val="21"/>
              </w:rPr>
            </w:pPr>
            <w:r>
              <w:rPr>
                <w:rFonts w:hint="eastAsia" w:ascii="宋体" w:hAnsi="宋体" w:cs="宋体"/>
                <w:szCs w:val="21"/>
              </w:rPr>
              <w:t>△</w:t>
            </w:r>
          </w:p>
        </w:tc>
        <w:tc>
          <w:tcPr>
            <w:tcW w:w="994" w:type="dxa"/>
            <w:vAlign w:val="center"/>
          </w:tcPr>
          <w:p w14:paraId="44313A39">
            <w:pPr>
              <w:jc w:val="center"/>
              <w:rPr>
                <w:rFonts w:ascii="宋体" w:hAnsi="宋体" w:cs="宋体"/>
                <w:szCs w:val="21"/>
              </w:rPr>
            </w:pPr>
            <w:r>
              <w:rPr>
                <w:rFonts w:hint="eastAsia" w:ascii="宋体" w:hAnsi="宋体" w:cs="宋体"/>
                <w:szCs w:val="21"/>
              </w:rPr>
              <w:t>▲</w:t>
            </w:r>
          </w:p>
        </w:tc>
        <w:tc>
          <w:tcPr>
            <w:tcW w:w="851" w:type="dxa"/>
            <w:vAlign w:val="center"/>
          </w:tcPr>
          <w:p w14:paraId="2E3A8357">
            <w:pPr>
              <w:jc w:val="center"/>
              <w:rPr>
                <w:rFonts w:ascii="宋体" w:hAnsi="宋体" w:cs="宋体"/>
                <w:szCs w:val="21"/>
              </w:rPr>
            </w:pPr>
            <w:r>
              <w:rPr>
                <w:rFonts w:hint="eastAsia" w:ascii="宋体" w:hAnsi="宋体" w:cs="宋体"/>
                <w:szCs w:val="21"/>
              </w:rPr>
              <w:t>△</w:t>
            </w:r>
          </w:p>
        </w:tc>
        <w:tc>
          <w:tcPr>
            <w:tcW w:w="852" w:type="dxa"/>
            <w:vAlign w:val="center"/>
          </w:tcPr>
          <w:p w14:paraId="22C67587">
            <w:pPr>
              <w:jc w:val="center"/>
              <w:rPr>
                <w:rFonts w:ascii="宋体" w:hAnsi="宋体" w:cs="宋体"/>
                <w:szCs w:val="21"/>
              </w:rPr>
            </w:pPr>
            <w:r>
              <w:rPr>
                <w:rFonts w:hint="eastAsia" w:ascii="宋体" w:hAnsi="宋体" w:cs="宋体"/>
                <w:szCs w:val="21"/>
              </w:rPr>
              <w:t>△</w:t>
            </w:r>
          </w:p>
        </w:tc>
        <w:tc>
          <w:tcPr>
            <w:tcW w:w="851" w:type="dxa"/>
            <w:vAlign w:val="center"/>
          </w:tcPr>
          <w:p w14:paraId="2335A2C6">
            <w:pPr>
              <w:jc w:val="center"/>
              <w:rPr>
                <w:rFonts w:ascii="宋体" w:hAnsi="宋体" w:cs="宋体"/>
                <w:szCs w:val="21"/>
              </w:rPr>
            </w:pPr>
            <w:r>
              <w:rPr>
                <w:rFonts w:hint="eastAsia" w:ascii="宋体" w:hAnsi="宋体" w:cs="宋体"/>
                <w:szCs w:val="21"/>
              </w:rPr>
              <w:t>▲</w:t>
            </w:r>
          </w:p>
        </w:tc>
        <w:tc>
          <w:tcPr>
            <w:tcW w:w="654" w:type="dxa"/>
            <w:vAlign w:val="center"/>
          </w:tcPr>
          <w:p w14:paraId="794611DA">
            <w:pPr>
              <w:jc w:val="center"/>
              <w:rPr>
                <w:rFonts w:ascii="宋体" w:hAnsi="宋体" w:cs="宋体"/>
                <w:szCs w:val="21"/>
              </w:rPr>
            </w:pPr>
          </w:p>
        </w:tc>
      </w:tr>
      <w:tr w14:paraId="1AF9D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0D68DA00">
            <w:pPr>
              <w:rPr>
                <w:rFonts w:ascii="宋体" w:hAnsi="宋体"/>
                <w:color w:val="000000"/>
                <w:sz w:val="22"/>
              </w:rPr>
            </w:pPr>
            <w:r>
              <w:rPr>
                <w:rFonts w:hint="eastAsia" w:ascii="宋体" w:hAnsi="宋体"/>
                <w:color w:val="000000"/>
                <w:sz w:val="22"/>
              </w:rPr>
              <w:t>8.1.2卫生操作规范制度（OPRP ）(操作性前提方案OPRP)</w:t>
            </w:r>
          </w:p>
        </w:tc>
        <w:tc>
          <w:tcPr>
            <w:tcW w:w="851" w:type="dxa"/>
            <w:vAlign w:val="center"/>
          </w:tcPr>
          <w:p w14:paraId="26BD66D7">
            <w:pPr>
              <w:jc w:val="center"/>
              <w:rPr>
                <w:rFonts w:ascii="宋体" w:hAnsi="宋体" w:cs="宋体"/>
                <w:szCs w:val="21"/>
              </w:rPr>
            </w:pPr>
            <w:r>
              <w:rPr>
                <w:rFonts w:hint="eastAsia" w:ascii="宋体" w:hAnsi="宋体" w:cs="宋体"/>
                <w:szCs w:val="21"/>
              </w:rPr>
              <w:t>△</w:t>
            </w:r>
          </w:p>
        </w:tc>
        <w:tc>
          <w:tcPr>
            <w:tcW w:w="994" w:type="dxa"/>
            <w:vAlign w:val="center"/>
          </w:tcPr>
          <w:p w14:paraId="614F6419">
            <w:pPr>
              <w:jc w:val="center"/>
              <w:rPr>
                <w:rFonts w:ascii="宋体" w:hAnsi="宋体" w:cs="宋体"/>
                <w:szCs w:val="21"/>
              </w:rPr>
            </w:pPr>
            <w:r>
              <w:rPr>
                <w:rFonts w:hint="eastAsia" w:ascii="宋体" w:hAnsi="宋体" w:cs="宋体"/>
                <w:szCs w:val="21"/>
              </w:rPr>
              <w:t>▲</w:t>
            </w:r>
          </w:p>
        </w:tc>
        <w:tc>
          <w:tcPr>
            <w:tcW w:w="851" w:type="dxa"/>
            <w:vAlign w:val="center"/>
          </w:tcPr>
          <w:p w14:paraId="5D018326">
            <w:pPr>
              <w:jc w:val="center"/>
              <w:rPr>
                <w:rFonts w:ascii="宋体" w:hAnsi="宋体" w:cs="宋体"/>
                <w:szCs w:val="21"/>
              </w:rPr>
            </w:pPr>
            <w:r>
              <w:rPr>
                <w:rFonts w:hint="eastAsia" w:ascii="宋体" w:hAnsi="宋体" w:cs="宋体"/>
                <w:szCs w:val="21"/>
              </w:rPr>
              <w:t>△</w:t>
            </w:r>
          </w:p>
        </w:tc>
        <w:tc>
          <w:tcPr>
            <w:tcW w:w="852" w:type="dxa"/>
            <w:vAlign w:val="center"/>
          </w:tcPr>
          <w:p w14:paraId="7BD9B267">
            <w:pPr>
              <w:jc w:val="center"/>
              <w:rPr>
                <w:rFonts w:ascii="宋体" w:hAnsi="宋体" w:cs="宋体"/>
                <w:szCs w:val="21"/>
              </w:rPr>
            </w:pPr>
            <w:r>
              <w:rPr>
                <w:rFonts w:hint="eastAsia" w:ascii="宋体" w:hAnsi="宋体" w:cs="宋体"/>
                <w:szCs w:val="21"/>
              </w:rPr>
              <w:t>△</w:t>
            </w:r>
          </w:p>
        </w:tc>
        <w:tc>
          <w:tcPr>
            <w:tcW w:w="851" w:type="dxa"/>
            <w:vAlign w:val="center"/>
          </w:tcPr>
          <w:p w14:paraId="00629791">
            <w:pPr>
              <w:jc w:val="center"/>
              <w:rPr>
                <w:rFonts w:ascii="宋体" w:hAnsi="宋体" w:cs="宋体"/>
                <w:szCs w:val="21"/>
              </w:rPr>
            </w:pPr>
            <w:r>
              <w:rPr>
                <w:rFonts w:hint="eastAsia" w:ascii="宋体" w:hAnsi="宋体" w:cs="宋体"/>
                <w:szCs w:val="21"/>
              </w:rPr>
              <w:t>▲</w:t>
            </w:r>
          </w:p>
        </w:tc>
        <w:tc>
          <w:tcPr>
            <w:tcW w:w="654" w:type="dxa"/>
            <w:vAlign w:val="center"/>
          </w:tcPr>
          <w:p w14:paraId="113F2770">
            <w:pPr>
              <w:jc w:val="center"/>
              <w:rPr>
                <w:rFonts w:ascii="宋体" w:hAnsi="宋体" w:cs="宋体"/>
                <w:szCs w:val="21"/>
              </w:rPr>
            </w:pPr>
          </w:p>
        </w:tc>
      </w:tr>
      <w:tr w14:paraId="10C39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5778A00D">
            <w:pPr>
              <w:rPr>
                <w:rFonts w:ascii="宋体" w:hAnsi="宋体"/>
                <w:color w:val="000000"/>
                <w:sz w:val="22"/>
              </w:rPr>
            </w:pPr>
            <w:r>
              <w:rPr>
                <w:rFonts w:hint="eastAsia" w:ascii="宋体" w:hAnsi="宋体"/>
                <w:color w:val="000000"/>
                <w:sz w:val="22"/>
              </w:rPr>
              <w:t>8.2前提方案（PRPs）</w:t>
            </w:r>
          </w:p>
        </w:tc>
        <w:tc>
          <w:tcPr>
            <w:tcW w:w="851" w:type="dxa"/>
            <w:vAlign w:val="center"/>
          </w:tcPr>
          <w:p w14:paraId="0BE07D85">
            <w:pPr>
              <w:jc w:val="center"/>
              <w:rPr>
                <w:rFonts w:ascii="宋体" w:hAnsi="宋体" w:cs="宋体"/>
                <w:szCs w:val="21"/>
              </w:rPr>
            </w:pPr>
            <w:r>
              <w:rPr>
                <w:rFonts w:hint="eastAsia" w:ascii="宋体" w:hAnsi="宋体" w:cs="宋体"/>
                <w:szCs w:val="21"/>
              </w:rPr>
              <w:t>△</w:t>
            </w:r>
          </w:p>
        </w:tc>
        <w:tc>
          <w:tcPr>
            <w:tcW w:w="994" w:type="dxa"/>
            <w:vAlign w:val="center"/>
          </w:tcPr>
          <w:p w14:paraId="4A1D8167">
            <w:pPr>
              <w:jc w:val="center"/>
              <w:rPr>
                <w:rFonts w:ascii="宋体" w:hAnsi="宋体" w:cs="宋体"/>
                <w:szCs w:val="21"/>
              </w:rPr>
            </w:pPr>
            <w:r>
              <w:rPr>
                <w:rFonts w:hint="eastAsia" w:ascii="宋体" w:hAnsi="宋体" w:cs="宋体"/>
                <w:szCs w:val="21"/>
              </w:rPr>
              <w:t>▲</w:t>
            </w:r>
          </w:p>
        </w:tc>
        <w:tc>
          <w:tcPr>
            <w:tcW w:w="851" w:type="dxa"/>
            <w:vAlign w:val="center"/>
          </w:tcPr>
          <w:p w14:paraId="219031E8">
            <w:pPr>
              <w:jc w:val="center"/>
              <w:rPr>
                <w:rFonts w:ascii="宋体" w:hAnsi="宋体" w:cs="宋体"/>
                <w:szCs w:val="21"/>
              </w:rPr>
            </w:pPr>
            <w:r>
              <w:rPr>
                <w:rFonts w:hint="eastAsia" w:ascii="宋体" w:hAnsi="宋体" w:cs="宋体"/>
                <w:szCs w:val="21"/>
              </w:rPr>
              <w:t>△</w:t>
            </w:r>
          </w:p>
        </w:tc>
        <w:tc>
          <w:tcPr>
            <w:tcW w:w="852" w:type="dxa"/>
            <w:vAlign w:val="center"/>
          </w:tcPr>
          <w:p w14:paraId="0A369FAC">
            <w:pPr>
              <w:jc w:val="center"/>
              <w:rPr>
                <w:rFonts w:ascii="宋体" w:hAnsi="宋体" w:cs="宋体"/>
                <w:szCs w:val="21"/>
              </w:rPr>
            </w:pPr>
            <w:r>
              <w:rPr>
                <w:rFonts w:hint="eastAsia" w:ascii="宋体" w:hAnsi="宋体" w:cs="宋体"/>
                <w:szCs w:val="21"/>
              </w:rPr>
              <w:t>△</w:t>
            </w:r>
          </w:p>
        </w:tc>
        <w:tc>
          <w:tcPr>
            <w:tcW w:w="851" w:type="dxa"/>
            <w:vAlign w:val="center"/>
          </w:tcPr>
          <w:p w14:paraId="69C676FC">
            <w:pPr>
              <w:jc w:val="center"/>
              <w:rPr>
                <w:rFonts w:ascii="宋体" w:hAnsi="宋体" w:cs="宋体"/>
                <w:szCs w:val="21"/>
              </w:rPr>
            </w:pPr>
            <w:r>
              <w:rPr>
                <w:rFonts w:hint="eastAsia" w:ascii="宋体" w:hAnsi="宋体" w:cs="宋体"/>
                <w:szCs w:val="21"/>
              </w:rPr>
              <w:t>▲</w:t>
            </w:r>
          </w:p>
        </w:tc>
        <w:tc>
          <w:tcPr>
            <w:tcW w:w="654" w:type="dxa"/>
            <w:vAlign w:val="center"/>
          </w:tcPr>
          <w:p w14:paraId="7ABDBD37">
            <w:pPr>
              <w:jc w:val="center"/>
              <w:rPr>
                <w:rFonts w:ascii="宋体" w:hAnsi="宋体" w:cs="宋体"/>
                <w:szCs w:val="21"/>
              </w:rPr>
            </w:pPr>
          </w:p>
        </w:tc>
      </w:tr>
      <w:tr w14:paraId="07D47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33770218">
            <w:pPr>
              <w:rPr>
                <w:rFonts w:ascii="宋体" w:hAnsi="宋体"/>
                <w:color w:val="000000"/>
                <w:sz w:val="22"/>
              </w:rPr>
            </w:pPr>
            <w:r>
              <w:rPr>
                <w:rFonts w:hint="eastAsia" w:ascii="宋体" w:hAnsi="宋体"/>
                <w:color w:val="000000"/>
                <w:sz w:val="22"/>
              </w:rPr>
              <w:t>8.3追溯系统</w:t>
            </w:r>
          </w:p>
        </w:tc>
        <w:tc>
          <w:tcPr>
            <w:tcW w:w="851" w:type="dxa"/>
            <w:vAlign w:val="center"/>
          </w:tcPr>
          <w:p w14:paraId="3369FDDF">
            <w:pPr>
              <w:jc w:val="center"/>
              <w:rPr>
                <w:rFonts w:ascii="宋体" w:hAnsi="宋体" w:cs="宋体"/>
                <w:szCs w:val="21"/>
              </w:rPr>
            </w:pPr>
            <w:r>
              <w:rPr>
                <w:rFonts w:hint="eastAsia" w:ascii="宋体" w:hAnsi="宋体" w:cs="宋体"/>
                <w:szCs w:val="21"/>
              </w:rPr>
              <w:t>△</w:t>
            </w:r>
          </w:p>
        </w:tc>
        <w:tc>
          <w:tcPr>
            <w:tcW w:w="994" w:type="dxa"/>
            <w:vAlign w:val="center"/>
          </w:tcPr>
          <w:p w14:paraId="7234C553">
            <w:pPr>
              <w:jc w:val="center"/>
              <w:rPr>
                <w:rFonts w:ascii="宋体" w:hAnsi="宋体" w:cs="宋体"/>
                <w:szCs w:val="21"/>
              </w:rPr>
            </w:pPr>
            <w:r>
              <w:rPr>
                <w:rFonts w:hint="eastAsia" w:ascii="宋体" w:hAnsi="宋体" w:cs="宋体"/>
                <w:szCs w:val="21"/>
              </w:rPr>
              <w:t>△</w:t>
            </w:r>
          </w:p>
        </w:tc>
        <w:tc>
          <w:tcPr>
            <w:tcW w:w="851" w:type="dxa"/>
            <w:vAlign w:val="center"/>
          </w:tcPr>
          <w:p w14:paraId="193DD63D">
            <w:pPr>
              <w:jc w:val="center"/>
              <w:rPr>
                <w:rFonts w:ascii="宋体" w:hAnsi="宋体" w:cs="宋体"/>
                <w:szCs w:val="21"/>
              </w:rPr>
            </w:pPr>
            <w:r>
              <w:rPr>
                <w:rFonts w:hint="eastAsia" w:ascii="宋体" w:hAnsi="宋体" w:cs="宋体"/>
                <w:szCs w:val="21"/>
              </w:rPr>
              <w:t>△</w:t>
            </w:r>
          </w:p>
        </w:tc>
        <w:tc>
          <w:tcPr>
            <w:tcW w:w="852" w:type="dxa"/>
            <w:vAlign w:val="center"/>
          </w:tcPr>
          <w:p w14:paraId="616544C2">
            <w:pPr>
              <w:jc w:val="center"/>
              <w:rPr>
                <w:rFonts w:ascii="宋体" w:hAnsi="宋体" w:cs="宋体"/>
                <w:szCs w:val="21"/>
              </w:rPr>
            </w:pPr>
            <w:r>
              <w:rPr>
                <w:rFonts w:hint="eastAsia" w:ascii="宋体" w:hAnsi="宋体" w:cs="宋体"/>
                <w:szCs w:val="21"/>
              </w:rPr>
              <w:t>△</w:t>
            </w:r>
          </w:p>
        </w:tc>
        <w:tc>
          <w:tcPr>
            <w:tcW w:w="851" w:type="dxa"/>
            <w:vAlign w:val="center"/>
          </w:tcPr>
          <w:p w14:paraId="789775AE">
            <w:pPr>
              <w:jc w:val="center"/>
              <w:rPr>
                <w:rFonts w:ascii="宋体" w:hAnsi="宋体" w:cs="宋体"/>
                <w:szCs w:val="21"/>
              </w:rPr>
            </w:pPr>
            <w:r>
              <w:rPr>
                <w:rFonts w:hint="eastAsia" w:ascii="宋体" w:hAnsi="宋体" w:cs="宋体"/>
                <w:szCs w:val="21"/>
              </w:rPr>
              <w:t>▲</w:t>
            </w:r>
          </w:p>
        </w:tc>
        <w:tc>
          <w:tcPr>
            <w:tcW w:w="654" w:type="dxa"/>
            <w:vAlign w:val="center"/>
          </w:tcPr>
          <w:p w14:paraId="464F2AE6">
            <w:pPr>
              <w:jc w:val="center"/>
              <w:rPr>
                <w:rFonts w:ascii="宋体" w:hAnsi="宋体" w:cs="宋体"/>
                <w:szCs w:val="21"/>
              </w:rPr>
            </w:pPr>
          </w:p>
        </w:tc>
      </w:tr>
      <w:tr w14:paraId="2F64B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76B4812A">
            <w:pPr>
              <w:rPr>
                <w:rFonts w:ascii="宋体" w:hAnsi="宋体"/>
                <w:color w:val="000000"/>
                <w:sz w:val="22"/>
              </w:rPr>
            </w:pPr>
            <w:r>
              <w:rPr>
                <w:rFonts w:hint="eastAsia" w:ascii="宋体" w:hAnsi="宋体"/>
                <w:color w:val="000000"/>
                <w:sz w:val="22"/>
              </w:rPr>
              <w:t>8.4应急准备和响应</w:t>
            </w:r>
          </w:p>
        </w:tc>
        <w:tc>
          <w:tcPr>
            <w:tcW w:w="851" w:type="dxa"/>
            <w:vAlign w:val="center"/>
          </w:tcPr>
          <w:p w14:paraId="61C95D36">
            <w:pPr>
              <w:jc w:val="center"/>
              <w:rPr>
                <w:rFonts w:ascii="宋体" w:hAnsi="宋体" w:cs="宋体"/>
                <w:szCs w:val="21"/>
              </w:rPr>
            </w:pPr>
            <w:r>
              <w:rPr>
                <w:rFonts w:hint="eastAsia" w:ascii="宋体" w:hAnsi="宋体" w:cs="宋体"/>
                <w:szCs w:val="21"/>
              </w:rPr>
              <w:t>△</w:t>
            </w:r>
          </w:p>
        </w:tc>
        <w:tc>
          <w:tcPr>
            <w:tcW w:w="994" w:type="dxa"/>
            <w:vAlign w:val="center"/>
          </w:tcPr>
          <w:p w14:paraId="68C0E8C0">
            <w:pPr>
              <w:jc w:val="center"/>
              <w:rPr>
                <w:rFonts w:ascii="宋体" w:hAnsi="宋体" w:cs="宋体"/>
                <w:szCs w:val="21"/>
              </w:rPr>
            </w:pPr>
            <w:r>
              <w:rPr>
                <w:rFonts w:hint="eastAsia" w:ascii="宋体" w:hAnsi="宋体" w:cs="宋体"/>
                <w:szCs w:val="21"/>
              </w:rPr>
              <w:t>▲</w:t>
            </w:r>
          </w:p>
        </w:tc>
        <w:tc>
          <w:tcPr>
            <w:tcW w:w="851" w:type="dxa"/>
            <w:vAlign w:val="center"/>
          </w:tcPr>
          <w:p w14:paraId="19118383">
            <w:pPr>
              <w:jc w:val="center"/>
              <w:rPr>
                <w:rFonts w:ascii="宋体" w:hAnsi="宋体" w:cs="宋体"/>
                <w:szCs w:val="21"/>
              </w:rPr>
            </w:pPr>
            <w:r>
              <w:rPr>
                <w:rFonts w:hint="eastAsia" w:ascii="宋体" w:hAnsi="宋体" w:cs="宋体"/>
                <w:szCs w:val="21"/>
              </w:rPr>
              <w:t>△</w:t>
            </w:r>
          </w:p>
        </w:tc>
        <w:tc>
          <w:tcPr>
            <w:tcW w:w="852" w:type="dxa"/>
            <w:vAlign w:val="center"/>
          </w:tcPr>
          <w:p w14:paraId="10AEC1F6">
            <w:pPr>
              <w:jc w:val="center"/>
              <w:rPr>
                <w:rFonts w:ascii="宋体" w:hAnsi="宋体" w:cs="宋体"/>
                <w:szCs w:val="21"/>
              </w:rPr>
            </w:pPr>
            <w:r>
              <w:rPr>
                <w:rFonts w:hint="eastAsia" w:ascii="宋体" w:hAnsi="宋体" w:cs="宋体"/>
                <w:szCs w:val="21"/>
              </w:rPr>
              <w:t>△</w:t>
            </w:r>
          </w:p>
        </w:tc>
        <w:tc>
          <w:tcPr>
            <w:tcW w:w="851" w:type="dxa"/>
            <w:vAlign w:val="center"/>
          </w:tcPr>
          <w:p w14:paraId="0DBB7195">
            <w:pPr>
              <w:jc w:val="center"/>
              <w:rPr>
                <w:rFonts w:ascii="宋体" w:hAnsi="宋体" w:cs="宋体"/>
                <w:szCs w:val="21"/>
              </w:rPr>
            </w:pPr>
            <w:r>
              <w:rPr>
                <w:rFonts w:hint="eastAsia" w:ascii="宋体" w:hAnsi="宋体" w:cs="宋体"/>
                <w:szCs w:val="21"/>
              </w:rPr>
              <w:t>▲</w:t>
            </w:r>
          </w:p>
        </w:tc>
        <w:tc>
          <w:tcPr>
            <w:tcW w:w="654" w:type="dxa"/>
            <w:vAlign w:val="center"/>
          </w:tcPr>
          <w:p w14:paraId="7719907C">
            <w:pPr>
              <w:jc w:val="center"/>
              <w:rPr>
                <w:rFonts w:ascii="宋体" w:hAnsi="宋体" w:cs="宋体"/>
                <w:szCs w:val="21"/>
              </w:rPr>
            </w:pPr>
          </w:p>
        </w:tc>
      </w:tr>
      <w:tr w14:paraId="3D1B2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83" w:hRule="exact"/>
          <w:jc w:val="center"/>
        </w:trPr>
        <w:tc>
          <w:tcPr>
            <w:tcW w:w="4252" w:type="dxa"/>
            <w:vAlign w:val="center"/>
          </w:tcPr>
          <w:p w14:paraId="08A5B3FF">
            <w:pPr>
              <w:rPr>
                <w:rFonts w:ascii="宋体" w:hAnsi="宋体"/>
                <w:color w:val="000000"/>
                <w:sz w:val="22"/>
              </w:rPr>
            </w:pPr>
            <w:r>
              <w:rPr>
                <w:rFonts w:hint="eastAsia" w:ascii="宋体" w:hAnsi="宋体"/>
                <w:color w:val="000000"/>
                <w:sz w:val="22"/>
              </w:rPr>
              <w:t>8.5危害控制</w:t>
            </w:r>
          </w:p>
        </w:tc>
        <w:tc>
          <w:tcPr>
            <w:tcW w:w="851" w:type="dxa"/>
            <w:vAlign w:val="center"/>
          </w:tcPr>
          <w:p w14:paraId="7AD73F4C">
            <w:pPr>
              <w:jc w:val="center"/>
              <w:rPr>
                <w:rFonts w:ascii="宋体" w:hAnsi="宋体" w:cs="宋体"/>
                <w:szCs w:val="21"/>
              </w:rPr>
            </w:pPr>
            <w:r>
              <w:rPr>
                <w:rFonts w:hint="eastAsia" w:ascii="宋体" w:hAnsi="宋体" w:cs="宋体"/>
                <w:szCs w:val="21"/>
              </w:rPr>
              <w:t>△</w:t>
            </w:r>
          </w:p>
        </w:tc>
        <w:tc>
          <w:tcPr>
            <w:tcW w:w="994" w:type="dxa"/>
            <w:vAlign w:val="center"/>
          </w:tcPr>
          <w:p w14:paraId="686B6698">
            <w:pPr>
              <w:jc w:val="center"/>
              <w:rPr>
                <w:rFonts w:ascii="宋体" w:hAnsi="宋体" w:cs="宋体"/>
                <w:szCs w:val="21"/>
              </w:rPr>
            </w:pPr>
            <w:r>
              <w:rPr>
                <w:rFonts w:hint="eastAsia" w:ascii="宋体" w:hAnsi="宋体" w:cs="宋体"/>
                <w:szCs w:val="21"/>
              </w:rPr>
              <w:t>▲</w:t>
            </w:r>
          </w:p>
        </w:tc>
        <w:tc>
          <w:tcPr>
            <w:tcW w:w="851" w:type="dxa"/>
            <w:vAlign w:val="center"/>
          </w:tcPr>
          <w:p w14:paraId="7ADA6A95">
            <w:pPr>
              <w:jc w:val="center"/>
              <w:rPr>
                <w:rFonts w:ascii="宋体" w:hAnsi="宋体" w:cs="宋体"/>
                <w:szCs w:val="21"/>
              </w:rPr>
            </w:pPr>
            <w:r>
              <w:rPr>
                <w:rFonts w:hint="eastAsia" w:ascii="宋体" w:hAnsi="宋体" w:cs="宋体"/>
                <w:szCs w:val="21"/>
              </w:rPr>
              <w:t>△</w:t>
            </w:r>
          </w:p>
        </w:tc>
        <w:tc>
          <w:tcPr>
            <w:tcW w:w="852" w:type="dxa"/>
            <w:vAlign w:val="center"/>
          </w:tcPr>
          <w:p w14:paraId="4E9A5CD6">
            <w:pPr>
              <w:jc w:val="center"/>
              <w:rPr>
                <w:rFonts w:ascii="宋体" w:hAnsi="宋体" w:cs="宋体"/>
                <w:szCs w:val="21"/>
              </w:rPr>
            </w:pPr>
            <w:r>
              <w:rPr>
                <w:rFonts w:hint="eastAsia" w:ascii="宋体" w:hAnsi="宋体" w:cs="宋体"/>
                <w:szCs w:val="21"/>
              </w:rPr>
              <w:t>△</w:t>
            </w:r>
          </w:p>
        </w:tc>
        <w:tc>
          <w:tcPr>
            <w:tcW w:w="851" w:type="dxa"/>
            <w:vAlign w:val="center"/>
          </w:tcPr>
          <w:p w14:paraId="78EB4E4A">
            <w:pPr>
              <w:jc w:val="center"/>
              <w:rPr>
                <w:rFonts w:ascii="宋体" w:hAnsi="宋体" w:cs="宋体"/>
                <w:szCs w:val="21"/>
              </w:rPr>
            </w:pPr>
            <w:r>
              <w:rPr>
                <w:rFonts w:hint="eastAsia" w:ascii="宋体" w:hAnsi="宋体" w:cs="宋体"/>
                <w:szCs w:val="21"/>
              </w:rPr>
              <w:t>▲</w:t>
            </w:r>
          </w:p>
        </w:tc>
        <w:tc>
          <w:tcPr>
            <w:tcW w:w="654" w:type="dxa"/>
            <w:vAlign w:val="center"/>
          </w:tcPr>
          <w:p w14:paraId="6185183A">
            <w:pPr>
              <w:jc w:val="center"/>
              <w:rPr>
                <w:rFonts w:ascii="宋体" w:hAnsi="宋体"/>
              </w:rPr>
            </w:pPr>
          </w:p>
        </w:tc>
      </w:tr>
      <w:tr w14:paraId="68CEA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05" w:hRule="exact"/>
          <w:jc w:val="center"/>
        </w:trPr>
        <w:tc>
          <w:tcPr>
            <w:tcW w:w="4252" w:type="dxa"/>
            <w:vAlign w:val="center"/>
          </w:tcPr>
          <w:p w14:paraId="24DC59F8">
            <w:pPr>
              <w:rPr>
                <w:rFonts w:ascii="宋体" w:hAnsi="宋体"/>
                <w:color w:val="000000"/>
                <w:sz w:val="22"/>
              </w:rPr>
            </w:pPr>
            <w:r>
              <w:rPr>
                <w:rFonts w:hint="eastAsia" w:ascii="宋体" w:hAnsi="宋体"/>
                <w:color w:val="000000"/>
                <w:sz w:val="22"/>
              </w:rPr>
              <w:t>8.5.1实施危害分析的预备步骤</w:t>
            </w:r>
          </w:p>
        </w:tc>
        <w:tc>
          <w:tcPr>
            <w:tcW w:w="851" w:type="dxa"/>
            <w:vAlign w:val="center"/>
          </w:tcPr>
          <w:p w14:paraId="20998149">
            <w:pPr>
              <w:jc w:val="center"/>
              <w:rPr>
                <w:rFonts w:ascii="宋体" w:hAnsi="宋体" w:cs="宋体"/>
                <w:szCs w:val="21"/>
              </w:rPr>
            </w:pPr>
            <w:r>
              <w:rPr>
                <w:rFonts w:hint="eastAsia" w:ascii="宋体" w:hAnsi="宋体" w:cs="宋体"/>
                <w:szCs w:val="21"/>
              </w:rPr>
              <w:t>△</w:t>
            </w:r>
          </w:p>
        </w:tc>
        <w:tc>
          <w:tcPr>
            <w:tcW w:w="994" w:type="dxa"/>
            <w:vAlign w:val="center"/>
          </w:tcPr>
          <w:p w14:paraId="78FFB84C">
            <w:pPr>
              <w:jc w:val="center"/>
              <w:rPr>
                <w:rFonts w:ascii="宋体" w:hAnsi="宋体" w:cs="宋体"/>
                <w:szCs w:val="21"/>
              </w:rPr>
            </w:pPr>
            <w:r>
              <w:rPr>
                <w:rFonts w:hint="eastAsia" w:ascii="宋体" w:hAnsi="宋体" w:cs="宋体"/>
                <w:szCs w:val="21"/>
              </w:rPr>
              <w:t>▲</w:t>
            </w:r>
          </w:p>
        </w:tc>
        <w:tc>
          <w:tcPr>
            <w:tcW w:w="851" w:type="dxa"/>
            <w:vAlign w:val="center"/>
          </w:tcPr>
          <w:p w14:paraId="356755A5">
            <w:pPr>
              <w:jc w:val="center"/>
              <w:rPr>
                <w:rFonts w:ascii="宋体" w:hAnsi="宋体" w:cs="宋体"/>
                <w:szCs w:val="21"/>
              </w:rPr>
            </w:pPr>
            <w:r>
              <w:rPr>
                <w:rFonts w:hint="eastAsia" w:ascii="宋体" w:hAnsi="宋体" w:cs="宋体"/>
                <w:szCs w:val="21"/>
              </w:rPr>
              <w:t>△</w:t>
            </w:r>
          </w:p>
        </w:tc>
        <w:tc>
          <w:tcPr>
            <w:tcW w:w="852" w:type="dxa"/>
            <w:vAlign w:val="center"/>
          </w:tcPr>
          <w:p w14:paraId="2F5C0BE3">
            <w:pPr>
              <w:jc w:val="center"/>
              <w:rPr>
                <w:rFonts w:ascii="宋体" w:hAnsi="宋体" w:cs="宋体"/>
                <w:szCs w:val="21"/>
              </w:rPr>
            </w:pPr>
            <w:r>
              <w:rPr>
                <w:rFonts w:hint="eastAsia" w:ascii="宋体" w:hAnsi="宋体" w:cs="宋体"/>
                <w:szCs w:val="21"/>
              </w:rPr>
              <w:t>△</w:t>
            </w:r>
          </w:p>
        </w:tc>
        <w:tc>
          <w:tcPr>
            <w:tcW w:w="851" w:type="dxa"/>
            <w:vAlign w:val="center"/>
          </w:tcPr>
          <w:p w14:paraId="42884279">
            <w:pPr>
              <w:jc w:val="center"/>
              <w:rPr>
                <w:rFonts w:ascii="宋体" w:hAnsi="宋体" w:cs="宋体"/>
                <w:szCs w:val="21"/>
              </w:rPr>
            </w:pPr>
            <w:r>
              <w:rPr>
                <w:rFonts w:hint="eastAsia" w:ascii="宋体" w:hAnsi="宋体" w:cs="宋体"/>
                <w:szCs w:val="21"/>
              </w:rPr>
              <w:t>△</w:t>
            </w:r>
          </w:p>
        </w:tc>
        <w:tc>
          <w:tcPr>
            <w:tcW w:w="654" w:type="dxa"/>
            <w:vAlign w:val="center"/>
          </w:tcPr>
          <w:p w14:paraId="63A99EFD">
            <w:pPr>
              <w:jc w:val="center"/>
              <w:rPr>
                <w:rFonts w:ascii="宋体" w:hAnsi="宋体"/>
              </w:rPr>
            </w:pPr>
          </w:p>
        </w:tc>
      </w:tr>
      <w:tr w14:paraId="7591A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96" w:hRule="exact"/>
          <w:jc w:val="center"/>
        </w:trPr>
        <w:tc>
          <w:tcPr>
            <w:tcW w:w="4252" w:type="dxa"/>
            <w:vAlign w:val="center"/>
          </w:tcPr>
          <w:p w14:paraId="4FD25F1D">
            <w:pPr>
              <w:rPr>
                <w:rFonts w:ascii="宋体" w:hAnsi="宋体"/>
                <w:color w:val="000000"/>
                <w:sz w:val="22"/>
              </w:rPr>
            </w:pPr>
            <w:r>
              <w:rPr>
                <w:rFonts w:hint="eastAsia" w:ascii="宋体" w:hAnsi="宋体"/>
                <w:color w:val="000000"/>
                <w:sz w:val="22"/>
              </w:rPr>
              <w:t>8.5.2危害分析</w:t>
            </w:r>
          </w:p>
        </w:tc>
        <w:tc>
          <w:tcPr>
            <w:tcW w:w="851" w:type="dxa"/>
            <w:vAlign w:val="center"/>
          </w:tcPr>
          <w:p w14:paraId="21679936">
            <w:pPr>
              <w:jc w:val="center"/>
              <w:rPr>
                <w:rFonts w:ascii="宋体" w:hAnsi="宋体" w:cs="宋体"/>
                <w:szCs w:val="21"/>
              </w:rPr>
            </w:pPr>
            <w:r>
              <w:rPr>
                <w:rFonts w:hint="eastAsia" w:ascii="宋体" w:hAnsi="宋体" w:cs="宋体"/>
                <w:szCs w:val="21"/>
              </w:rPr>
              <w:t>△</w:t>
            </w:r>
          </w:p>
        </w:tc>
        <w:tc>
          <w:tcPr>
            <w:tcW w:w="994" w:type="dxa"/>
            <w:vAlign w:val="center"/>
          </w:tcPr>
          <w:p w14:paraId="27B40DD8">
            <w:pPr>
              <w:jc w:val="center"/>
              <w:rPr>
                <w:rFonts w:ascii="宋体" w:hAnsi="宋体" w:cs="宋体"/>
                <w:szCs w:val="21"/>
              </w:rPr>
            </w:pPr>
            <w:r>
              <w:rPr>
                <w:rFonts w:hint="eastAsia" w:ascii="宋体" w:hAnsi="宋体" w:cs="宋体"/>
                <w:szCs w:val="21"/>
              </w:rPr>
              <w:t>▲</w:t>
            </w:r>
          </w:p>
        </w:tc>
        <w:tc>
          <w:tcPr>
            <w:tcW w:w="851" w:type="dxa"/>
            <w:vAlign w:val="center"/>
          </w:tcPr>
          <w:p w14:paraId="33FED502">
            <w:pPr>
              <w:jc w:val="center"/>
              <w:rPr>
                <w:rFonts w:ascii="宋体" w:hAnsi="宋体" w:cs="宋体"/>
                <w:szCs w:val="21"/>
              </w:rPr>
            </w:pPr>
            <w:r>
              <w:rPr>
                <w:rFonts w:hint="eastAsia" w:ascii="宋体" w:hAnsi="宋体" w:cs="宋体"/>
                <w:szCs w:val="21"/>
              </w:rPr>
              <w:t>△</w:t>
            </w:r>
          </w:p>
        </w:tc>
        <w:tc>
          <w:tcPr>
            <w:tcW w:w="852" w:type="dxa"/>
            <w:vAlign w:val="center"/>
          </w:tcPr>
          <w:p w14:paraId="045EC29C">
            <w:pPr>
              <w:jc w:val="center"/>
              <w:rPr>
                <w:rFonts w:ascii="宋体" w:hAnsi="宋体" w:cs="宋体"/>
                <w:szCs w:val="21"/>
              </w:rPr>
            </w:pPr>
            <w:r>
              <w:rPr>
                <w:rFonts w:hint="eastAsia" w:ascii="宋体" w:hAnsi="宋体" w:cs="宋体"/>
                <w:szCs w:val="21"/>
              </w:rPr>
              <w:t>△</w:t>
            </w:r>
          </w:p>
        </w:tc>
        <w:tc>
          <w:tcPr>
            <w:tcW w:w="851" w:type="dxa"/>
            <w:vAlign w:val="center"/>
          </w:tcPr>
          <w:p w14:paraId="4F4B7969">
            <w:pPr>
              <w:jc w:val="center"/>
              <w:rPr>
                <w:rFonts w:ascii="宋体" w:hAnsi="宋体" w:cs="宋体"/>
                <w:szCs w:val="21"/>
              </w:rPr>
            </w:pPr>
            <w:r>
              <w:rPr>
                <w:rFonts w:hint="eastAsia" w:ascii="宋体" w:hAnsi="宋体" w:cs="宋体"/>
                <w:szCs w:val="21"/>
              </w:rPr>
              <w:t>△</w:t>
            </w:r>
          </w:p>
        </w:tc>
        <w:tc>
          <w:tcPr>
            <w:tcW w:w="654" w:type="dxa"/>
            <w:vAlign w:val="center"/>
          </w:tcPr>
          <w:p w14:paraId="31F92137">
            <w:pPr>
              <w:jc w:val="center"/>
              <w:rPr>
                <w:rFonts w:ascii="宋体" w:hAnsi="宋体" w:cs="宋体"/>
                <w:szCs w:val="21"/>
              </w:rPr>
            </w:pPr>
          </w:p>
        </w:tc>
      </w:tr>
      <w:tr w14:paraId="2E62F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11" w:hRule="exact"/>
          <w:jc w:val="center"/>
        </w:trPr>
        <w:tc>
          <w:tcPr>
            <w:tcW w:w="4252" w:type="dxa"/>
            <w:vAlign w:val="center"/>
          </w:tcPr>
          <w:p w14:paraId="0D16EF73">
            <w:pPr>
              <w:rPr>
                <w:rFonts w:ascii="宋体" w:hAnsi="宋体"/>
                <w:color w:val="000000"/>
                <w:sz w:val="22"/>
              </w:rPr>
            </w:pPr>
            <w:r>
              <w:rPr>
                <w:rFonts w:hint="eastAsia" w:ascii="宋体" w:hAnsi="宋体"/>
                <w:color w:val="000000"/>
                <w:sz w:val="22"/>
              </w:rPr>
              <w:t>8.5.3控制措施和控制措施组合确认</w:t>
            </w:r>
          </w:p>
        </w:tc>
        <w:tc>
          <w:tcPr>
            <w:tcW w:w="851" w:type="dxa"/>
            <w:vAlign w:val="center"/>
          </w:tcPr>
          <w:p w14:paraId="01566555">
            <w:pPr>
              <w:jc w:val="center"/>
              <w:rPr>
                <w:rFonts w:ascii="宋体" w:hAnsi="宋体" w:cs="宋体"/>
                <w:szCs w:val="21"/>
              </w:rPr>
            </w:pPr>
            <w:r>
              <w:rPr>
                <w:rFonts w:hint="eastAsia" w:ascii="宋体" w:hAnsi="宋体" w:cs="宋体"/>
                <w:szCs w:val="21"/>
              </w:rPr>
              <w:t>△</w:t>
            </w:r>
          </w:p>
        </w:tc>
        <w:tc>
          <w:tcPr>
            <w:tcW w:w="994" w:type="dxa"/>
            <w:vAlign w:val="center"/>
          </w:tcPr>
          <w:p w14:paraId="41170A84">
            <w:pPr>
              <w:jc w:val="center"/>
              <w:rPr>
                <w:rFonts w:ascii="宋体" w:hAnsi="宋体" w:cs="宋体"/>
                <w:szCs w:val="21"/>
              </w:rPr>
            </w:pPr>
            <w:r>
              <w:rPr>
                <w:rFonts w:hint="eastAsia" w:ascii="宋体" w:hAnsi="宋体" w:cs="宋体"/>
                <w:szCs w:val="21"/>
              </w:rPr>
              <w:t>▲</w:t>
            </w:r>
          </w:p>
        </w:tc>
        <w:tc>
          <w:tcPr>
            <w:tcW w:w="851" w:type="dxa"/>
            <w:vAlign w:val="center"/>
          </w:tcPr>
          <w:p w14:paraId="721CE6C4">
            <w:pPr>
              <w:jc w:val="center"/>
              <w:rPr>
                <w:rFonts w:ascii="宋体" w:hAnsi="宋体" w:cs="宋体"/>
                <w:szCs w:val="21"/>
              </w:rPr>
            </w:pPr>
            <w:r>
              <w:rPr>
                <w:rFonts w:hint="eastAsia" w:ascii="宋体" w:hAnsi="宋体" w:cs="宋体"/>
                <w:szCs w:val="21"/>
              </w:rPr>
              <w:t>△</w:t>
            </w:r>
          </w:p>
        </w:tc>
        <w:tc>
          <w:tcPr>
            <w:tcW w:w="852" w:type="dxa"/>
            <w:vAlign w:val="center"/>
          </w:tcPr>
          <w:p w14:paraId="1ED9FCCD">
            <w:pPr>
              <w:jc w:val="center"/>
              <w:rPr>
                <w:rFonts w:ascii="宋体" w:hAnsi="宋体" w:cs="宋体"/>
                <w:szCs w:val="21"/>
              </w:rPr>
            </w:pPr>
            <w:r>
              <w:rPr>
                <w:rFonts w:hint="eastAsia" w:ascii="宋体" w:hAnsi="宋体" w:cs="宋体"/>
                <w:szCs w:val="21"/>
              </w:rPr>
              <w:t>△</w:t>
            </w:r>
          </w:p>
        </w:tc>
        <w:tc>
          <w:tcPr>
            <w:tcW w:w="851" w:type="dxa"/>
            <w:vAlign w:val="center"/>
          </w:tcPr>
          <w:p w14:paraId="6D491454">
            <w:pPr>
              <w:jc w:val="center"/>
              <w:rPr>
                <w:rFonts w:ascii="宋体" w:hAnsi="宋体" w:cs="宋体"/>
                <w:szCs w:val="21"/>
              </w:rPr>
            </w:pPr>
            <w:r>
              <w:rPr>
                <w:rFonts w:hint="eastAsia" w:ascii="宋体" w:hAnsi="宋体" w:cs="宋体"/>
                <w:szCs w:val="21"/>
              </w:rPr>
              <w:t>▲</w:t>
            </w:r>
          </w:p>
        </w:tc>
        <w:tc>
          <w:tcPr>
            <w:tcW w:w="654" w:type="dxa"/>
            <w:vAlign w:val="center"/>
          </w:tcPr>
          <w:p w14:paraId="6AE12DE4">
            <w:pPr>
              <w:jc w:val="center"/>
              <w:rPr>
                <w:rFonts w:ascii="宋体" w:hAnsi="宋体" w:cs="宋体"/>
                <w:szCs w:val="21"/>
              </w:rPr>
            </w:pPr>
          </w:p>
        </w:tc>
      </w:tr>
      <w:tr w14:paraId="34281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693" w:hRule="exact"/>
          <w:jc w:val="center"/>
        </w:trPr>
        <w:tc>
          <w:tcPr>
            <w:tcW w:w="4252" w:type="dxa"/>
            <w:vAlign w:val="center"/>
          </w:tcPr>
          <w:p w14:paraId="385C47FE">
            <w:pPr>
              <w:rPr>
                <w:rFonts w:ascii="宋体" w:hAnsi="宋体"/>
                <w:color w:val="000000"/>
                <w:sz w:val="22"/>
              </w:rPr>
            </w:pPr>
            <w:r>
              <w:rPr>
                <w:rFonts w:hint="eastAsia" w:ascii="宋体" w:hAnsi="宋体"/>
                <w:color w:val="000000"/>
                <w:sz w:val="22"/>
              </w:rPr>
              <w:t>8.5.4危害控制计划（危害分析和关键控制点/操作前提方案计划）</w:t>
            </w:r>
          </w:p>
        </w:tc>
        <w:tc>
          <w:tcPr>
            <w:tcW w:w="851" w:type="dxa"/>
            <w:vAlign w:val="center"/>
          </w:tcPr>
          <w:p w14:paraId="5B61C603">
            <w:pPr>
              <w:jc w:val="center"/>
              <w:rPr>
                <w:rFonts w:ascii="宋体" w:hAnsi="宋体" w:cs="宋体"/>
                <w:szCs w:val="21"/>
              </w:rPr>
            </w:pPr>
            <w:r>
              <w:rPr>
                <w:rFonts w:hint="eastAsia" w:ascii="宋体" w:hAnsi="宋体" w:cs="宋体"/>
                <w:szCs w:val="21"/>
              </w:rPr>
              <w:t>△</w:t>
            </w:r>
          </w:p>
        </w:tc>
        <w:tc>
          <w:tcPr>
            <w:tcW w:w="994" w:type="dxa"/>
            <w:vAlign w:val="center"/>
          </w:tcPr>
          <w:p w14:paraId="6F287E56">
            <w:pPr>
              <w:jc w:val="center"/>
              <w:rPr>
                <w:rFonts w:ascii="宋体" w:hAnsi="宋体" w:cs="宋体"/>
                <w:szCs w:val="21"/>
              </w:rPr>
            </w:pPr>
            <w:r>
              <w:rPr>
                <w:rFonts w:hint="eastAsia" w:ascii="宋体" w:hAnsi="宋体" w:cs="宋体"/>
                <w:szCs w:val="21"/>
              </w:rPr>
              <w:t>▲</w:t>
            </w:r>
          </w:p>
        </w:tc>
        <w:tc>
          <w:tcPr>
            <w:tcW w:w="851" w:type="dxa"/>
            <w:vAlign w:val="center"/>
          </w:tcPr>
          <w:p w14:paraId="662FE994">
            <w:pPr>
              <w:jc w:val="center"/>
              <w:rPr>
                <w:rFonts w:ascii="宋体" w:hAnsi="宋体" w:cs="宋体"/>
                <w:szCs w:val="21"/>
              </w:rPr>
            </w:pPr>
            <w:r>
              <w:rPr>
                <w:rFonts w:hint="eastAsia" w:ascii="宋体" w:hAnsi="宋体" w:cs="宋体"/>
                <w:szCs w:val="21"/>
              </w:rPr>
              <w:t>△</w:t>
            </w:r>
          </w:p>
        </w:tc>
        <w:tc>
          <w:tcPr>
            <w:tcW w:w="852" w:type="dxa"/>
            <w:vAlign w:val="center"/>
          </w:tcPr>
          <w:p w14:paraId="06EFE73A">
            <w:pPr>
              <w:jc w:val="center"/>
              <w:rPr>
                <w:rFonts w:ascii="宋体" w:hAnsi="宋体" w:cs="宋体"/>
                <w:szCs w:val="21"/>
              </w:rPr>
            </w:pPr>
            <w:r>
              <w:rPr>
                <w:rFonts w:hint="eastAsia" w:ascii="宋体" w:hAnsi="宋体" w:cs="宋体"/>
                <w:szCs w:val="21"/>
              </w:rPr>
              <w:t>△</w:t>
            </w:r>
          </w:p>
        </w:tc>
        <w:tc>
          <w:tcPr>
            <w:tcW w:w="851" w:type="dxa"/>
            <w:vAlign w:val="center"/>
          </w:tcPr>
          <w:p w14:paraId="4CBCABA7">
            <w:pPr>
              <w:jc w:val="center"/>
              <w:rPr>
                <w:rFonts w:ascii="宋体" w:hAnsi="宋体" w:cs="宋体"/>
                <w:szCs w:val="21"/>
              </w:rPr>
            </w:pPr>
            <w:r>
              <w:rPr>
                <w:rFonts w:hint="eastAsia" w:ascii="宋体" w:hAnsi="宋体" w:cs="宋体"/>
                <w:szCs w:val="21"/>
              </w:rPr>
              <w:t>▲</w:t>
            </w:r>
          </w:p>
        </w:tc>
        <w:tc>
          <w:tcPr>
            <w:tcW w:w="654" w:type="dxa"/>
            <w:vAlign w:val="center"/>
          </w:tcPr>
          <w:p w14:paraId="68A821C1">
            <w:pPr>
              <w:jc w:val="center"/>
              <w:rPr>
                <w:rFonts w:ascii="宋体" w:hAnsi="宋体" w:cs="宋体"/>
                <w:szCs w:val="21"/>
              </w:rPr>
            </w:pPr>
          </w:p>
        </w:tc>
      </w:tr>
      <w:tr w14:paraId="1FF37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60" w:hRule="exact"/>
          <w:jc w:val="center"/>
        </w:trPr>
        <w:tc>
          <w:tcPr>
            <w:tcW w:w="4252" w:type="dxa"/>
            <w:vAlign w:val="center"/>
          </w:tcPr>
          <w:p w14:paraId="07EB5E02">
            <w:pPr>
              <w:rPr>
                <w:rFonts w:ascii="宋体" w:hAnsi="宋体"/>
                <w:color w:val="000000"/>
                <w:sz w:val="22"/>
              </w:rPr>
            </w:pPr>
            <w:r>
              <w:rPr>
                <w:rFonts w:hint="eastAsia" w:ascii="宋体" w:hAnsi="宋体"/>
                <w:color w:val="000000"/>
              </w:rPr>
              <w:t>8.6规定前提方案和危害控制计划信息的更新</w:t>
            </w:r>
          </w:p>
        </w:tc>
        <w:tc>
          <w:tcPr>
            <w:tcW w:w="851" w:type="dxa"/>
            <w:vAlign w:val="center"/>
          </w:tcPr>
          <w:p w14:paraId="4D19D6B5">
            <w:pPr>
              <w:jc w:val="center"/>
              <w:rPr>
                <w:rFonts w:ascii="宋体" w:hAnsi="宋体" w:cs="宋体"/>
                <w:szCs w:val="21"/>
              </w:rPr>
            </w:pPr>
            <w:r>
              <w:rPr>
                <w:rFonts w:hint="eastAsia" w:ascii="宋体" w:hAnsi="宋体" w:cs="宋体"/>
                <w:szCs w:val="21"/>
              </w:rPr>
              <w:t>△</w:t>
            </w:r>
          </w:p>
        </w:tc>
        <w:tc>
          <w:tcPr>
            <w:tcW w:w="994" w:type="dxa"/>
            <w:vAlign w:val="center"/>
          </w:tcPr>
          <w:p w14:paraId="3DE4F3AB">
            <w:pPr>
              <w:jc w:val="center"/>
              <w:rPr>
                <w:rFonts w:ascii="宋体" w:hAnsi="宋体" w:cs="宋体"/>
                <w:szCs w:val="21"/>
              </w:rPr>
            </w:pPr>
            <w:r>
              <w:rPr>
                <w:rFonts w:hint="eastAsia" w:ascii="宋体" w:hAnsi="宋体" w:cs="宋体"/>
                <w:szCs w:val="21"/>
              </w:rPr>
              <w:t>▲</w:t>
            </w:r>
          </w:p>
        </w:tc>
        <w:tc>
          <w:tcPr>
            <w:tcW w:w="851" w:type="dxa"/>
            <w:vAlign w:val="center"/>
          </w:tcPr>
          <w:p w14:paraId="73A91B7E">
            <w:pPr>
              <w:jc w:val="center"/>
              <w:rPr>
                <w:rFonts w:ascii="宋体" w:hAnsi="宋体" w:cs="宋体"/>
                <w:szCs w:val="21"/>
              </w:rPr>
            </w:pPr>
            <w:r>
              <w:rPr>
                <w:rFonts w:hint="eastAsia" w:ascii="宋体" w:hAnsi="宋体" w:cs="宋体"/>
                <w:szCs w:val="21"/>
              </w:rPr>
              <w:t>△</w:t>
            </w:r>
          </w:p>
        </w:tc>
        <w:tc>
          <w:tcPr>
            <w:tcW w:w="852" w:type="dxa"/>
            <w:vAlign w:val="center"/>
          </w:tcPr>
          <w:p w14:paraId="02F4A0B0">
            <w:pPr>
              <w:jc w:val="center"/>
              <w:rPr>
                <w:rFonts w:ascii="宋体" w:hAnsi="宋体" w:cs="宋体"/>
                <w:szCs w:val="21"/>
              </w:rPr>
            </w:pPr>
            <w:r>
              <w:rPr>
                <w:rFonts w:hint="eastAsia" w:ascii="宋体" w:hAnsi="宋体" w:cs="宋体"/>
                <w:szCs w:val="21"/>
              </w:rPr>
              <w:t>△</w:t>
            </w:r>
          </w:p>
        </w:tc>
        <w:tc>
          <w:tcPr>
            <w:tcW w:w="851" w:type="dxa"/>
            <w:vAlign w:val="center"/>
          </w:tcPr>
          <w:p w14:paraId="727BBCB6">
            <w:pPr>
              <w:jc w:val="center"/>
              <w:rPr>
                <w:rFonts w:ascii="宋体" w:hAnsi="宋体" w:cs="宋体"/>
                <w:szCs w:val="21"/>
              </w:rPr>
            </w:pPr>
            <w:r>
              <w:rPr>
                <w:rFonts w:hint="eastAsia" w:ascii="宋体" w:hAnsi="宋体" w:cs="宋体"/>
                <w:szCs w:val="21"/>
              </w:rPr>
              <w:t>△</w:t>
            </w:r>
          </w:p>
        </w:tc>
        <w:tc>
          <w:tcPr>
            <w:tcW w:w="654" w:type="dxa"/>
            <w:vAlign w:val="center"/>
          </w:tcPr>
          <w:p w14:paraId="2E9E5B1C">
            <w:pPr>
              <w:jc w:val="center"/>
              <w:rPr>
                <w:rFonts w:ascii="宋体" w:hAnsi="宋体" w:cs="宋体"/>
                <w:szCs w:val="21"/>
              </w:rPr>
            </w:pPr>
          </w:p>
        </w:tc>
      </w:tr>
      <w:tr w14:paraId="7EF1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52" w:hRule="exact"/>
          <w:jc w:val="center"/>
        </w:trPr>
        <w:tc>
          <w:tcPr>
            <w:tcW w:w="4252" w:type="dxa"/>
            <w:vAlign w:val="center"/>
          </w:tcPr>
          <w:p w14:paraId="41F45D9E">
            <w:pPr>
              <w:rPr>
                <w:rFonts w:ascii="宋体" w:hAnsi="宋体"/>
                <w:color w:val="000000"/>
                <w:sz w:val="22"/>
              </w:rPr>
            </w:pPr>
            <w:r>
              <w:rPr>
                <w:rFonts w:hint="eastAsia" w:ascii="宋体" w:hAnsi="宋体"/>
                <w:color w:val="000000"/>
                <w:sz w:val="22"/>
              </w:rPr>
              <w:t>8.7监视和测量的控制</w:t>
            </w:r>
          </w:p>
        </w:tc>
        <w:tc>
          <w:tcPr>
            <w:tcW w:w="851" w:type="dxa"/>
            <w:vAlign w:val="center"/>
          </w:tcPr>
          <w:p w14:paraId="7BF786B0">
            <w:pPr>
              <w:jc w:val="center"/>
              <w:rPr>
                <w:rFonts w:ascii="宋体" w:hAnsi="宋体" w:cs="宋体"/>
                <w:szCs w:val="21"/>
              </w:rPr>
            </w:pPr>
            <w:r>
              <w:rPr>
                <w:rFonts w:hint="eastAsia" w:ascii="宋体" w:hAnsi="宋体" w:cs="宋体"/>
                <w:szCs w:val="21"/>
              </w:rPr>
              <w:t>△</w:t>
            </w:r>
          </w:p>
        </w:tc>
        <w:tc>
          <w:tcPr>
            <w:tcW w:w="994" w:type="dxa"/>
            <w:vAlign w:val="center"/>
          </w:tcPr>
          <w:p w14:paraId="3CEF27E1">
            <w:pPr>
              <w:jc w:val="center"/>
              <w:rPr>
                <w:rFonts w:ascii="宋体" w:hAnsi="宋体" w:cs="宋体"/>
                <w:szCs w:val="21"/>
              </w:rPr>
            </w:pPr>
            <w:r>
              <w:rPr>
                <w:rFonts w:hint="eastAsia" w:ascii="宋体" w:hAnsi="宋体" w:cs="宋体"/>
                <w:szCs w:val="21"/>
              </w:rPr>
              <w:t>△</w:t>
            </w:r>
          </w:p>
        </w:tc>
        <w:tc>
          <w:tcPr>
            <w:tcW w:w="851" w:type="dxa"/>
            <w:vAlign w:val="center"/>
          </w:tcPr>
          <w:p w14:paraId="3EB04859">
            <w:pPr>
              <w:jc w:val="center"/>
              <w:rPr>
                <w:rFonts w:ascii="宋体" w:hAnsi="宋体" w:cs="宋体"/>
                <w:szCs w:val="21"/>
              </w:rPr>
            </w:pPr>
            <w:r>
              <w:rPr>
                <w:rFonts w:hint="eastAsia" w:ascii="宋体" w:hAnsi="宋体" w:cs="宋体"/>
                <w:szCs w:val="21"/>
              </w:rPr>
              <w:t>△</w:t>
            </w:r>
          </w:p>
        </w:tc>
        <w:tc>
          <w:tcPr>
            <w:tcW w:w="852" w:type="dxa"/>
            <w:vAlign w:val="center"/>
          </w:tcPr>
          <w:p w14:paraId="430F4E19">
            <w:pPr>
              <w:jc w:val="center"/>
              <w:rPr>
                <w:rFonts w:ascii="宋体" w:hAnsi="宋体" w:cs="宋体"/>
                <w:szCs w:val="21"/>
              </w:rPr>
            </w:pPr>
            <w:r>
              <w:rPr>
                <w:rFonts w:hint="eastAsia" w:ascii="宋体" w:hAnsi="宋体" w:cs="宋体"/>
                <w:szCs w:val="21"/>
              </w:rPr>
              <w:t>△</w:t>
            </w:r>
          </w:p>
        </w:tc>
        <w:tc>
          <w:tcPr>
            <w:tcW w:w="851" w:type="dxa"/>
            <w:vAlign w:val="center"/>
          </w:tcPr>
          <w:p w14:paraId="51731497">
            <w:pPr>
              <w:jc w:val="center"/>
              <w:rPr>
                <w:rFonts w:ascii="宋体" w:hAnsi="宋体" w:cs="宋体"/>
                <w:szCs w:val="21"/>
              </w:rPr>
            </w:pPr>
            <w:r>
              <w:rPr>
                <w:rFonts w:hint="eastAsia" w:ascii="宋体" w:hAnsi="宋体" w:cs="宋体"/>
                <w:szCs w:val="21"/>
              </w:rPr>
              <w:t>▲</w:t>
            </w:r>
          </w:p>
        </w:tc>
        <w:tc>
          <w:tcPr>
            <w:tcW w:w="654" w:type="dxa"/>
            <w:vAlign w:val="center"/>
          </w:tcPr>
          <w:p w14:paraId="295D1EC9">
            <w:pPr>
              <w:jc w:val="center"/>
              <w:rPr>
                <w:rFonts w:ascii="宋体" w:hAnsi="宋体" w:cs="宋体"/>
                <w:szCs w:val="21"/>
              </w:rPr>
            </w:pPr>
          </w:p>
        </w:tc>
      </w:tr>
      <w:tr w14:paraId="090FC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59" w:hRule="exact"/>
          <w:jc w:val="center"/>
        </w:trPr>
        <w:tc>
          <w:tcPr>
            <w:tcW w:w="4252" w:type="dxa"/>
            <w:vAlign w:val="center"/>
          </w:tcPr>
          <w:p w14:paraId="355CDC74">
            <w:pPr>
              <w:rPr>
                <w:rFonts w:ascii="宋体" w:hAnsi="宋体"/>
                <w:color w:val="000000"/>
                <w:sz w:val="22"/>
              </w:rPr>
            </w:pPr>
            <w:r>
              <w:rPr>
                <w:rFonts w:hint="eastAsia" w:ascii="宋体" w:hAnsi="宋体"/>
                <w:color w:val="000000"/>
                <w:sz w:val="22"/>
              </w:rPr>
              <w:t>8.8验证相关前提方案和危害控制计划</w:t>
            </w:r>
          </w:p>
        </w:tc>
        <w:tc>
          <w:tcPr>
            <w:tcW w:w="851" w:type="dxa"/>
            <w:vAlign w:val="center"/>
          </w:tcPr>
          <w:p w14:paraId="5F0B03CB">
            <w:pPr>
              <w:jc w:val="center"/>
              <w:rPr>
                <w:rFonts w:ascii="宋体" w:hAnsi="宋体" w:cs="宋体"/>
                <w:szCs w:val="21"/>
              </w:rPr>
            </w:pPr>
            <w:r>
              <w:rPr>
                <w:rFonts w:hint="eastAsia" w:ascii="宋体" w:hAnsi="宋体" w:cs="宋体"/>
                <w:szCs w:val="21"/>
              </w:rPr>
              <w:t>△</w:t>
            </w:r>
          </w:p>
        </w:tc>
        <w:tc>
          <w:tcPr>
            <w:tcW w:w="994" w:type="dxa"/>
            <w:vAlign w:val="center"/>
          </w:tcPr>
          <w:p w14:paraId="23DD7C2A">
            <w:pPr>
              <w:jc w:val="center"/>
              <w:rPr>
                <w:rFonts w:ascii="宋体" w:hAnsi="宋体" w:cs="宋体"/>
                <w:szCs w:val="21"/>
              </w:rPr>
            </w:pPr>
            <w:r>
              <w:rPr>
                <w:rFonts w:hint="eastAsia" w:ascii="宋体" w:hAnsi="宋体" w:cs="宋体"/>
                <w:szCs w:val="21"/>
              </w:rPr>
              <w:t>△</w:t>
            </w:r>
          </w:p>
        </w:tc>
        <w:tc>
          <w:tcPr>
            <w:tcW w:w="851" w:type="dxa"/>
            <w:vAlign w:val="center"/>
          </w:tcPr>
          <w:p w14:paraId="3A2DDFE9">
            <w:pPr>
              <w:jc w:val="center"/>
              <w:rPr>
                <w:rFonts w:ascii="宋体" w:hAnsi="宋体" w:cs="宋体"/>
                <w:szCs w:val="21"/>
              </w:rPr>
            </w:pPr>
            <w:r>
              <w:rPr>
                <w:rFonts w:hint="eastAsia" w:ascii="宋体" w:hAnsi="宋体" w:cs="宋体"/>
                <w:szCs w:val="21"/>
              </w:rPr>
              <w:t>△</w:t>
            </w:r>
          </w:p>
        </w:tc>
        <w:tc>
          <w:tcPr>
            <w:tcW w:w="852" w:type="dxa"/>
            <w:vAlign w:val="center"/>
          </w:tcPr>
          <w:p w14:paraId="2CD71EBC">
            <w:pPr>
              <w:jc w:val="center"/>
              <w:rPr>
                <w:rFonts w:ascii="宋体" w:hAnsi="宋体" w:cs="宋体"/>
                <w:szCs w:val="21"/>
              </w:rPr>
            </w:pPr>
            <w:r>
              <w:rPr>
                <w:rFonts w:hint="eastAsia" w:ascii="宋体" w:hAnsi="宋体" w:cs="宋体"/>
                <w:szCs w:val="21"/>
              </w:rPr>
              <w:t>△</w:t>
            </w:r>
          </w:p>
        </w:tc>
        <w:tc>
          <w:tcPr>
            <w:tcW w:w="851" w:type="dxa"/>
            <w:vAlign w:val="center"/>
          </w:tcPr>
          <w:p w14:paraId="6D3E677F">
            <w:pPr>
              <w:jc w:val="center"/>
              <w:rPr>
                <w:rFonts w:ascii="宋体" w:hAnsi="宋体" w:cs="宋体"/>
                <w:szCs w:val="21"/>
              </w:rPr>
            </w:pPr>
            <w:r>
              <w:rPr>
                <w:rFonts w:hint="eastAsia" w:ascii="宋体" w:hAnsi="宋体" w:cs="宋体"/>
                <w:szCs w:val="21"/>
              </w:rPr>
              <w:t>▲</w:t>
            </w:r>
          </w:p>
        </w:tc>
        <w:tc>
          <w:tcPr>
            <w:tcW w:w="654" w:type="dxa"/>
            <w:vAlign w:val="center"/>
          </w:tcPr>
          <w:p w14:paraId="4B9303A1">
            <w:pPr>
              <w:jc w:val="center"/>
              <w:rPr>
                <w:rFonts w:ascii="宋体" w:hAnsi="宋体" w:cs="宋体"/>
                <w:szCs w:val="21"/>
              </w:rPr>
            </w:pPr>
          </w:p>
        </w:tc>
      </w:tr>
      <w:tr w14:paraId="28377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11" w:hRule="exact"/>
          <w:jc w:val="center"/>
        </w:trPr>
        <w:tc>
          <w:tcPr>
            <w:tcW w:w="4252" w:type="dxa"/>
            <w:vAlign w:val="center"/>
          </w:tcPr>
          <w:p w14:paraId="3059E85A">
            <w:pPr>
              <w:rPr>
                <w:rFonts w:ascii="宋体" w:hAnsi="宋体"/>
                <w:color w:val="000000"/>
                <w:sz w:val="22"/>
              </w:rPr>
            </w:pPr>
            <w:r>
              <w:rPr>
                <w:rFonts w:hint="eastAsia" w:ascii="宋体" w:hAnsi="宋体"/>
                <w:color w:val="000000"/>
                <w:sz w:val="22"/>
              </w:rPr>
              <w:t>8.9不合格产品和过程控制</w:t>
            </w:r>
          </w:p>
        </w:tc>
        <w:tc>
          <w:tcPr>
            <w:tcW w:w="851" w:type="dxa"/>
            <w:vAlign w:val="center"/>
          </w:tcPr>
          <w:p w14:paraId="328380E5">
            <w:pPr>
              <w:jc w:val="center"/>
              <w:rPr>
                <w:rFonts w:ascii="宋体" w:hAnsi="宋体" w:cs="宋体"/>
                <w:szCs w:val="21"/>
              </w:rPr>
            </w:pPr>
            <w:r>
              <w:rPr>
                <w:rFonts w:hint="eastAsia" w:ascii="宋体" w:hAnsi="宋体" w:cs="宋体"/>
                <w:szCs w:val="21"/>
              </w:rPr>
              <w:t>△</w:t>
            </w:r>
          </w:p>
        </w:tc>
        <w:tc>
          <w:tcPr>
            <w:tcW w:w="994" w:type="dxa"/>
            <w:vAlign w:val="center"/>
          </w:tcPr>
          <w:p w14:paraId="2F5D2FEB">
            <w:pPr>
              <w:jc w:val="center"/>
              <w:rPr>
                <w:rFonts w:ascii="宋体" w:hAnsi="宋体" w:cs="宋体"/>
                <w:szCs w:val="21"/>
              </w:rPr>
            </w:pPr>
            <w:r>
              <w:rPr>
                <w:rFonts w:hint="eastAsia" w:ascii="宋体" w:hAnsi="宋体" w:cs="宋体"/>
                <w:szCs w:val="21"/>
              </w:rPr>
              <w:t>△</w:t>
            </w:r>
          </w:p>
        </w:tc>
        <w:tc>
          <w:tcPr>
            <w:tcW w:w="851" w:type="dxa"/>
            <w:vAlign w:val="center"/>
          </w:tcPr>
          <w:p w14:paraId="5C721A5E">
            <w:pPr>
              <w:jc w:val="center"/>
              <w:rPr>
                <w:rFonts w:ascii="宋体" w:hAnsi="宋体" w:cs="宋体"/>
                <w:szCs w:val="21"/>
              </w:rPr>
            </w:pPr>
            <w:r>
              <w:rPr>
                <w:rFonts w:hint="eastAsia" w:ascii="宋体" w:hAnsi="宋体" w:cs="宋体"/>
                <w:szCs w:val="21"/>
              </w:rPr>
              <w:t>△</w:t>
            </w:r>
          </w:p>
        </w:tc>
        <w:tc>
          <w:tcPr>
            <w:tcW w:w="852" w:type="dxa"/>
            <w:vAlign w:val="center"/>
          </w:tcPr>
          <w:p w14:paraId="6C94A34B">
            <w:pPr>
              <w:jc w:val="center"/>
              <w:rPr>
                <w:rFonts w:ascii="宋体" w:hAnsi="宋体" w:cs="宋体"/>
                <w:szCs w:val="21"/>
              </w:rPr>
            </w:pPr>
            <w:r>
              <w:rPr>
                <w:rFonts w:hint="eastAsia" w:ascii="宋体" w:hAnsi="宋体" w:cs="宋体"/>
                <w:szCs w:val="21"/>
              </w:rPr>
              <w:t>△</w:t>
            </w:r>
          </w:p>
        </w:tc>
        <w:tc>
          <w:tcPr>
            <w:tcW w:w="851" w:type="dxa"/>
            <w:vAlign w:val="center"/>
          </w:tcPr>
          <w:p w14:paraId="572A7815">
            <w:pPr>
              <w:jc w:val="center"/>
              <w:rPr>
                <w:rFonts w:ascii="宋体" w:hAnsi="宋体" w:cs="宋体"/>
                <w:szCs w:val="21"/>
              </w:rPr>
            </w:pPr>
            <w:r>
              <w:rPr>
                <w:rFonts w:hint="eastAsia" w:ascii="宋体" w:hAnsi="宋体" w:cs="宋体"/>
                <w:szCs w:val="21"/>
              </w:rPr>
              <w:t>▲</w:t>
            </w:r>
          </w:p>
        </w:tc>
        <w:tc>
          <w:tcPr>
            <w:tcW w:w="654" w:type="dxa"/>
            <w:vAlign w:val="center"/>
          </w:tcPr>
          <w:p w14:paraId="0F9ED941">
            <w:pPr>
              <w:jc w:val="center"/>
              <w:rPr>
                <w:rFonts w:ascii="宋体" w:hAnsi="宋体" w:cs="宋体"/>
                <w:szCs w:val="21"/>
              </w:rPr>
            </w:pPr>
          </w:p>
        </w:tc>
      </w:tr>
      <w:tr w14:paraId="63D1B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11" w:hRule="exact"/>
          <w:jc w:val="center"/>
        </w:trPr>
        <w:tc>
          <w:tcPr>
            <w:tcW w:w="4252" w:type="dxa"/>
            <w:vAlign w:val="center"/>
          </w:tcPr>
          <w:p w14:paraId="7069E99E">
            <w:pPr>
              <w:rPr>
                <w:rFonts w:ascii="宋体" w:hAnsi="宋体"/>
                <w:color w:val="000000"/>
                <w:sz w:val="22"/>
              </w:rPr>
            </w:pPr>
            <w:r>
              <w:rPr>
                <w:rFonts w:hint="eastAsia" w:ascii="宋体" w:hAnsi="宋体"/>
                <w:color w:val="000000"/>
                <w:sz w:val="22"/>
              </w:rPr>
              <w:t>8.9.1总则</w:t>
            </w:r>
          </w:p>
        </w:tc>
        <w:tc>
          <w:tcPr>
            <w:tcW w:w="851" w:type="dxa"/>
            <w:vAlign w:val="center"/>
          </w:tcPr>
          <w:p w14:paraId="538FC3BD">
            <w:pPr>
              <w:jc w:val="center"/>
              <w:rPr>
                <w:rFonts w:ascii="宋体" w:hAnsi="宋体" w:cs="宋体"/>
                <w:szCs w:val="21"/>
              </w:rPr>
            </w:pPr>
            <w:r>
              <w:rPr>
                <w:rFonts w:hint="eastAsia" w:ascii="宋体" w:hAnsi="宋体" w:cs="宋体"/>
                <w:szCs w:val="21"/>
              </w:rPr>
              <w:t>△</w:t>
            </w:r>
          </w:p>
        </w:tc>
        <w:tc>
          <w:tcPr>
            <w:tcW w:w="994" w:type="dxa"/>
            <w:vAlign w:val="center"/>
          </w:tcPr>
          <w:p w14:paraId="38EFBDD9">
            <w:pPr>
              <w:jc w:val="center"/>
              <w:rPr>
                <w:rFonts w:ascii="宋体" w:hAnsi="宋体" w:cs="宋体"/>
                <w:szCs w:val="21"/>
              </w:rPr>
            </w:pPr>
            <w:r>
              <w:rPr>
                <w:rFonts w:hint="eastAsia" w:ascii="宋体" w:hAnsi="宋体" w:cs="宋体"/>
                <w:szCs w:val="21"/>
              </w:rPr>
              <w:t>▲</w:t>
            </w:r>
          </w:p>
        </w:tc>
        <w:tc>
          <w:tcPr>
            <w:tcW w:w="851" w:type="dxa"/>
            <w:vAlign w:val="center"/>
          </w:tcPr>
          <w:p w14:paraId="0C54C48E">
            <w:pPr>
              <w:jc w:val="center"/>
              <w:rPr>
                <w:rFonts w:ascii="宋体" w:hAnsi="宋体" w:cs="宋体"/>
                <w:szCs w:val="21"/>
              </w:rPr>
            </w:pPr>
            <w:r>
              <w:rPr>
                <w:rFonts w:hint="eastAsia" w:ascii="宋体" w:hAnsi="宋体" w:cs="宋体"/>
                <w:szCs w:val="21"/>
              </w:rPr>
              <w:t>△</w:t>
            </w:r>
          </w:p>
        </w:tc>
        <w:tc>
          <w:tcPr>
            <w:tcW w:w="852" w:type="dxa"/>
            <w:vAlign w:val="center"/>
          </w:tcPr>
          <w:p w14:paraId="3E3331F2">
            <w:pPr>
              <w:jc w:val="center"/>
              <w:rPr>
                <w:rFonts w:ascii="宋体" w:hAnsi="宋体" w:cs="宋体"/>
                <w:szCs w:val="21"/>
              </w:rPr>
            </w:pPr>
            <w:r>
              <w:rPr>
                <w:rFonts w:hint="eastAsia" w:ascii="宋体" w:hAnsi="宋体" w:cs="宋体"/>
                <w:szCs w:val="21"/>
              </w:rPr>
              <w:t>△</w:t>
            </w:r>
          </w:p>
        </w:tc>
        <w:tc>
          <w:tcPr>
            <w:tcW w:w="851" w:type="dxa"/>
            <w:vAlign w:val="center"/>
          </w:tcPr>
          <w:p w14:paraId="1787D0F9">
            <w:pPr>
              <w:jc w:val="center"/>
              <w:rPr>
                <w:rFonts w:ascii="宋体" w:hAnsi="宋体" w:cs="宋体"/>
                <w:szCs w:val="21"/>
              </w:rPr>
            </w:pPr>
            <w:r>
              <w:rPr>
                <w:rFonts w:hint="eastAsia" w:ascii="宋体" w:hAnsi="宋体" w:cs="宋体"/>
                <w:szCs w:val="21"/>
              </w:rPr>
              <w:t>△</w:t>
            </w:r>
          </w:p>
        </w:tc>
        <w:tc>
          <w:tcPr>
            <w:tcW w:w="654" w:type="dxa"/>
            <w:vAlign w:val="center"/>
          </w:tcPr>
          <w:p w14:paraId="627B8878">
            <w:pPr>
              <w:jc w:val="center"/>
              <w:rPr>
                <w:rFonts w:ascii="宋体" w:hAnsi="宋体" w:cs="宋体"/>
                <w:szCs w:val="21"/>
              </w:rPr>
            </w:pPr>
          </w:p>
        </w:tc>
      </w:tr>
      <w:tr w14:paraId="19B72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11" w:hRule="exact"/>
          <w:jc w:val="center"/>
        </w:trPr>
        <w:tc>
          <w:tcPr>
            <w:tcW w:w="4252" w:type="dxa"/>
            <w:vAlign w:val="center"/>
          </w:tcPr>
          <w:p w14:paraId="70364C3E">
            <w:pPr>
              <w:rPr>
                <w:rFonts w:ascii="宋体" w:hAnsi="宋体"/>
                <w:color w:val="000000"/>
                <w:sz w:val="22"/>
              </w:rPr>
            </w:pPr>
            <w:r>
              <w:rPr>
                <w:rFonts w:hint="eastAsia" w:ascii="宋体" w:hAnsi="宋体"/>
                <w:color w:val="000000"/>
                <w:sz w:val="22"/>
              </w:rPr>
              <w:t>8.9.2纠正</w:t>
            </w:r>
          </w:p>
        </w:tc>
        <w:tc>
          <w:tcPr>
            <w:tcW w:w="851" w:type="dxa"/>
            <w:vAlign w:val="center"/>
          </w:tcPr>
          <w:p w14:paraId="6D34A999">
            <w:pPr>
              <w:jc w:val="center"/>
              <w:rPr>
                <w:rFonts w:ascii="宋体" w:hAnsi="宋体" w:cs="宋体"/>
                <w:szCs w:val="21"/>
              </w:rPr>
            </w:pPr>
            <w:r>
              <w:rPr>
                <w:rFonts w:hint="eastAsia" w:ascii="宋体" w:hAnsi="宋体" w:cs="宋体"/>
                <w:szCs w:val="21"/>
              </w:rPr>
              <w:t>△</w:t>
            </w:r>
          </w:p>
        </w:tc>
        <w:tc>
          <w:tcPr>
            <w:tcW w:w="994" w:type="dxa"/>
            <w:vAlign w:val="center"/>
          </w:tcPr>
          <w:p w14:paraId="20AFC500">
            <w:pPr>
              <w:jc w:val="center"/>
              <w:rPr>
                <w:rFonts w:ascii="宋体" w:hAnsi="宋体" w:cs="宋体"/>
                <w:szCs w:val="21"/>
              </w:rPr>
            </w:pPr>
            <w:r>
              <w:rPr>
                <w:rFonts w:hint="eastAsia" w:ascii="宋体" w:hAnsi="宋体" w:cs="宋体"/>
                <w:szCs w:val="21"/>
              </w:rPr>
              <w:t>△</w:t>
            </w:r>
          </w:p>
        </w:tc>
        <w:tc>
          <w:tcPr>
            <w:tcW w:w="851" w:type="dxa"/>
            <w:vAlign w:val="center"/>
          </w:tcPr>
          <w:p w14:paraId="67CDEE45">
            <w:pPr>
              <w:jc w:val="center"/>
              <w:rPr>
                <w:rFonts w:ascii="宋体" w:hAnsi="宋体" w:cs="宋体"/>
                <w:szCs w:val="21"/>
              </w:rPr>
            </w:pPr>
            <w:r>
              <w:rPr>
                <w:rFonts w:hint="eastAsia" w:ascii="宋体" w:hAnsi="宋体" w:cs="宋体"/>
                <w:szCs w:val="21"/>
              </w:rPr>
              <w:t>△</w:t>
            </w:r>
          </w:p>
        </w:tc>
        <w:tc>
          <w:tcPr>
            <w:tcW w:w="852" w:type="dxa"/>
            <w:vAlign w:val="center"/>
          </w:tcPr>
          <w:p w14:paraId="1BD8173C">
            <w:pPr>
              <w:jc w:val="center"/>
              <w:rPr>
                <w:rFonts w:ascii="宋体" w:hAnsi="宋体" w:cs="宋体"/>
                <w:szCs w:val="21"/>
              </w:rPr>
            </w:pPr>
            <w:r>
              <w:rPr>
                <w:rFonts w:hint="eastAsia" w:ascii="宋体" w:hAnsi="宋体" w:cs="宋体"/>
                <w:szCs w:val="21"/>
              </w:rPr>
              <w:t>△</w:t>
            </w:r>
          </w:p>
        </w:tc>
        <w:tc>
          <w:tcPr>
            <w:tcW w:w="851" w:type="dxa"/>
            <w:vAlign w:val="center"/>
          </w:tcPr>
          <w:p w14:paraId="19AE8730">
            <w:pPr>
              <w:jc w:val="center"/>
              <w:rPr>
                <w:rFonts w:ascii="宋体" w:hAnsi="宋体" w:cs="宋体"/>
                <w:szCs w:val="21"/>
              </w:rPr>
            </w:pPr>
            <w:r>
              <w:rPr>
                <w:rFonts w:hint="eastAsia" w:ascii="宋体" w:hAnsi="宋体" w:cs="宋体"/>
                <w:szCs w:val="21"/>
              </w:rPr>
              <w:t>▲</w:t>
            </w:r>
          </w:p>
        </w:tc>
        <w:tc>
          <w:tcPr>
            <w:tcW w:w="654" w:type="dxa"/>
            <w:vAlign w:val="center"/>
          </w:tcPr>
          <w:p w14:paraId="59F6CA78">
            <w:pPr>
              <w:jc w:val="center"/>
              <w:rPr>
                <w:rFonts w:ascii="宋体" w:hAnsi="宋体" w:cs="宋体"/>
                <w:szCs w:val="21"/>
              </w:rPr>
            </w:pPr>
          </w:p>
        </w:tc>
      </w:tr>
      <w:tr w14:paraId="1381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11" w:hRule="exact"/>
          <w:jc w:val="center"/>
        </w:trPr>
        <w:tc>
          <w:tcPr>
            <w:tcW w:w="4252" w:type="dxa"/>
            <w:vAlign w:val="center"/>
          </w:tcPr>
          <w:p w14:paraId="6EBA1A50">
            <w:pPr>
              <w:rPr>
                <w:rFonts w:ascii="宋体" w:hAnsi="宋体"/>
                <w:color w:val="000000"/>
                <w:sz w:val="22"/>
              </w:rPr>
            </w:pPr>
            <w:r>
              <w:rPr>
                <w:rFonts w:hint="eastAsia" w:ascii="宋体" w:hAnsi="宋体"/>
                <w:color w:val="000000"/>
                <w:sz w:val="22"/>
              </w:rPr>
              <w:t>8.9.3纠正措施</w:t>
            </w:r>
          </w:p>
        </w:tc>
        <w:tc>
          <w:tcPr>
            <w:tcW w:w="851" w:type="dxa"/>
            <w:vAlign w:val="center"/>
          </w:tcPr>
          <w:p w14:paraId="17C86E62">
            <w:pPr>
              <w:jc w:val="center"/>
              <w:rPr>
                <w:rFonts w:ascii="宋体" w:hAnsi="宋体" w:cs="宋体"/>
                <w:szCs w:val="21"/>
              </w:rPr>
            </w:pPr>
            <w:r>
              <w:rPr>
                <w:rFonts w:hint="eastAsia" w:ascii="宋体" w:hAnsi="宋体" w:cs="宋体"/>
                <w:szCs w:val="21"/>
              </w:rPr>
              <w:t>△</w:t>
            </w:r>
          </w:p>
        </w:tc>
        <w:tc>
          <w:tcPr>
            <w:tcW w:w="994" w:type="dxa"/>
            <w:vAlign w:val="center"/>
          </w:tcPr>
          <w:p w14:paraId="34DD97BE">
            <w:pPr>
              <w:jc w:val="center"/>
              <w:rPr>
                <w:rFonts w:ascii="宋体" w:hAnsi="宋体" w:cs="宋体"/>
                <w:szCs w:val="21"/>
              </w:rPr>
            </w:pPr>
            <w:r>
              <w:rPr>
                <w:rFonts w:hint="eastAsia" w:ascii="宋体" w:hAnsi="宋体" w:cs="宋体"/>
                <w:szCs w:val="21"/>
              </w:rPr>
              <w:t>▲</w:t>
            </w:r>
          </w:p>
        </w:tc>
        <w:tc>
          <w:tcPr>
            <w:tcW w:w="851" w:type="dxa"/>
            <w:vAlign w:val="center"/>
          </w:tcPr>
          <w:p w14:paraId="6A345CD1">
            <w:pPr>
              <w:jc w:val="center"/>
              <w:rPr>
                <w:rFonts w:ascii="宋体" w:hAnsi="宋体" w:cs="宋体"/>
                <w:szCs w:val="21"/>
              </w:rPr>
            </w:pPr>
            <w:r>
              <w:rPr>
                <w:rFonts w:hint="eastAsia" w:ascii="宋体" w:hAnsi="宋体" w:cs="宋体"/>
                <w:szCs w:val="21"/>
              </w:rPr>
              <w:t>△</w:t>
            </w:r>
          </w:p>
        </w:tc>
        <w:tc>
          <w:tcPr>
            <w:tcW w:w="852" w:type="dxa"/>
            <w:vAlign w:val="center"/>
          </w:tcPr>
          <w:p w14:paraId="4C906C30">
            <w:pPr>
              <w:jc w:val="center"/>
              <w:rPr>
                <w:rFonts w:ascii="宋体" w:hAnsi="宋体" w:cs="宋体"/>
                <w:szCs w:val="21"/>
              </w:rPr>
            </w:pPr>
            <w:r>
              <w:rPr>
                <w:rFonts w:hint="eastAsia" w:ascii="宋体" w:hAnsi="宋体" w:cs="宋体"/>
                <w:szCs w:val="21"/>
              </w:rPr>
              <w:t>△</w:t>
            </w:r>
          </w:p>
        </w:tc>
        <w:tc>
          <w:tcPr>
            <w:tcW w:w="851" w:type="dxa"/>
            <w:vAlign w:val="center"/>
          </w:tcPr>
          <w:p w14:paraId="63F7BB05">
            <w:pPr>
              <w:jc w:val="center"/>
              <w:rPr>
                <w:rFonts w:ascii="宋体" w:hAnsi="宋体" w:cs="宋体"/>
                <w:szCs w:val="21"/>
              </w:rPr>
            </w:pPr>
            <w:r>
              <w:rPr>
                <w:rFonts w:hint="eastAsia" w:ascii="宋体" w:hAnsi="宋体" w:cs="宋体"/>
                <w:szCs w:val="21"/>
              </w:rPr>
              <w:t>△</w:t>
            </w:r>
          </w:p>
        </w:tc>
        <w:tc>
          <w:tcPr>
            <w:tcW w:w="654" w:type="dxa"/>
            <w:vAlign w:val="center"/>
          </w:tcPr>
          <w:p w14:paraId="4C12F370">
            <w:pPr>
              <w:jc w:val="center"/>
              <w:rPr>
                <w:rFonts w:ascii="宋体" w:hAnsi="宋体" w:cs="宋体"/>
                <w:szCs w:val="21"/>
              </w:rPr>
            </w:pPr>
          </w:p>
        </w:tc>
      </w:tr>
      <w:tr w14:paraId="56D3E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11" w:hRule="exact"/>
          <w:jc w:val="center"/>
        </w:trPr>
        <w:tc>
          <w:tcPr>
            <w:tcW w:w="4252" w:type="dxa"/>
            <w:vAlign w:val="center"/>
          </w:tcPr>
          <w:p w14:paraId="26D374AA">
            <w:pPr>
              <w:rPr>
                <w:rFonts w:ascii="宋体" w:hAnsi="宋体"/>
                <w:color w:val="000000"/>
                <w:sz w:val="22"/>
              </w:rPr>
            </w:pPr>
            <w:r>
              <w:rPr>
                <w:rFonts w:hint="eastAsia" w:ascii="宋体" w:hAnsi="宋体"/>
                <w:color w:val="000000"/>
                <w:sz w:val="22"/>
              </w:rPr>
              <w:t>8.9.4潜在不安全产品的处置</w:t>
            </w:r>
          </w:p>
        </w:tc>
        <w:tc>
          <w:tcPr>
            <w:tcW w:w="851" w:type="dxa"/>
            <w:vAlign w:val="center"/>
          </w:tcPr>
          <w:p w14:paraId="616EFB5D">
            <w:pPr>
              <w:jc w:val="center"/>
              <w:rPr>
                <w:rFonts w:ascii="宋体" w:hAnsi="宋体" w:cs="宋体"/>
                <w:szCs w:val="21"/>
              </w:rPr>
            </w:pPr>
            <w:r>
              <w:rPr>
                <w:rFonts w:hint="eastAsia" w:ascii="宋体" w:hAnsi="宋体" w:cs="宋体"/>
                <w:szCs w:val="21"/>
              </w:rPr>
              <w:t>△</w:t>
            </w:r>
          </w:p>
        </w:tc>
        <w:tc>
          <w:tcPr>
            <w:tcW w:w="994" w:type="dxa"/>
            <w:vAlign w:val="center"/>
          </w:tcPr>
          <w:p w14:paraId="5A8846B7">
            <w:pPr>
              <w:jc w:val="center"/>
              <w:rPr>
                <w:rFonts w:ascii="宋体" w:hAnsi="宋体" w:cs="宋体"/>
                <w:szCs w:val="21"/>
              </w:rPr>
            </w:pPr>
            <w:r>
              <w:rPr>
                <w:rFonts w:hint="eastAsia" w:ascii="宋体" w:hAnsi="宋体" w:cs="宋体"/>
                <w:szCs w:val="21"/>
              </w:rPr>
              <w:t>▲</w:t>
            </w:r>
          </w:p>
        </w:tc>
        <w:tc>
          <w:tcPr>
            <w:tcW w:w="851" w:type="dxa"/>
            <w:vAlign w:val="center"/>
          </w:tcPr>
          <w:p w14:paraId="15A0F1B8">
            <w:pPr>
              <w:jc w:val="center"/>
              <w:rPr>
                <w:rFonts w:ascii="宋体" w:hAnsi="宋体" w:cs="宋体"/>
                <w:szCs w:val="21"/>
              </w:rPr>
            </w:pPr>
            <w:r>
              <w:rPr>
                <w:rFonts w:hint="eastAsia" w:ascii="宋体" w:hAnsi="宋体" w:cs="宋体"/>
                <w:szCs w:val="21"/>
              </w:rPr>
              <w:t>△</w:t>
            </w:r>
          </w:p>
        </w:tc>
        <w:tc>
          <w:tcPr>
            <w:tcW w:w="852" w:type="dxa"/>
            <w:vAlign w:val="center"/>
          </w:tcPr>
          <w:p w14:paraId="3B7258AF">
            <w:pPr>
              <w:jc w:val="center"/>
              <w:rPr>
                <w:rFonts w:ascii="宋体" w:hAnsi="宋体" w:cs="宋体"/>
                <w:szCs w:val="21"/>
              </w:rPr>
            </w:pPr>
            <w:r>
              <w:rPr>
                <w:rFonts w:hint="eastAsia" w:ascii="宋体" w:hAnsi="宋体" w:cs="宋体"/>
                <w:szCs w:val="21"/>
              </w:rPr>
              <w:t>△</w:t>
            </w:r>
          </w:p>
        </w:tc>
        <w:tc>
          <w:tcPr>
            <w:tcW w:w="851" w:type="dxa"/>
            <w:vAlign w:val="center"/>
          </w:tcPr>
          <w:p w14:paraId="7B68CEF6">
            <w:pPr>
              <w:jc w:val="center"/>
              <w:rPr>
                <w:rFonts w:ascii="宋体" w:hAnsi="宋体" w:cs="宋体"/>
                <w:szCs w:val="21"/>
              </w:rPr>
            </w:pPr>
            <w:r>
              <w:rPr>
                <w:rFonts w:hint="eastAsia" w:ascii="宋体" w:hAnsi="宋体" w:cs="宋体"/>
                <w:szCs w:val="21"/>
              </w:rPr>
              <w:t>△</w:t>
            </w:r>
          </w:p>
        </w:tc>
        <w:tc>
          <w:tcPr>
            <w:tcW w:w="654" w:type="dxa"/>
            <w:vAlign w:val="center"/>
          </w:tcPr>
          <w:p w14:paraId="4C92F514">
            <w:pPr>
              <w:jc w:val="center"/>
              <w:rPr>
                <w:rFonts w:ascii="宋体" w:hAnsi="宋体" w:cs="宋体"/>
                <w:szCs w:val="21"/>
              </w:rPr>
            </w:pPr>
          </w:p>
        </w:tc>
      </w:tr>
      <w:tr w14:paraId="053FC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11" w:hRule="exact"/>
          <w:jc w:val="center"/>
        </w:trPr>
        <w:tc>
          <w:tcPr>
            <w:tcW w:w="4252" w:type="dxa"/>
            <w:vAlign w:val="center"/>
          </w:tcPr>
          <w:p w14:paraId="0A679865">
            <w:pPr>
              <w:rPr>
                <w:rFonts w:ascii="宋体" w:hAnsi="宋体"/>
                <w:color w:val="000000"/>
                <w:sz w:val="22"/>
              </w:rPr>
            </w:pPr>
            <w:r>
              <w:rPr>
                <w:rFonts w:hint="eastAsia" w:ascii="宋体" w:hAnsi="宋体"/>
                <w:color w:val="000000"/>
                <w:sz w:val="22"/>
              </w:rPr>
              <w:t>8.9.5撤回/召回</w:t>
            </w:r>
          </w:p>
        </w:tc>
        <w:tc>
          <w:tcPr>
            <w:tcW w:w="851" w:type="dxa"/>
            <w:vAlign w:val="center"/>
          </w:tcPr>
          <w:p w14:paraId="0697FABB">
            <w:pPr>
              <w:jc w:val="center"/>
              <w:rPr>
                <w:rFonts w:ascii="宋体" w:hAnsi="宋体" w:cs="宋体"/>
                <w:szCs w:val="21"/>
              </w:rPr>
            </w:pPr>
            <w:r>
              <w:rPr>
                <w:rFonts w:hint="eastAsia" w:ascii="宋体" w:hAnsi="宋体" w:cs="宋体"/>
                <w:szCs w:val="21"/>
              </w:rPr>
              <w:t>△</w:t>
            </w:r>
          </w:p>
        </w:tc>
        <w:tc>
          <w:tcPr>
            <w:tcW w:w="994" w:type="dxa"/>
            <w:vAlign w:val="center"/>
          </w:tcPr>
          <w:p w14:paraId="4DEB73D5">
            <w:pPr>
              <w:jc w:val="center"/>
              <w:rPr>
                <w:rFonts w:ascii="宋体" w:hAnsi="宋体" w:cs="宋体"/>
                <w:szCs w:val="21"/>
              </w:rPr>
            </w:pPr>
            <w:r>
              <w:rPr>
                <w:rFonts w:hint="eastAsia" w:ascii="宋体" w:hAnsi="宋体" w:cs="宋体"/>
                <w:szCs w:val="21"/>
              </w:rPr>
              <w:t>▲</w:t>
            </w:r>
          </w:p>
        </w:tc>
        <w:tc>
          <w:tcPr>
            <w:tcW w:w="851" w:type="dxa"/>
            <w:vAlign w:val="center"/>
          </w:tcPr>
          <w:p w14:paraId="349AC598">
            <w:pPr>
              <w:jc w:val="center"/>
              <w:rPr>
                <w:rFonts w:ascii="宋体" w:hAnsi="宋体" w:cs="宋体"/>
                <w:szCs w:val="21"/>
              </w:rPr>
            </w:pPr>
            <w:r>
              <w:rPr>
                <w:rFonts w:hint="eastAsia" w:ascii="宋体" w:hAnsi="宋体" w:cs="宋体"/>
                <w:szCs w:val="21"/>
              </w:rPr>
              <w:t>△</w:t>
            </w:r>
          </w:p>
        </w:tc>
        <w:tc>
          <w:tcPr>
            <w:tcW w:w="852" w:type="dxa"/>
            <w:vAlign w:val="center"/>
          </w:tcPr>
          <w:p w14:paraId="6C151536">
            <w:pPr>
              <w:jc w:val="center"/>
              <w:rPr>
                <w:rFonts w:ascii="宋体" w:hAnsi="宋体" w:cs="宋体"/>
                <w:szCs w:val="21"/>
              </w:rPr>
            </w:pPr>
            <w:r>
              <w:rPr>
                <w:rFonts w:hint="eastAsia" w:ascii="宋体" w:hAnsi="宋体" w:cs="宋体"/>
                <w:szCs w:val="21"/>
              </w:rPr>
              <w:t>△</w:t>
            </w:r>
          </w:p>
        </w:tc>
        <w:tc>
          <w:tcPr>
            <w:tcW w:w="851" w:type="dxa"/>
            <w:vAlign w:val="center"/>
          </w:tcPr>
          <w:p w14:paraId="6C988E88">
            <w:pPr>
              <w:jc w:val="center"/>
              <w:rPr>
                <w:rFonts w:ascii="宋体" w:hAnsi="宋体" w:cs="宋体"/>
                <w:szCs w:val="21"/>
              </w:rPr>
            </w:pPr>
            <w:r>
              <w:rPr>
                <w:rFonts w:hint="eastAsia" w:ascii="宋体" w:hAnsi="宋体" w:cs="宋体"/>
                <w:szCs w:val="21"/>
              </w:rPr>
              <w:t>▲</w:t>
            </w:r>
          </w:p>
        </w:tc>
        <w:tc>
          <w:tcPr>
            <w:tcW w:w="654" w:type="dxa"/>
            <w:vAlign w:val="center"/>
          </w:tcPr>
          <w:p w14:paraId="17A26485">
            <w:pPr>
              <w:jc w:val="center"/>
              <w:rPr>
                <w:rFonts w:ascii="宋体" w:hAnsi="宋体" w:cs="宋体"/>
                <w:szCs w:val="21"/>
              </w:rPr>
            </w:pPr>
          </w:p>
        </w:tc>
      </w:tr>
      <w:tr w14:paraId="42F8D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41" w:hRule="exact"/>
          <w:jc w:val="center"/>
        </w:trPr>
        <w:tc>
          <w:tcPr>
            <w:tcW w:w="9305" w:type="dxa"/>
            <w:gridSpan w:val="7"/>
            <w:tcBorders>
              <w:right w:val="single" w:color="auto" w:sz="4" w:space="0"/>
            </w:tcBorders>
            <w:vAlign w:val="center"/>
          </w:tcPr>
          <w:p w14:paraId="1285EEF4">
            <w:pPr>
              <w:jc w:val="center"/>
              <w:rPr>
                <w:rFonts w:ascii="宋体" w:hAnsi="宋体" w:cs="宋体"/>
                <w:szCs w:val="21"/>
              </w:rPr>
            </w:pPr>
            <w:r>
              <w:rPr>
                <w:rFonts w:hint="eastAsia" w:ascii="宋体" w:hAnsi="宋体"/>
                <w:color w:val="000000"/>
                <w:sz w:val="22"/>
              </w:rPr>
              <w:t>9绩效评价</w:t>
            </w:r>
          </w:p>
        </w:tc>
      </w:tr>
      <w:tr w14:paraId="30CB6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11" w:hRule="exact"/>
          <w:jc w:val="center"/>
        </w:trPr>
        <w:tc>
          <w:tcPr>
            <w:tcW w:w="4252" w:type="dxa"/>
            <w:vAlign w:val="center"/>
          </w:tcPr>
          <w:p w14:paraId="7902F29A">
            <w:pPr>
              <w:rPr>
                <w:rFonts w:ascii="宋体" w:hAnsi="宋体"/>
                <w:color w:val="000000"/>
                <w:sz w:val="22"/>
              </w:rPr>
            </w:pPr>
            <w:r>
              <w:rPr>
                <w:rFonts w:hint="eastAsia" w:ascii="宋体" w:hAnsi="宋体"/>
                <w:color w:val="000000"/>
                <w:sz w:val="22"/>
              </w:rPr>
              <w:t>9.1监视、测量、分析和评价</w:t>
            </w:r>
          </w:p>
        </w:tc>
        <w:tc>
          <w:tcPr>
            <w:tcW w:w="851" w:type="dxa"/>
            <w:vAlign w:val="center"/>
          </w:tcPr>
          <w:p w14:paraId="32003A61">
            <w:pPr>
              <w:jc w:val="center"/>
              <w:rPr>
                <w:rFonts w:ascii="宋体" w:hAnsi="宋体" w:cs="宋体"/>
                <w:szCs w:val="21"/>
              </w:rPr>
            </w:pPr>
            <w:r>
              <w:rPr>
                <w:rFonts w:hint="eastAsia" w:ascii="宋体" w:hAnsi="宋体" w:cs="宋体"/>
                <w:szCs w:val="21"/>
              </w:rPr>
              <w:t>△</w:t>
            </w:r>
          </w:p>
        </w:tc>
        <w:tc>
          <w:tcPr>
            <w:tcW w:w="994" w:type="dxa"/>
            <w:vAlign w:val="center"/>
          </w:tcPr>
          <w:p w14:paraId="13E6C18A">
            <w:pPr>
              <w:jc w:val="center"/>
              <w:rPr>
                <w:rFonts w:ascii="宋体" w:hAnsi="宋体" w:cs="宋体"/>
                <w:szCs w:val="21"/>
              </w:rPr>
            </w:pPr>
            <w:r>
              <w:rPr>
                <w:rFonts w:hint="eastAsia" w:ascii="宋体" w:hAnsi="宋体" w:cs="宋体"/>
                <w:szCs w:val="21"/>
              </w:rPr>
              <w:t>△</w:t>
            </w:r>
          </w:p>
        </w:tc>
        <w:tc>
          <w:tcPr>
            <w:tcW w:w="851" w:type="dxa"/>
            <w:vAlign w:val="center"/>
          </w:tcPr>
          <w:p w14:paraId="2F1A7373">
            <w:pPr>
              <w:jc w:val="center"/>
              <w:rPr>
                <w:rFonts w:ascii="宋体" w:hAnsi="宋体" w:cs="宋体"/>
                <w:szCs w:val="21"/>
              </w:rPr>
            </w:pPr>
            <w:r>
              <w:rPr>
                <w:rFonts w:hint="eastAsia" w:ascii="宋体" w:hAnsi="宋体" w:cs="宋体"/>
                <w:szCs w:val="21"/>
              </w:rPr>
              <w:t>△</w:t>
            </w:r>
          </w:p>
        </w:tc>
        <w:tc>
          <w:tcPr>
            <w:tcW w:w="852" w:type="dxa"/>
            <w:vAlign w:val="center"/>
          </w:tcPr>
          <w:p w14:paraId="5F3417FB">
            <w:pPr>
              <w:jc w:val="center"/>
              <w:rPr>
                <w:rFonts w:ascii="宋体" w:hAnsi="宋体" w:cs="宋体"/>
                <w:szCs w:val="21"/>
              </w:rPr>
            </w:pPr>
            <w:r>
              <w:rPr>
                <w:rFonts w:hint="eastAsia" w:ascii="宋体" w:hAnsi="宋体" w:cs="宋体"/>
                <w:szCs w:val="21"/>
              </w:rPr>
              <w:t>△</w:t>
            </w:r>
          </w:p>
        </w:tc>
        <w:tc>
          <w:tcPr>
            <w:tcW w:w="851" w:type="dxa"/>
            <w:vAlign w:val="center"/>
          </w:tcPr>
          <w:p w14:paraId="461AE148">
            <w:pPr>
              <w:jc w:val="center"/>
              <w:rPr>
                <w:rFonts w:ascii="宋体" w:hAnsi="宋体" w:cs="宋体"/>
                <w:szCs w:val="21"/>
              </w:rPr>
            </w:pPr>
            <w:r>
              <w:rPr>
                <w:rFonts w:hint="eastAsia" w:ascii="宋体" w:hAnsi="宋体" w:cs="宋体"/>
                <w:szCs w:val="21"/>
              </w:rPr>
              <w:t>▲</w:t>
            </w:r>
          </w:p>
        </w:tc>
        <w:tc>
          <w:tcPr>
            <w:tcW w:w="654" w:type="dxa"/>
            <w:vAlign w:val="center"/>
          </w:tcPr>
          <w:p w14:paraId="7D5CCA12">
            <w:pPr>
              <w:jc w:val="center"/>
              <w:rPr>
                <w:rFonts w:ascii="宋体" w:hAnsi="宋体" w:cs="宋体"/>
                <w:szCs w:val="21"/>
              </w:rPr>
            </w:pPr>
          </w:p>
        </w:tc>
      </w:tr>
      <w:tr w14:paraId="5189F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11" w:hRule="exact"/>
          <w:jc w:val="center"/>
        </w:trPr>
        <w:tc>
          <w:tcPr>
            <w:tcW w:w="4252" w:type="dxa"/>
            <w:vAlign w:val="center"/>
          </w:tcPr>
          <w:p w14:paraId="5D039711">
            <w:pPr>
              <w:rPr>
                <w:rFonts w:ascii="宋体" w:hAnsi="宋体"/>
                <w:color w:val="000000"/>
                <w:sz w:val="22"/>
              </w:rPr>
            </w:pPr>
            <w:r>
              <w:rPr>
                <w:rFonts w:hint="eastAsia" w:ascii="宋体" w:hAnsi="宋体"/>
                <w:color w:val="000000"/>
                <w:sz w:val="22"/>
              </w:rPr>
              <w:t>9.2内部审核</w:t>
            </w:r>
          </w:p>
        </w:tc>
        <w:tc>
          <w:tcPr>
            <w:tcW w:w="851" w:type="dxa"/>
            <w:vAlign w:val="center"/>
          </w:tcPr>
          <w:p w14:paraId="7C46A0E7">
            <w:pPr>
              <w:jc w:val="center"/>
              <w:rPr>
                <w:rFonts w:ascii="宋体" w:hAnsi="宋体" w:cs="宋体"/>
                <w:szCs w:val="21"/>
              </w:rPr>
            </w:pPr>
            <w:r>
              <w:rPr>
                <w:rFonts w:hint="eastAsia" w:ascii="宋体" w:hAnsi="宋体" w:cs="宋体"/>
                <w:szCs w:val="21"/>
              </w:rPr>
              <w:t>▲</w:t>
            </w:r>
          </w:p>
        </w:tc>
        <w:tc>
          <w:tcPr>
            <w:tcW w:w="994" w:type="dxa"/>
            <w:vAlign w:val="center"/>
          </w:tcPr>
          <w:p w14:paraId="27E914F9">
            <w:pPr>
              <w:jc w:val="center"/>
              <w:rPr>
                <w:rFonts w:ascii="宋体" w:hAnsi="宋体" w:cs="宋体"/>
                <w:szCs w:val="21"/>
              </w:rPr>
            </w:pPr>
            <w:r>
              <w:rPr>
                <w:rFonts w:hint="eastAsia" w:ascii="宋体" w:hAnsi="宋体" w:cs="宋体"/>
                <w:szCs w:val="21"/>
              </w:rPr>
              <w:t>▲</w:t>
            </w:r>
          </w:p>
        </w:tc>
        <w:tc>
          <w:tcPr>
            <w:tcW w:w="851" w:type="dxa"/>
            <w:vAlign w:val="center"/>
          </w:tcPr>
          <w:p w14:paraId="3EC03294">
            <w:pPr>
              <w:jc w:val="center"/>
              <w:rPr>
                <w:rFonts w:ascii="宋体" w:hAnsi="宋体" w:cs="宋体"/>
                <w:szCs w:val="21"/>
              </w:rPr>
            </w:pPr>
            <w:r>
              <w:rPr>
                <w:rFonts w:hint="eastAsia" w:ascii="宋体" w:hAnsi="宋体" w:cs="宋体"/>
                <w:szCs w:val="21"/>
              </w:rPr>
              <w:t>△</w:t>
            </w:r>
          </w:p>
        </w:tc>
        <w:tc>
          <w:tcPr>
            <w:tcW w:w="852" w:type="dxa"/>
            <w:vAlign w:val="center"/>
          </w:tcPr>
          <w:p w14:paraId="09DDA471">
            <w:pPr>
              <w:jc w:val="center"/>
              <w:rPr>
                <w:rFonts w:ascii="宋体" w:hAnsi="宋体" w:cs="宋体"/>
                <w:szCs w:val="21"/>
              </w:rPr>
            </w:pPr>
            <w:r>
              <w:rPr>
                <w:rFonts w:hint="eastAsia" w:ascii="宋体" w:hAnsi="宋体" w:cs="宋体"/>
                <w:szCs w:val="21"/>
              </w:rPr>
              <w:t>△</w:t>
            </w:r>
          </w:p>
        </w:tc>
        <w:tc>
          <w:tcPr>
            <w:tcW w:w="851" w:type="dxa"/>
            <w:vAlign w:val="center"/>
          </w:tcPr>
          <w:p w14:paraId="6DF9C6D0">
            <w:pPr>
              <w:jc w:val="center"/>
              <w:rPr>
                <w:rFonts w:ascii="宋体" w:hAnsi="宋体" w:cs="宋体"/>
                <w:szCs w:val="21"/>
              </w:rPr>
            </w:pPr>
            <w:r>
              <w:rPr>
                <w:rFonts w:hint="eastAsia" w:ascii="宋体" w:hAnsi="宋体" w:cs="宋体"/>
                <w:szCs w:val="21"/>
              </w:rPr>
              <w:t>△</w:t>
            </w:r>
          </w:p>
        </w:tc>
        <w:tc>
          <w:tcPr>
            <w:tcW w:w="654" w:type="dxa"/>
            <w:vAlign w:val="center"/>
          </w:tcPr>
          <w:p w14:paraId="79685032">
            <w:pPr>
              <w:jc w:val="center"/>
              <w:rPr>
                <w:rFonts w:ascii="宋体" w:hAnsi="宋体" w:cs="宋体"/>
                <w:szCs w:val="21"/>
              </w:rPr>
            </w:pPr>
          </w:p>
        </w:tc>
      </w:tr>
      <w:tr w14:paraId="4011E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11" w:hRule="exact"/>
          <w:jc w:val="center"/>
        </w:trPr>
        <w:tc>
          <w:tcPr>
            <w:tcW w:w="4252" w:type="dxa"/>
            <w:vAlign w:val="center"/>
          </w:tcPr>
          <w:p w14:paraId="599D1556">
            <w:pPr>
              <w:rPr>
                <w:rFonts w:ascii="宋体" w:hAnsi="宋体"/>
                <w:color w:val="000000"/>
                <w:sz w:val="22"/>
              </w:rPr>
            </w:pPr>
            <w:r>
              <w:rPr>
                <w:rFonts w:hint="eastAsia" w:ascii="宋体" w:hAnsi="宋体"/>
                <w:color w:val="000000"/>
                <w:sz w:val="22"/>
              </w:rPr>
              <w:t>9.3 管理评审</w:t>
            </w:r>
          </w:p>
        </w:tc>
        <w:tc>
          <w:tcPr>
            <w:tcW w:w="851" w:type="dxa"/>
            <w:vAlign w:val="center"/>
          </w:tcPr>
          <w:p w14:paraId="17C4D117">
            <w:pPr>
              <w:jc w:val="center"/>
              <w:rPr>
                <w:rFonts w:ascii="宋体" w:hAnsi="宋体" w:cs="宋体"/>
                <w:szCs w:val="21"/>
              </w:rPr>
            </w:pPr>
            <w:r>
              <w:rPr>
                <w:rFonts w:hint="eastAsia" w:ascii="宋体" w:hAnsi="宋体" w:cs="宋体"/>
                <w:szCs w:val="21"/>
              </w:rPr>
              <w:t>▲</w:t>
            </w:r>
          </w:p>
        </w:tc>
        <w:tc>
          <w:tcPr>
            <w:tcW w:w="994" w:type="dxa"/>
            <w:vAlign w:val="center"/>
          </w:tcPr>
          <w:p w14:paraId="3E825943">
            <w:pPr>
              <w:jc w:val="center"/>
              <w:rPr>
                <w:rFonts w:ascii="宋体" w:hAnsi="宋体" w:cs="宋体"/>
                <w:szCs w:val="21"/>
              </w:rPr>
            </w:pPr>
            <w:r>
              <w:rPr>
                <w:rFonts w:hint="eastAsia" w:ascii="宋体" w:hAnsi="宋体" w:cs="宋体"/>
                <w:szCs w:val="21"/>
              </w:rPr>
              <w:t>▲</w:t>
            </w:r>
          </w:p>
        </w:tc>
        <w:tc>
          <w:tcPr>
            <w:tcW w:w="851" w:type="dxa"/>
            <w:vAlign w:val="center"/>
          </w:tcPr>
          <w:p w14:paraId="25F3E9F6">
            <w:pPr>
              <w:jc w:val="center"/>
              <w:rPr>
                <w:rFonts w:ascii="宋体" w:hAnsi="宋体" w:cs="宋体"/>
                <w:szCs w:val="21"/>
              </w:rPr>
            </w:pPr>
            <w:r>
              <w:rPr>
                <w:rFonts w:hint="eastAsia" w:ascii="宋体" w:hAnsi="宋体" w:cs="宋体"/>
                <w:szCs w:val="21"/>
              </w:rPr>
              <w:t>△</w:t>
            </w:r>
          </w:p>
        </w:tc>
        <w:tc>
          <w:tcPr>
            <w:tcW w:w="852" w:type="dxa"/>
            <w:vAlign w:val="center"/>
          </w:tcPr>
          <w:p w14:paraId="05E20A14">
            <w:pPr>
              <w:jc w:val="center"/>
              <w:rPr>
                <w:rFonts w:ascii="宋体" w:hAnsi="宋体" w:cs="宋体"/>
                <w:szCs w:val="21"/>
              </w:rPr>
            </w:pPr>
            <w:r>
              <w:rPr>
                <w:rFonts w:hint="eastAsia" w:ascii="宋体" w:hAnsi="宋体" w:cs="宋体"/>
                <w:szCs w:val="21"/>
              </w:rPr>
              <w:t>△</w:t>
            </w:r>
          </w:p>
        </w:tc>
        <w:tc>
          <w:tcPr>
            <w:tcW w:w="851" w:type="dxa"/>
            <w:vAlign w:val="center"/>
          </w:tcPr>
          <w:p w14:paraId="633C90EC">
            <w:pPr>
              <w:jc w:val="center"/>
              <w:rPr>
                <w:rFonts w:ascii="宋体" w:hAnsi="宋体" w:cs="宋体"/>
                <w:szCs w:val="21"/>
              </w:rPr>
            </w:pPr>
            <w:r>
              <w:rPr>
                <w:rFonts w:hint="eastAsia" w:ascii="宋体" w:hAnsi="宋体" w:cs="宋体"/>
                <w:szCs w:val="21"/>
              </w:rPr>
              <w:t>△</w:t>
            </w:r>
          </w:p>
        </w:tc>
        <w:tc>
          <w:tcPr>
            <w:tcW w:w="654" w:type="dxa"/>
            <w:vAlign w:val="center"/>
          </w:tcPr>
          <w:p w14:paraId="471CEAFE">
            <w:pPr>
              <w:jc w:val="center"/>
              <w:rPr>
                <w:rFonts w:ascii="宋体" w:hAnsi="宋体" w:cs="宋体"/>
                <w:szCs w:val="21"/>
              </w:rPr>
            </w:pPr>
          </w:p>
        </w:tc>
      </w:tr>
      <w:tr w14:paraId="72CD6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65" w:hRule="exact"/>
          <w:jc w:val="center"/>
        </w:trPr>
        <w:tc>
          <w:tcPr>
            <w:tcW w:w="9305" w:type="dxa"/>
            <w:gridSpan w:val="7"/>
            <w:tcBorders>
              <w:right w:val="single" w:color="auto" w:sz="4" w:space="0"/>
            </w:tcBorders>
            <w:vAlign w:val="center"/>
          </w:tcPr>
          <w:p w14:paraId="7D5EBF43">
            <w:pPr>
              <w:jc w:val="center"/>
              <w:rPr>
                <w:rFonts w:ascii="宋体" w:hAnsi="宋体" w:cs="宋体"/>
                <w:szCs w:val="21"/>
              </w:rPr>
            </w:pPr>
            <w:r>
              <w:rPr>
                <w:rFonts w:hint="eastAsia" w:ascii="宋体" w:hAnsi="宋体"/>
                <w:color w:val="000000"/>
                <w:sz w:val="22"/>
              </w:rPr>
              <w:t>10改进</w:t>
            </w:r>
          </w:p>
        </w:tc>
      </w:tr>
      <w:tr w14:paraId="49E0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11" w:hRule="exact"/>
          <w:jc w:val="center"/>
        </w:trPr>
        <w:tc>
          <w:tcPr>
            <w:tcW w:w="4252" w:type="dxa"/>
            <w:vAlign w:val="center"/>
          </w:tcPr>
          <w:p w14:paraId="2EE93B13">
            <w:pPr>
              <w:rPr>
                <w:rFonts w:ascii="宋体" w:hAnsi="宋体"/>
                <w:color w:val="000000"/>
                <w:sz w:val="22"/>
              </w:rPr>
            </w:pPr>
            <w:r>
              <w:rPr>
                <w:rFonts w:hint="eastAsia" w:ascii="宋体" w:hAnsi="宋体"/>
                <w:color w:val="000000"/>
                <w:sz w:val="22"/>
              </w:rPr>
              <w:t>10.1不合格和纠正措施</w:t>
            </w:r>
          </w:p>
        </w:tc>
        <w:tc>
          <w:tcPr>
            <w:tcW w:w="851" w:type="dxa"/>
            <w:vAlign w:val="center"/>
          </w:tcPr>
          <w:p w14:paraId="209D30F5">
            <w:pPr>
              <w:jc w:val="center"/>
              <w:rPr>
                <w:rFonts w:ascii="宋体" w:hAnsi="宋体" w:cs="宋体"/>
                <w:szCs w:val="21"/>
              </w:rPr>
            </w:pPr>
            <w:r>
              <w:rPr>
                <w:rFonts w:hint="eastAsia" w:ascii="宋体" w:hAnsi="宋体" w:cs="宋体"/>
                <w:szCs w:val="21"/>
              </w:rPr>
              <w:t>△</w:t>
            </w:r>
          </w:p>
        </w:tc>
        <w:tc>
          <w:tcPr>
            <w:tcW w:w="994" w:type="dxa"/>
            <w:vAlign w:val="center"/>
          </w:tcPr>
          <w:p w14:paraId="213D1B66">
            <w:pPr>
              <w:jc w:val="center"/>
              <w:rPr>
                <w:rFonts w:ascii="宋体" w:hAnsi="宋体" w:cs="宋体"/>
                <w:szCs w:val="21"/>
              </w:rPr>
            </w:pPr>
            <w:r>
              <w:rPr>
                <w:rFonts w:hint="eastAsia" w:ascii="宋体" w:hAnsi="宋体" w:cs="宋体"/>
                <w:szCs w:val="21"/>
              </w:rPr>
              <w:t>▲</w:t>
            </w:r>
          </w:p>
        </w:tc>
        <w:tc>
          <w:tcPr>
            <w:tcW w:w="851" w:type="dxa"/>
            <w:vAlign w:val="center"/>
          </w:tcPr>
          <w:p w14:paraId="25416773">
            <w:pPr>
              <w:jc w:val="center"/>
              <w:rPr>
                <w:rFonts w:ascii="宋体" w:hAnsi="宋体" w:cs="宋体"/>
                <w:szCs w:val="21"/>
              </w:rPr>
            </w:pPr>
            <w:r>
              <w:rPr>
                <w:rFonts w:hint="eastAsia" w:ascii="宋体" w:hAnsi="宋体" w:cs="宋体"/>
                <w:szCs w:val="21"/>
              </w:rPr>
              <w:t>△</w:t>
            </w:r>
          </w:p>
        </w:tc>
        <w:tc>
          <w:tcPr>
            <w:tcW w:w="852" w:type="dxa"/>
            <w:vAlign w:val="center"/>
          </w:tcPr>
          <w:p w14:paraId="17EF75D6">
            <w:pPr>
              <w:jc w:val="center"/>
              <w:rPr>
                <w:rFonts w:ascii="宋体" w:hAnsi="宋体" w:cs="宋体"/>
                <w:szCs w:val="21"/>
              </w:rPr>
            </w:pPr>
            <w:r>
              <w:rPr>
                <w:rFonts w:hint="eastAsia" w:ascii="宋体" w:hAnsi="宋体" w:cs="宋体"/>
                <w:szCs w:val="21"/>
              </w:rPr>
              <w:t>△</w:t>
            </w:r>
          </w:p>
        </w:tc>
        <w:tc>
          <w:tcPr>
            <w:tcW w:w="851" w:type="dxa"/>
            <w:vAlign w:val="center"/>
          </w:tcPr>
          <w:p w14:paraId="1077C34C">
            <w:pPr>
              <w:jc w:val="center"/>
              <w:rPr>
                <w:rFonts w:ascii="宋体" w:hAnsi="宋体" w:cs="宋体"/>
                <w:szCs w:val="21"/>
              </w:rPr>
            </w:pPr>
            <w:r>
              <w:rPr>
                <w:rFonts w:hint="eastAsia" w:ascii="宋体" w:hAnsi="宋体" w:cs="宋体"/>
                <w:szCs w:val="21"/>
              </w:rPr>
              <w:t>▲</w:t>
            </w:r>
          </w:p>
        </w:tc>
        <w:tc>
          <w:tcPr>
            <w:tcW w:w="654" w:type="dxa"/>
            <w:vAlign w:val="center"/>
          </w:tcPr>
          <w:p w14:paraId="46E21DC6">
            <w:pPr>
              <w:jc w:val="center"/>
              <w:rPr>
                <w:rFonts w:ascii="宋体" w:hAnsi="宋体" w:cs="宋体"/>
                <w:szCs w:val="21"/>
              </w:rPr>
            </w:pPr>
          </w:p>
        </w:tc>
      </w:tr>
      <w:tr w14:paraId="22D6F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11" w:hRule="exact"/>
          <w:jc w:val="center"/>
        </w:trPr>
        <w:tc>
          <w:tcPr>
            <w:tcW w:w="4252" w:type="dxa"/>
            <w:vAlign w:val="center"/>
          </w:tcPr>
          <w:p w14:paraId="091A37BB">
            <w:pPr>
              <w:rPr>
                <w:rFonts w:ascii="宋体" w:hAnsi="宋体"/>
                <w:color w:val="000000"/>
                <w:sz w:val="22"/>
              </w:rPr>
            </w:pPr>
            <w:r>
              <w:rPr>
                <w:rFonts w:hint="eastAsia" w:ascii="宋体" w:hAnsi="宋体"/>
                <w:color w:val="000000"/>
                <w:sz w:val="22"/>
              </w:rPr>
              <w:t>10.2持续改进</w:t>
            </w:r>
          </w:p>
        </w:tc>
        <w:tc>
          <w:tcPr>
            <w:tcW w:w="851" w:type="dxa"/>
            <w:vAlign w:val="center"/>
          </w:tcPr>
          <w:p w14:paraId="5C7CC754">
            <w:pPr>
              <w:jc w:val="center"/>
              <w:rPr>
                <w:rFonts w:ascii="宋体" w:hAnsi="宋体" w:cs="宋体"/>
                <w:szCs w:val="21"/>
              </w:rPr>
            </w:pPr>
            <w:r>
              <w:rPr>
                <w:rFonts w:hint="eastAsia" w:ascii="宋体" w:hAnsi="宋体" w:cs="宋体"/>
                <w:szCs w:val="21"/>
              </w:rPr>
              <w:t>△</w:t>
            </w:r>
          </w:p>
        </w:tc>
        <w:tc>
          <w:tcPr>
            <w:tcW w:w="994" w:type="dxa"/>
            <w:vAlign w:val="center"/>
          </w:tcPr>
          <w:p w14:paraId="1991379D">
            <w:pPr>
              <w:jc w:val="center"/>
              <w:rPr>
                <w:rFonts w:ascii="宋体" w:hAnsi="宋体" w:cs="宋体"/>
                <w:szCs w:val="21"/>
              </w:rPr>
            </w:pPr>
            <w:r>
              <w:rPr>
                <w:rFonts w:hint="eastAsia" w:ascii="宋体" w:hAnsi="宋体" w:cs="宋体"/>
                <w:szCs w:val="21"/>
              </w:rPr>
              <w:t>▲</w:t>
            </w:r>
          </w:p>
        </w:tc>
        <w:tc>
          <w:tcPr>
            <w:tcW w:w="851" w:type="dxa"/>
            <w:vAlign w:val="center"/>
          </w:tcPr>
          <w:p w14:paraId="0AE4C5E3">
            <w:pPr>
              <w:jc w:val="center"/>
              <w:rPr>
                <w:rFonts w:ascii="宋体" w:hAnsi="宋体" w:cs="宋体"/>
                <w:szCs w:val="21"/>
              </w:rPr>
            </w:pPr>
            <w:r>
              <w:rPr>
                <w:rFonts w:hint="eastAsia" w:ascii="宋体" w:hAnsi="宋体" w:cs="宋体"/>
                <w:szCs w:val="21"/>
              </w:rPr>
              <w:t>△</w:t>
            </w:r>
          </w:p>
        </w:tc>
        <w:tc>
          <w:tcPr>
            <w:tcW w:w="852" w:type="dxa"/>
            <w:vAlign w:val="center"/>
          </w:tcPr>
          <w:p w14:paraId="0A357057">
            <w:pPr>
              <w:jc w:val="center"/>
              <w:rPr>
                <w:rFonts w:ascii="宋体" w:hAnsi="宋体" w:cs="宋体"/>
                <w:szCs w:val="21"/>
              </w:rPr>
            </w:pPr>
            <w:r>
              <w:rPr>
                <w:rFonts w:hint="eastAsia" w:ascii="宋体" w:hAnsi="宋体" w:cs="宋体"/>
                <w:szCs w:val="21"/>
              </w:rPr>
              <w:t>△</w:t>
            </w:r>
          </w:p>
        </w:tc>
        <w:tc>
          <w:tcPr>
            <w:tcW w:w="851" w:type="dxa"/>
            <w:vAlign w:val="center"/>
          </w:tcPr>
          <w:p w14:paraId="5864E2CF">
            <w:pPr>
              <w:jc w:val="center"/>
              <w:rPr>
                <w:rFonts w:ascii="宋体" w:hAnsi="宋体" w:cs="宋体"/>
                <w:szCs w:val="21"/>
              </w:rPr>
            </w:pPr>
            <w:r>
              <w:rPr>
                <w:rFonts w:hint="eastAsia" w:ascii="宋体" w:hAnsi="宋体" w:cs="宋体"/>
                <w:szCs w:val="21"/>
              </w:rPr>
              <w:t>△</w:t>
            </w:r>
          </w:p>
        </w:tc>
        <w:tc>
          <w:tcPr>
            <w:tcW w:w="654" w:type="dxa"/>
            <w:vAlign w:val="center"/>
          </w:tcPr>
          <w:p w14:paraId="6279D2C2">
            <w:pPr>
              <w:jc w:val="center"/>
              <w:rPr>
                <w:rFonts w:ascii="宋体" w:hAnsi="宋体" w:cs="宋体"/>
                <w:szCs w:val="21"/>
              </w:rPr>
            </w:pPr>
          </w:p>
        </w:tc>
      </w:tr>
      <w:tr w14:paraId="2D2E1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27" w:hRule="exact"/>
          <w:jc w:val="center"/>
        </w:trPr>
        <w:tc>
          <w:tcPr>
            <w:tcW w:w="4252" w:type="dxa"/>
            <w:vAlign w:val="center"/>
          </w:tcPr>
          <w:p w14:paraId="19A81CA8">
            <w:pPr>
              <w:rPr>
                <w:rFonts w:ascii="宋体" w:hAnsi="宋体"/>
                <w:color w:val="000000"/>
                <w:sz w:val="22"/>
              </w:rPr>
            </w:pPr>
            <w:r>
              <w:rPr>
                <w:rFonts w:hint="eastAsia" w:ascii="宋体" w:hAnsi="宋体"/>
                <w:color w:val="000000"/>
                <w:sz w:val="22"/>
              </w:rPr>
              <w:t>10.3食品安全管理体系、HACCP体系的更新</w:t>
            </w:r>
          </w:p>
        </w:tc>
        <w:tc>
          <w:tcPr>
            <w:tcW w:w="851" w:type="dxa"/>
            <w:vAlign w:val="center"/>
          </w:tcPr>
          <w:p w14:paraId="3263D5EF">
            <w:pPr>
              <w:jc w:val="center"/>
              <w:rPr>
                <w:rFonts w:ascii="宋体" w:hAnsi="宋体" w:cs="宋体"/>
                <w:szCs w:val="21"/>
              </w:rPr>
            </w:pPr>
            <w:r>
              <w:rPr>
                <w:rFonts w:hint="eastAsia" w:ascii="宋体" w:hAnsi="宋体" w:cs="宋体"/>
                <w:szCs w:val="21"/>
              </w:rPr>
              <w:t>△</w:t>
            </w:r>
          </w:p>
        </w:tc>
        <w:tc>
          <w:tcPr>
            <w:tcW w:w="994" w:type="dxa"/>
            <w:vAlign w:val="center"/>
          </w:tcPr>
          <w:p w14:paraId="4BCD6630">
            <w:pPr>
              <w:jc w:val="center"/>
              <w:rPr>
                <w:rFonts w:ascii="宋体" w:hAnsi="宋体" w:cs="宋体"/>
                <w:szCs w:val="21"/>
              </w:rPr>
            </w:pPr>
            <w:r>
              <w:rPr>
                <w:rFonts w:hint="eastAsia" w:ascii="宋体" w:hAnsi="宋体" w:cs="宋体"/>
                <w:szCs w:val="21"/>
              </w:rPr>
              <w:t>▲</w:t>
            </w:r>
          </w:p>
        </w:tc>
        <w:tc>
          <w:tcPr>
            <w:tcW w:w="851" w:type="dxa"/>
            <w:vAlign w:val="center"/>
          </w:tcPr>
          <w:p w14:paraId="0FFFF7D0">
            <w:pPr>
              <w:jc w:val="center"/>
              <w:rPr>
                <w:rFonts w:ascii="宋体" w:hAnsi="宋体" w:cs="宋体"/>
                <w:szCs w:val="21"/>
              </w:rPr>
            </w:pPr>
            <w:r>
              <w:rPr>
                <w:rFonts w:hint="eastAsia" w:ascii="宋体" w:hAnsi="宋体" w:cs="宋体"/>
                <w:szCs w:val="21"/>
              </w:rPr>
              <w:t>△</w:t>
            </w:r>
          </w:p>
        </w:tc>
        <w:tc>
          <w:tcPr>
            <w:tcW w:w="852" w:type="dxa"/>
            <w:vAlign w:val="center"/>
          </w:tcPr>
          <w:p w14:paraId="0BFC359E">
            <w:pPr>
              <w:jc w:val="center"/>
              <w:rPr>
                <w:rFonts w:ascii="宋体" w:hAnsi="宋体" w:cs="宋体"/>
                <w:szCs w:val="21"/>
              </w:rPr>
            </w:pPr>
            <w:r>
              <w:rPr>
                <w:rFonts w:hint="eastAsia" w:ascii="宋体" w:hAnsi="宋体" w:cs="宋体"/>
                <w:szCs w:val="21"/>
              </w:rPr>
              <w:t>△</w:t>
            </w:r>
          </w:p>
        </w:tc>
        <w:tc>
          <w:tcPr>
            <w:tcW w:w="851" w:type="dxa"/>
            <w:vAlign w:val="center"/>
          </w:tcPr>
          <w:p w14:paraId="41829AF1">
            <w:pPr>
              <w:jc w:val="center"/>
              <w:rPr>
                <w:rFonts w:ascii="宋体" w:hAnsi="宋体" w:cs="宋体"/>
                <w:szCs w:val="21"/>
              </w:rPr>
            </w:pPr>
            <w:r>
              <w:rPr>
                <w:rFonts w:hint="eastAsia" w:ascii="宋体" w:hAnsi="宋体" w:cs="宋体"/>
                <w:szCs w:val="21"/>
              </w:rPr>
              <w:t>△</w:t>
            </w:r>
          </w:p>
        </w:tc>
        <w:tc>
          <w:tcPr>
            <w:tcW w:w="654" w:type="dxa"/>
            <w:vAlign w:val="center"/>
          </w:tcPr>
          <w:p w14:paraId="3837FD71">
            <w:pPr>
              <w:jc w:val="center"/>
              <w:rPr>
                <w:rFonts w:ascii="宋体" w:hAnsi="宋体" w:cs="宋体"/>
                <w:szCs w:val="21"/>
              </w:rPr>
            </w:pPr>
          </w:p>
        </w:tc>
      </w:tr>
    </w:tbl>
    <w:p w14:paraId="3579BB75">
      <w:pPr>
        <w:pStyle w:val="2"/>
        <w:spacing w:after="0" w:line="460" w:lineRule="exact"/>
        <w:rPr>
          <w:rFonts w:ascii="宋体" w:hAnsi="宋体" w:cs="宋体"/>
          <w:szCs w:val="21"/>
        </w:rPr>
      </w:pPr>
      <w:r>
        <w:rPr>
          <w:rFonts w:hint="eastAsia" w:ascii="宋体" w:hAnsi="宋体" w:cs="宋体"/>
          <w:szCs w:val="21"/>
        </w:rPr>
        <w:t>注：▲-表示主控部门，△-表示配合部门。</w:t>
      </w:r>
    </w:p>
    <w:p w14:paraId="07333399">
      <w:pPr>
        <w:pStyle w:val="22"/>
        <w:outlineLvl w:val="9"/>
      </w:pPr>
      <w:bookmarkStart w:id="72" w:name="_Toc93585164"/>
      <w:r>
        <w:rPr>
          <w:rFonts w:hint="eastAsia"/>
        </w:rPr>
        <w:t>附件四：HACCP（V1.0)体系职能分配表</w:t>
      </w:r>
      <w:bookmarkEnd w:id="72"/>
    </w:p>
    <w:tbl>
      <w:tblPr>
        <w:tblStyle w:val="23"/>
        <w:tblW w:w="9574" w:type="dxa"/>
        <w:tblInd w:w="-4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4839"/>
        <w:gridCol w:w="947"/>
        <w:gridCol w:w="947"/>
        <w:gridCol w:w="947"/>
        <w:gridCol w:w="947"/>
        <w:gridCol w:w="947"/>
      </w:tblGrid>
      <w:tr w14:paraId="40525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008" w:hRule="exact"/>
          <w:tblHeader/>
        </w:trPr>
        <w:tc>
          <w:tcPr>
            <w:tcW w:w="4839" w:type="dxa"/>
            <w:tcBorders>
              <w:tl2br w:val="single" w:color="auto" w:sz="4" w:space="0"/>
            </w:tcBorders>
            <w:vAlign w:val="center"/>
          </w:tcPr>
          <w:p w14:paraId="266B48B9">
            <w:pPr>
              <w:rPr>
                <w:rFonts w:ascii="宋体" w:hAnsi="宋体" w:cs="宋体"/>
                <w:szCs w:val="21"/>
              </w:rPr>
            </w:pPr>
            <w:r>
              <w:rPr>
                <w:rFonts w:hint="eastAsia" w:ascii="宋体" w:hAnsi="宋体" w:cs="宋体"/>
                <w:szCs w:val="21"/>
              </w:rPr>
              <w:t xml:space="preserve">                           部门</w:t>
            </w:r>
          </w:p>
          <w:p w14:paraId="16CDEB42">
            <w:pPr>
              <w:rPr>
                <w:rFonts w:ascii="宋体" w:hAnsi="宋体" w:cs="宋体"/>
                <w:szCs w:val="21"/>
              </w:rPr>
            </w:pPr>
            <w:r>
              <w:rPr>
                <w:rFonts w:hint="eastAsia" w:ascii="宋体" w:hAnsi="宋体" w:cs="宋体"/>
                <w:szCs w:val="21"/>
              </w:rPr>
              <w:t>标准条款</w:t>
            </w:r>
          </w:p>
          <w:p w14:paraId="6C27C6FE">
            <w:pPr>
              <w:rPr>
                <w:rFonts w:ascii="宋体" w:hAnsi="宋体" w:cs="宋体"/>
                <w:szCs w:val="21"/>
              </w:rPr>
            </w:pPr>
            <w:r>
              <w:rPr>
                <w:rFonts w:hint="eastAsia" w:ascii="宋体" w:hAnsi="宋体" w:cs="宋体"/>
                <w:szCs w:val="21"/>
              </w:rPr>
              <w:t xml:space="preserve">   手册章节</w:t>
            </w:r>
          </w:p>
        </w:tc>
        <w:tc>
          <w:tcPr>
            <w:tcW w:w="947" w:type="dxa"/>
            <w:vAlign w:val="center"/>
          </w:tcPr>
          <w:p w14:paraId="1BDC87F9">
            <w:pPr>
              <w:jc w:val="center"/>
              <w:rPr>
                <w:rFonts w:ascii="宋体" w:hAnsi="宋体" w:cs="宋体"/>
                <w:szCs w:val="21"/>
              </w:rPr>
            </w:pPr>
            <w:r>
              <w:rPr>
                <w:rFonts w:hint="eastAsia" w:ascii="宋体" w:hAnsi="宋体" w:cs="宋体"/>
                <w:szCs w:val="21"/>
              </w:rPr>
              <w:t>总经理</w:t>
            </w:r>
          </w:p>
        </w:tc>
        <w:tc>
          <w:tcPr>
            <w:tcW w:w="947" w:type="dxa"/>
            <w:vAlign w:val="center"/>
          </w:tcPr>
          <w:p w14:paraId="56134437">
            <w:pPr>
              <w:jc w:val="center"/>
              <w:rPr>
                <w:rFonts w:ascii="宋体" w:hAnsi="宋体" w:cs="宋体"/>
                <w:szCs w:val="21"/>
              </w:rPr>
            </w:pPr>
            <w:r>
              <w:rPr>
                <w:rFonts w:hint="eastAsia" w:ascii="宋体" w:hAnsi="宋体" w:cs="宋体"/>
                <w:szCs w:val="21"/>
              </w:rPr>
              <w:t>HACCP小组</w:t>
            </w:r>
          </w:p>
        </w:tc>
        <w:tc>
          <w:tcPr>
            <w:tcW w:w="947" w:type="dxa"/>
            <w:vAlign w:val="center"/>
          </w:tcPr>
          <w:p w14:paraId="48449726">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市场部</w:t>
            </w:r>
          </w:p>
        </w:tc>
        <w:tc>
          <w:tcPr>
            <w:tcW w:w="947" w:type="dxa"/>
            <w:vAlign w:val="center"/>
          </w:tcPr>
          <w:p w14:paraId="3C280DEB">
            <w:pPr>
              <w:spacing w:line="360" w:lineRule="exact"/>
              <w:jc w:val="center"/>
              <w:rPr>
                <w:rFonts w:ascii="宋体" w:hAnsi="宋体" w:cs="宋体"/>
                <w:color w:val="000000"/>
                <w:szCs w:val="21"/>
              </w:rPr>
            </w:pPr>
            <w:r>
              <w:rPr>
                <w:rFonts w:hint="eastAsia" w:ascii="宋体" w:hAnsi="宋体" w:cs="宋体"/>
                <w:color w:val="000000"/>
                <w:szCs w:val="21"/>
              </w:rPr>
              <w:t>行政部</w:t>
            </w:r>
          </w:p>
        </w:tc>
        <w:tc>
          <w:tcPr>
            <w:tcW w:w="947" w:type="dxa"/>
            <w:vAlign w:val="center"/>
          </w:tcPr>
          <w:p w14:paraId="24F90375">
            <w:pPr>
              <w:spacing w:line="320" w:lineRule="exact"/>
              <w:jc w:val="center"/>
              <w:rPr>
                <w:rFonts w:ascii="宋体" w:hAnsi="宋体" w:cs="宋体"/>
                <w:color w:val="000000"/>
                <w:szCs w:val="21"/>
              </w:rPr>
            </w:pPr>
            <w:r>
              <w:rPr>
                <w:rFonts w:hint="eastAsia" w:ascii="宋体" w:hAnsi="宋体" w:cs="宋体"/>
                <w:color w:val="000000"/>
                <w:szCs w:val="21"/>
              </w:rPr>
              <w:t>财务部</w:t>
            </w:r>
          </w:p>
        </w:tc>
      </w:tr>
      <w:tr w14:paraId="34086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4ADCEEFF">
            <w:pPr>
              <w:widowControl/>
              <w:jc w:val="left"/>
              <w:rPr>
                <w:color w:val="000000"/>
                <w:kern w:val="0"/>
                <w:sz w:val="22"/>
              </w:rPr>
            </w:pPr>
            <w:r>
              <w:rPr>
                <w:rFonts w:hint="eastAsia"/>
                <w:color w:val="000000"/>
                <w:sz w:val="22"/>
              </w:rPr>
              <w:t>1  HACCP体系</w:t>
            </w:r>
          </w:p>
        </w:tc>
        <w:tc>
          <w:tcPr>
            <w:tcW w:w="947" w:type="dxa"/>
            <w:vAlign w:val="center"/>
          </w:tcPr>
          <w:p w14:paraId="7F2B6F9E">
            <w:pPr>
              <w:jc w:val="center"/>
              <w:rPr>
                <w:rFonts w:ascii="宋体" w:hAnsi="宋体" w:cs="宋体"/>
                <w:szCs w:val="21"/>
              </w:rPr>
            </w:pPr>
          </w:p>
        </w:tc>
        <w:tc>
          <w:tcPr>
            <w:tcW w:w="947" w:type="dxa"/>
            <w:vAlign w:val="center"/>
          </w:tcPr>
          <w:p w14:paraId="4F9A66A0">
            <w:pPr>
              <w:jc w:val="center"/>
              <w:rPr>
                <w:rFonts w:ascii="宋体" w:hAnsi="宋体" w:cs="宋体"/>
                <w:szCs w:val="21"/>
              </w:rPr>
            </w:pPr>
          </w:p>
        </w:tc>
        <w:tc>
          <w:tcPr>
            <w:tcW w:w="947" w:type="dxa"/>
            <w:vAlign w:val="center"/>
          </w:tcPr>
          <w:p w14:paraId="68A5DE92">
            <w:pPr>
              <w:jc w:val="center"/>
              <w:rPr>
                <w:rFonts w:ascii="宋体" w:hAnsi="宋体" w:cs="宋体"/>
                <w:szCs w:val="21"/>
              </w:rPr>
            </w:pPr>
          </w:p>
        </w:tc>
        <w:tc>
          <w:tcPr>
            <w:tcW w:w="947" w:type="dxa"/>
            <w:vAlign w:val="center"/>
          </w:tcPr>
          <w:p w14:paraId="680558A9">
            <w:pPr>
              <w:jc w:val="center"/>
              <w:rPr>
                <w:rFonts w:ascii="宋体" w:hAnsi="宋体" w:cs="宋体"/>
                <w:szCs w:val="21"/>
              </w:rPr>
            </w:pPr>
          </w:p>
        </w:tc>
        <w:tc>
          <w:tcPr>
            <w:tcW w:w="947" w:type="dxa"/>
            <w:vAlign w:val="center"/>
          </w:tcPr>
          <w:p w14:paraId="43D639B3">
            <w:pPr>
              <w:jc w:val="center"/>
              <w:rPr>
                <w:rFonts w:ascii="宋体" w:hAnsi="宋体" w:cs="宋体"/>
                <w:szCs w:val="21"/>
              </w:rPr>
            </w:pPr>
          </w:p>
        </w:tc>
      </w:tr>
      <w:tr w14:paraId="58746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102E3A26">
            <w:pPr>
              <w:rPr>
                <w:color w:val="000000"/>
                <w:sz w:val="22"/>
              </w:rPr>
            </w:pPr>
            <w:r>
              <w:rPr>
                <w:rFonts w:hint="eastAsia"/>
                <w:color w:val="000000"/>
                <w:sz w:val="22"/>
              </w:rPr>
              <w:t>1.1  总要求</w:t>
            </w:r>
          </w:p>
        </w:tc>
        <w:tc>
          <w:tcPr>
            <w:tcW w:w="947" w:type="dxa"/>
            <w:vAlign w:val="center"/>
          </w:tcPr>
          <w:p w14:paraId="4EC64E90">
            <w:pPr>
              <w:jc w:val="center"/>
              <w:rPr>
                <w:rFonts w:ascii="宋体" w:hAnsi="宋体" w:cs="宋体"/>
                <w:szCs w:val="21"/>
              </w:rPr>
            </w:pPr>
            <w:r>
              <w:rPr>
                <w:rFonts w:hint="eastAsia" w:ascii="宋体" w:hAnsi="宋体" w:cs="宋体"/>
                <w:szCs w:val="21"/>
              </w:rPr>
              <w:t>▲</w:t>
            </w:r>
          </w:p>
        </w:tc>
        <w:tc>
          <w:tcPr>
            <w:tcW w:w="947" w:type="dxa"/>
            <w:vAlign w:val="center"/>
          </w:tcPr>
          <w:p w14:paraId="7EE96028">
            <w:pPr>
              <w:jc w:val="center"/>
              <w:rPr>
                <w:rFonts w:ascii="宋体" w:hAnsi="宋体" w:cs="宋体"/>
                <w:szCs w:val="21"/>
              </w:rPr>
            </w:pPr>
            <w:r>
              <w:rPr>
                <w:rFonts w:hint="eastAsia" w:ascii="宋体" w:hAnsi="宋体" w:cs="宋体"/>
                <w:szCs w:val="21"/>
              </w:rPr>
              <w:t>△</w:t>
            </w:r>
          </w:p>
        </w:tc>
        <w:tc>
          <w:tcPr>
            <w:tcW w:w="947" w:type="dxa"/>
            <w:vAlign w:val="center"/>
          </w:tcPr>
          <w:p w14:paraId="026D53E0">
            <w:pPr>
              <w:jc w:val="center"/>
              <w:rPr>
                <w:rFonts w:ascii="宋体" w:hAnsi="宋体" w:cs="宋体"/>
                <w:szCs w:val="21"/>
              </w:rPr>
            </w:pPr>
            <w:r>
              <w:rPr>
                <w:rFonts w:hint="eastAsia" w:ascii="宋体" w:hAnsi="宋体" w:cs="宋体"/>
                <w:szCs w:val="21"/>
              </w:rPr>
              <w:t>△</w:t>
            </w:r>
          </w:p>
        </w:tc>
        <w:tc>
          <w:tcPr>
            <w:tcW w:w="947" w:type="dxa"/>
            <w:vAlign w:val="center"/>
          </w:tcPr>
          <w:p w14:paraId="44C433A9">
            <w:pPr>
              <w:jc w:val="center"/>
              <w:rPr>
                <w:rFonts w:ascii="宋体" w:hAnsi="宋体" w:cs="宋体"/>
                <w:szCs w:val="21"/>
              </w:rPr>
            </w:pPr>
            <w:r>
              <w:rPr>
                <w:rFonts w:hint="eastAsia" w:ascii="宋体" w:hAnsi="宋体" w:cs="宋体"/>
                <w:szCs w:val="21"/>
              </w:rPr>
              <w:t>△</w:t>
            </w:r>
          </w:p>
        </w:tc>
        <w:tc>
          <w:tcPr>
            <w:tcW w:w="947" w:type="dxa"/>
            <w:vAlign w:val="center"/>
          </w:tcPr>
          <w:p w14:paraId="7165531F">
            <w:pPr>
              <w:jc w:val="center"/>
              <w:rPr>
                <w:rFonts w:ascii="宋体" w:hAnsi="宋体" w:cs="宋体"/>
                <w:szCs w:val="21"/>
              </w:rPr>
            </w:pPr>
            <w:r>
              <w:rPr>
                <w:rFonts w:hint="eastAsia" w:ascii="宋体" w:hAnsi="宋体" w:cs="宋体"/>
                <w:szCs w:val="21"/>
              </w:rPr>
              <w:t>△</w:t>
            </w:r>
          </w:p>
        </w:tc>
      </w:tr>
      <w:tr w14:paraId="625A5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519E0735">
            <w:pPr>
              <w:rPr>
                <w:color w:val="000000"/>
                <w:sz w:val="22"/>
              </w:rPr>
            </w:pPr>
            <w:r>
              <w:rPr>
                <w:rFonts w:hint="eastAsia"/>
                <w:color w:val="000000"/>
                <w:sz w:val="22"/>
              </w:rPr>
              <w:t>1.2  文件要求</w:t>
            </w:r>
          </w:p>
        </w:tc>
        <w:tc>
          <w:tcPr>
            <w:tcW w:w="947" w:type="dxa"/>
            <w:vAlign w:val="center"/>
          </w:tcPr>
          <w:p w14:paraId="2736A2CE">
            <w:pPr>
              <w:jc w:val="center"/>
              <w:rPr>
                <w:rFonts w:ascii="宋体" w:hAnsi="宋体" w:cs="宋体"/>
                <w:szCs w:val="21"/>
              </w:rPr>
            </w:pPr>
            <w:r>
              <w:rPr>
                <w:rFonts w:hint="eastAsia" w:ascii="宋体" w:hAnsi="宋体" w:cs="宋体"/>
                <w:szCs w:val="21"/>
              </w:rPr>
              <w:t>△</w:t>
            </w:r>
          </w:p>
        </w:tc>
        <w:tc>
          <w:tcPr>
            <w:tcW w:w="947" w:type="dxa"/>
            <w:vAlign w:val="center"/>
          </w:tcPr>
          <w:p w14:paraId="0BC7CA2B">
            <w:pPr>
              <w:jc w:val="center"/>
              <w:rPr>
                <w:rFonts w:ascii="宋体" w:hAnsi="宋体" w:cs="宋体"/>
                <w:szCs w:val="21"/>
              </w:rPr>
            </w:pPr>
            <w:r>
              <w:rPr>
                <w:rFonts w:hint="eastAsia" w:ascii="宋体" w:hAnsi="宋体" w:cs="宋体"/>
                <w:szCs w:val="21"/>
              </w:rPr>
              <w:t>▲</w:t>
            </w:r>
          </w:p>
        </w:tc>
        <w:tc>
          <w:tcPr>
            <w:tcW w:w="947" w:type="dxa"/>
            <w:vAlign w:val="center"/>
          </w:tcPr>
          <w:p w14:paraId="4CB9ECA3">
            <w:pPr>
              <w:jc w:val="center"/>
              <w:rPr>
                <w:rFonts w:ascii="宋体" w:hAnsi="宋体" w:cs="宋体"/>
                <w:szCs w:val="21"/>
              </w:rPr>
            </w:pPr>
            <w:r>
              <w:rPr>
                <w:rFonts w:hint="eastAsia" w:ascii="宋体" w:hAnsi="宋体" w:cs="宋体"/>
                <w:szCs w:val="21"/>
              </w:rPr>
              <w:t>△</w:t>
            </w:r>
          </w:p>
        </w:tc>
        <w:tc>
          <w:tcPr>
            <w:tcW w:w="947" w:type="dxa"/>
            <w:vAlign w:val="center"/>
          </w:tcPr>
          <w:p w14:paraId="23663439">
            <w:pPr>
              <w:jc w:val="center"/>
              <w:rPr>
                <w:rFonts w:ascii="宋体" w:hAnsi="宋体" w:cs="宋体"/>
                <w:szCs w:val="21"/>
              </w:rPr>
            </w:pPr>
            <w:r>
              <w:rPr>
                <w:rFonts w:hint="eastAsia" w:ascii="宋体" w:hAnsi="宋体" w:cs="宋体"/>
                <w:szCs w:val="21"/>
              </w:rPr>
              <w:t>▲</w:t>
            </w:r>
          </w:p>
        </w:tc>
        <w:tc>
          <w:tcPr>
            <w:tcW w:w="947" w:type="dxa"/>
            <w:vAlign w:val="center"/>
          </w:tcPr>
          <w:p w14:paraId="7C9CC0ED">
            <w:pPr>
              <w:jc w:val="center"/>
              <w:rPr>
                <w:rFonts w:ascii="宋体" w:hAnsi="宋体" w:cs="宋体"/>
                <w:szCs w:val="21"/>
              </w:rPr>
            </w:pPr>
            <w:r>
              <w:rPr>
                <w:rFonts w:hint="eastAsia" w:ascii="宋体" w:hAnsi="宋体" w:cs="宋体"/>
                <w:szCs w:val="21"/>
              </w:rPr>
              <w:t>△</w:t>
            </w:r>
          </w:p>
        </w:tc>
      </w:tr>
      <w:tr w14:paraId="64DDAB72">
        <w:tblPrEx>
          <w:tblCellMar>
            <w:top w:w="0" w:type="dxa"/>
            <w:left w:w="57" w:type="dxa"/>
            <w:bottom w:w="0" w:type="dxa"/>
            <w:right w:w="57" w:type="dxa"/>
          </w:tblCellMar>
        </w:tblPrEx>
        <w:trPr>
          <w:cantSplit/>
          <w:trHeight w:val="361" w:hRule="exact"/>
        </w:trPr>
        <w:tc>
          <w:tcPr>
            <w:tcW w:w="4839" w:type="dxa"/>
            <w:vAlign w:val="bottom"/>
          </w:tcPr>
          <w:p w14:paraId="5B18A0F0">
            <w:pPr>
              <w:rPr>
                <w:color w:val="000000"/>
                <w:sz w:val="22"/>
              </w:rPr>
            </w:pPr>
            <w:r>
              <w:rPr>
                <w:rFonts w:hint="eastAsia"/>
                <w:color w:val="000000"/>
                <w:sz w:val="22"/>
              </w:rPr>
              <w:t>1.2.3  文件控制</w:t>
            </w:r>
          </w:p>
        </w:tc>
        <w:tc>
          <w:tcPr>
            <w:tcW w:w="947" w:type="dxa"/>
            <w:vAlign w:val="center"/>
          </w:tcPr>
          <w:p w14:paraId="7C37D935">
            <w:pPr>
              <w:jc w:val="center"/>
              <w:rPr>
                <w:rFonts w:ascii="宋体" w:hAnsi="宋体" w:cs="宋体"/>
                <w:szCs w:val="21"/>
              </w:rPr>
            </w:pPr>
            <w:r>
              <w:rPr>
                <w:rFonts w:hint="eastAsia" w:ascii="宋体" w:hAnsi="宋体" w:cs="宋体"/>
                <w:szCs w:val="21"/>
              </w:rPr>
              <w:t>△</w:t>
            </w:r>
          </w:p>
        </w:tc>
        <w:tc>
          <w:tcPr>
            <w:tcW w:w="947" w:type="dxa"/>
            <w:vAlign w:val="center"/>
          </w:tcPr>
          <w:p w14:paraId="04F6E627">
            <w:pPr>
              <w:jc w:val="center"/>
              <w:rPr>
                <w:rFonts w:ascii="宋体" w:hAnsi="宋体" w:cs="宋体"/>
                <w:szCs w:val="21"/>
              </w:rPr>
            </w:pPr>
            <w:r>
              <w:rPr>
                <w:rFonts w:hint="eastAsia" w:ascii="宋体" w:hAnsi="宋体" w:cs="宋体"/>
                <w:szCs w:val="21"/>
              </w:rPr>
              <w:t>▲</w:t>
            </w:r>
          </w:p>
        </w:tc>
        <w:tc>
          <w:tcPr>
            <w:tcW w:w="947" w:type="dxa"/>
            <w:vAlign w:val="center"/>
          </w:tcPr>
          <w:p w14:paraId="6C95DF81">
            <w:pPr>
              <w:jc w:val="center"/>
              <w:rPr>
                <w:rFonts w:ascii="宋体" w:hAnsi="宋体" w:cs="宋体"/>
                <w:szCs w:val="21"/>
              </w:rPr>
            </w:pPr>
            <w:r>
              <w:rPr>
                <w:rFonts w:hint="eastAsia" w:ascii="宋体" w:hAnsi="宋体" w:cs="宋体"/>
                <w:szCs w:val="21"/>
              </w:rPr>
              <w:t>△</w:t>
            </w:r>
          </w:p>
        </w:tc>
        <w:tc>
          <w:tcPr>
            <w:tcW w:w="947" w:type="dxa"/>
            <w:vAlign w:val="center"/>
          </w:tcPr>
          <w:p w14:paraId="7E29800F">
            <w:pPr>
              <w:jc w:val="center"/>
              <w:rPr>
                <w:rFonts w:ascii="宋体" w:hAnsi="宋体" w:cs="宋体"/>
                <w:szCs w:val="21"/>
              </w:rPr>
            </w:pPr>
            <w:r>
              <w:rPr>
                <w:rFonts w:hint="eastAsia" w:ascii="宋体" w:hAnsi="宋体" w:cs="宋体"/>
                <w:szCs w:val="21"/>
              </w:rPr>
              <w:t>▲</w:t>
            </w:r>
          </w:p>
        </w:tc>
        <w:tc>
          <w:tcPr>
            <w:tcW w:w="947" w:type="dxa"/>
            <w:vAlign w:val="center"/>
          </w:tcPr>
          <w:p w14:paraId="77B6A652">
            <w:pPr>
              <w:jc w:val="center"/>
              <w:rPr>
                <w:rFonts w:ascii="宋体" w:hAnsi="宋体" w:cs="宋体"/>
                <w:szCs w:val="21"/>
              </w:rPr>
            </w:pPr>
            <w:r>
              <w:rPr>
                <w:rFonts w:hint="eastAsia" w:ascii="宋体" w:hAnsi="宋体" w:cs="宋体"/>
                <w:szCs w:val="21"/>
              </w:rPr>
              <w:t>△</w:t>
            </w:r>
          </w:p>
        </w:tc>
      </w:tr>
      <w:tr w14:paraId="22D75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31F984B8">
            <w:pPr>
              <w:rPr>
                <w:color w:val="000000"/>
                <w:sz w:val="22"/>
              </w:rPr>
            </w:pPr>
            <w:r>
              <w:rPr>
                <w:rFonts w:hint="eastAsia"/>
                <w:color w:val="000000"/>
                <w:sz w:val="22"/>
              </w:rPr>
              <w:t>1.2.4  记录控制</w:t>
            </w:r>
          </w:p>
        </w:tc>
        <w:tc>
          <w:tcPr>
            <w:tcW w:w="947" w:type="dxa"/>
            <w:vAlign w:val="center"/>
          </w:tcPr>
          <w:p w14:paraId="5989C769">
            <w:pPr>
              <w:jc w:val="center"/>
              <w:rPr>
                <w:rFonts w:ascii="宋体" w:hAnsi="宋体" w:cs="宋体"/>
                <w:szCs w:val="21"/>
              </w:rPr>
            </w:pPr>
            <w:r>
              <w:rPr>
                <w:rFonts w:hint="eastAsia" w:ascii="宋体" w:hAnsi="宋体" w:cs="宋体"/>
                <w:szCs w:val="21"/>
              </w:rPr>
              <w:t>△</w:t>
            </w:r>
          </w:p>
        </w:tc>
        <w:tc>
          <w:tcPr>
            <w:tcW w:w="947" w:type="dxa"/>
            <w:vAlign w:val="center"/>
          </w:tcPr>
          <w:p w14:paraId="783322B2">
            <w:pPr>
              <w:jc w:val="center"/>
              <w:rPr>
                <w:rFonts w:ascii="宋体" w:hAnsi="宋体" w:cs="宋体"/>
                <w:szCs w:val="21"/>
              </w:rPr>
            </w:pPr>
            <w:r>
              <w:rPr>
                <w:rFonts w:hint="eastAsia" w:ascii="宋体" w:hAnsi="宋体" w:cs="宋体"/>
                <w:szCs w:val="21"/>
              </w:rPr>
              <w:t>▲</w:t>
            </w:r>
          </w:p>
        </w:tc>
        <w:tc>
          <w:tcPr>
            <w:tcW w:w="947" w:type="dxa"/>
            <w:vAlign w:val="center"/>
          </w:tcPr>
          <w:p w14:paraId="44F04C49">
            <w:pPr>
              <w:jc w:val="center"/>
              <w:rPr>
                <w:rFonts w:ascii="宋体" w:hAnsi="宋体" w:cs="宋体"/>
                <w:szCs w:val="21"/>
              </w:rPr>
            </w:pPr>
            <w:r>
              <w:rPr>
                <w:rFonts w:hint="eastAsia" w:ascii="宋体" w:hAnsi="宋体" w:cs="宋体"/>
                <w:szCs w:val="21"/>
              </w:rPr>
              <w:t>△</w:t>
            </w:r>
          </w:p>
        </w:tc>
        <w:tc>
          <w:tcPr>
            <w:tcW w:w="947" w:type="dxa"/>
            <w:vAlign w:val="center"/>
          </w:tcPr>
          <w:p w14:paraId="4EDF4A51">
            <w:pPr>
              <w:jc w:val="center"/>
              <w:rPr>
                <w:rFonts w:ascii="宋体" w:hAnsi="宋体" w:cs="宋体"/>
                <w:szCs w:val="21"/>
              </w:rPr>
            </w:pPr>
            <w:r>
              <w:rPr>
                <w:rFonts w:hint="eastAsia" w:ascii="宋体" w:hAnsi="宋体" w:cs="宋体"/>
                <w:szCs w:val="21"/>
              </w:rPr>
              <w:t>▲</w:t>
            </w:r>
          </w:p>
        </w:tc>
        <w:tc>
          <w:tcPr>
            <w:tcW w:w="947" w:type="dxa"/>
            <w:vAlign w:val="center"/>
          </w:tcPr>
          <w:p w14:paraId="5C872B2E">
            <w:pPr>
              <w:jc w:val="center"/>
              <w:rPr>
                <w:rFonts w:ascii="宋体" w:hAnsi="宋体" w:cs="宋体"/>
                <w:szCs w:val="21"/>
              </w:rPr>
            </w:pPr>
            <w:r>
              <w:rPr>
                <w:rFonts w:hint="eastAsia" w:ascii="宋体" w:hAnsi="宋体" w:cs="宋体"/>
                <w:szCs w:val="21"/>
              </w:rPr>
              <w:t>△</w:t>
            </w:r>
          </w:p>
        </w:tc>
      </w:tr>
      <w:tr w14:paraId="7FC98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31F4B239">
            <w:pPr>
              <w:rPr>
                <w:color w:val="000000"/>
                <w:sz w:val="22"/>
              </w:rPr>
            </w:pPr>
            <w:r>
              <w:rPr>
                <w:rFonts w:hint="eastAsia"/>
                <w:color w:val="000000"/>
                <w:sz w:val="22"/>
              </w:rPr>
              <w:t>2  管理职责</w:t>
            </w:r>
          </w:p>
        </w:tc>
        <w:tc>
          <w:tcPr>
            <w:tcW w:w="947" w:type="dxa"/>
          </w:tcPr>
          <w:p w14:paraId="05D2782E">
            <w:pPr>
              <w:jc w:val="center"/>
              <w:rPr>
                <w:rFonts w:ascii="宋体" w:hAnsi="宋体" w:cs="宋体"/>
                <w:szCs w:val="21"/>
              </w:rPr>
            </w:pPr>
            <w:r>
              <w:rPr>
                <w:rFonts w:hint="eastAsia" w:ascii="宋体" w:hAnsi="宋体" w:cs="宋体"/>
                <w:szCs w:val="21"/>
              </w:rPr>
              <w:t>▲</w:t>
            </w:r>
          </w:p>
        </w:tc>
        <w:tc>
          <w:tcPr>
            <w:tcW w:w="947" w:type="dxa"/>
          </w:tcPr>
          <w:p w14:paraId="5E3DD65B">
            <w:pPr>
              <w:jc w:val="center"/>
              <w:rPr>
                <w:rFonts w:ascii="宋体" w:hAnsi="宋体" w:cs="宋体"/>
                <w:szCs w:val="21"/>
              </w:rPr>
            </w:pPr>
            <w:r>
              <w:rPr>
                <w:rFonts w:hint="eastAsia" w:ascii="宋体" w:hAnsi="宋体" w:cs="宋体"/>
                <w:szCs w:val="21"/>
              </w:rPr>
              <w:t>▲</w:t>
            </w:r>
          </w:p>
        </w:tc>
        <w:tc>
          <w:tcPr>
            <w:tcW w:w="947" w:type="dxa"/>
          </w:tcPr>
          <w:p w14:paraId="1908C1AC">
            <w:pPr>
              <w:jc w:val="center"/>
              <w:rPr>
                <w:rFonts w:ascii="宋体" w:hAnsi="宋体" w:cs="宋体"/>
                <w:szCs w:val="21"/>
              </w:rPr>
            </w:pPr>
            <w:r>
              <w:rPr>
                <w:rFonts w:hint="eastAsia" w:ascii="宋体" w:hAnsi="宋体" w:cs="宋体"/>
                <w:szCs w:val="21"/>
              </w:rPr>
              <w:t>▲</w:t>
            </w:r>
          </w:p>
        </w:tc>
        <w:tc>
          <w:tcPr>
            <w:tcW w:w="947" w:type="dxa"/>
          </w:tcPr>
          <w:p w14:paraId="2FC5F92C">
            <w:pPr>
              <w:jc w:val="center"/>
              <w:rPr>
                <w:rFonts w:ascii="宋体" w:hAnsi="宋体" w:cs="宋体"/>
                <w:szCs w:val="21"/>
              </w:rPr>
            </w:pPr>
            <w:r>
              <w:rPr>
                <w:rFonts w:hint="eastAsia" w:ascii="宋体" w:hAnsi="宋体" w:cs="宋体"/>
                <w:szCs w:val="21"/>
              </w:rPr>
              <w:t>▲</w:t>
            </w:r>
          </w:p>
        </w:tc>
        <w:tc>
          <w:tcPr>
            <w:tcW w:w="947" w:type="dxa"/>
          </w:tcPr>
          <w:p w14:paraId="0D2F23A2">
            <w:pPr>
              <w:jc w:val="center"/>
              <w:rPr>
                <w:rFonts w:ascii="宋体" w:hAnsi="宋体" w:cs="宋体"/>
                <w:szCs w:val="21"/>
              </w:rPr>
            </w:pPr>
            <w:r>
              <w:rPr>
                <w:rFonts w:hint="eastAsia" w:ascii="宋体" w:hAnsi="宋体" w:cs="宋体"/>
                <w:szCs w:val="21"/>
              </w:rPr>
              <w:t>△</w:t>
            </w:r>
          </w:p>
        </w:tc>
      </w:tr>
      <w:tr w14:paraId="52CAD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26FCE797">
            <w:pPr>
              <w:rPr>
                <w:color w:val="000000"/>
                <w:sz w:val="22"/>
              </w:rPr>
            </w:pPr>
            <w:r>
              <w:rPr>
                <w:rFonts w:hint="eastAsia"/>
                <w:color w:val="000000"/>
                <w:sz w:val="22"/>
              </w:rPr>
              <w:t>2.1  管理承诺</w:t>
            </w:r>
          </w:p>
        </w:tc>
        <w:tc>
          <w:tcPr>
            <w:tcW w:w="947" w:type="dxa"/>
          </w:tcPr>
          <w:p w14:paraId="555A670A">
            <w:pPr>
              <w:jc w:val="center"/>
              <w:rPr>
                <w:rFonts w:ascii="宋体" w:hAnsi="宋体" w:cs="宋体"/>
                <w:szCs w:val="21"/>
              </w:rPr>
            </w:pPr>
            <w:r>
              <w:rPr>
                <w:rFonts w:hint="eastAsia" w:ascii="宋体" w:hAnsi="宋体" w:cs="宋体"/>
                <w:szCs w:val="21"/>
              </w:rPr>
              <w:t>▲</w:t>
            </w:r>
          </w:p>
        </w:tc>
        <w:tc>
          <w:tcPr>
            <w:tcW w:w="947" w:type="dxa"/>
            <w:vAlign w:val="center"/>
          </w:tcPr>
          <w:p w14:paraId="349AEED6">
            <w:pPr>
              <w:jc w:val="center"/>
              <w:rPr>
                <w:rFonts w:ascii="宋体" w:hAnsi="宋体" w:cs="宋体"/>
                <w:szCs w:val="21"/>
              </w:rPr>
            </w:pPr>
            <w:r>
              <w:rPr>
                <w:rFonts w:hint="eastAsia" w:ascii="宋体" w:hAnsi="宋体" w:cs="宋体"/>
                <w:szCs w:val="21"/>
              </w:rPr>
              <w:t>△</w:t>
            </w:r>
          </w:p>
        </w:tc>
        <w:tc>
          <w:tcPr>
            <w:tcW w:w="947" w:type="dxa"/>
            <w:vAlign w:val="center"/>
          </w:tcPr>
          <w:p w14:paraId="585EF450">
            <w:pPr>
              <w:jc w:val="center"/>
              <w:rPr>
                <w:rFonts w:ascii="宋体" w:hAnsi="宋体" w:cs="宋体"/>
                <w:szCs w:val="21"/>
              </w:rPr>
            </w:pPr>
            <w:r>
              <w:rPr>
                <w:rFonts w:hint="eastAsia" w:ascii="宋体" w:hAnsi="宋体" w:cs="宋体"/>
                <w:szCs w:val="21"/>
              </w:rPr>
              <w:t>△</w:t>
            </w:r>
          </w:p>
        </w:tc>
        <w:tc>
          <w:tcPr>
            <w:tcW w:w="947" w:type="dxa"/>
          </w:tcPr>
          <w:p w14:paraId="4138875D">
            <w:pPr>
              <w:jc w:val="center"/>
              <w:rPr>
                <w:rFonts w:ascii="宋体" w:hAnsi="宋体" w:cs="宋体"/>
                <w:szCs w:val="21"/>
              </w:rPr>
            </w:pPr>
            <w:r>
              <w:rPr>
                <w:rFonts w:hint="eastAsia" w:ascii="宋体" w:hAnsi="宋体" w:cs="宋体"/>
                <w:szCs w:val="21"/>
              </w:rPr>
              <w:t>△</w:t>
            </w:r>
          </w:p>
        </w:tc>
        <w:tc>
          <w:tcPr>
            <w:tcW w:w="947" w:type="dxa"/>
          </w:tcPr>
          <w:p w14:paraId="4BF49DF8">
            <w:pPr>
              <w:jc w:val="center"/>
              <w:rPr>
                <w:rFonts w:ascii="宋体" w:hAnsi="宋体" w:cs="宋体"/>
                <w:szCs w:val="21"/>
              </w:rPr>
            </w:pPr>
            <w:r>
              <w:rPr>
                <w:rFonts w:hint="eastAsia" w:ascii="宋体" w:hAnsi="宋体" w:cs="宋体"/>
                <w:szCs w:val="21"/>
              </w:rPr>
              <w:t>△</w:t>
            </w:r>
          </w:p>
        </w:tc>
      </w:tr>
      <w:tr w14:paraId="23EC4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2C65D5E0">
            <w:pPr>
              <w:rPr>
                <w:color w:val="000000"/>
                <w:sz w:val="22"/>
              </w:rPr>
            </w:pPr>
            <w:r>
              <w:rPr>
                <w:rFonts w:hint="eastAsia"/>
                <w:color w:val="000000"/>
                <w:sz w:val="22"/>
              </w:rPr>
              <w:t>2.2  合规义务</w:t>
            </w:r>
          </w:p>
        </w:tc>
        <w:tc>
          <w:tcPr>
            <w:tcW w:w="947" w:type="dxa"/>
          </w:tcPr>
          <w:p w14:paraId="196E5811">
            <w:pPr>
              <w:jc w:val="center"/>
              <w:rPr>
                <w:rFonts w:ascii="宋体" w:hAnsi="宋体" w:cs="宋体"/>
                <w:szCs w:val="21"/>
              </w:rPr>
            </w:pPr>
            <w:r>
              <w:rPr>
                <w:rFonts w:hint="eastAsia" w:ascii="宋体" w:hAnsi="宋体" w:cs="宋体"/>
                <w:szCs w:val="21"/>
              </w:rPr>
              <w:t>△</w:t>
            </w:r>
          </w:p>
        </w:tc>
        <w:tc>
          <w:tcPr>
            <w:tcW w:w="947" w:type="dxa"/>
            <w:vAlign w:val="center"/>
          </w:tcPr>
          <w:p w14:paraId="5588E2D7">
            <w:pPr>
              <w:jc w:val="center"/>
              <w:rPr>
                <w:rFonts w:ascii="宋体" w:hAnsi="宋体" w:cs="宋体"/>
                <w:szCs w:val="21"/>
              </w:rPr>
            </w:pPr>
            <w:r>
              <w:rPr>
                <w:rFonts w:hint="eastAsia" w:ascii="宋体" w:hAnsi="宋体" w:cs="宋体"/>
                <w:szCs w:val="21"/>
              </w:rPr>
              <w:t>▲</w:t>
            </w:r>
          </w:p>
        </w:tc>
        <w:tc>
          <w:tcPr>
            <w:tcW w:w="947" w:type="dxa"/>
            <w:vAlign w:val="center"/>
          </w:tcPr>
          <w:p w14:paraId="3A71D759">
            <w:pPr>
              <w:jc w:val="center"/>
              <w:rPr>
                <w:rFonts w:ascii="宋体" w:hAnsi="宋体" w:cs="宋体"/>
                <w:szCs w:val="21"/>
              </w:rPr>
            </w:pPr>
            <w:r>
              <w:rPr>
                <w:rFonts w:hint="eastAsia" w:ascii="宋体" w:hAnsi="宋体" w:cs="宋体"/>
                <w:szCs w:val="21"/>
              </w:rPr>
              <w:t>△</w:t>
            </w:r>
          </w:p>
        </w:tc>
        <w:tc>
          <w:tcPr>
            <w:tcW w:w="947" w:type="dxa"/>
          </w:tcPr>
          <w:p w14:paraId="40FFF9A9">
            <w:pPr>
              <w:jc w:val="center"/>
              <w:rPr>
                <w:rFonts w:ascii="宋体" w:hAnsi="宋体" w:cs="宋体"/>
                <w:szCs w:val="21"/>
              </w:rPr>
            </w:pPr>
            <w:r>
              <w:rPr>
                <w:rFonts w:hint="eastAsia" w:ascii="宋体" w:hAnsi="宋体" w:cs="宋体"/>
                <w:szCs w:val="21"/>
              </w:rPr>
              <w:t>△</w:t>
            </w:r>
          </w:p>
        </w:tc>
        <w:tc>
          <w:tcPr>
            <w:tcW w:w="947" w:type="dxa"/>
          </w:tcPr>
          <w:p w14:paraId="2DEA4570">
            <w:pPr>
              <w:jc w:val="center"/>
              <w:rPr>
                <w:rFonts w:ascii="宋体" w:hAnsi="宋体" w:cs="宋体"/>
                <w:szCs w:val="21"/>
              </w:rPr>
            </w:pPr>
            <w:r>
              <w:rPr>
                <w:rFonts w:hint="eastAsia" w:ascii="宋体" w:hAnsi="宋体" w:cs="宋体"/>
                <w:szCs w:val="21"/>
              </w:rPr>
              <w:t>△</w:t>
            </w:r>
          </w:p>
        </w:tc>
      </w:tr>
      <w:tr w14:paraId="5F829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500A89E0">
            <w:pPr>
              <w:rPr>
                <w:color w:val="000000"/>
                <w:sz w:val="22"/>
              </w:rPr>
            </w:pPr>
            <w:r>
              <w:rPr>
                <w:rFonts w:hint="eastAsia"/>
                <w:color w:val="000000"/>
                <w:sz w:val="22"/>
              </w:rPr>
              <w:t>2.3  食品安全文化</w:t>
            </w:r>
          </w:p>
        </w:tc>
        <w:tc>
          <w:tcPr>
            <w:tcW w:w="947" w:type="dxa"/>
            <w:vAlign w:val="center"/>
          </w:tcPr>
          <w:p w14:paraId="4022A7B8">
            <w:pPr>
              <w:jc w:val="center"/>
              <w:rPr>
                <w:rFonts w:ascii="宋体" w:hAnsi="宋体" w:cs="宋体"/>
                <w:szCs w:val="21"/>
              </w:rPr>
            </w:pPr>
            <w:r>
              <w:rPr>
                <w:rFonts w:hint="eastAsia" w:ascii="宋体" w:hAnsi="宋体" w:cs="宋体"/>
                <w:szCs w:val="21"/>
              </w:rPr>
              <w:t>▲</w:t>
            </w:r>
          </w:p>
        </w:tc>
        <w:tc>
          <w:tcPr>
            <w:tcW w:w="947" w:type="dxa"/>
            <w:vAlign w:val="center"/>
          </w:tcPr>
          <w:p w14:paraId="7F1499F0">
            <w:pPr>
              <w:jc w:val="center"/>
              <w:rPr>
                <w:rFonts w:ascii="宋体" w:hAnsi="宋体" w:cs="宋体"/>
                <w:szCs w:val="21"/>
              </w:rPr>
            </w:pPr>
            <w:r>
              <w:rPr>
                <w:rFonts w:hint="eastAsia" w:ascii="宋体" w:hAnsi="宋体" w:cs="宋体"/>
                <w:szCs w:val="21"/>
              </w:rPr>
              <w:t>△</w:t>
            </w:r>
          </w:p>
        </w:tc>
        <w:tc>
          <w:tcPr>
            <w:tcW w:w="947" w:type="dxa"/>
            <w:vAlign w:val="center"/>
          </w:tcPr>
          <w:p w14:paraId="2285CBCF">
            <w:pPr>
              <w:jc w:val="center"/>
              <w:rPr>
                <w:rFonts w:ascii="宋体" w:hAnsi="宋体" w:cs="宋体"/>
                <w:szCs w:val="21"/>
              </w:rPr>
            </w:pPr>
            <w:r>
              <w:rPr>
                <w:rFonts w:hint="eastAsia" w:ascii="宋体" w:hAnsi="宋体" w:cs="宋体"/>
                <w:szCs w:val="21"/>
              </w:rPr>
              <w:t>△</w:t>
            </w:r>
          </w:p>
        </w:tc>
        <w:tc>
          <w:tcPr>
            <w:tcW w:w="947" w:type="dxa"/>
            <w:vAlign w:val="center"/>
          </w:tcPr>
          <w:p w14:paraId="0815054A">
            <w:pPr>
              <w:jc w:val="center"/>
              <w:rPr>
                <w:rFonts w:ascii="宋体" w:hAnsi="宋体" w:cs="宋体"/>
                <w:szCs w:val="21"/>
              </w:rPr>
            </w:pPr>
            <w:r>
              <w:rPr>
                <w:rFonts w:hint="eastAsia" w:ascii="宋体" w:hAnsi="宋体" w:cs="宋体"/>
                <w:szCs w:val="21"/>
              </w:rPr>
              <w:t>△</w:t>
            </w:r>
          </w:p>
        </w:tc>
        <w:tc>
          <w:tcPr>
            <w:tcW w:w="947" w:type="dxa"/>
            <w:vAlign w:val="center"/>
          </w:tcPr>
          <w:p w14:paraId="36E330EC">
            <w:pPr>
              <w:jc w:val="center"/>
              <w:rPr>
                <w:rFonts w:ascii="宋体" w:hAnsi="宋体" w:cs="宋体"/>
                <w:szCs w:val="21"/>
              </w:rPr>
            </w:pPr>
            <w:r>
              <w:rPr>
                <w:rFonts w:hint="eastAsia" w:ascii="宋体" w:hAnsi="宋体" w:cs="宋体"/>
                <w:szCs w:val="21"/>
              </w:rPr>
              <w:t>△</w:t>
            </w:r>
          </w:p>
        </w:tc>
      </w:tr>
      <w:tr w14:paraId="7998C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35B4B2F0">
            <w:pPr>
              <w:rPr>
                <w:color w:val="000000"/>
                <w:sz w:val="22"/>
              </w:rPr>
            </w:pPr>
            <w:r>
              <w:rPr>
                <w:rFonts w:hint="eastAsia"/>
                <w:color w:val="000000"/>
                <w:sz w:val="22"/>
              </w:rPr>
              <w:t>2.4  食品安全方针、目标</w:t>
            </w:r>
          </w:p>
        </w:tc>
        <w:tc>
          <w:tcPr>
            <w:tcW w:w="947" w:type="dxa"/>
            <w:vAlign w:val="center"/>
          </w:tcPr>
          <w:p w14:paraId="7D5B63A1">
            <w:pPr>
              <w:jc w:val="center"/>
              <w:rPr>
                <w:rFonts w:ascii="宋体" w:hAnsi="宋体" w:cs="宋体"/>
                <w:szCs w:val="21"/>
              </w:rPr>
            </w:pPr>
            <w:r>
              <w:rPr>
                <w:rFonts w:hint="eastAsia" w:ascii="宋体" w:hAnsi="宋体" w:cs="宋体"/>
                <w:szCs w:val="21"/>
              </w:rPr>
              <w:t>▲</w:t>
            </w:r>
          </w:p>
        </w:tc>
        <w:tc>
          <w:tcPr>
            <w:tcW w:w="947" w:type="dxa"/>
            <w:vAlign w:val="center"/>
          </w:tcPr>
          <w:p w14:paraId="0EE587F8">
            <w:pPr>
              <w:jc w:val="center"/>
              <w:rPr>
                <w:rFonts w:ascii="宋体" w:hAnsi="宋体" w:cs="宋体"/>
                <w:szCs w:val="21"/>
              </w:rPr>
            </w:pPr>
            <w:r>
              <w:rPr>
                <w:rFonts w:hint="eastAsia" w:ascii="宋体" w:hAnsi="宋体" w:cs="宋体"/>
                <w:szCs w:val="21"/>
              </w:rPr>
              <w:t>▲</w:t>
            </w:r>
          </w:p>
        </w:tc>
        <w:tc>
          <w:tcPr>
            <w:tcW w:w="947" w:type="dxa"/>
            <w:vAlign w:val="center"/>
          </w:tcPr>
          <w:p w14:paraId="63A55197">
            <w:pPr>
              <w:jc w:val="center"/>
              <w:rPr>
                <w:rFonts w:ascii="宋体" w:hAnsi="宋体" w:cs="宋体"/>
                <w:szCs w:val="21"/>
              </w:rPr>
            </w:pPr>
            <w:r>
              <w:rPr>
                <w:rFonts w:hint="eastAsia" w:ascii="宋体" w:hAnsi="宋体" w:cs="宋体"/>
                <w:szCs w:val="21"/>
              </w:rPr>
              <w:t>▲</w:t>
            </w:r>
          </w:p>
        </w:tc>
        <w:tc>
          <w:tcPr>
            <w:tcW w:w="947" w:type="dxa"/>
            <w:vAlign w:val="center"/>
          </w:tcPr>
          <w:p w14:paraId="74EFB98B">
            <w:pPr>
              <w:jc w:val="center"/>
              <w:rPr>
                <w:rFonts w:ascii="宋体" w:hAnsi="宋体" w:cs="宋体"/>
                <w:szCs w:val="21"/>
              </w:rPr>
            </w:pPr>
            <w:r>
              <w:rPr>
                <w:rFonts w:hint="eastAsia" w:ascii="宋体" w:hAnsi="宋体" w:cs="宋体"/>
                <w:szCs w:val="21"/>
              </w:rPr>
              <w:t>▲</w:t>
            </w:r>
          </w:p>
        </w:tc>
        <w:tc>
          <w:tcPr>
            <w:tcW w:w="947" w:type="dxa"/>
            <w:vAlign w:val="center"/>
          </w:tcPr>
          <w:p w14:paraId="0B1AD30C">
            <w:pPr>
              <w:jc w:val="center"/>
              <w:rPr>
                <w:rFonts w:ascii="宋体" w:hAnsi="宋体" w:cs="宋体"/>
                <w:szCs w:val="21"/>
              </w:rPr>
            </w:pPr>
            <w:r>
              <w:rPr>
                <w:rFonts w:hint="eastAsia" w:ascii="宋体" w:hAnsi="宋体" w:cs="宋体"/>
                <w:szCs w:val="21"/>
              </w:rPr>
              <w:t>△</w:t>
            </w:r>
          </w:p>
        </w:tc>
      </w:tr>
      <w:tr w14:paraId="7FCB9402">
        <w:tblPrEx>
          <w:tblCellMar>
            <w:top w:w="0" w:type="dxa"/>
            <w:left w:w="57" w:type="dxa"/>
            <w:bottom w:w="0" w:type="dxa"/>
            <w:right w:w="57" w:type="dxa"/>
          </w:tblCellMar>
        </w:tblPrEx>
        <w:trPr>
          <w:cantSplit/>
          <w:trHeight w:val="361" w:hRule="exact"/>
        </w:trPr>
        <w:tc>
          <w:tcPr>
            <w:tcW w:w="4839" w:type="dxa"/>
            <w:vAlign w:val="bottom"/>
          </w:tcPr>
          <w:p w14:paraId="00A9A59A">
            <w:pPr>
              <w:rPr>
                <w:color w:val="000000"/>
                <w:sz w:val="22"/>
              </w:rPr>
            </w:pPr>
            <w:r>
              <w:rPr>
                <w:rFonts w:hint="eastAsia"/>
                <w:color w:val="000000"/>
                <w:sz w:val="22"/>
              </w:rPr>
              <w:t>2.4.1  方针</w:t>
            </w:r>
          </w:p>
        </w:tc>
        <w:tc>
          <w:tcPr>
            <w:tcW w:w="947" w:type="dxa"/>
            <w:vAlign w:val="center"/>
          </w:tcPr>
          <w:p w14:paraId="110C2714">
            <w:pPr>
              <w:jc w:val="center"/>
              <w:rPr>
                <w:rFonts w:ascii="宋体" w:hAnsi="宋体" w:cs="宋体"/>
                <w:szCs w:val="21"/>
              </w:rPr>
            </w:pPr>
            <w:r>
              <w:rPr>
                <w:rFonts w:hint="eastAsia" w:ascii="宋体" w:hAnsi="宋体" w:cs="宋体"/>
                <w:szCs w:val="21"/>
              </w:rPr>
              <w:t>△</w:t>
            </w:r>
          </w:p>
        </w:tc>
        <w:tc>
          <w:tcPr>
            <w:tcW w:w="947" w:type="dxa"/>
            <w:vAlign w:val="center"/>
          </w:tcPr>
          <w:p w14:paraId="4E4C5434">
            <w:pPr>
              <w:jc w:val="center"/>
              <w:rPr>
                <w:rFonts w:ascii="宋体" w:hAnsi="宋体" w:cs="宋体"/>
                <w:szCs w:val="21"/>
              </w:rPr>
            </w:pPr>
            <w:r>
              <w:rPr>
                <w:rFonts w:hint="eastAsia" w:ascii="宋体" w:hAnsi="宋体" w:cs="宋体"/>
                <w:szCs w:val="21"/>
              </w:rPr>
              <w:t>▲</w:t>
            </w:r>
          </w:p>
        </w:tc>
        <w:tc>
          <w:tcPr>
            <w:tcW w:w="947" w:type="dxa"/>
            <w:vAlign w:val="center"/>
          </w:tcPr>
          <w:p w14:paraId="2E396791">
            <w:pPr>
              <w:jc w:val="center"/>
              <w:rPr>
                <w:rFonts w:ascii="宋体" w:hAnsi="宋体" w:cs="宋体"/>
                <w:szCs w:val="21"/>
              </w:rPr>
            </w:pPr>
            <w:r>
              <w:rPr>
                <w:rFonts w:hint="eastAsia" w:ascii="宋体" w:hAnsi="宋体" w:cs="宋体"/>
                <w:szCs w:val="21"/>
              </w:rPr>
              <w:t>△</w:t>
            </w:r>
          </w:p>
        </w:tc>
        <w:tc>
          <w:tcPr>
            <w:tcW w:w="947" w:type="dxa"/>
            <w:vAlign w:val="center"/>
          </w:tcPr>
          <w:p w14:paraId="1401CC65">
            <w:pPr>
              <w:jc w:val="center"/>
              <w:rPr>
                <w:rFonts w:ascii="宋体" w:hAnsi="宋体" w:cs="宋体"/>
                <w:szCs w:val="21"/>
              </w:rPr>
            </w:pPr>
            <w:r>
              <w:rPr>
                <w:rFonts w:hint="eastAsia" w:ascii="宋体" w:hAnsi="宋体" w:cs="宋体"/>
                <w:szCs w:val="21"/>
              </w:rPr>
              <w:t>△</w:t>
            </w:r>
          </w:p>
        </w:tc>
        <w:tc>
          <w:tcPr>
            <w:tcW w:w="947" w:type="dxa"/>
            <w:vAlign w:val="center"/>
          </w:tcPr>
          <w:p w14:paraId="26B2A82A">
            <w:pPr>
              <w:jc w:val="center"/>
              <w:rPr>
                <w:rFonts w:ascii="宋体" w:hAnsi="宋体" w:cs="宋体"/>
                <w:szCs w:val="21"/>
              </w:rPr>
            </w:pPr>
            <w:r>
              <w:rPr>
                <w:rFonts w:hint="eastAsia" w:ascii="宋体" w:hAnsi="宋体" w:cs="宋体"/>
                <w:szCs w:val="21"/>
              </w:rPr>
              <w:t>△</w:t>
            </w:r>
          </w:p>
        </w:tc>
      </w:tr>
      <w:tr w14:paraId="0F3EC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68DC7F41">
            <w:pPr>
              <w:rPr>
                <w:color w:val="000000"/>
                <w:sz w:val="22"/>
              </w:rPr>
            </w:pPr>
            <w:r>
              <w:rPr>
                <w:rFonts w:hint="eastAsia"/>
                <w:color w:val="000000"/>
                <w:sz w:val="22"/>
              </w:rPr>
              <w:t>2.4.2  目标</w:t>
            </w:r>
          </w:p>
        </w:tc>
        <w:tc>
          <w:tcPr>
            <w:tcW w:w="947" w:type="dxa"/>
            <w:vAlign w:val="center"/>
          </w:tcPr>
          <w:p w14:paraId="3E33693A">
            <w:pPr>
              <w:jc w:val="center"/>
              <w:rPr>
                <w:rFonts w:ascii="宋体" w:hAnsi="宋体" w:cs="宋体"/>
                <w:szCs w:val="21"/>
              </w:rPr>
            </w:pPr>
            <w:r>
              <w:rPr>
                <w:rFonts w:hint="eastAsia" w:ascii="宋体" w:hAnsi="宋体" w:cs="宋体"/>
                <w:szCs w:val="21"/>
              </w:rPr>
              <w:t>△</w:t>
            </w:r>
          </w:p>
        </w:tc>
        <w:tc>
          <w:tcPr>
            <w:tcW w:w="947" w:type="dxa"/>
            <w:vAlign w:val="center"/>
          </w:tcPr>
          <w:p w14:paraId="1BEFAB83">
            <w:pPr>
              <w:jc w:val="center"/>
              <w:rPr>
                <w:rFonts w:ascii="宋体" w:hAnsi="宋体" w:cs="宋体"/>
                <w:szCs w:val="21"/>
              </w:rPr>
            </w:pPr>
            <w:r>
              <w:rPr>
                <w:rFonts w:hint="eastAsia" w:ascii="宋体" w:hAnsi="宋体" w:cs="宋体"/>
                <w:szCs w:val="21"/>
              </w:rPr>
              <w:t>▲</w:t>
            </w:r>
          </w:p>
        </w:tc>
        <w:tc>
          <w:tcPr>
            <w:tcW w:w="947" w:type="dxa"/>
            <w:vAlign w:val="center"/>
          </w:tcPr>
          <w:p w14:paraId="1C4894A1">
            <w:pPr>
              <w:jc w:val="center"/>
              <w:rPr>
                <w:rFonts w:ascii="宋体" w:hAnsi="宋体" w:cs="宋体"/>
                <w:szCs w:val="21"/>
              </w:rPr>
            </w:pPr>
            <w:r>
              <w:rPr>
                <w:rFonts w:hint="eastAsia" w:ascii="宋体" w:hAnsi="宋体" w:cs="宋体"/>
                <w:szCs w:val="21"/>
              </w:rPr>
              <w:t>△</w:t>
            </w:r>
          </w:p>
        </w:tc>
        <w:tc>
          <w:tcPr>
            <w:tcW w:w="947" w:type="dxa"/>
            <w:vAlign w:val="center"/>
          </w:tcPr>
          <w:p w14:paraId="33AEFAA5">
            <w:pPr>
              <w:jc w:val="center"/>
              <w:rPr>
                <w:rFonts w:ascii="宋体" w:hAnsi="宋体" w:cs="宋体"/>
                <w:szCs w:val="21"/>
              </w:rPr>
            </w:pPr>
            <w:r>
              <w:rPr>
                <w:rFonts w:hint="eastAsia" w:ascii="宋体" w:hAnsi="宋体" w:cs="宋体"/>
                <w:szCs w:val="21"/>
              </w:rPr>
              <w:t>△</w:t>
            </w:r>
          </w:p>
        </w:tc>
        <w:tc>
          <w:tcPr>
            <w:tcW w:w="947" w:type="dxa"/>
            <w:vAlign w:val="center"/>
          </w:tcPr>
          <w:p w14:paraId="16E8D29A">
            <w:pPr>
              <w:jc w:val="center"/>
              <w:rPr>
                <w:rFonts w:ascii="宋体" w:hAnsi="宋体" w:cs="宋体"/>
                <w:szCs w:val="21"/>
              </w:rPr>
            </w:pPr>
            <w:r>
              <w:rPr>
                <w:rFonts w:hint="eastAsia" w:ascii="宋体" w:hAnsi="宋体" w:cs="宋体"/>
                <w:szCs w:val="21"/>
              </w:rPr>
              <w:t>△</w:t>
            </w:r>
          </w:p>
        </w:tc>
      </w:tr>
      <w:tr w14:paraId="2F037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3AC80C12">
            <w:pPr>
              <w:rPr>
                <w:color w:val="000000"/>
                <w:sz w:val="22"/>
              </w:rPr>
            </w:pPr>
            <w:r>
              <w:rPr>
                <w:rFonts w:hint="eastAsia"/>
                <w:color w:val="000000"/>
                <w:sz w:val="22"/>
              </w:rPr>
              <w:t>2.5  职责、权限与沟通</w:t>
            </w:r>
          </w:p>
        </w:tc>
        <w:tc>
          <w:tcPr>
            <w:tcW w:w="947" w:type="dxa"/>
            <w:vAlign w:val="center"/>
          </w:tcPr>
          <w:p w14:paraId="2ACA4719">
            <w:pPr>
              <w:jc w:val="center"/>
              <w:rPr>
                <w:rFonts w:ascii="宋体" w:hAnsi="宋体" w:cs="宋体"/>
                <w:szCs w:val="21"/>
              </w:rPr>
            </w:pPr>
            <w:r>
              <w:rPr>
                <w:rFonts w:hint="eastAsia" w:ascii="宋体" w:hAnsi="宋体" w:cs="宋体"/>
                <w:szCs w:val="21"/>
              </w:rPr>
              <w:t>△</w:t>
            </w:r>
          </w:p>
        </w:tc>
        <w:tc>
          <w:tcPr>
            <w:tcW w:w="947" w:type="dxa"/>
            <w:vAlign w:val="center"/>
          </w:tcPr>
          <w:p w14:paraId="417F9351">
            <w:pPr>
              <w:jc w:val="center"/>
              <w:rPr>
                <w:rFonts w:ascii="宋体" w:hAnsi="宋体" w:cs="宋体"/>
                <w:szCs w:val="21"/>
              </w:rPr>
            </w:pPr>
            <w:r>
              <w:rPr>
                <w:rFonts w:hint="eastAsia" w:ascii="宋体" w:hAnsi="宋体" w:cs="宋体"/>
                <w:szCs w:val="21"/>
              </w:rPr>
              <w:t>△</w:t>
            </w:r>
          </w:p>
        </w:tc>
        <w:tc>
          <w:tcPr>
            <w:tcW w:w="947" w:type="dxa"/>
            <w:vAlign w:val="center"/>
          </w:tcPr>
          <w:p w14:paraId="73B86FF8">
            <w:pPr>
              <w:jc w:val="center"/>
              <w:rPr>
                <w:rFonts w:ascii="宋体" w:hAnsi="宋体" w:cs="宋体"/>
                <w:szCs w:val="21"/>
              </w:rPr>
            </w:pPr>
            <w:r>
              <w:rPr>
                <w:rFonts w:hint="eastAsia" w:ascii="宋体" w:hAnsi="宋体" w:cs="宋体"/>
                <w:szCs w:val="21"/>
              </w:rPr>
              <w:t>△</w:t>
            </w:r>
          </w:p>
        </w:tc>
        <w:tc>
          <w:tcPr>
            <w:tcW w:w="947" w:type="dxa"/>
            <w:vAlign w:val="center"/>
          </w:tcPr>
          <w:p w14:paraId="43F8AA21">
            <w:pPr>
              <w:jc w:val="center"/>
              <w:rPr>
                <w:rFonts w:ascii="宋体" w:hAnsi="宋体" w:cs="宋体"/>
                <w:szCs w:val="21"/>
              </w:rPr>
            </w:pPr>
            <w:r>
              <w:rPr>
                <w:rFonts w:hint="eastAsia" w:ascii="宋体" w:hAnsi="宋体" w:cs="宋体"/>
                <w:szCs w:val="21"/>
              </w:rPr>
              <w:t>▲</w:t>
            </w:r>
          </w:p>
        </w:tc>
        <w:tc>
          <w:tcPr>
            <w:tcW w:w="947" w:type="dxa"/>
            <w:vAlign w:val="center"/>
          </w:tcPr>
          <w:p w14:paraId="72E23C33">
            <w:pPr>
              <w:jc w:val="center"/>
              <w:rPr>
                <w:rFonts w:ascii="宋体" w:hAnsi="宋体" w:cs="宋体"/>
                <w:szCs w:val="21"/>
              </w:rPr>
            </w:pPr>
            <w:r>
              <w:rPr>
                <w:rFonts w:hint="eastAsia" w:ascii="宋体" w:hAnsi="宋体" w:cs="宋体"/>
                <w:szCs w:val="21"/>
              </w:rPr>
              <w:t>△</w:t>
            </w:r>
          </w:p>
        </w:tc>
      </w:tr>
      <w:tr w14:paraId="588B7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0981E100">
            <w:pPr>
              <w:rPr>
                <w:color w:val="000000"/>
                <w:sz w:val="22"/>
              </w:rPr>
            </w:pPr>
            <w:r>
              <w:rPr>
                <w:rFonts w:hint="eastAsia"/>
                <w:color w:val="000000"/>
                <w:sz w:val="22"/>
              </w:rPr>
              <w:t>3  前提计划</w:t>
            </w:r>
          </w:p>
        </w:tc>
        <w:tc>
          <w:tcPr>
            <w:tcW w:w="947" w:type="dxa"/>
            <w:vAlign w:val="center"/>
          </w:tcPr>
          <w:p w14:paraId="47E8B070">
            <w:pPr>
              <w:jc w:val="center"/>
              <w:rPr>
                <w:rFonts w:ascii="宋体" w:hAnsi="宋体" w:cs="宋体"/>
                <w:szCs w:val="21"/>
              </w:rPr>
            </w:pPr>
          </w:p>
        </w:tc>
        <w:tc>
          <w:tcPr>
            <w:tcW w:w="947" w:type="dxa"/>
            <w:vAlign w:val="center"/>
          </w:tcPr>
          <w:p w14:paraId="36371DC0">
            <w:pPr>
              <w:jc w:val="center"/>
              <w:rPr>
                <w:rFonts w:ascii="宋体" w:hAnsi="宋体" w:cs="宋体"/>
                <w:szCs w:val="21"/>
              </w:rPr>
            </w:pPr>
          </w:p>
        </w:tc>
        <w:tc>
          <w:tcPr>
            <w:tcW w:w="947" w:type="dxa"/>
            <w:vAlign w:val="center"/>
          </w:tcPr>
          <w:p w14:paraId="643ADDCA">
            <w:pPr>
              <w:jc w:val="center"/>
              <w:rPr>
                <w:rFonts w:ascii="宋体" w:hAnsi="宋体" w:cs="宋体"/>
                <w:szCs w:val="21"/>
              </w:rPr>
            </w:pPr>
          </w:p>
        </w:tc>
        <w:tc>
          <w:tcPr>
            <w:tcW w:w="947" w:type="dxa"/>
            <w:vAlign w:val="center"/>
          </w:tcPr>
          <w:p w14:paraId="7D242B20">
            <w:pPr>
              <w:jc w:val="center"/>
              <w:rPr>
                <w:rFonts w:ascii="宋体" w:hAnsi="宋体" w:cs="宋体"/>
                <w:szCs w:val="21"/>
              </w:rPr>
            </w:pPr>
          </w:p>
        </w:tc>
        <w:tc>
          <w:tcPr>
            <w:tcW w:w="947" w:type="dxa"/>
            <w:vAlign w:val="center"/>
          </w:tcPr>
          <w:p w14:paraId="49A652A4">
            <w:pPr>
              <w:jc w:val="center"/>
              <w:rPr>
                <w:rFonts w:ascii="宋体" w:hAnsi="宋体" w:cs="宋体"/>
                <w:szCs w:val="21"/>
              </w:rPr>
            </w:pPr>
          </w:p>
        </w:tc>
      </w:tr>
      <w:tr w14:paraId="69057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49313631">
            <w:pPr>
              <w:rPr>
                <w:color w:val="000000"/>
                <w:sz w:val="22"/>
              </w:rPr>
            </w:pPr>
            <w:r>
              <w:rPr>
                <w:rFonts w:hint="eastAsia"/>
                <w:color w:val="000000"/>
                <w:sz w:val="22"/>
              </w:rPr>
              <w:t>3.1  总则</w:t>
            </w:r>
          </w:p>
        </w:tc>
        <w:tc>
          <w:tcPr>
            <w:tcW w:w="947" w:type="dxa"/>
            <w:vAlign w:val="center"/>
          </w:tcPr>
          <w:p w14:paraId="19F99220">
            <w:pPr>
              <w:jc w:val="center"/>
              <w:rPr>
                <w:rFonts w:ascii="宋体" w:hAnsi="宋体" w:cs="宋体"/>
                <w:szCs w:val="21"/>
              </w:rPr>
            </w:pPr>
            <w:r>
              <w:rPr>
                <w:rFonts w:hint="eastAsia" w:ascii="宋体" w:hAnsi="宋体" w:cs="宋体"/>
                <w:szCs w:val="21"/>
              </w:rPr>
              <w:t>△</w:t>
            </w:r>
          </w:p>
        </w:tc>
        <w:tc>
          <w:tcPr>
            <w:tcW w:w="947" w:type="dxa"/>
            <w:vAlign w:val="center"/>
          </w:tcPr>
          <w:p w14:paraId="027D38A2">
            <w:pPr>
              <w:jc w:val="center"/>
              <w:rPr>
                <w:rFonts w:ascii="宋体" w:hAnsi="宋体" w:cs="宋体"/>
                <w:szCs w:val="21"/>
              </w:rPr>
            </w:pPr>
            <w:r>
              <w:rPr>
                <w:rFonts w:hint="eastAsia" w:ascii="宋体" w:hAnsi="宋体" w:cs="宋体"/>
                <w:szCs w:val="21"/>
              </w:rPr>
              <w:t>▲</w:t>
            </w:r>
          </w:p>
        </w:tc>
        <w:tc>
          <w:tcPr>
            <w:tcW w:w="947" w:type="dxa"/>
            <w:vAlign w:val="center"/>
          </w:tcPr>
          <w:p w14:paraId="6C2C14DB">
            <w:pPr>
              <w:jc w:val="center"/>
              <w:rPr>
                <w:rFonts w:ascii="宋体" w:hAnsi="宋体" w:cs="宋体"/>
                <w:szCs w:val="21"/>
              </w:rPr>
            </w:pPr>
            <w:r>
              <w:rPr>
                <w:rFonts w:hint="eastAsia" w:ascii="宋体" w:hAnsi="宋体" w:cs="宋体"/>
                <w:szCs w:val="21"/>
              </w:rPr>
              <w:t>△</w:t>
            </w:r>
          </w:p>
        </w:tc>
        <w:tc>
          <w:tcPr>
            <w:tcW w:w="947" w:type="dxa"/>
            <w:vAlign w:val="center"/>
          </w:tcPr>
          <w:p w14:paraId="011C6073">
            <w:pPr>
              <w:jc w:val="center"/>
              <w:rPr>
                <w:rFonts w:ascii="宋体" w:hAnsi="宋体" w:cs="宋体"/>
                <w:szCs w:val="21"/>
              </w:rPr>
            </w:pPr>
            <w:r>
              <w:rPr>
                <w:rFonts w:hint="eastAsia" w:ascii="宋体" w:hAnsi="宋体" w:cs="宋体"/>
                <w:szCs w:val="21"/>
              </w:rPr>
              <w:t>△</w:t>
            </w:r>
          </w:p>
        </w:tc>
        <w:tc>
          <w:tcPr>
            <w:tcW w:w="947" w:type="dxa"/>
            <w:vAlign w:val="center"/>
          </w:tcPr>
          <w:p w14:paraId="3FFD872B">
            <w:pPr>
              <w:jc w:val="center"/>
              <w:rPr>
                <w:rFonts w:ascii="宋体" w:hAnsi="宋体" w:cs="宋体"/>
                <w:szCs w:val="21"/>
              </w:rPr>
            </w:pPr>
            <w:r>
              <w:rPr>
                <w:rFonts w:hint="eastAsia" w:ascii="宋体" w:hAnsi="宋体" w:cs="宋体"/>
                <w:szCs w:val="21"/>
              </w:rPr>
              <w:t>△</w:t>
            </w:r>
          </w:p>
        </w:tc>
      </w:tr>
      <w:tr w14:paraId="1F7E0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6DDE57C8">
            <w:pPr>
              <w:rPr>
                <w:color w:val="000000"/>
                <w:sz w:val="22"/>
              </w:rPr>
            </w:pPr>
            <w:r>
              <w:rPr>
                <w:rFonts w:hint="eastAsia"/>
                <w:color w:val="000000"/>
                <w:sz w:val="22"/>
              </w:rPr>
              <w:t>3.2  人力资源</w:t>
            </w:r>
          </w:p>
        </w:tc>
        <w:tc>
          <w:tcPr>
            <w:tcW w:w="947" w:type="dxa"/>
            <w:vAlign w:val="center"/>
          </w:tcPr>
          <w:p w14:paraId="6CA25B5D">
            <w:pPr>
              <w:jc w:val="center"/>
              <w:rPr>
                <w:rFonts w:ascii="宋体" w:hAnsi="宋体" w:cs="宋体"/>
                <w:szCs w:val="21"/>
              </w:rPr>
            </w:pPr>
            <w:r>
              <w:rPr>
                <w:rFonts w:hint="eastAsia" w:ascii="宋体" w:hAnsi="宋体" w:cs="宋体"/>
                <w:szCs w:val="21"/>
              </w:rPr>
              <w:t>△</w:t>
            </w:r>
          </w:p>
        </w:tc>
        <w:tc>
          <w:tcPr>
            <w:tcW w:w="947" w:type="dxa"/>
            <w:vAlign w:val="center"/>
          </w:tcPr>
          <w:p w14:paraId="4F8AAB24">
            <w:pPr>
              <w:jc w:val="center"/>
              <w:rPr>
                <w:rFonts w:ascii="宋体" w:hAnsi="宋体" w:cs="宋体"/>
                <w:szCs w:val="21"/>
              </w:rPr>
            </w:pPr>
            <w:r>
              <w:rPr>
                <w:rFonts w:hint="eastAsia" w:ascii="宋体" w:hAnsi="宋体" w:cs="宋体"/>
                <w:szCs w:val="21"/>
              </w:rPr>
              <w:t>△</w:t>
            </w:r>
          </w:p>
        </w:tc>
        <w:tc>
          <w:tcPr>
            <w:tcW w:w="947" w:type="dxa"/>
            <w:vAlign w:val="center"/>
          </w:tcPr>
          <w:p w14:paraId="39F534B1">
            <w:pPr>
              <w:jc w:val="center"/>
              <w:rPr>
                <w:rFonts w:ascii="宋体" w:hAnsi="宋体" w:cs="宋体"/>
                <w:szCs w:val="21"/>
              </w:rPr>
            </w:pPr>
            <w:r>
              <w:rPr>
                <w:rFonts w:hint="eastAsia" w:ascii="宋体" w:hAnsi="宋体" w:cs="宋体"/>
                <w:szCs w:val="21"/>
              </w:rPr>
              <w:t>△</w:t>
            </w:r>
          </w:p>
        </w:tc>
        <w:tc>
          <w:tcPr>
            <w:tcW w:w="947" w:type="dxa"/>
            <w:vAlign w:val="center"/>
          </w:tcPr>
          <w:p w14:paraId="572614B5">
            <w:pPr>
              <w:jc w:val="center"/>
              <w:rPr>
                <w:rFonts w:ascii="宋体" w:hAnsi="宋体" w:cs="宋体"/>
                <w:szCs w:val="21"/>
              </w:rPr>
            </w:pPr>
            <w:r>
              <w:rPr>
                <w:rFonts w:hint="eastAsia" w:ascii="宋体" w:hAnsi="宋体" w:cs="宋体"/>
                <w:szCs w:val="21"/>
              </w:rPr>
              <w:t>▲</w:t>
            </w:r>
          </w:p>
        </w:tc>
        <w:tc>
          <w:tcPr>
            <w:tcW w:w="947" w:type="dxa"/>
            <w:vAlign w:val="center"/>
          </w:tcPr>
          <w:p w14:paraId="4220A68B">
            <w:pPr>
              <w:jc w:val="center"/>
              <w:rPr>
                <w:rFonts w:ascii="宋体" w:hAnsi="宋体" w:cs="宋体"/>
                <w:szCs w:val="21"/>
              </w:rPr>
            </w:pPr>
            <w:r>
              <w:rPr>
                <w:rFonts w:hint="eastAsia" w:ascii="宋体" w:hAnsi="宋体" w:cs="宋体"/>
                <w:szCs w:val="21"/>
              </w:rPr>
              <w:t>△</w:t>
            </w:r>
          </w:p>
        </w:tc>
      </w:tr>
      <w:tr w14:paraId="67A7D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7DA60FCE">
            <w:pPr>
              <w:rPr>
                <w:color w:val="000000"/>
                <w:sz w:val="22"/>
              </w:rPr>
            </w:pPr>
            <w:r>
              <w:rPr>
                <w:rFonts w:hint="eastAsia"/>
                <w:color w:val="000000"/>
                <w:sz w:val="22"/>
              </w:rPr>
              <w:t>3.3  良好卫生规范</w:t>
            </w:r>
          </w:p>
        </w:tc>
        <w:tc>
          <w:tcPr>
            <w:tcW w:w="947" w:type="dxa"/>
            <w:vAlign w:val="center"/>
          </w:tcPr>
          <w:p w14:paraId="32F2873A">
            <w:pPr>
              <w:jc w:val="center"/>
              <w:rPr>
                <w:rFonts w:ascii="宋体" w:hAnsi="宋体" w:cs="宋体"/>
                <w:szCs w:val="21"/>
              </w:rPr>
            </w:pPr>
            <w:r>
              <w:rPr>
                <w:rFonts w:hint="eastAsia" w:ascii="宋体" w:hAnsi="宋体" w:cs="宋体"/>
                <w:szCs w:val="21"/>
              </w:rPr>
              <w:t>△</w:t>
            </w:r>
          </w:p>
        </w:tc>
        <w:tc>
          <w:tcPr>
            <w:tcW w:w="947" w:type="dxa"/>
            <w:vAlign w:val="center"/>
          </w:tcPr>
          <w:p w14:paraId="45E23ED4">
            <w:pPr>
              <w:jc w:val="center"/>
              <w:rPr>
                <w:rFonts w:ascii="宋体" w:hAnsi="宋体" w:cs="宋体"/>
                <w:szCs w:val="21"/>
              </w:rPr>
            </w:pPr>
            <w:r>
              <w:rPr>
                <w:rFonts w:hint="eastAsia" w:ascii="宋体" w:hAnsi="宋体" w:cs="宋体"/>
                <w:szCs w:val="21"/>
              </w:rPr>
              <w:t>▲</w:t>
            </w:r>
          </w:p>
        </w:tc>
        <w:tc>
          <w:tcPr>
            <w:tcW w:w="947" w:type="dxa"/>
            <w:vAlign w:val="center"/>
          </w:tcPr>
          <w:p w14:paraId="4BE5667B">
            <w:pPr>
              <w:jc w:val="center"/>
              <w:rPr>
                <w:rFonts w:ascii="宋体" w:hAnsi="宋体" w:cs="宋体"/>
                <w:szCs w:val="21"/>
              </w:rPr>
            </w:pPr>
            <w:r>
              <w:rPr>
                <w:rFonts w:hint="eastAsia" w:ascii="宋体" w:hAnsi="宋体" w:cs="宋体"/>
                <w:szCs w:val="21"/>
              </w:rPr>
              <w:t>▲</w:t>
            </w:r>
          </w:p>
        </w:tc>
        <w:tc>
          <w:tcPr>
            <w:tcW w:w="947" w:type="dxa"/>
            <w:vAlign w:val="center"/>
          </w:tcPr>
          <w:p w14:paraId="3EC771D1">
            <w:pPr>
              <w:jc w:val="center"/>
              <w:rPr>
                <w:rFonts w:ascii="宋体" w:hAnsi="宋体" w:cs="宋体"/>
                <w:szCs w:val="21"/>
              </w:rPr>
            </w:pPr>
            <w:r>
              <w:rPr>
                <w:rFonts w:hint="eastAsia" w:ascii="宋体" w:hAnsi="宋体" w:cs="宋体"/>
                <w:szCs w:val="21"/>
              </w:rPr>
              <w:t>△</w:t>
            </w:r>
          </w:p>
        </w:tc>
        <w:tc>
          <w:tcPr>
            <w:tcW w:w="947" w:type="dxa"/>
            <w:vAlign w:val="center"/>
          </w:tcPr>
          <w:p w14:paraId="002B44EB">
            <w:pPr>
              <w:jc w:val="center"/>
              <w:rPr>
                <w:rFonts w:ascii="宋体" w:hAnsi="宋体" w:cs="宋体"/>
                <w:szCs w:val="21"/>
              </w:rPr>
            </w:pPr>
            <w:r>
              <w:rPr>
                <w:rFonts w:hint="eastAsia" w:ascii="宋体" w:hAnsi="宋体" w:cs="宋体"/>
                <w:szCs w:val="21"/>
              </w:rPr>
              <w:t>△</w:t>
            </w:r>
          </w:p>
        </w:tc>
      </w:tr>
      <w:tr w14:paraId="65C2D39D">
        <w:tblPrEx>
          <w:tblCellMar>
            <w:top w:w="0" w:type="dxa"/>
            <w:left w:w="57" w:type="dxa"/>
            <w:bottom w:w="0" w:type="dxa"/>
            <w:right w:w="57" w:type="dxa"/>
          </w:tblCellMar>
        </w:tblPrEx>
        <w:trPr>
          <w:cantSplit/>
          <w:trHeight w:val="361" w:hRule="exact"/>
        </w:trPr>
        <w:tc>
          <w:tcPr>
            <w:tcW w:w="4839" w:type="dxa"/>
            <w:vAlign w:val="bottom"/>
          </w:tcPr>
          <w:p w14:paraId="6FB3E247">
            <w:pPr>
              <w:rPr>
                <w:color w:val="000000"/>
                <w:sz w:val="22"/>
              </w:rPr>
            </w:pPr>
            <w:r>
              <w:rPr>
                <w:rFonts w:hint="eastAsia"/>
                <w:color w:val="000000"/>
                <w:sz w:val="22"/>
              </w:rPr>
              <w:t>3.4  产品设计和开发</w:t>
            </w:r>
          </w:p>
        </w:tc>
        <w:tc>
          <w:tcPr>
            <w:tcW w:w="947" w:type="dxa"/>
            <w:vAlign w:val="center"/>
          </w:tcPr>
          <w:p w14:paraId="068E683D">
            <w:pPr>
              <w:jc w:val="center"/>
              <w:rPr>
                <w:rFonts w:ascii="宋体" w:hAnsi="宋体" w:cs="宋体"/>
                <w:szCs w:val="21"/>
              </w:rPr>
            </w:pPr>
            <w:r>
              <w:rPr>
                <w:rFonts w:hint="eastAsia" w:ascii="宋体" w:hAnsi="宋体" w:cs="宋体"/>
                <w:szCs w:val="21"/>
              </w:rPr>
              <w:t>不</w:t>
            </w:r>
            <w:r>
              <w:rPr>
                <w:rFonts w:ascii="宋体" w:hAnsi="宋体" w:cs="宋体"/>
                <w:szCs w:val="21"/>
              </w:rPr>
              <w:t>适用</w:t>
            </w:r>
          </w:p>
        </w:tc>
        <w:tc>
          <w:tcPr>
            <w:tcW w:w="947" w:type="dxa"/>
            <w:vAlign w:val="center"/>
          </w:tcPr>
          <w:p w14:paraId="47DC5DE9">
            <w:pPr>
              <w:jc w:val="center"/>
              <w:rPr>
                <w:rFonts w:ascii="宋体" w:hAnsi="宋体" w:cs="宋体"/>
                <w:szCs w:val="21"/>
              </w:rPr>
            </w:pPr>
          </w:p>
        </w:tc>
        <w:tc>
          <w:tcPr>
            <w:tcW w:w="947" w:type="dxa"/>
            <w:vAlign w:val="center"/>
          </w:tcPr>
          <w:p w14:paraId="02C2786D">
            <w:pPr>
              <w:jc w:val="center"/>
              <w:rPr>
                <w:rFonts w:ascii="宋体" w:hAnsi="宋体" w:cs="宋体"/>
                <w:szCs w:val="21"/>
              </w:rPr>
            </w:pPr>
          </w:p>
        </w:tc>
        <w:tc>
          <w:tcPr>
            <w:tcW w:w="947" w:type="dxa"/>
            <w:vAlign w:val="center"/>
          </w:tcPr>
          <w:p w14:paraId="5D03D2AE">
            <w:pPr>
              <w:jc w:val="center"/>
              <w:rPr>
                <w:rFonts w:ascii="宋体" w:hAnsi="宋体" w:cs="宋体"/>
                <w:szCs w:val="21"/>
              </w:rPr>
            </w:pPr>
          </w:p>
        </w:tc>
        <w:tc>
          <w:tcPr>
            <w:tcW w:w="947" w:type="dxa"/>
            <w:vAlign w:val="center"/>
          </w:tcPr>
          <w:p w14:paraId="3487BA95">
            <w:pPr>
              <w:jc w:val="center"/>
              <w:rPr>
                <w:rFonts w:ascii="宋体" w:hAnsi="宋体" w:cs="宋体"/>
                <w:szCs w:val="21"/>
              </w:rPr>
            </w:pPr>
          </w:p>
        </w:tc>
      </w:tr>
      <w:tr w14:paraId="4CFD6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6C816533">
            <w:pPr>
              <w:rPr>
                <w:color w:val="000000"/>
                <w:sz w:val="22"/>
              </w:rPr>
            </w:pPr>
            <w:r>
              <w:rPr>
                <w:rFonts w:hint="eastAsia"/>
                <w:color w:val="000000"/>
                <w:sz w:val="22"/>
              </w:rPr>
              <w:t>3.5  采购管理</w:t>
            </w:r>
          </w:p>
        </w:tc>
        <w:tc>
          <w:tcPr>
            <w:tcW w:w="947" w:type="dxa"/>
            <w:vAlign w:val="center"/>
          </w:tcPr>
          <w:p w14:paraId="04927EE1">
            <w:pPr>
              <w:jc w:val="center"/>
              <w:rPr>
                <w:rFonts w:ascii="宋体" w:hAnsi="宋体" w:cs="宋体"/>
                <w:szCs w:val="21"/>
              </w:rPr>
            </w:pPr>
            <w:r>
              <w:rPr>
                <w:rFonts w:hint="eastAsia" w:ascii="宋体" w:hAnsi="宋体" w:cs="宋体"/>
                <w:szCs w:val="21"/>
              </w:rPr>
              <w:t>△</w:t>
            </w:r>
          </w:p>
        </w:tc>
        <w:tc>
          <w:tcPr>
            <w:tcW w:w="947" w:type="dxa"/>
            <w:vAlign w:val="center"/>
          </w:tcPr>
          <w:p w14:paraId="7DA3ABC6">
            <w:pPr>
              <w:jc w:val="center"/>
              <w:rPr>
                <w:rFonts w:ascii="宋体" w:hAnsi="宋体" w:cs="宋体"/>
                <w:szCs w:val="21"/>
              </w:rPr>
            </w:pPr>
            <w:r>
              <w:rPr>
                <w:rFonts w:hint="eastAsia" w:ascii="宋体" w:hAnsi="宋体" w:cs="宋体"/>
                <w:szCs w:val="21"/>
              </w:rPr>
              <w:t>△</w:t>
            </w:r>
          </w:p>
        </w:tc>
        <w:tc>
          <w:tcPr>
            <w:tcW w:w="947" w:type="dxa"/>
            <w:vAlign w:val="center"/>
          </w:tcPr>
          <w:p w14:paraId="65ECD87D">
            <w:pPr>
              <w:jc w:val="center"/>
              <w:rPr>
                <w:rFonts w:ascii="宋体" w:hAnsi="宋体" w:cs="宋体"/>
                <w:szCs w:val="21"/>
              </w:rPr>
            </w:pPr>
            <w:r>
              <w:rPr>
                <w:rFonts w:hint="eastAsia" w:ascii="宋体" w:hAnsi="宋体" w:cs="宋体"/>
                <w:szCs w:val="21"/>
              </w:rPr>
              <w:t>▲</w:t>
            </w:r>
          </w:p>
        </w:tc>
        <w:tc>
          <w:tcPr>
            <w:tcW w:w="947" w:type="dxa"/>
            <w:vAlign w:val="center"/>
          </w:tcPr>
          <w:p w14:paraId="4111A72D">
            <w:pPr>
              <w:jc w:val="center"/>
              <w:rPr>
                <w:rFonts w:ascii="宋体" w:hAnsi="宋体" w:cs="宋体"/>
                <w:szCs w:val="21"/>
              </w:rPr>
            </w:pPr>
            <w:r>
              <w:rPr>
                <w:rFonts w:hint="eastAsia" w:ascii="宋体" w:hAnsi="宋体" w:cs="宋体"/>
                <w:szCs w:val="21"/>
              </w:rPr>
              <w:t>△</w:t>
            </w:r>
          </w:p>
        </w:tc>
        <w:tc>
          <w:tcPr>
            <w:tcW w:w="947" w:type="dxa"/>
            <w:vAlign w:val="center"/>
          </w:tcPr>
          <w:p w14:paraId="59F78A78">
            <w:pPr>
              <w:jc w:val="center"/>
              <w:rPr>
                <w:rFonts w:ascii="宋体" w:hAnsi="宋体" w:cs="宋体"/>
                <w:szCs w:val="21"/>
              </w:rPr>
            </w:pPr>
            <w:r>
              <w:rPr>
                <w:rFonts w:hint="eastAsia" w:ascii="宋体" w:hAnsi="宋体" w:cs="宋体"/>
                <w:szCs w:val="21"/>
              </w:rPr>
              <w:t>△</w:t>
            </w:r>
          </w:p>
        </w:tc>
      </w:tr>
      <w:tr w14:paraId="40023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4E53D528">
            <w:pPr>
              <w:rPr>
                <w:color w:val="000000"/>
                <w:sz w:val="22"/>
              </w:rPr>
            </w:pPr>
            <w:r>
              <w:rPr>
                <w:rFonts w:hint="eastAsia"/>
                <w:color w:val="000000"/>
                <w:sz w:val="22"/>
              </w:rPr>
              <w:t>3.6  监视和测量</w:t>
            </w:r>
          </w:p>
        </w:tc>
        <w:tc>
          <w:tcPr>
            <w:tcW w:w="947" w:type="dxa"/>
            <w:vAlign w:val="center"/>
          </w:tcPr>
          <w:p w14:paraId="6A2ABE63">
            <w:pPr>
              <w:jc w:val="center"/>
              <w:rPr>
                <w:rFonts w:ascii="宋体" w:hAnsi="宋体" w:cs="宋体"/>
                <w:szCs w:val="21"/>
              </w:rPr>
            </w:pPr>
            <w:r>
              <w:rPr>
                <w:rFonts w:hint="eastAsia" w:ascii="宋体" w:hAnsi="宋体" w:cs="宋体"/>
                <w:szCs w:val="21"/>
              </w:rPr>
              <w:t>△</w:t>
            </w:r>
          </w:p>
        </w:tc>
        <w:tc>
          <w:tcPr>
            <w:tcW w:w="947" w:type="dxa"/>
            <w:vAlign w:val="center"/>
          </w:tcPr>
          <w:p w14:paraId="1AD55191">
            <w:pPr>
              <w:jc w:val="center"/>
              <w:rPr>
                <w:rFonts w:ascii="宋体" w:hAnsi="宋体" w:cs="宋体"/>
                <w:szCs w:val="21"/>
              </w:rPr>
            </w:pPr>
            <w:r>
              <w:rPr>
                <w:rFonts w:hint="eastAsia" w:ascii="宋体" w:hAnsi="宋体" w:cs="宋体"/>
                <w:szCs w:val="21"/>
              </w:rPr>
              <w:t>△</w:t>
            </w:r>
          </w:p>
        </w:tc>
        <w:tc>
          <w:tcPr>
            <w:tcW w:w="947" w:type="dxa"/>
            <w:vAlign w:val="center"/>
          </w:tcPr>
          <w:p w14:paraId="79F681EE">
            <w:pPr>
              <w:jc w:val="center"/>
              <w:rPr>
                <w:rFonts w:ascii="宋体" w:hAnsi="宋体" w:cs="宋体"/>
                <w:szCs w:val="21"/>
              </w:rPr>
            </w:pPr>
            <w:r>
              <w:rPr>
                <w:rFonts w:hint="eastAsia" w:ascii="宋体" w:hAnsi="宋体" w:cs="宋体"/>
                <w:szCs w:val="21"/>
              </w:rPr>
              <w:t>▲</w:t>
            </w:r>
          </w:p>
        </w:tc>
        <w:tc>
          <w:tcPr>
            <w:tcW w:w="947" w:type="dxa"/>
            <w:vAlign w:val="center"/>
          </w:tcPr>
          <w:p w14:paraId="64A22577">
            <w:pPr>
              <w:jc w:val="center"/>
              <w:rPr>
                <w:rFonts w:ascii="宋体" w:hAnsi="宋体" w:cs="宋体"/>
                <w:szCs w:val="21"/>
              </w:rPr>
            </w:pPr>
            <w:r>
              <w:rPr>
                <w:rFonts w:hint="eastAsia" w:ascii="宋体" w:hAnsi="宋体" w:cs="宋体"/>
                <w:szCs w:val="21"/>
              </w:rPr>
              <w:t>△</w:t>
            </w:r>
          </w:p>
        </w:tc>
        <w:tc>
          <w:tcPr>
            <w:tcW w:w="947" w:type="dxa"/>
            <w:vAlign w:val="center"/>
          </w:tcPr>
          <w:p w14:paraId="4C7049D7">
            <w:pPr>
              <w:jc w:val="center"/>
              <w:rPr>
                <w:rFonts w:ascii="宋体" w:hAnsi="宋体" w:cs="宋体"/>
                <w:szCs w:val="21"/>
              </w:rPr>
            </w:pPr>
            <w:r>
              <w:rPr>
                <w:rFonts w:hint="eastAsia" w:ascii="宋体" w:hAnsi="宋体" w:cs="宋体"/>
                <w:szCs w:val="21"/>
              </w:rPr>
              <w:t>△</w:t>
            </w:r>
          </w:p>
        </w:tc>
      </w:tr>
      <w:tr w14:paraId="36E52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35E30DCF">
            <w:pPr>
              <w:rPr>
                <w:color w:val="000000"/>
                <w:sz w:val="22"/>
              </w:rPr>
            </w:pPr>
            <w:r>
              <w:rPr>
                <w:rFonts w:hint="eastAsia"/>
                <w:color w:val="000000"/>
                <w:sz w:val="22"/>
              </w:rPr>
              <w:t>3.7  标识和追溯</w:t>
            </w:r>
          </w:p>
        </w:tc>
        <w:tc>
          <w:tcPr>
            <w:tcW w:w="947" w:type="dxa"/>
            <w:vAlign w:val="center"/>
          </w:tcPr>
          <w:p w14:paraId="33748828">
            <w:pPr>
              <w:jc w:val="center"/>
              <w:rPr>
                <w:rFonts w:ascii="宋体" w:hAnsi="宋体" w:cs="宋体"/>
                <w:szCs w:val="21"/>
              </w:rPr>
            </w:pPr>
            <w:r>
              <w:rPr>
                <w:rFonts w:hint="eastAsia" w:ascii="宋体" w:hAnsi="宋体" w:cs="宋体"/>
                <w:szCs w:val="21"/>
              </w:rPr>
              <w:t>△</w:t>
            </w:r>
          </w:p>
        </w:tc>
        <w:tc>
          <w:tcPr>
            <w:tcW w:w="947" w:type="dxa"/>
            <w:vAlign w:val="center"/>
          </w:tcPr>
          <w:p w14:paraId="29DBADBB">
            <w:pPr>
              <w:jc w:val="center"/>
              <w:rPr>
                <w:rFonts w:ascii="宋体" w:hAnsi="宋体" w:cs="宋体"/>
                <w:szCs w:val="21"/>
              </w:rPr>
            </w:pPr>
            <w:r>
              <w:rPr>
                <w:rFonts w:hint="eastAsia" w:ascii="宋体" w:hAnsi="宋体" w:cs="宋体"/>
                <w:szCs w:val="21"/>
              </w:rPr>
              <w:t>△</w:t>
            </w:r>
          </w:p>
        </w:tc>
        <w:tc>
          <w:tcPr>
            <w:tcW w:w="947" w:type="dxa"/>
            <w:vAlign w:val="center"/>
          </w:tcPr>
          <w:p w14:paraId="21E7026B">
            <w:pPr>
              <w:jc w:val="center"/>
              <w:rPr>
                <w:rFonts w:ascii="宋体" w:hAnsi="宋体" w:cs="宋体"/>
                <w:szCs w:val="21"/>
              </w:rPr>
            </w:pPr>
            <w:r>
              <w:rPr>
                <w:rFonts w:hint="eastAsia" w:ascii="宋体" w:hAnsi="宋体" w:cs="宋体"/>
                <w:szCs w:val="21"/>
              </w:rPr>
              <w:t>▲</w:t>
            </w:r>
          </w:p>
        </w:tc>
        <w:tc>
          <w:tcPr>
            <w:tcW w:w="947" w:type="dxa"/>
            <w:vAlign w:val="center"/>
          </w:tcPr>
          <w:p w14:paraId="4C3E5B1B">
            <w:pPr>
              <w:jc w:val="center"/>
              <w:rPr>
                <w:rFonts w:ascii="宋体" w:hAnsi="宋体" w:cs="宋体"/>
                <w:szCs w:val="21"/>
              </w:rPr>
            </w:pPr>
            <w:r>
              <w:rPr>
                <w:rFonts w:hint="eastAsia" w:ascii="宋体" w:hAnsi="宋体" w:cs="宋体"/>
                <w:szCs w:val="21"/>
              </w:rPr>
              <w:t>△</w:t>
            </w:r>
          </w:p>
        </w:tc>
        <w:tc>
          <w:tcPr>
            <w:tcW w:w="947" w:type="dxa"/>
            <w:vAlign w:val="center"/>
          </w:tcPr>
          <w:p w14:paraId="16784062">
            <w:pPr>
              <w:jc w:val="center"/>
              <w:rPr>
                <w:rFonts w:ascii="宋体" w:hAnsi="宋体" w:cs="宋体"/>
                <w:szCs w:val="21"/>
              </w:rPr>
            </w:pPr>
            <w:r>
              <w:rPr>
                <w:rFonts w:hint="eastAsia" w:ascii="宋体" w:hAnsi="宋体" w:cs="宋体"/>
                <w:szCs w:val="21"/>
              </w:rPr>
              <w:t>△</w:t>
            </w:r>
          </w:p>
        </w:tc>
      </w:tr>
      <w:tr w14:paraId="037EE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602" w:hRule="exact"/>
        </w:trPr>
        <w:tc>
          <w:tcPr>
            <w:tcW w:w="4839" w:type="dxa"/>
            <w:vAlign w:val="bottom"/>
          </w:tcPr>
          <w:p w14:paraId="5440B2EB">
            <w:pPr>
              <w:rPr>
                <w:color w:val="000000"/>
                <w:sz w:val="22"/>
              </w:rPr>
            </w:pPr>
            <w:r>
              <w:rPr>
                <w:rFonts w:hint="eastAsia"/>
                <w:color w:val="000000"/>
                <w:sz w:val="22"/>
              </w:rPr>
              <w:t>3.8  产品放行</w:t>
            </w:r>
          </w:p>
        </w:tc>
        <w:tc>
          <w:tcPr>
            <w:tcW w:w="947" w:type="dxa"/>
            <w:vAlign w:val="center"/>
          </w:tcPr>
          <w:p w14:paraId="2AB358F9">
            <w:pPr>
              <w:jc w:val="center"/>
              <w:rPr>
                <w:rFonts w:ascii="宋体" w:hAnsi="宋体" w:cs="宋体"/>
                <w:szCs w:val="21"/>
              </w:rPr>
            </w:pPr>
            <w:r>
              <w:rPr>
                <w:rFonts w:hint="eastAsia" w:ascii="宋体" w:hAnsi="宋体" w:cs="宋体"/>
                <w:szCs w:val="21"/>
              </w:rPr>
              <w:t>△</w:t>
            </w:r>
          </w:p>
        </w:tc>
        <w:tc>
          <w:tcPr>
            <w:tcW w:w="947" w:type="dxa"/>
            <w:vAlign w:val="center"/>
          </w:tcPr>
          <w:p w14:paraId="7210B7AD">
            <w:pPr>
              <w:jc w:val="center"/>
              <w:rPr>
                <w:rFonts w:ascii="宋体" w:hAnsi="宋体" w:cs="宋体"/>
                <w:szCs w:val="21"/>
              </w:rPr>
            </w:pPr>
            <w:r>
              <w:rPr>
                <w:rFonts w:hint="eastAsia" w:ascii="宋体" w:hAnsi="宋体" w:cs="宋体"/>
                <w:szCs w:val="21"/>
              </w:rPr>
              <w:t>△</w:t>
            </w:r>
          </w:p>
        </w:tc>
        <w:tc>
          <w:tcPr>
            <w:tcW w:w="947" w:type="dxa"/>
            <w:vAlign w:val="center"/>
          </w:tcPr>
          <w:p w14:paraId="25BD6221">
            <w:pPr>
              <w:jc w:val="center"/>
              <w:rPr>
                <w:rFonts w:ascii="宋体" w:hAnsi="宋体" w:cs="宋体"/>
                <w:szCs w:val="21"/>
              </w:rPr>
            </w:pPr>
            <w:r>
              <w:rPr>
                <w:rFonts w:hint="eastAsia" w:ascii="宋体" w:hAnsi="宋体" w:cs="宋体"/>
                <w:szCs w:val="21"/>
              </w:rPr>
              <w:t>▲</w:t>
            </w:r>
          </w:p>
        </w:tc>
        <w:tc>
          <w:tcPr>
            <w:tcW w:w="947" w:type="dxa"/>
            <w:vAlign w:val="center"/>
          </w:tcPr>
          <w:p w14:paraId="30D1676D">
            <w:pPr>
              <w:jc w:val="center"/>
              <w:rPr>
                <w:rFonts w:ascii="宋体" w:hAnsi="宋体" w:cs="宋体"/>
                <w:szCs w:val="21"/>
              </w:rPr>
            </w:pPr>
            <w:r>
              <w:rPr>
                <w:rFonts w:hint="eastAsia" w:ascii="宋体" w:hAnsi="宋体" w:cs="宋体"/>
                <w:szCs w:val="21"/>
              </w:rPr>
              <w:t>△</w:t>
            </w:r>
          </w:p>
        </w:tc>
        <w:tc>
          <w:tcPr>
            <w:tcW w:w="947" w:type="dxa"/>
            <w:vAlign w:val="center"/>
          </w:tcPr>
          <w:p w14:paraId="0218A72D">
            <w:pPr>
              <w:jc w:val="center"/>
              <w:rPr>
                <w:rFonts w:ascii="宋体" w:hAnsi="宋体" w:cs="宋体"/>
                <w:szCs w:val="21"/>
              </w:rPr>
            </w:pPr>
            <w:r>
              <w:rPr>
                <w:rFonts w:hint="eastAsia" w:ascii="宋体" w:hAnsi="宋体" w:cs="宋体"/>
                <w:szCs w:val="21"/>
              </w:rPr>
              <w:t>△</w:t>
            </w:r>
          </w:p>
        </w:tc>
      </w:tr>
      <w:tr w14:paraId="7EA90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7ED49F9F">
            <w:pPr>
              <w:rPr>
                <w:color w:val="000000"/>
                <w:sz w:val="22"/>
              </w:rPr>
            </w:pPr>
            <w:r>
              <w:rPr>
                <w:rFonts w:hint="eastAsia"/>
                <w:color w:val="000000"/>
                <w:sz w:val="22"/>
              </w:rPr>
              <w:t>3.9  产品撤回和召回</w:t>
            </w:r>
          </w:p>
        </w:tc>
        <w:tc>
          <w:tcPr>
            <w:tcW w:w="947" w:type="dxa"/>
            <w:vAlign w:val="center"/>
          </w:tcPr>
          <w:p w14:paraId="5C6CC869">
            <w:pPr>
              <w:jc w:val="center"/>
              <w:rPr>
                <w:rFonts w:ascii="宋体" w:hAnsi="宋体" w:cs="宋体"/>
                <w:szCs w:val="21"/>
              </w:rPr>
            </w:pPr>
            <w:r>
              <w:rPr>
                <w:rFonts w:hint="eastAsia" w:ascii="宋体" w:hAnsi="宋体" w:cs="宋体"/>
                <w:szCs w:val="21"/>
              </w:rPr>
              <w:t>△</w:t>
            </w:r>
          </w:p>
        </w:tc>
        <w:tc>
          <w:tcPr>
            <w:tcW w:w="947" w:type="dxa"/>
            <w:vAlign w:val="center"/>
          </w:tcPr>
          <w:p w14:paraId="15DD54FB">
            <w:pPr>
              <w:jc w:val="center"/>
              <w:rPr>
                <w:rFonts w:ascii="宋体" w:hAnsi="宋体" w:cs="宋体"/>
                <w:szCs w:val="21"/>
              </w:rPr>
            </w:pPr>
            <w:r>
              <w:rPr>
                <w:rFonts w:hint="eastAsia" w:ascii="宋体" w:hAnsi="宋体" w:cs="宋体"/>
                <w:szCs w:val="21"/>
              </w:rPr>
              <w:t>△</w:t>
            </w:r>
          </w:p>
        </w:tc>
        <w:tc>
          <w:tcPr>
            <w:tcW w:w="947" w:type="dxa"/>
            <w:vAlign w:val="center"/>
          </w:tcPr>
          <w:p w14:paraId="6E76BF06">
            <w:pPr>
              <w:jc w:val="center"/>
              <w:rPr>
                <w:rFonts w:ascii="宋体" w:hAnsi="宋体" w:cs="宋体"/>
                <w:szCs w:val="21"/>
              </w:rPr>
            </w:pPr>
            <w:r>
              <w:rPr>
                <w:rFonts w:hint="eastAsia" w:ascii="宋体" w:hAnsi="宋体" w:cs="宋体"/>
                <w:szCs w:val="21"/>
              </w:rPr>
              <w:t>▲</w:t>
            </w:r>
          </w:p>
        </w:tc>
        <w:tc>
          <w:tcPr>
            <w:tcW w:w="947" w:type="dxa"/>
            <w:vAlign w:val="center"/>
          </w:tcPr>
          <w:p w14:paraId="7A494213">
            <w:pPr>
              <w:jc w:val="center"/>
              <w:rPr>
                <w:rFonts w:ascii="宋体" w:hAnsi="宋体" w:cs="宋体"/>
                <w:szCs w:val="21"/>
              </w:rPr>
            </w:pPr>
            <w:r>
              <w:rPr>
                <w:rFonts w:hint="eastAsia" w:ascii="宋体" w:hAnsi="宋体" w:cs="宋体"/>
                <w:szCs w:val="21"/>
              </w:rPr>
              <w:t>△</w:t>
            </w:r>
          </w:p>
        </w:tc>
        <w:tc>
          <w:tcPr>
            <w:tcW w:w="947" w:type="dxa"/>
            <w:vAlign w:val="center"/>
          </w:tcPr>
          <w:p w14:paraId="113AC992">
            <w:pPr>
              <w:jc w:val="center"/>
              <w:rPr>
                <w:rFonts w:ascii="宋体" w:hAnsi="宋体" w:cs="宋体"/>
                <w:szCs w:val="21"/>
              </w:rPr>
            </w:pPr>
            <w:r>
              <w:rPr>
                <w:rFonts w:hint="eastAsia" w:ascii="宋体" w:hAnsi="宋体" w:cs="宋体"/>
                <w:szCs w:val="21"/>
              </w:rPr>
              <w:t>△</w:t>
            </w:r>
          </w:p>
        </w:tc>
      </w:tr>
      <w:tr w14:paraId="6CF9C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5D67A1B3">
            <w:pPr>
              <w:rPr>
                <w:color w:val="000000"/>
                <w:sz w:val="22"/>
              </w:rPr>
            </w:pPr>
            <w:r>
              <w:rPr>
                <w:rFonts w:hint="eastAsia"/>
                <w:color w:val="000000"/>
                <w:sz w:val="22"/>
              </w:rPr>
              <w:t>3.10  致敏物质的管理</w:t>
            </w:r>
          </w:p>
        </w:tc>
        <w:tc>
          <w:tcPr>
            <w:tcW w:w="947" w:type="dxa"/>
            <w:vAlign w:val="center"/>
          </w:tcPr>
          <w:p w14:paraId="271E09AF">
            <w:pPr>
              <w:jc w:val="center"/>
              <w:rPr>
                <w:rFonts w:ascii="宋体" w:hAnsi="宋体" w:cs="宋体"/>
                <w:szCs w:val="21"/>
              </w:rPr>
            </w:pPr>
            <w:r>
              <w:rPr>
                <w:rFonts w:hint="eastAsia" w:ascii="宋体" w:hAnsi="宋体" w:cs="宋体"/>
                <w:szCs w:val="21"/>
              </w:rPr>
              <w:t>△</w:t>
            </w:r>
          </w:p>
        </w:tc>
        <w:tc>
          <w:tcPr>
            <w:tcW w:w="947" w:type="dxa"/>
            <w:vAlign w:val="center"/>
          </w:tcPr>
          <w:p w14:paraId="5DD619A2">
            <w:pPr>
              <w:jc w:val="center"/>
              <w:rPr>
                <w:rFonts w:ascii="宋体" w:hAnsi="宋体" w:cs="宋体"/>
                <w:szCs w:val="21"/>
              </w:rPr>
            </w:pPr>
            <w:r>
              <w:rPr>
                <w:rFonts w:hint="eastAsia" w:ascii="宋体" w:hAnsi="宋体" w:cs="宋体"/>
                <w:szCs w:val="21"/>
              </w:rPr>
              <w:t>△</w:t>
            </w:r>
          </w:p>
        </w:tc>
        <w:tc>
          <w:tcPr>
            <w:tcW w:w="947" w:type="dxa"/>
            <w:vAlign w:val="center"/>
          </w:tcPr>
          <w:p w14:paraId="688D8829">
            <w:pPr>
              <w:jc w:val="center"/>
              <w:rPr>
                <w:rFonts w:ascii="宋体" w:hAnsi="宋体" w:cs="宋体"/>
                <w:szCs w:val="21"/>
              </w:rPr>
            </w:pPr>
            <w:r>
              <w:rPr>
                <w:rFonts w:hint="eastAsia" w:ascii="宋体" w:hAnsi="宋体" w:cs="宋体"/>
                <w:szCs w:val="21"/>
              </w:rPr>
              <w:t>▲</w:t>
            </w:r>
          </w:p>
        </w:tc>
        <w:tc>
          <w:tcPr>
            <w:tcW w:w="947" w:type="dxa"/>
            <w:vAlign w:val="center"/>
          </w:tcPr>
          <w:p w14:paraId="1D121BE2">
            <w:pPr>
              <w:jc w:val="center"/>
              <w:rPr>
                <w:rFonts w:ascii="宋体" w:hAnsi="宋体" w:cs="宋体"/>
                <w:szCs w:val="21"/>
              </w:rPr>
            </w:pPr>
            <w:r>
              <w:rPr>
                <w:rFonts w:hint="eastAsia" w:ascii="宋体" w:hAnsi="宋体" w:cs="宋体"/>
                <w:szCs w:val="21"/>
              </w:rPr>
              <w:t>▲</w:t>
            </w:r>
          </w:p>
        </w:tc>
        <w:tc>
          <w:tcPr>
            <w:tcW w:w="947" w:type="dxa"/>
          </w:tcPr>
          <w:p w14:paraId="11B0E309">
            <w:pPr>
              <w:jc w:val="center"/>
              <w:rPr>
                <w:rFonts w:ascii="宋体" w:hAnsi="宋体" w:cs="宋体"/>
                <w:szCs w:val="21"/>
              </w:rPr>
            </w:pPr>
            <w:r>
              <w:rPr>
                <w:rFonts w:hint="eastAsia" w:ascii="宋体" w:hAnsi="宋体" w:cs="宋体"/>
                <w:szCs w:val="21"/>
              </w:rPr>
              <w:t>△</w:t>
            </w:r>
          </w:p>
        </w:tc>
      </w:tr>
      <w:tr w14:paraId="22E0A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61" w:hRule="exact"/>
        </w:trPr>
        <w:tc>
          <w:tcPr>
            <w:tcW w:w="4839" w:type="dxa"/>
            <w:vAlign w:val="bottom"/>
          </w:tcPr>
          <w:p w14:paraId="5D825219">
            <w:pPr>
              <w:rPr>
                <w:color w:val="000000"/>
                <w:sz w:val="22"/>
              </w:rPr>
            </w:pPr>
            <w:r>
              <w:rPr>
                <w:rFonts w:hint="eastAsia"/>
                <w:color w:val="000000"/>
                <w:sz w:val="22"/>
              </w:rPr>
              <w:t>3.11  食品防护</w:t>
            </w:r>
          </w:p>
        </w:tc>
        <w:tc>
          <w:tcPr>
            <w:tcW w:w="947" w:type="dxa"/>
            <w:vAlign w:val="center"/>
          </w:tcPr>
          <w:p w14:paraId="1724C0F8">
            <w:pPr>
              <w:jc w:val="center"/>
              <w:rPr>
                <w:rFonts w:ascii="宋体" w:hAnsi="宋体" w:cs="宋体"/>
                <w:szCs w:val="21"/>
              </w:rPr>
            </w:pPr>
            <w:r>
              <w:rPr>
                <w:rFonts w:hint="eastAsia" w:ascii="宋体" w:hAnsi="宋体" w:cs="宋体"/>
                <w:szCs w:val="21"/>
              </w:rPr>
              <w:t>△</w:t>
            </w:r>
          </w:p>
        </w:tc>
        <w:tc>
          <w:tcPr>
            <w:tcW w:w="947" w:type="dxa"/>
            <w:vAlign w:val="center"/>
          </w:tcPr>
          <w:p w14:paraId="235DB041">
            <w:pPr>
              <w:jc w:val="center"/>
              <w:rPr>
                <w:rFonts w:ascii="宋体" w:hAnsi="宋体" w:cs="宋体"/>
                <w:szCs w:val="21"/>
              </w:rPr>
            </w:pPr>
            <w:r>
              <w:rPr>
                <w:rFonts w:hint="eastAsia" w:ascii="宋体" w:hAnsi="宋体" w:cs="宋体"/>
                <w:szCs w:val="21"/>
              </w:rPr>
              <w:t>△</w:t>
            </w:r>
          </w:p>
        </w:tc>
        <w:tc>
          <w:tcPr>
            <w:tcW w:w="947" w:type="dxa"/>
            <w:vAlign w:val="center"/>
          </w:tcPr>
          <w:p w14:paraId="155276F6">
            <w:pPr>
              <w:jc w:val="center"/>
              <w:rPr>
                <w:rFonts w:ascii="宋体" w:hAnsi="宋体" w:cs="宋体"/>
                <w:szCs w:val="21"/>
              </w:rPr>
            </w:pPr>
            <w:r>
              <w:rPr>
                <w:rFonts w:hint="eastAsia" w:ascii="宋体" w:hAnsi="宋体" w:cs="宋体"/>
                <w:szCs w:val="21"/>
              </w:rPr>
              <w:t>▲</w:t>
            </w:r>
          </w:p>
        </w:tc>
        <w:tc>
          <w:tcPr>
            <w:tcW w:w="947" w:type="dxa"/>
            <w:vAlign w:val="center"/>
          </w:tcPr>
          <w:p w14:paraId="25729FB9">
            <w:pPr>
              <w:jc w:val="center"/>
              <w:rPr>
                <w:rFonts w:ascii="宋体" w:hAnsi="宋体" w:cs="宋体"/>
                <w:szCs w:val="21"/>
              </w:rPr>
            </w:pPr>
            <w:r>
              <w:rPr>
                <w:rFonts w:hint="eastAsia" w:ascii="宋体" w:hAnsi="宋体" w:cs="宋体"/>
                <w:szCs w:val="21"/>
              </w:rPr>
              <w:t>△</w:t>
            </w:r>
          </w:p>
        </w:tc>
        <w:tc>
          <w:tcPr>
            <w:tcW w:w="947" w:type="dxa"/>
            <w:vAlign w:val="center"/>
          </w:tcPr>
          <w:p w14:paraId="55E4BF97">
            <w:pPr>
              <w:jc w:val="center"/>
              <w:rPr>
                <w:rFonts w:ascii="宋体" w:hAnsi="宋体" w:cs="宋体"/>
                <w:szCs w:val="21"/>
              </w:rPr>
            </w:pPr>
            <w:r>
              <w:rPr>
                <w:rFonts w:hint="eastAsia" w:ascii="宋体" w:hAnsi="宋体" w:cs="宋体"/>
                <w:szCs w:val="21"/>
              </w:rPr>
              <w:t>△</w:t>
            </w:r>
          </w:p>
        </w:tc>
      </w:tr>
      <w:tr w14:paraId="53F599E3">
        <w:tblPrEx>
          <w:tblCellMar>
            <w:top w:w="0" w:type="dxa"/>
            <w:left w:w="57" w:type="dxa"/>
            <w:bottom w:w="0" w:type="dxa"/>
            <w:right w:w="57" w:type="dxa"/>
          </w:tblCellMar>
        </w:tblPrEx>
        <w:trPr>
          <w:cantSplit/>
          <w:trHeight w:val="361" w:hRule="exact"/>
        </w:trPr>
        <w:tc>
          <w:tcPr>
            <w:tcW w:w="4839" w:type="dxa"/>
            <w:vAlign w:val="bottom"/>
          </w:tcPr>
          <w:p w14:paraId="5E5E652D">
            <w:pPr>
              <w:rPr>
                <w:color w:val="000000"/>
                <w:sz w:val="22"/>
              </w:rPr>
            </w:pPr>
            <w:r>
              <w:rPr>
                <w:rFonts w:hint="eastAsia"/>
                <w:color w:val="000000"/>
                <w:sz w:val="22"/>
              </w:rPr>
              <w:t>3.12  食品欺诈预防</w:t>
            </w:r>
          </w:p>
        </w:tc>
        <w:tc>
          <w:tcPr>
            <w:tcW w:w="947" w:type="dxa"/>
            <w:vAlign w:val="center"/>
          </w:tcPr>
          <w:p w14:paraId="14563F08">
            <w:pPr>
              <w:jc w:val="center"/>
              <w:rPr>
                <w:rFonts w:ascii="宋体" w:hAnsi="宋体" w:cs="宋体"/>
                <w:szCs w:val="21"/>
              </w:rPr>
            </w:pPr>
            <w:r>
              <w:rPr>
                <w:rFonts w:hint="eastAsia" w:ascii="宋体" w:hAnsi="宋体" w:cs="宋体"/>
                <w:szCs w:val="21"/>
              </w:rPr>
              <w:t>△</w:t>
            </w:r>
          </w:p>
        </w:tc>
        <w:tc>
          <w:tcPr>
            <w:tcW w:w="947" w:type="dxa"/>
            <w:vAlign w:val="center"/>
          </w:tcPr>
          <w:p w14:paraId="3B30418E">
            <w:pPr>
              <w:jc w:val="center"/>
              <w:rPr>
                <w:rFonts w:ascii="宋体" w:hAnsi="宋体" w:cs="宋体"/>
                <w:szCs w:val="21"/>
              </w:rPr>
            </w:pPr>
            <w:r>
              <w:rPr>
                <w:rFonts w:hint="eastAsia" w:ascii="宋体" w:hAnsi="宋体" w:cs="宋体"/>
                <w:szCs w:val="21"/>
              </w:rPr>
              <w:t>△</w:t>
            </w:r>
          </w:p>
        </w:tc>
        <w:tc>
          <w:tcPr>
            <w:tcW w:w="947" w:type="dxa"/>
            <w:vAlign w:val="center"/>
          </w:tcPr>
          <w:p w14:paraId="20423B46">
            <w:pPr>
              <w:jc w:val="center"/>
              <w:rPr>
                <w:rFonts w:ascii="宋体" w:hAnsi="宋体" w:cs="宋体"/>
                <w:szCs w:val="21"/>
              </w:rPr>
            </w:pPr>
            <w:r>
              <w:rPr>
                <w:rFonts w:hint="eastAsia" w:ascii="宋体" w:hAnsi="宋体" w:cs="宋体"/>
                <w:szCs w:val="21"/>
              </w:rPr>
              <w:t>▲</w:t>
            </w:r>
          </w:p>
        </w:tc>
        <w:tc>
          <w:tcPr>
            <w:tcW w:w="947" w:type="dxa"/>
            <w:vAlign w:val="center"/>
          </w:tcPr>
          <w:p w14:paraId="6C09AA2A">
            <w:pPr>
              <w:jc w:val="center"/>
              <w:rPr>
                <w:rFonts w:ascii="宋体" w:hAnsi="宋体" w:cs="宋体"/>
                <w:szCs w:val="21"/>
              </w:rPr>
            </w:pPr>
            <w:r>
              <w:rPr>
                <w:rFonts w:hint="eastAsia" w:ascii="宋体" w:hAnsi="宋体" w:cs="宋体"/>
                <w:szCs w:val="21"/>
              </w:rPr>
              <w:t>△</w:t>
            </w:r>
          </w:p>
        </w:tc>
        <w:tc>
          <w:tcPr>
            <w:tcW w:w="947" w:type="dxa"/>
            <w:vAlign w:val="center"/>
          </w:tcPr>
          <w:p w14:paraId="635820AE">
            <w:pPr>
              <w:jc w:val="center"/>
              <w:rPr>
                <w:rFonts w:ascii="宋体" w:hAnsi="宋体" w:cs="宋体"/>
                <w:szCs w:val="21"/>
              </w:rPr>
            </w:pPr>
            <w:r>
              <w:rPr>
                <w:rFonts w:hint="eastAsia" w:ascii="宋体" w:hAnsi="宋体" w:cs="宋体"/>
                <w:szCs w:val="21"/>
              </w:rPr>
              <w:t>△</w:t>
            </w:r>
          </w:p>
        </w:tc>
      </w:tr>
      <w:tr w14:paraId="391E5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3D8762F1">
            <w:pPr>
              <w:rPr>
                <w:color w:val="000000"/>
                <w:sz w:val="22"/>
              </w:rPr>
            </w:pPr>
            <w:r>
              <w:rPr>
                <w:rFonts w:hint="eastAsia"/>
                <w:color w:val="000000"/>
                <w:sz w:val="22"/>
              </w:rPr>
              <w:t>3.13  应急准备和响应</w:t>
            </w:r>
          </w:p>
        </w:tc>
        <w:tc>
          <w:tcPr>
            <w:tcW w:w="947" w:type="dxa"/>
            <w:vAlign w:val="center"/>
          </w:tcPr>
          <w:p w14:paraId="12673734">
            <w:pPr>
              <w:jc w:val="center"/>
              <w:rPr>
                <w:rFonts w:ascii="宋体" w:hAnsi="宋体" w:cs="宋体"/>
                <w:szCs w:val="21"/>
              </w:rPr>
            </w:pPr>
            <w:r>
              <w:rPr>
                <w:rFonts w:hint="eastAsia" w:ascii="宋体" w:hAnsi="宋体" w:cs="宋体"/>
                <w:szCs w:val="21"/>
              </w:rPr>
              <w:t>△</w:t>
            </w:r>
          </w:p>
        </w:tc>
        <w:tc>
          <w:tcPr>
            <w:tcW w:w="947" w:type="dxa"/>
            <w:vAlign w:val="center"/>
          </w:tcPr>
          <w:p w14:paraId="3FF99774">
            <w:pPr>
              <w:jc w:val="center"/>
              <w:rPr>
                <w:rFonts w:ascii="宋体" w:hAnsi="宋体" w:cs="宋体"/>
                <w:szCs w:val="21"/>
              </w:rPr>
            </w:pPr>
            <w:r>
              <w:rPr>
                <w:rFonts w:hint="eastAsia" w:ascii="宋体" w:hAnsi="宋体" w:cs="宋体"/>
                <w:szCs w:val="21"/>
              </w:rPr>
              <w:t>▲</w:t>
            </w:r>
          </w:p>
        </w:tc>
        <w:tc>
          <w:tcPr>
            <w:tcW w:w="947" w:type="dxa"/>
            <w:vAlign w:val="center"/>
          </w:tcPr>
          <w:p w14:paraId="7F551118">
            <w:pPr>
              <w:jc w:val="center"/>
              <w:rPr>
                <w:rFonts w:ascii="宋体" w:hAnsi="宋体" w:cs="宋体"/>
                <w:szCs w:val="21"/>
              </w:rPr>
            </w:pPr>
            <w:r>
              <w:rPr>
                <w:rFonts w:hint="eastAsia" w:ascii="宋体" w:hAnsi="宋体" w:cs="宋体"/>
                <w:szCs w:val="21"/>
              </w:rPr>
              <w:t>▲</w:t>
            </w:r>
          </w:p>
        </w:tc>
        <w:tc>
          <w:tcPr>
            <w:tcW w:w="947" w:type="dxa"/>
            <w:vAlign w:val="center"/>
          </w:tcPr>
          <w:p w14:paraId="2566611B">
            <w:pPr>
              <w:jc w:val="center"/>
              <w:rPr>
                <w:rFonts w:ascii="宋体" w:hAnsi="宋体" w:cs="宋体"/>
                <w:szCs w:val="21"/>
              </w:rPr>
            </w:pPr>
            <w:r>
              <w:rPr>
                <w:rFonts w:hint="eastAsia" w:ascii="宋体" w:hAnsi="宋体" w:cs="宋体"/>
                <w:szCs w:val="21"/>
              </w:rPr>
              <w:t>▲</w:t>
            </w:r>
          </w:p>
        </w:tc>
        <w:tc>
          <w:tcPr>
            <w:tcW w:w="947" w:type="dxa"/>
            <w:vAlign w:val="center"/>
          </w:tcPr>
          <w:p w14:paraId="7AEEC14E">
            <w:pPr>
              <w:jc w:val="center"/>
              <w:rPr>
                <w:rFonts w:ascii="宋体" w:hAnsi="宋体" w:cs="宋体"/>
                <w:szCs w:val="21"/>
              </w:rPr>
            </w:pPr>
            <w:r>
              <w:rPr>
                <w:rFonts w:hint="eastAsia" w:ascii="宋体" w:hAnsi="宋体" w:cs="宋体"/>
                <w:szCs w:val="21"/>
              </w:rPr>
              <w:t>△</w:t>
            </w:r>
          </w:p>
        </w:tc>
      </w:tr>
      <w:tr w14:paraId="1654E20D">
        <w:tblPrEx>
          <w:tblCellMar>
            <w:top w:w="0" w:type="dxa"/>
            <w:left w:w="57" w:type="dxa"/>
            <w:bottom w:w="0" w:type="dxa"/>
            <w:right w:w="57" w:type="dxa"/>
          </w:tblCellMar>
        </w:tblPrEx>
        <w:trPr>
          <w:cantSplit/>
          <w:trHeight w:val="361" w:hRule="exact"/>
        </w:trPr>
        <w:tc>
          <w:tcPr>
            <w:tcW w:w="4839" w:type="dxa"/>
            <w:vAlign w:val="bottom"/>
          </w:tcPr>
          <w:p w14:paraId="32DD6E53">
            <w:pPr>
              <w:rPr>
                <w:color w:val="000000"/>
                <w:sz w:val="22"/>
              </w:rPr>
            </w:pPr>
            <w:r>
              <w:rPr>
                <w:rFonts w:hint="eastAsia"/>
                <w:color w:val="000000"/>
                <w:sz w:val="22"/>
              </w:rPr>
              <w:t>4  危害控制</w:t>
            </w:r>
          </w:p>
        </w:tc>
        <w:tc>
          <w:tcPr>
            <w:tcW w:w="947" w:type="dxa"/>
            <w:vAlign w:val="center"/>
          </w:tcPr>
          <w:p w14:paraId="7D5D34D0">
            <w:pPr>
              <w:jc w:val="center"/>
              <w:rPr>
                <w:rFonts w:ascii="宋体" w:hAnsi="宋体" w:cs="宋体"/>
                <w:szCs w:val="21"/>
              </w:rPr>
            </w:pPr>
          </w:p>
        </w:tc>
        <w:tc>
          <w:tcPr>
            <w:tcW w:w="947" w:type="dxa"/>
            <w:vAlign w:val="center"/>
          </w:tcPr>
          <w:p w14:paraId="56ABF808">
            <w:pPr>
              <w:jc w:val="center"/>
              <w:rPr>
                <w:rFonts w:ascii="宋体" w:hAnsi="宋体" w:cs="宋体"/>
                <w:szCs w:val="21"/>
              </w:rPr>
            </w:pPr>
          </w:p>
        </w:tc>
        <w:tc>
          <w:tcPr>
            <w:tcW w:w="947" w:type="dxa"/>
            <w:vAlign w:val="center"/>
          </w:tcPr>
          <w:p w14:paraId="27B1778D">
            <w:pPr>
              <w:jc w:val="center"/>
              <w:rPr>
                <w:rFonts w:ascii="宋体" w:hAnsi="宋体" w:cs="宋体"/>
                <w:szCs w:val="21"/>
              </w:rPr>
            </w:pPr>
          </w:p>
        </w:tc>
        <w:tc>
          <w:tcPr>
            <w:tcW w:w="947" w:type="dxa"/>
            <w:vAlign w:val="center"/>
          </w:tcPr>
          <w:p w14:paraId="6BBC72CB">
            <w:pPr>
              <w:jc w:val="center"/>
              <w:rPr>
                <w:rFonts w:ascii="宋体" w:hAnsi="宋体" w:cs="宋体"/>
                <w:szCs w:val="21"/>
              </w:rPr>
            </w:pPr>
          </w:p>
        </w:tc>
        <w:tc>
          <w:tcPr>
            <w:tcW w:w="947" w:type="dxa"/>
            <w:vAlign w:val="center"/>
          </w:tcPr>
          <w:p w14:paraId="42BAC865">
            <w:pPr>
              <w:jc w:val="center"/>
              <w:rPr>
                <w:rFonts w:ascii="宋体" w:hAnsi="宋体" w:cs="宋体"/>
                <w:szCs w:val="21"/>
              </w:rPr>
            </w:pPr>
          </w:p>
        </w:tc>
      </w:tr>
      <w:tr w14:paraId="4CB5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7653AED2">
            <w:pPr>
              <w:rPr>
                <w:color w:val="000000"/>
                <w:sz w:val="22"/>
              </w:rPr>
            </w:pPr>
            <w:r>
              <w:rPr>
                <w:rFonts w:hint="eastAsia"/>
                <w:color w:val="000000"/>
                <w:sz w:val="22"/>
              </w:rPr>
              <w:t>4.1  总则</w:t>
            </w:r>
          </w:p>
        </w:tc>
        <w:tc>
          <w:tcPr>
            <w:tcW w:w="947" w:type="dxa"/>
            <w:vAlign w:val="center"/>
          </w:tcPr>
          <w:p w14:paraId="22819CBE">
            <w:pPr>
              <w:jc w:val="center"/>
              <w:rPr>
                <w:rFonts w:ascii="宋体" w:hAnsi="宋体" w:cs="宋体"/>
                <w:szCs w:val="21"/>
              </w:rPr>
            </w:pPr>
            <w:r>
              <w:rPr>
                <w:rFonts w:hint="eastAsia" w:ascii="宋体" w:hAnsi="宋体" w:cs="宋体"/>
                <w:szCs w:val="21"/>
              </w:rPr>
              <w:t>▲</w:t>
            </w:r>
          </w:p>
        </w:tc>
        <w:tc>
          <w:tcPr>
            <w:tcW w:w="947" w:type="dxa"/>
            <w:vAlign w:val="center"/>
          </w:tcPr>
          <w:p w14:paraId="3E215154">
            <w:pPr>
              <w:jc w:val="center"/>
              <w:rPr>
                <w:rFonts w:ascii="宋体" w:hAnsi="宋体" w:cs="宋体"/>
                <w:szCs w:val="21"/>
              </w:rPr>
            </w:pPr>
            <w:r>
              <w:rPr>
                <w:rFonts w:hint="eastAsia" w:ascii="宋体" w:hAnsi="宋体" w:cs="宋体"/>
                <w:szCs w:val="21"/>
              </w:rPr>
              <w:t>△</w:t>
            </w:r>
          </w:p>
        </w:tc>
        <w:tc>
          <w:tcPr>
            <w:tcW w:w="947" w:type="dxa"/>
            <w:vAlign w:val="center"/>
          </w:tcPr>
          <w:p w14:paraId="20889BBB">
            <w:pPr>
              <w:jc w:val="center"/>
              <w:rPr>
                <w:rFonts w:ascii="宋体" w:hAnsi="宋体" w:cs="宋体"/>
                <w:szCs w:val="21"/>
              </w:rPr>
            </w:pPr>
            <w:r>
              <w:rPr>
                <w:rFonts w:hint="eastAsia" w:ascii="宋体" w:hAnsi="宋体" w:cs="宋体"/>
                <w:szCs w:val="21"/>
              </w:rPr>
              <w:t>△</w:t>
            </w:r>
          </w:p>
        </w:tc>
        <w:tc>
          <w:tcPr>
            <w:tcW w:w="947" w:type="dxa"/>
            <w:vAlign w:val="center"/>
          </w:tcPr>
          <w:p w14:paraId="6F237206">
            <w:pPr>
              <w:jc w:val="center"/>
              <w:rPr>
                <w:rFonts w:ascii="宋体" w:hAnsi="宋体" w:cs="宋体"/>
                <w:szCs w:val="21"/>
              </w:rPr>
            </w:pPr>
            <w:r>
              <w:rPr>
                <w:rFonts w:hint="eastAsia" w:ascii="宋体" w:hAnsi="宋体" w:cs="宋体"/>
                <w:szCs w:val="21"/>
              </w:rPr>
              <w:t>△</w:t>
            </w:r>
          </w:p>
        </w:tc>
        <w:tc>
          <w:tcPr>
            <w:tcW w:w="947" w:type="dxa"/>
            <w:vAlign w:val="center"/>
          </w:tcPr>
          <w:p w14:paraId="53DA58BC">
            <w:pPr>
              <w:jc w:val="center"/>
              <w:rPr>
                <w:rFonts w:ascii="宋体" w:hAnsi="宋体" w:cs="宋体"/>
                <w:szCs w:val="21"/>
              </w:rPr>
            </w:pPr>
            <w:r>
              <w:rPr>
                <w:rFonts w:hint="eastAsia" w:ascii="宋体" w:hAnsi="宋体" w:cs="宋体"/>
                <w:szCs w:val="21"/>
              </w:rPr>
              <w:t>△</w:t>
            </w:r>
          </w:p>
        </w:tc>
      </w:tr>
      <w:tr w14:paraId="5E269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6A5F7393">
            <w:pPr>
              <w:rPr>
                <w:color w:val="000000"/>
                <w:sz w:val="22"/>
              </w:rPr>
            </w:pPr>
            <w:r>
              <w:rPr>
                <w:rFonts w:hint="eastAsia"/>
                <w:color w:val="000000"/>
                <w:sz w:val="22"/>
              </w:rPr>
              <w:t>4.2  预备步骤</w:t>
            </w:r>
          </w:p>
        </w:tc>
        <w:tc>
          <w:tcPr>
            <w:tcW w:w="947" w:type="dxa"/>
            <w:vAlign w:val="center"/>
          </w:tcPr>
          <w:p w14:paraId="76E81D9C">
            <w:pPr>
              <w:jc w:val="center"/>
              <w:rPr>
                <w:rFonts w:ascii="宋体" w:hAnsi="宋体" w:cs="宋体"/>
                <w:szCs w:val="21"/>
              </w:rPr>
            </w:pPr>
            <w:r>
              <w:rPr>
                <w:rFonts w:hint="eastAsia" w:ascii="宋体" w:hAnsi="宋体" w:cs="宋体"/>
                <w:szCs w:val="21"/>
              </w:rPr>
              <w:t>▲</w:t>
            </w:r>
          </w:p>
        </w:tc>
        <w:tc>
          <w:tcPr>
            <w:tcW w:w="947" w:type="dxa"/>
            <w:vAlign w:val="center"/>
          </w:tcPr>
          <w:p w14:paraId="32E4B25F">
            <w:pPr>
              <w:jc w:val="center"/>
              <w:rPr>
                <w:rFonts w:ascii="宋体" w:hAnsi="宋体" w:cs="宋体"/>
                <w:szCs w:val="21"/>
              </w:rPr>
            </w:pPr>
            <w:r>
              <w:rPr>
                <w:rFonts w:hint="eastAsia" w:ascii="宋体" w:hAnsi="宋体" w:cs="宋体"/>
                <w:szCs w:val="21"/>
              </w:rPr>
              <w:t>△</w:t>
            </w:r>
          </w:p>
        </w:tc>
        <w:tc>
          <w:tcPr>
            <w:tcW w:w="947" w:type="dxa"/>
            <w:vAlign w:val="center"/>
          </w:tcPr>
          <w:p w14:paraId="04CD59AE">
            <w:pPr>
              <w:jc w:val="center"/>
              <w:rPr>
                <w:rFonts w:ascii="宋体" w:hAnsi="宋体" w:cs="宋体"/>
                <w:szCs w:val="21"/>
              </w:rPr>
            </w:pPr>
            <w:r>
              <w:rPr>
                <w:rFonts w:hint="eastAsia" w:ascii="宋体" w:hAnsi="宋体" w:cs="宋体"/>
                <w:szCs w:val="21"/>
              </w:rPr>
              <w:t>△</w:t>
            </w:r>
          </w:p>
        </w:tc>
        <w:tc>
          <w:tcPr>
            <w:tcW w:w="947" w:type="dxa"/>
            <w:vAlign w:val="center"/>
          </w:tcPr>
          <w:p w14:paraId="1A2E982D">
            <w:pPr>
              <w:jc w:val="center"/>
              <w:rPr>
                <w:rFonts w:ascii="宋体" w:hAnsi="宋体" w:cs="宋体"/>
                <w:szCs w:val="21"/>
              </w:rPr>
            </w:pPr>
            <w:r>
              <w:rPr>
                <w:rFonts w:hint="eastAsia" w:ascii="宋体" w:hAnsi="宋体" w:cs="宋体"/>
                <w:szCs w:val="21"/>
              </w:rPr>
              <w:t>△</w:t>
            </w:r>
          </w:p>
        </w:tc>
        <w:tc>
          <w:tcPr>
            <w:tcW w:w="947" w:type="dxa"/>
            <w:vAlign w:val="center"/>
          </w:tcPr>
          <w:p w14:paraId="61E1AAE0">
            <w:pPr>
              <w:jc w:val="center"/>
              <w:rPr>
                <w:rFonts w:ascii="宋体" w:hAnsi="宋体" w:cs="宋体"/>
                <w:szCs w:val="21"/>
              </w:rPr>
            </w:pPr>
            <w:r>
              <w:rPr>
                <w:rFonts w:hint="eastAsia" w:ascii="宋体" w:hAnsi="宋体" w:cs="宋体"/>
                <w:szCs w:val="21"/>
              </w:rPr>
              <w:t>△</w:t>
            </w:r>
          </w:p>
        </w:tc>
      </w:tr>
      <w:tr w14:paraId="3457B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6C857FF3">
            <w:pPr>
              <w:rPr>
                <w:color w:val="000000"/>
                <w:sz w:val="22"/>
              </w:rPr>
            </w:pPr>
            <w:r>
              <w:rPr>
                <w:rFonts w:hint="eastAsia"/>
                <w:color w:val="000000"/>
                <w:sz w:val="22"/>
              </w:rPr>
              <w:t>4.2.1  HACCP小组的组成</w:t>
            </w:r>
          </w:p>
        </w:tc>
        <w:tc>
          <w:tcPr>
            <w:tcW w:w="947" w:type="dxa"/>
            <w:vAlign w:val="center"/>
          </w:tcPr>
          <w:p w14:paraId="5154BF67">
            <w:pPr>
              <w:jc w:val="center"/>
              <w:rPr>
                <w:rFonts w:ascii="宋体" w:hAnsi="宋体" w:cs="宋体"/>
                <w:szCs w:val="21"/>
              </w:rPr>
            </w:pPr>
            <w:r>
              <w:rPr>
                <w:rFonts w:hint="eastAsia" w:ascii="宋体" w:hAnsi="宋体" w:cs="宋体"/>
                <w:szCs w:val="21"/>
              </w:rPr>
              <w:t>▲</w:t>
            </w:r>
          </w:p>
        </w:tc>
        <w:tc>
          <w:tcPr>
            <w:tcW w:w="947" w:type="dxa"/>
            <w:vAlign w:val="center"/>
          </w:tcPr>
          <w:p w14:paraId="03BD6D22">
            <w:pPr>
              <w:jc w:val="center"/>
              <w:rPr>
                <w:rFonts w:ascii="宋体" w:hAnsi="宋体" w:cs="宋体"/>
                <w:szCs w:val="21"/>
              </w:rPr>
            </w:pPr>
            <w:r>
              <w:rPr>
                <w:rFonts w:hint="eastAsia" w:ascii="宋体" w:hAnsi="宋体" w:cs="宋体"/>
                <w:szCs w:val="21"/>
              </w:rPr>
              <w:t>△</w:t>
            </w:r>
          </w:p>
        </w:tc>
        <w:tc>
          <w:tcPr>
            <w:tcW w:w="947" w:type="dxa"/>
            <w:vAlign w:val="center"/>
          </w:tcPr>
          <w:p w14:paraId="6F0869B0">
            <w:pPr>
              <w:jc w:val="center"/>
              <w:rPr>
                <w:rFonts w:ascii="宋体" w:hAnsi="宋体" w:cs="宋体"/>
                <w:szCs w:val="21"/>
              </w:rPr>
            </w:pPr>
            <w:r>
              <w:rPr>
                <w:rFonts w:hint="eastAsia" w:ascii="宋体" w:hAnsi="宋体" w:cs="宋体"/>
                <w:szCs w:val="21"/>
              </w:rPr>
              <w:t>△</w:t>
            </w:r>
          </w:p>
        </w:tc>
        <w:tc>
          <w:tcPr>
            <w:tcW w:w="947" w:type="dxa"/>
            <w:vAlign w:val="center"/>
          </w:tcPr>
          <w:p w14:paraId="1E901483">
            <w:pPr>
              <w:jc w:val="center"/>
              <w:rPr>
                <w:rFonts w:ascii="宋体" w:hAnsi="宋体" w:cs="宋体"/>
                <w:szCs w:val="21"/>
              </w:rPr>
            </w:pPr>
            <w:r>
              <w:rPr>
                <w:rFonts w:hint="eastAsia" w:ascii="宋体" w:hAnsi="宋体" w:cs="宋体"/>
                <w:szCs w:val="21"/>
              </w:rPr>
              <w:t>△</w:t>
            </w:r>
          </w:p>
        </w:tc>
        <w:tc>
          <w:tcPr>
            <w:tcW w:w="947" w:type="dxa"/>
            <w:vAlign w:val="center"/>
          </w:tcPr>
          <w:p w14:paraId="64CEFE38">
            <w:pPr>
              <w:jc w:val="center"/>
              <w:rPr>
                <w:rFonts w:ascii="宋体" w:hAnsi="宋体" w:cs="宋体"/>
                <w:szCs w:val="21"/>
              </w:rPr>
            </w:pPr>
            <w:r>
              <w:rPr>
                <w:rFonts w:hint="eastAsia" w:ascii="宋体" w:hAnsi="宋体" w:cs="宋体"/>
                <w:szCs w:val="21"/>
              </w:rPr>
              <w:t>△</w:t>
            </w:r>
          </w:p>
        </w:tc>
      </w:tr>
      <w:tr w14:paraId="634FD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0A463954">
            <w:pPr>
              <w:rPr>
                <w:color w:val="000000"/>
                <w:sz w:val="22"/>
              </w:rPr>
            </w:pPr>
            <w:r>
              <w:rPr>
                <w:rFonts w:hint="eastAsia"/>
                <w:color w:val="000000"/>
                <w:sz w:val="22"/>
              </w:rPr>
              <w:t>4.2.2  产品描述</w:t>
            </w:r>
          </w:p>
        </w:tc>
        <w:tc>
          <w:tcPr>
            <w:tcW w:w="947" w:type="dxa"/>
            <w:vAlign w:val="center"/>
          </w:tcPr>
          <w:p w14:paraId="622768DC">
            <w:pPr>
              <w:jc w:val="center"/>
              <w:rPr>
                <w:rFonts w:ascii="宋体" w:hAnsi="宋体" w:cs="宋体"/>
                <w:szCs w:val="21"/>
              </w:rPr>
            </w:pPr>
            <w:r>
              <w:rPr>
                <w:rFonts w:hint="eastAsia" w:ascii="宋体" w:hAnsi="宋体" w:cs="宋体"/>
                <w:szCs w:val="21"/>
              </w:rPr>
              <w:t>△</w:t>
            </w:r>
          </w:p>
        </w:tc>
        <w:tc>
          <w:tcPr>
            <w:tcW w:w="947" w:type="dxa"/>
            <w:vAlign w:val="center"/>
          </w:tcPr>
          <w:p w14:paraId="7756AA9E">
            <w:pPr>
              <w:jc w:val="center"/>
              <w:rPr>
                <w:rFonts w:ascii="宋体" w:hAnsi="宋体" w:cs="宋体"/>
                <w:szCs w:val="21"/>
              </w:rPr>
            </w:pPr>
            <w:r>
              <w:rPr>
                <w:rFonts w:hint="eastAsia" w:ascii="宋体" w:hAnsi="宋体" w:cs="宋体"/>
                <w:szCs w:val="21"/>
              </w:rPr>
              <w:t>▲</w:t>
            </w:r>
          </w:p>
        </w:tc>
        <w:tc>
          <w:tcPr>
            <w:tcW w:w="947" w:type="dxa"/>
            <w:vAlign w:val="center"/>
          </w:tcPr>
          <w:p w14:paraId="13CBB72B">
            <w:pPr>
              <w:jc w:val="center"/>
              <w:rPr>
                <w:rFonts w:ascii="宋体" w:hAnsi="宋体" w:cs="宋体"/>
                <w:szCs w:val="21"/>
              </w:rPr>
            </w:pPr>
            <w:r>
              <w:rPr>
                <w:rFonts w:hint="eastAsia" w:ascii="宋体" w:hAnsi="宋体" w:cs="宋体"/>
                <w:szCs w:val="21"/>
              </w:rPr>
              <w:t>△</w:t>
            </w:r>
          </w:p>
        </w:tc>
        <w:tc>
          <w:tcPr>
            <w:tcW w:w="947" w:type="dxa"/>
            <w:vAlign w:val="center"/>
          </w:tcPr>
          <w:p w14:paraId="4A57FFF4">
            <w:pPr>
              <w:jc w:val="center"/>
              <w:rPr>
                <w:rFonts w:ascii="宋体" w:hAnsi="宋体" w:cs="宋体"/>
                <w:szCs w:val="21"/>
              </w:rPr>
            </w:pPr>
            <w:r>
              <w:rPr>
                <w:rFonts w:hint="eastAsia" w:ascii="宋体" w:hAnsi="宋体" w:cs="宋体"/>
                <w:szCs w:val="21"/>
              </w:rPr>
              <w:t>△</w:t>
            </w:r>
          </w:p>
        </w:tc>
        <w:tc>
          <w:tcPr>
            <w:tcW w:w="947" w:type="dxa"/>
            <w:vAlign w:val="center"/>
          </w:tcPr>
          <w:p w14:paraId="60A13EC5">
            <w:pPr>
              <w:jc w:val="center"/>
              <w:rPr>
                <w:rFonts w:ascii="宋体" w:hAnsi="宋体" w:cs="宋体"/>
                <w:szCs w:val="21"/>
              </w:rPr>
            </w:pPr>
            <w:r>
              <w:rPr>
                <w:rFonts w:hint="eastAsia" w:ascii="宋体" w:hAnsi="宋体" w:cs="宋体"/>
                <w:szCs w:val="21"/>
              </w:rPr>
              <w:t>△</w:t>
            </w:r>
          </w:p>
        </w:tc>
      </w:tr>
      <w:tr w14:paraId="7E747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61195765">
            <w:pPr>
              <w:rPr>
                <w:color w:val="000000"/>
                <w:sz w:val="22"/>
              </w:rPr>
            </w:pPr>
            <w:r>
              <w:rPr>
                <w:rFonts w:hint="eastAsia"/>
                <w:color w:val="000000"/>
                <w:sz w:val="22"/>
              </w:rPr>
              <w:t>4.2.3  预期用途的确定</w:t>
            </w:r>
          </w:p>
        </w:tc>
        <w:tc>
          <w:tcPr>
            <w:tcW w:w="947" w:type="dxa"/>
            <w:vAlign w:val="center"/>
          </w:tcPr>
          <w:p w14:paraId="09E7EFC7">
            <w:pPr>
              <w:jc w:val="center"/>
              <w:rPr>
                <w:rFonts w:ascii="宋体" w:hAnsi="宋体" w:cs="宋体"/>
                <w:szCs w:val="21"/>
              </w:rPr>
            </w:pPr>
            <w:r>
              <w:rPr>
                <w:rFonts w:hint="eastAsia" w:ascii="宋体" w:hAnsi="宋体" w:cs="宋体"/>
                <w:szCs w:val="21"/>
              </w:rPr>
              <w:t>△</w:t>
            </w:r>
          </w:p>
        </w:tc>
        <w:tc>
          <w:tcPr>
            <w:tcW w:w="947" w:type="dxa"/>
            <w:vAlign w:val="center"/>
          </w:tcPr>
          <w:p w14:paraId="3AF76F57">
            <w:pPr>
              <w:jc w:val="center"/>
              <w:rPr>
                <w:rFonts w:ascii="宋体" w:hAnsi="宋体" w:cs="宋体"/>
                <w:szCs w:val="21"/>
              </w:rPr>
            </w:pPr>
            <w:r>
              <w:rPr>
                <w:rFonts w:hint="eastAsia" w:ascii="宋体" w:hAnsi="宋体" w:cs="宋体"/>
                <w:szCs w:val="21"/>
              </w:rPr>
              <w:t>▲</w:t>
            </w:r>
          </w:p>
        </w:tc>
        <w:tc>
          <w:tcPr>
            <w:tcW w:w="947" w:type="dxa"/>
            <w:vAlign w:val="center"/>
          </w:tcPr>
          <w:p w14:paraId="50B3271B">
            <w:pPr>
              <w:jc w:val="center"/>
              <w:rPr>
                <w:rFonts w:ascii="宋体" w:hAnsi="宋体" w:cs="宋体"/>
                <w:szCs w:val="21"/>
              </w:rPr>
            </w:pPr>
            <w:r>
              <w:rPr>
                <w:rFonts w:hint="eastAsia" w:ascii="宋体" w:hAnsi="宋体" w:cs="宋体"/>
                <w:szCs w:val="21"/>
              </w:rPr>
              <w:t>△</w:t>
            </w:r>
          </w:p>
        </w:tc>
        <w:tc>
          <w:tcPr>
            <w:tcW w:w="947" w:type="dxa"/>
            <w:vAlign w:val="center"/>
          </w:tcPr>
          <w:p w14:paraId="2D1083FB">
            <w:pPr>
              <w:jc w:val="center"/>
              <w:rPr>
                <w:rFonts w:ascii="宋体" w:hAnsi="宋体" w:cs="宋体"/>
                <w:szCs w:val="21"/>
              </w:rPr>
            </w:pPr>
            <w:r>
              <w:rPr>
                <w:rFonts w:hint="eastAsia" w:ascii="宋体" w:hAnsi="宋体" w:cs="宋体"/>
                <w:szCs w:val="21"/>
              </w:rPr>
              <w:t>△</w:t>
            </w:r>
          </w:p>
        </w:tc>
        <w:tc>
          <w:tcPr>
            <w:tcW w:w="947" w:type="dxa"/>
            <w:vAlign w:val="center"/>
          </w:tcPr>
          <w:p w14:paraId="6381F284">
            <w:pPr>
              <w:jc w:val="center"/>
              <w:rPr>
                <w:rFonts w:ascii="宋体" w:hAnsi="宋体" w:cs="宋体"/>
                <w:szCs w:val="21"/>
              </w:rPr>
            </w:pPr>
            <w:r>
              <w:rPr>
                <w:rFonts w:hint="eastAsia" w:ascii="宋体" w:hAnsi="宋体" w:cs="宋体"/>
                <w:szCs w:val="21"/>
              </w:rPr>
              <w:t>△</w:t>
            </w:r>
          </w:p>
        </w:tc>
      </w:tr>
      <w:tr w14:paraId="6905A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6E9F8B94">
            <w:pPr>
              <w:rPr>
                <w:color w:val="000000"/>
                <w:sz w:val="22"/>
              </w:rPr>
            </w:pPr>
            <w:r>
              <w:rPr>
                <w:rFonts w:hint="eastAsia"/>
                <w:color w:val="000000"/>
                <w:sz w:val="22"/>
              </w:rPr>
              <w:t>4.2.4  过程描述及流程图的制定</w:t>
            </w:r>
          </w:p>
        </w:tc>
        <w:tc>
          <w:tcPr>
            <w:tcW w:w="947" w:type="dxa"/>
            <w:vAlign w:val="center"/>
          </w:tcPr>
          <w:p w14:paraId="7C3F5F69">
            <w:pPr>
              <w:jc w:val="center"/>
              <w:rPr>
                <w:rFonts w:ascii="宋体" w:hAnsi="宋体" w:cs="宋体"/>
                <w:szCs w:val="21"/>
              </w:rPr>
            </w:pPr>
            <w:r>
              <w:rPr>
                <w:rFonts w:hint="eastAsia" w:ascii="宋体" w:hAnsi="宋体" w:cs="宋体"/>
                <w:szCs w:val="21"/>
              </w:rPr>
              <w:t>△</w:t>
            </w:r>
          </w:p>
        </w:tc>
        <w:tc>
          <w:tcPr>
            <w:tcW w:w="947" w:type="dxa"/>
            <w:vAlign w:val="center"/>
          </w:tcPr>
          <w:p w14:paraId="19602439">
            <w:pPr>
              <w:jc w:val="center"/>
              <w:rPr>
                <w:rFonts w:ascii="宋体" w:hAnsi="宋体" w:cs="宋体"/>
                <w:szCs w:val="21"/>
              </w:rPr>
            </w:pPr>
            <w:r>
              <w:rPr>
                <w:rFonts w:hint="eastAsia" w:ascii="宋体" w:hAnsi="宋体" w:cs="宋体"/>
                <w:szCs w:val="21"/>
              </w:rPr>
              <w:t>▲</w:t>
            </w:r>
          </w:p>
        </w:tc>
        <w:tc>
          <w:tcPr>
            <w:tcW w:w="947" w:type="dxa"/>
            <w:vAlign w:val="center"/>
          </w:tcPr>
          <w:p w14:paraId="4A95CFD4">
            <w:pPr>
              <w:jc w:val="center"/>
              <w:rPr>
                <w:rFonts w:ascii="宋体" w:hAnsi="宋体" w:cs="宋体"/>
                <w:szCs w:val="21"/>
              </w:rPr>
            </w:pPr>
            <w:r>
              <w:rPr>
                <w:rFonts w:hint="eastAsia" w:ascii="宋体" w:hAnsi="宋体" w:cs="宋体"/>
                <w:szCs w:val="21"/>
              </w:rPr>
              <w:t>△</w:t>
            </w:r>
          </w:p>
        </w:tc>
        <w:tc>
          <w:tcPr>
            <w:tcW w:w="947" w:type="dxa"/>
            <w:vAlign w:val="center"/>
          </w:tcPr>
          <w:p w14:paraId="73B687D4">
            <w:pPr>
              <w:jc w:val="center"/>
              <w:rPr>
                <w:rFonts w:ascii="宋体" w:hAnsi="宋体" w:cs="宋体"/>
                <w:szCs w:val="21"/>
              </w:rPr>
            </w:pPr>
            <w:r>
              <w:rPr>
                <w:rFonts w:hint="eastAsia" w:ascii="宋体" w:hAnsi="宋体" w:cs="宋体"/>
                <w:szCs w:val="21"/>
              </w:rPr>
              <w:t>△</w:t>
            </w:r>
          </w:p>
        </w:tc>
        <w:tc>
          <w:tcPr>
            <w:tcW w:w="947" w:type="dxa"/>
            <w:vAlign w:val="center"/>
          </w:tcPr>
          <w:p w14:paraId="7528D118">
            <w:pPr>
              <w:jc w:val="center"/>
              <w:rPr>
                <w:rFonts w:ascii="宋体" w:hAnsi="宋体" w:cs="宋体"/>
                <w:szCs w:val="21"/>
              </w:rPr>
            </w:pPr>
            <w:r>
              <w:rPr>
                <w:rFonts w:hint="eastAsia" w:ascii="宋体" w:hAnsi="宋体" w:cs="宋体"/>
                <w:szCs w:val="21"/>
              </w:rPr>
              <w:t>△</w:t>
            </w:r>
          </w:p>
        </w:tc>
      </w:tr>
      <w:tr w14:paraId="55011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265E5971">
            <w:pPr>
              <w:rPr>
                <w:color w:val="000000"/>
                <w:sz w:val="22"/>
              </w:rPr>
            </w:pPr>
            <w:r>
              <w:rPr>
                <w:rFonts w:hint="eastAsia"/>
                <w:color w:val="000000"/>
                <w:sz w:val="22"/>
              </w:rPr>
              <w:t>4.2.5  流程图的确认</w:t>
            </w:r>
          </w:p>
        </w:tc>
        <w:tc>
          <w:tcPr>
            <w:tcW w:w="947" w:type="dxa"/>
            <w:vAlign w:val="center"/>
          </w:tcPr>
          <w:p w14:paraId="36E2AC81">
            <w:pPr>
              <w:jc w:val="center"/>
              <w:rPr>
                <w:rFonts w:ascii="宋体" w:hAnsi="宋体" w:cs="宋体"/>
                <w:szCs w:val="21"/>
              </w:rPr>
            </w:pPr>
            <w:r>
              <w:rPr>
                <w:rFonts w:hint="eastAsia" w:ascii="宋体" w:hAnsi="宋体" w:cs="宋体"/>
                <w:szCs w:val="21"/>
              </w:rPr>
              <w:t>△</w:t>
            </w:r>
          </w:p>
        </w:tc>
        <w:tc>
          <w:tcPr>
            <w:tcW w:w="947" w:type="dxa"/>
            <w:vAlign w:val="center"/>
          </w:tcPr>
          <w:p w14:paraId="5A3C10B3">
            <w:pPr>
              <w:jc w:val="center"/>
              <w:rPr>
                <w:rFonts w:ascii="宋体" w:hAnsi="宋体" w:cs="宋体"/>
                <w:szCs w:val="21"/>
              </w:rPr>
            </w:pPr>
            <w:r>
              <w:rPr>
                <w:rFonts w:hint="eastAsia" w:ascii="宋体" w:hAnsi="宋体" w:cs="宋体"/>
                <w:szCs w:val="21"/>
              </w:rPr>
              <w:t>▲</w:t>
            </w:r>
          </w:p>
        </w:tc>
        <w:tc>
          <w:tcPr>
            <w:tcW w:w="947" w:type="dxa"/>
            <w:vAlign w:val="center"/>
          </w:tcPr>
          <w:p w14:paraId="41A13AF4">
            <w:pPr>
              <w:jc w:val="center"/>
              <w:rPr>
                <w:rFonts w:ascii="宋体" w:hAnsi="宋体" w:cs="宋体"/>
                <w:szCs w:val="21"/>
              </w:rPr>
            </w:pPr>
            <w:r>
              <w:rPr>
                <w:rFonts w:hint="eastAsia" w:ascii="宋体" w:hAnsi="宋体" w:cs="宋体"/>
                <w:szCs w:val="21"/>
              </w:rPr>
              <w:t>△</w:t>
            </w:r>
          </w:p>
        </w:tc>
        <w:tc>
          <w:tcPr>
            <w:tcW w:w="947" w:type="dxa"/>
            <w:vAlign w:val="center"/>
          </w:tcPr>
          <w:p w14:paraId="09E2B91F">
            <w:pPr>
              <w:jc w:val="center"/>
              <w:rPr>
                <w:rFonts w:ascii="宋体" w:hAnsi="宋体" w:cs="宋体"/>
                <w:szCs w:val="21"/>
              </w:rPr>
            </w:pPr>
            <w:r>
              <w:rPr>
                <w:rFonts w:hint="eastAsia" w:ascii="宋体" w:hAnsi="宋体" w:cs="宋体"/>
                <w:szCs w:val="21"/>
              </w:rPr>
              <w:t>△</w:t>
            </w:r>
          </w:p>
        </w:tc>
        <w:tc>
          <w:tcPr>
            <w:tcW w:w="947" w:type="dxa"/>
            <w:vAlign w:val="center"/>
          </w:tcPr>
          <w:p w14:paraId="73BFA15D">
            <w:pPr>
              <w:jc w:val="center"/>
              <w:rPr>
                <w:rFonts w:ascii="宋体" w:hAnsi="宋体" w:cs="宋体"/>
                <w:szCs w:val="21"/>
              </w:rPr>
            </w:pPr>
            <w:r>
              <w:rPr>
                <w:rFonts w:hint="eastAsia" w:ascii="宋体" w:hAnsi="宋体" w:cs="宋体"/>
                <w:szCs w:val="21"/>
              </w:rPr>
              <w:t>△</w:t>
            </w:r>
          </w:p>
        </w:tc>
      </w:tr>
      <w:tr w14:paraId="55DDE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531451D6">
            <w:pPr>
              <w:rPr>
                <w:color w:val="000000"/>
                <w:sz w:val="22"/>
              </w:rPr>
            </w:pPr>
            <w:r>
              <w:rPr>
                <w:rFonts w:hint="eastAsia"/>
                <w:color w:val="000000"/>
                <w:sz w:val="22"/>
              </w:rPr>
              <w:t>4.3  危害分析和制定控制措施</w:t>
            </w:r>
          </w:p>
        </w:tc>
        <w:tc>
          <w:tcPr>
            <w:tcW w:w="947" w:type="dxa"/>
            <w:vAlign w:val="center"/>
          </w:tcPr>
          <w:p w14:paraId="0CD71373">
            <w:pPr>
              <w:jc w:val="center"/>
              <w:rPr>
                <w:rFonts w:ascii="宋体" w:hAnsi="宋体" w:cs="宋体"/>
                <w:szCs w:val="21"/>
              </w:rPr>
            </w:pPr>
            <w:r>
              <w:rPr>
                <w:rFonts w:hint="eastAsia" w:ascii="宋体" w:hAnsi="宋体" w:cs="宋体"/>
                <w:szCs w:val="21"/>
              </w:rPr>
              <w:t>△</w:t>
            </w:r>
          </w:p>
        </w:tc>
        <w:tc>
          <w:tcPr>
            <w:tcW w:w="947" w:type="dxa"/>
            <w:vAlign w:val="center"/>
          </w:tcPr>
          <w:p w14:paraId="01FEAD6B">
            <w:pPr>
              <w:jc w:val="center"/>
              <w:rPr>
                <w:rFonts w:ascii="宋体" w:hAnsi="宋体" w:cs="宋体"/>
                <w:szCs w:val="21"/>
              </w:rPr>
            </w:pPr>
            <w:r>
              <w:rPr>
                <w:rFonts w:hint="eastAsia" w:ascii="宋体" w:hAnsi="宋体" w:cs="宋体"/>
                <w:szCs w:val="21"/>
              </w:rPr>
              <w:t>▲</w:t>
            </w:r>
          </w:p>
        </w:tc>
        <w:tc>
          <w:tcPr>
            <w:tcW w:w="947" w:type="dxa"/>
            <w:vAlign w:val="center"/>
          </w:tcPr>
          <w:p w14:paraId="1CA4DB33">
            <w:pPr>
              <w:jc w:val="center"/>
              <w:rPr>
                <w:rFonts w:ascii="宋体" w:hAnsi="宋体" w:cs="宋体"/>
                <w:szCs w:val="21"/>
              </w:rPr>
            </w:pPr>
            <w:r>
              <w:rPr>
                <w:rFonts w:hint="eastAsia" w:ascii="宋体" w:hAnsi="宋体" w:cs="宋体"/>
                <w:szCs w:val="21"/>
              </w:rPr>
              <w:t>△</w:t>
            </w:r>
          </w:p>
        </w:tc>
        <w:tc>
          <w:tcPr>
            <w:tcW w:w="947" w:type="dxa"/>
            <w:vAlign w:val="center"/>
          </w:tcPr>
          <w:p w14:paraId="3214A5EA">
            <w:pPr>
              <w:jc w:val="center"/>
              <w:rPr>
                <w:rFonts w:ascii="宋体" w:hAnsi="宋体" w:cs="宋体"/>
                <w:szCs w:val="21"/>
              </w:rPr>
            </w:pPr>
            <w:r>
              <w:rPr>
                <w:rFonts w:hint="eastAsia" w:ascii="宋体" w:hAnsi="宋体" w:cs="宋体"/>
                <w:szCs w:val="21"/>
              </w:rPr>
              <w:t>△</w:t>
            </w:r>
          </w:p>
        </w:tc>
        <w:tc>
          <w:tcPr>
            <w:tcW w:w="947" w:type="dxa"/>
            <w:vAlign w:val="center"/>
          </w:tcPr>
          <w:p w14:paraId="4AFFD7BA">
            <w:pPr>
              <w:jc w:val="center"/>
              <w:rPr>
                <w:rFonts w:ascii="宋体" w:hAnsi="宋体" w:cs="宋体"/>
                <w:szCs w:val="21"/>
              </w:rPr>
            </w:pPr>
            <w:r>
              <w:rPr>
                <w:rFonts w:hint="eastAsia" w:ascii="宋体" w:hAnsi="宋体" w:cs="宋体"/>
                <w:szCs w:val="21"/>
              </w:rPr>
              <w:t>△</w:t>
            </w:r>
          </w:p>
        </w:tc>
      </w:tr>
      <w:tr w14:paraId="0A126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6EAAA67C">
            <w:pPr>
              <w:rPr>
                <w:color w:val="000000"/>
                <w:sz w:val="22"/>
              </w:rPr>
            </w:pPr>
            <w:r>
              <w:rPr>
                <w:rFonts w:hint="eastAsia"/>
                <w:color w:val="000000"/>
                <w:sz w:val="22"/>
              </w:rPr>
              <w:t>4.4  HACCP计划的确认</w:t>
            </w:r>
          </w:p>
        </w:tc>
        <w:tc>
          <w:tcPr>
            <w:tcW w:w="947" w:type="dxa"/>
            <w:vAlign w:val="center"/>
          </w:tcPr>
          <w:p w14:paraId="0DF300BC">
            <w:pPr>
              <w:jc w:val="center"/>
              <w:rPr>
                <w:rFonts w:ascii="宋体" w:hAnsi="宋体" w:cs="宋体"/>
                <w:szCs w:val="21"/>
              </w:rPr>
            </w:pPr>
            <w:r>
              <w:rPr>
                <w:rFonts w:hint="eastAsia" w:ascii="宋体" w:hAnsi="宋体" w:cs="宋体"/>
                <w:szCs w:val="21"/>
              </w:rPr>
              <w:t>△</w:t>
            </w:r>
          </w:p>
        </w:tc>
        <w:tc>
          <w:tcPr>
            <w:tcW w:w="947" w:type="dxa"/>
            <w:vAlign w:val="center"/>
          </w:tcPr>
          <w:p w14:paraId="18B4CB5E">
            <w:pPr>
              <w:jc w:val="center"/>
              <w:rPr>
                <w:rFonts w:ascii="宋体" w:hAnsi="宋体" w:cs="宋体"/>
                <w:szCs w:val="21"/>
              </w:rPr>
            </w:pPr>
            <w:r>
              <w:rPr>
                <w:rFonts w:hint="eastAsia" w:ascii="宋体" w:hAnsi="宋体" w:cs="宋体"/>
                <w:szCs w:val="21"/>
              </w:rPr>
              <w:t>▲</w:t>
            </w:r>
          </w:p>
        </w:tc>
        <w:tc>
          <w:tcPr>
            <w:tcW w:w="947" w:type="dxa"/>
            <w:vAlign w:val="center"/>
          </w:tcPr>
          <w:p w14:paraId="2D76EC6E">
            <w:pPr>
              <w:jc w:val="center"/>
              <w:rPr>
                <w:rFonts w:ascii="宋体" w:hAnsi="宋体" w:cs="宋体"/>
                <w:szCs w:val="21"/>
              </w:rPr>
            </w:pPr>
            <w:r>
              <w:rPr>
                <w:rFonts w:hint="eastAsia" w:ascii="宋体" w:hAnsi="宋体" w:cs="宋体"/>
                <w:szCs w:val="21"/>
              </w:rPr>
              <w:t>▲</w:t>
            </w:r>
          </w:p>
        </w:tc>
        <w:tc>
          <w:tcPr>
            <w:tcW w:w="947" w:type="dxa"/>
            <w:vAlign w:val="center"/>
          </w:tcPr>
          <w:p w14:paraId="0A8120FE">
            <w:pPr>
              <w:jc w:val="center"/>
              <w:rPr>
                <w:rFonts w:ascii="宋体" w:hAnsi="宋体" w:cs="宋体"/>
                <w:szCs w:val="21"/>
              </w:rPr>
            </w:pPr>
            <w:r>
              <w:rPr>
                <w:rFonts w:hint="eastAsia" w:ascii="宋体" w:hAnsi="宋体" w:cs="宋体"/>
                <w:szCs w:val="21"/>
              </w:rPr>
              <w:t>△</w:t>
            </w:r>
          </w:p>
        </w:tc>
        <w:tc>
          <w:tcPr>
            <w:tcW w:w="947" w:type="dxa"/>
            <w:vAlign w:val="center"/>
          </w:tcPr>
          <w:p w14:paraId="17011B54">
            <w:pPr>
              <w:jc w:val="center"/>
              <w:rPr>
                <w:rFonts w:ascii="宋体" w:hAnsi="宋体" w:cs="宋体"/>
                <w:szCs w:val="21"/>
              </w:rPr>
            </w:pPr>
            <w:r>
              <w:rPr>
                <w:rFonts w:hint="eastAsia" w:ascii="宋体" w:hAnsi="宋体" w:cs="宋体"/>
                <w:szCs w:val="21"/>
              </w:rPr>
              <w:t>△</w:t>
            </w:r>
          </w:p>
        </w:tc>
      </w:tr>
      <w:tr w14:paraId="0EA4C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25B00E95">
            <w:pPr>
              <w:rPr>
                <w:color w:val="000000"/>
                <w:sz w:val="22"/>
              </w:rPr>
            </w:pPr>
            <w:r>
              <w:rPr>
                <w:rFonts w:hint="eastAsia"/>
                <w:color w:val="000000"/>
                <w:sz w:val="22"/>
              </w:rPr>
              <w:t>4.5  HACCP体系验证</w:t>
            </w:r>
          </w:p>
        </w:tc>
        <w:tc>
          <w:tcPr>
            <w:tcW w:w="947" w:type="dxa"/>
            <w:vAlign w:val="center"/>
          </w:tcPr>
          <w:p w14:paraId="334D1F7C">
            <w:pPr>
              <w:jc w:val="center"/>
              <w:rPr>
                <w:rFonts w:ascii="宋体" w:hAnsi="宋体" w:cs="宋体"/>
                <w:szCs w:val="21"/>
              </w:rPr>
            </w:pPr>
            <w:r>
              <w:rPr>
                <w:rFonts w:hint="eastAsia" w:ascii="宋体" w:hAnsi="宋体" w:cs="宋体"/>
                <w:szCs w:val="21"/>
              </w:rPr>
              <w:t>△</w:t>
            </w:r>
          </w:p>
        </w:tc>
        <w:tc>
          <w:tcPr>
            <w:tcW w:w="947" w:type="dxa"/>
            <w:vAlign w:val="center"/>
          </w:tcPr>
          <w:p w14:paraId="05349034">
            <w:pPr>
              <w:jc w:val="center"/>
              <w:rPr>
                <w:rFonts w:ascii="宋体" w:hAnsi="宋体" w:cs="宋体"/>
                <w:szCs w:val="21"/>
              </w:rPr>
            </w:pPr>
            <w:r>
              <w:rPr>
                <w:rFonts w:hint="eastAsia" w:ascii="宋体" w:hAnsi="宋体" w:cs="宋体"/>
                <w:szCs w:val="21"/>
              </w:rPr>
              <w:t>▲</w:t>
            </w:r>
          </w:p>
        </w:tc>
        <w:tc>
          <w:tcPr>
            <w:tcW w:w="947" w:type="dxa"/>
            <w:vAlign w:val="center"/>
          </w:tcPr>
          <w:p w14:paraId="79FEAF18">
            <w:pPr>
              <w:jc w:val="center"/>
              <w:rPr>
                <w:rFonts w:ascii="宋体" w:hAnsi="宋体" w:cs="宋体"/>
                <w:szCs w:val="21"/>
              </w:rPr>
            </w:pPr>
            <w:r>
              <w:rPr>
                <w:rFonts w:hint="eastAsia" w:ascii="宋体" w:hAnsi="宋体" w:cs="宋体"/>
                <w:szCs w:val="21"/>
              </w:rPr>
              <w:t>▲</w:t>
            </w:r>
          </w:p>
        </w:tc>
        <w:tc>
          <w:tcPr>
            <w:tcW w:w="947" w:type="dxa"/>
            <w:vAlign w:val="center"/>
          </w:tcPr>
          <w:p w14:paraId="0A5E7A29">
            <w:pPr>
              <w:jc w:val="center"/>
              <w:rPr>
                <w:rFonts w:ascii="宋体" w:hAnsi="宋体" w:cs="宋体"/>
                <w:szCs w:val="21"/>
              </w:rPr>
            </w:pPr>
            <w:r>
              <w:rPr>
                <w:rFonts w:hint="eastAsia" w:ascii="宋体" w:hAnsi="宋体" w:cs="宋体"/>
                <w:szCs w:val="21"/>
              </w:rPr>
              <w:t>△</w:t>
            </w:r>
          </w:p>
        </w:tc>
        <w:tc>
          <w:tcPr>
            <w:tcW w:w="947" w:type="dxa"/>
            <w:vAlign w:val="center"/>
          </w:tcPr>
          <w:p w14:paraId="44776ED1">
            <w:pPr>
              <w:jc w:val="center"/>
              <w:rPr>
                <w:rFonts w:ascii="宋体" w:hAnsi="宋体" w:cs="宋体"/>
                <w:szCs w:val="21"/>
              </w:rPr>
            </w:pPr>
            <w:r>
              <w:rPr>
                <w:rFonts w:hint="eastAsia" w:ascii="宋体" w:hAnsi="宋体" w:cs="宋体"/>
                <w:szCs w:val="21"/>
              </w:rPr>
              <w:t>△</w:t>
            </w:r>
          </w:p>
        </w:tc>
      </w:tr>
      <w:tr w14:paraId="41931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612F4332">
            <w:pPr>
              <w:rPr>
                <w:color w:val="000000"/>
                <w:sz w:val="22"/>
              </w:rPr>
            </w:pPr>
            <w:r>
              <w:rPr>
                <w:rFonts w:hint="eastAsia"/>
                <w:color w:val="000000"/>
                <w:sz w:val="22"/>
              </w:rPr>
              <w:t>4.6  HACCP计划记录的保持</w:t>
            </w:r>
          </w:p>
        </w:tc>
        <w:tc>
          <w:tcPr>
            <w:tcW w:w="947" w:type="dxa"/>
            <w:vAlign w:val="center"/>
          </w:tcPr>
          <w:p w14:paraId="47640B4A">
            <w:pPr>
              <w:jc w:val="center"/>
              <w:rPr>
                <w:rFonts w:ascii="宋体" w:hAnsi="宋体" w:cs="宋体"/>
                <w:szCs w:val="21"/>
              </w:rPr>
            </w:pPr>
            <w:r>
              <w:rPr>
                <w:rFonts w:hint="eastAsia" w:ascii="宋体" w:hAnsi="宋体" w:cs="宋体"/>
                <w:szCs w:val="21"/>
              </w:rPr>
              <w:t>△</w:t>
            </w:r>
          </w:p>
        </w:tc>
        <w:tc>
          <w:tcPr>
            <w:tcW w:w="947" w:type="dxa"/>
            <w:vAlign w:val="center"/>
          </w:tcPr>
          <w:p w14:paraId="07B62EB3">
            <w:pPr>
              <w:jc w:val="center"/>
              <w:rPr>
                <w:rFonts w:ascii="宋体" w:hAnsi="宋体" w:cs="宋体"/>
                <w:szCs w:val="21"/>
              </w:rPr>
            </w:pPr>
            <w:r>
              <w:rPr>
                <w:rFonts w:hint="eastAsia" w:ascii="宋体" w:hAnsi="宋体" w:cs="宋体"/>
                <w:szCs w:val="21"/>
              </w:rPr>
              <w:t>△</w:t>
            </w:r>
          </w:p>
        </w:tc>
        <w:tc>
          <w:tcPr>
            <w:tcW w:w="947" w:type="dxa"/>
            <w:vAlign w:val="center"/>
          </w:tcPr>
          <w:p w14:paraId="0D841D15">
            <w:pPr>
              <w:jc w:val="center"/>
              <w:rPr>
                <w:rFonts w:ascii="宋体" w:hAnsi="宋体" w:cs="宋体"/>
                <w:szCs w:val="21"/>
              </w:rPr>
            </w:pPr>
            <w:r>
              <w:rPr>
                <w:rFonts w:hint="eastAsia" w:ascii="宋体" w:hAnsi="宋体" w:cs="宋体"/>
                <w:szCs w:val="21"/>
              </w:rPr>
              <w:t>△</w:t>
            </w:r>
          </w:p>
        </w:tc>
        <w:tc>
          <w:tcPr>
            <w:tcW w:w="947" w:type="dxa"/>
            <w:vAlign w:val="center"/>
          </w:tcPr>
          <w:p w14:paraId="4B4D2567">
            <w:pPr>
              <w:jc w:val="center"/>
              <w:rPr>
                <w:rFonts w:ascii="宋体" w:hAnsi="宋体" w:cs="宋体"/>
                <w:szCs w:val="21"/>
              </w:rPr>
            </w:pPr>
            <w:r>
              <w:rPr>
                <w:rFonts w:hint="eastAsia" w:ascii="宋体" w:hAnsi="宋体" w:cs="宋体"/>
                <w:szCs w:val="21"/>
              </w:rPr>
              <w:t>▲</w:t>
            </w:r>
          </w:p>
        </w:tc>
        <w:tc>
          <w:tcPr>
            <w:tcW w:w="947" w:type="dxa"/>
            <w:vAlign w:val="center"/>
          </w:tcPr>
          <w:p w14:paraId="662CCFCE">
            <w:pPr>
              <w:jc w:val="center"/>
              <w:rPr>
                <w:rFonts w:ascii="宋体" w:hAnsi="宋体" w:cs="宋体"/>
                <w:szCs w:val="21"/>
              </w:rPr>
            </w:pPr>
            <w:r>
              <w:rPr>
                <w:rFonts w:hint="eastAsia" w:ascii="宋体" w:hAnsi="宋体" w:cs="宋体"/>
                <w:szCs w:val="21"/>
              </w:rPr>
              <w:t>△</w:t>
            </w:r>
          </w:p>
        </w:tc>
      </w:tr>
      <w:tr w14:paraId="22599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58824A50">
            <w:pPr>
              <w:rPr>
                <w:color w:val="000000"/>
                <w:sz w:val="22"/>
              </w:rPr>
            </w:pPr>
            <w:r>
              <w:rPr>
                <w:rFonts w:hint="eastAsia"/>
                <w:color w:val="000000"/>
                <w:sz w:val="22"/>
              </w:rPr>
              <w:t>5  持续改进</w:t>
            </w:r>
          </w:p>
        </w:tc>
        <w:tc>
          <w:tcPr>
            <w:tcW w:w="947" w:type="dxa"/>
            <w:vAlign w:val="center"/>
          </w:tcPr>
          <w:p w14:paraId="57161DD4">
            <w:pPr>
              <w:jc w:val="center"/>
              <w:rPr>
                <w:rFonts w:ascii="宋体" w:hAnsi="宋体" w:cs="宋体"/>
                <w:szCs w:val="21"/>
              </w:rPr>
            </w:pPr>
          </w:p>
        </w:tc>
        <w:tc>
          <w:tcPr>
            <w:tcW w:w="947" w:type="dxa"/>
            <w:vAlign w:val="center"/>
          </w:tcPr>
          <w:p w14:paraId="157974FF">
            <w:pPr>
              <w:jc w:val="center"/>
              <w:rPr>
                <w:rFonts w:ascii="宋体" w:hAnsi="宋体" w:cs="宋体"/>
                <w:szCs w:val="21"/>
              </w:rPr>
            </w:pPr>
          </w:p>
        </w:tc>
        <w:tc>
          <w:tcPr>
            <w:tcW w:w="947" w:type="dxa"/>
            <w:vAlign w:val="center"/>
          </w:tcPr>
          <w:p w14:paraId="2292778C">
            <w:pPr>
              <w:jc w:val="center"/>
              <w:rPr>
                <w:rFonts w:ascii="宋体" w:hAnsi="宋体" w:cs="宋体"/>
                <w:szCs w:val="21"/>
              </w:rPr>
            </w:pPr>
          </w:p>
        </w:tc>
        <w:tc>
          <w:tcPr>
            <w:tcW w:w="947" w:type="dxa"/>
            <w:vAlign w:val="center"/>
          </w:tcPr>
          <w:p w14:paraId="4F364AA7">
            <w:pPr>
              <w:jc w:val="center"/>
              <w:rPr>
                <w:rFonts w:ascii="宋体" w:hAnsi="宋体" w:cs="宋体"/>
                <w:szCs w:val="21"/>
              </w:rPr>
            </w:pPr>
          </w:p>
        </w:tc>
        <w:tc>
          <w:tcPr>
            <w:tcW w:w="947" w:type="dxa"/>
            <w:vAlign w:val="center"/>
          </w:tcPr>
          <w:p w14:paraId="1BA521C4">
            <w:pPr>
              <w:jc w:val="center"/>
              <w:rPr>
                <w:rFonts w:ascii="宋体" w:hAnsi="宋体" w:cs="宋体"/>
                <w:szCs w:val="21"/>
              </w:rPr>
            </w:pPr>
          </w:p>
        </w:tc>
      </w:tr>
      <w:tr w14:paraId="0240E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622823B8">
            <w:pPr>
              <w:rPr>
                <w:color w:val="000000"/>
                <w:sz w:val="22"/>
              </w:rPr>
            </w:pPr>
            <w:r>
              <w:rPr>
                <w:rFonts w:hint="eastAsia"/>
                <w:color w:val="000000"/>
                <w:sz w:val="22"/>
              </w:rPr>
              <w:t>5.1 不合格和纠正措施</w:t>
            </w:r>
          </w:p>
        </w:tc>
        <w:tc>
          <w:tcPr>
            <w:tcW w:w="947" w:type="dxa"/>
            <w:vAlign w:val="center"/>
          </w:tcPr>
          <w:p w14:paraId="26834823">
            <w:pPr>
              <w:jc w:val="center"/>
              <w:rPr>
                <w:rFonts w:ascii="宋体" w:hAnsi="宋体" w:cs="宋体"/>
                <w:szCs w:val="21"/>
              </w:rPr>
            </w:pPr>
            <w:r>
              <w:rPr>
                <w:rFonts w:hint="eastAsia" w:ascii="宋体" w:hAnsi="宋体" w:cs="宋体"/>
                <w:szCs w:val="21"/>
              </w:rPr>
              <w:t>△</w:t>
            </w:r>
          </w:p>
        </w:tc>
        <w:tc>
          <w:tcPr>
            <w:tcW w:w="947" w:type="dxa"/>
            <w:vAlign w:val="center"/>
          </w:tcPr>
          <w:p w14:paraId="0E58743E">
            <w:pPr>
              <w:jc w:val="center"/>
              <w:rPr>
                <w:rFonts w:ascii="宋体" w:hAnsi="宋体" w:cs="宋体"/>
                <w:szCs w:val="21"/>
              </w:rPr>
            </w:pPr>
            <w:r>
              <w:rPr>
                <w:rFonts w:hint="eastAsia" w:ascii="宋体" w:hAnsi="宋体" w:cs="宋体"/>
                <w:szCs w:val="21"/>
              </w:rPr>
              <w:t>△</w:t>
            </w:r>
          </w:p>
        </w:tc>
        <w:tc>
          <w:tcPr>
            <w:tcW w:w="947" w:type="dxa"/>
            <w:vAlign w:val="center"/>
          </w:tcPr>
          <w:p w14:paraId="75A542FC">
            <w:pPr>
              <w:jc w:val="center"/>
              <w:rPr>
                <w:rFonts w:ascii="宋体" w:hAnsi="宋体" w:cs="宋体"/>
                <w:szCs w:val="21"/>
              </w:rPr>
            </w:pPr>
            <w:r>
              <w:rPr>
                <w:rFonts w:hint="eastAsia" w:ascii="宋体" w:hAnsi="宋体" w:cs="宋体"/>
                <w:szCs w:val="21"/>
              </w:rPr>
              <w:t>▲</w:t>
            </w:r>
          </w:p>
        </w:tc>
        <w:tc>
          <w:tcPr>
            <w:tcW w:w="947" w:type="dxa"/>
            <w:vAlign w:val="center"/>
          </w:tcPr>
          <w:p w14:paraId="57C40263">
            <w:pPr>
              <w:jc w:val="center"/>
              <w:rPr>
                <w:rFonts w:ascii="宋体" w:hAnsi="宋体" w:cs="宋体"/>
                <w:szCs w:val="21"/>
              </w:rPr>
            </w:pPr>
            <w:r>
              <w:rPr>
                <w:rFonts w:hint="eastAsia" w:ascii="宋体" w:hAnsi="宋体" w:cs="宋体"/>
                <w:szCs w:val="21"/>
              </w:rPr>
              <w:t>△</w:t>
            </w:r>
          </w:p>
        </w:tc>
        <w:tc>
          <w:tcPr>
            <w:tcW w:w="947" w:type="dxa"/>
            <w:vAlign w:val="center"/>
          </w:tcPr>
          <w:p w14:paraId="24E6BE1B">
            <w:pPr>
              <w:jc w:val="center"/>
              <w:rPr>
                <w:rFonts w:ascii="宋体" w:hAnsi="宋体" w:cs="宋体"/>
                <w:szCs w:val="21"/>
              </w:rPr>
            </w:pPr>
            <w:r>
              <w:rPr>
                <w:rFonts w:hint="eastAsia" w:ascii="宋体" w:hAnsi="宋体" w:cs="宋体"/>
                <w:szCs w:val="21"/>
              </w:rPr>
              <w:t>△</w:t>
            </w:r>
          </w:p>
        </w:tc>
      </w:tr>
      <w:tr w14:paraId="1F6AC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0B78C29D">
            <w:pPr>
              <w:rPr>
                <w:color w:val="000000"/>
                <w:sz w:val="22"/>
              </w:rPr>
            </w:pPr>
            <w:r>
              <w:rPr>
                <w:rFonts w:hint="eastAsia"/>
                <w:color w:val="000000"/>
                <w:sz w:val="22"/>
              </w:rPr>
              <w:t>5.1.1 不合格</w:t>
            </w:r>
          </w:p>
        </w:tc>
        <w:tc>
          <w:tcPr>
            <w:tcW w:w="947" w:type="dxa"/>
            <w:vAlign w:val="center"/>
          </w:tcPr>
          <w:p w14:paraId="37AB4A1C">
            <w:pPr>
              <w:jc w:val="center"/>
              <w:rPr>
                <w:rFonts w:ascii="宋体" w:hAnsi="宋体" w:cs="宋体"/>
                <w:szCs w:val="21"/>
              </w:rPr>
            </w:pPr>
            <w:r>
              <w:rPr>
                <w:rFonts w:hint="eastAsia" w:ascii="宋体" w:hAnsi="宋体" w:cs="宋体"/>
                <w:szCs w:val="21"/>
              </w:rPr>
              <w:t>△</w:t>
            </w:r>
          </w:p>
        </w:tc>
        <w:tc>
          <w:tcPr>
            <w:tcW w:w="947" w:type="dxa"/>
            <w:vAlign w:val="center"/>
          </w:tcPr>
          <w:p w14:paraId="2270BEA5">
            <w:pPr>
              <w:jc w:val="center"/>
              <w:rPr>
                <w:rFonts w:ascii="宋体" w:hAnsi="宋体" w:cs="宋体"/>
                <w:szCs w:val="21"/>
              </w:rPr>
            </w:pPr>
            <w:r>
              <w:rPr>
                <w:rFonts w:hint="eastAsia" w:ascii="宋体" w:hAnsi="宋体" w:cs="宋体"/>
                <w:szCs w:val="21"/>
              </w:rPr>
              <w:t>△</w:t>
            </w:r>
          </w:p>
        </w:tc>
        <w:tc>
          <w:tcPr>
            <w:tcW w:w="947" w:type="dxa"/>
            <w:vAlign w:val="center"/>
          </w:tcPr>
          <w:p w14:paraId="740BD0EA">
            <w:pPr>
              <w:jc w:val="center"/>
              <w:rPr>
                <w:rFonts w:ascii="宋体" w:hAnsi="宋体" w:cs="宋体"/>
                <w:szCs w:val="21"/>
              </w:rPr>
            </w:pPr>
            <w:r>
              <w:rPr>
                <w:rFonts w:hint="eastAsia" w:ascii="宋体" w:hAnsi="宋体" w:cs="宋体"/>
                <w:szCs w:val="21"/>
              </w:rPr>
              <w:t>▲</w:t>
            </w:r>
          </w:p>
        </w:tc>
        <w:tc>
          <w:tcPr>
            <w:tcW w:w="947" w:type="dxa"/>
            <w:vAlign w:val="center"/>
          </w:tcPr>
          <w:p w14:paraId="20F7FEEF">
            <w:pPr>
              <w:jc w:val="center"/>
              <w:rPr>
                <w:rFonts w:ascii="宋体" w:hAnsi="宋体" w:cs="宋体"/>
                <w:szCs w:val="21"/>
              </w:rPr>
            </w:pPr>
            <w:r>
              <w:rPr>
                <w:rFonts w:hint="eastAsia" w:ascii="宋体" w:hAnsi="宋体" w:cs="宋体"/>
                <w:szCs w:val="21"/>
              </w:rPr>
              <w:t>△</w:t>
            </w:r>
          </w:p>
        </w:tc>
        <w:tc>
          <w:tcPr>
            <w:tcW w:w="947" w:type="dxa"/>
            <w:vAlign w:val="center"/>
          </w:tcPr>
          <w:p w14:paraId="6F55E183">
            <w:pPr>
              <w:jc w:val="center"/>
              <w:rPr>
                <w:rFonts w:ascii="宋体" w:hAnsi="宋体" w:cs="宋体"/>
                <w:szCs w:val="21"/>
              </w:rPr>
            </w:pPr>
            <w:r>
              <w:rPr>
                <w:rFonts w:hint="eastAsia" w:ascii="宋体" w:hAnsi="宋体" w:cs="宋体"/>
                <w:szCs w:val="21"/>
              </w:rPr>
              <w:t>△</w:t>
            </w:r>
          </w:p>
        </w:tc>
      </w:tr>
      <w:tr w14:paraId="5C007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59BA23CC">
            <w:pPr>
              <w:rPr>
                <w:color w:val="000000"/>
                <w:sz w:val="22"/>
              </w:rPr>
            </w:pPr>
            <w:r>
              <w:rPr>
                <w:rFonts w:hint="eastAsia"/>
                <w:color w:val="000000"/>
                <w:sz w:val="22"/>
              </w:rPr>
              <w:t>5.1.2 纠正措施</w:t>
            </w:r>
          </w:p>
        </w:tc>
        <w:tc>
          <w:tcPr>
            <w:tcW w:w="947" w:type="dxa"/>
            <w:vAlign w:val="center"/>
          </w:tcPr>
          <w:p w14:paraId="3166718D">
            <w:pPr>
              <w:jc w:val="center"/>
              <w:rPr>
                <w:rFonts w:ascii="宋体" w:hAnsi="宋体" w:cs="宋体"/>
                <w:szCs w:val="21"/>
              </w:rPr>
            </w:pPr>
            <w:r>
              <w:rPr>
                <w:rFonts w:hint="eastAsia" w:ascii="宋体" w:hAnsi="宋体" w:cs="宋体"/>
                <w:szCs w:val="21"/>
              </w:rPr>
              <w:t>△</w:t>
            </w:r>
          </w:p>
        </w:tc>
        <w:tc>
          <w:tcPr>
            <w:tcW w:w="947" w:type="dxa"/>
            <w:vAlign w:val="center"/>
          </w:tcPr>
          <w:p w14:paraId="7A780E04">
            <w:pPr>
              <w:jc w:val="center"/>
              <w:rPr>
                <w:rFonts w:ascii="宋体" w:hAnsi="宋体" w:cs="宋体"/>
                <w:szCs w:val="21"/>
              </w:rPr>
            </w:pPr>
            <w:r>
              <w:rPr>
                <w:rFonts w:hint="eastAsia" w:ascii="宋体" w:hAnsi="宋体" w:cs="宋体"/>
                <w:szCs w:val="21"/>
              </w:rPr>
              <w:t>△</w:t>
            </w:r>
          </w:p>
        </w:tc>
        <w:tc>
          <w:tcPr>
            <w:tcW w:w="947" w:type="dxa"/>
            <w:vAlign w:val="center"/>
          </w:tcPr>
          <w:p w14:paraId="79818B5D">
            <w:pPr>
              <w:jc w:val="center"/>
              <w:rPr>
                <w:rFonts w:ascii="宋体" w:hAnsi="宋体" w:cs="宋体"/>
                <w:szCs w:val="21"/>
              </w:rPr>
            </w:pPr>
            <w:r>
              <w:rPr>
                <w:rFonts w:hint="eastAsia" w:ascii="宋体" w:hAnsi="宋体" w:cs="宋体"/>
                <w:szCs w:val="21"/>
              </w:rPr>
              <w:t>▲</w:t>
            </w:r>
          </w:p>
        </w:tc>
        <w:tc>
          <w:tcPr>
            <w:tcW w:w="947" w:type="dxa"/>
            <w:vAlign w:val="center"/>
          </w:tcPr>
          <w:p w14:paraId="1E65D259">
            <w:pPr>
              <w:jc w:val="center"/>
              <w:rPr>
                <w:rFonts w:ascii="宋体" w:hAnsi="宋体" w:cs="宋体"/>
                <w:szCs w:val="21"/>
              </w:rPr>
            </w:pPr>
            <w:r>
              <w:rPr>
                <w:rFonts w:hint="eastAsia" w:ascii="宋体" w:hAnsi="宋体" w:cs="宋体"/>
                <w:szCs w:val="21"/>
              </w:rPr>
              <w:t>△</w:t>
            </w:r>
          </w:p>
        </w:tc>
        <w:tc>
          <w:tcPr>
            <w:tcW w:w="947" w:type="dxa"/>
            <w:vAlign w:val="center"/>
          </w:tcPr>
          <w:p w14:paraId="333CDC96">
            <w:pPr>
              <w:jc w:val="center"/>
              <w:rPr>
                <w:rFonts w:ascii="宋体" w:hAnsi="宋体" w:cs="宋体"/>
                <w:szCs w:val="21"/>
              </w:rPr>
            </w:pPr>
            <w:r>
              <w:rPr>
                <w:rFonts w:hint="eastAsia" w:ascii="宋体" w:hAnsi="宋体" w:cs="宋体"/>
                <w:szCs w:val="21"/>
              </w:rPr>
              <w:t>△</w:t>
            </w:r>
          </w:p>
        </w:tc>
      </w:tr>
      <w:tr w14:paraId="54416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56546C38">
            <w:pPr>
              <w:rPr>
                <w:color w:val="000000"/>
                <w:sz w:val="22"/>
              </w:rPr>
            </w:pPr>
            <w:r>
              <w:rPr>
                <w:rFonts w:hint="eastAsia"/>
                <w:color w:val="000000"/>
                <w:sz w:val="22"/>
              </w:rPr>
              <w:t>5.2 投诉处理</w:t>
            </w:r>
          </w:p>
        </w:tc>
        <w:tc>
          <w:tcPr>
            <w:tcW w:w="947" w:type="dxa"/>
            <w:vAlign w:val="center"/>
          </w:tcPr>
          <w:p w14:paraId="0F775E47">
            <w:pPr>
              <w:jc w:val="center"/>
              <w:rPr>
                <w:rFonts w:ascii="宋体" w:hAnsi="宋体" w:cs="宋体"/>
                <w:szCs w:val="21"/>
              </w:rPr>
            </w:pPr>
            <w:r>
              <w:rPr>
                <w:rFonts w:hint="eastAsia" w:ascii="宋体" w:hAnsi="宋体" w:cs="宋体"/>
                <w:szCs w:val="21"/>
              </w:rPr>
              <w:t>△</w:t>
            </w:r>
          </w:p>
        </w:tc>
        <w:tc>
          <w:tcPr>
            <w:tcW w:w="947" w:type="dxa"/>
            <w:vAlign w:val="center"/>
          </w:tcPr>
          <w:p w14:paraId="5936AAC2">
            <w:pPr>
              <w:jc w:val="center"/>
              <w:rPr>
                <w:rFonts w:ascii="宋体" w:hAnsi="宋体" w:cs="宋体"/>
                <w:szCs w:val="21"/>
              </w:rPr>
            </w:pPr>
            <w:r>
              <w:rPr>
                <w:rFonts w:hint="eastAsia" w:ascii="宋体" w:hAnsi="宋体" w:cs="宋体"/>
                <w:szCs w:val="21"/>
              </w:rPr>
              <w:t>△</w:t>
            </w:r>
          </w:p>
        </w:tc>
        <w:tc>
          <w:tcPr>
            <w:tcW w:w="947" w:type="dxa"/>
            <w:vAlign w:val="center"/>
          </w:tcPr>
          <w:p w14:paraId="04FCBFD2">
            <w:pPr>
              <w:jc w:val="center"/>
              <w:rPr>
                <w:rFonts w:ascii="宋体" w:hAnsi="宋体" w:cs="宋体"/>
                <w:szCs w:val="21"/>
              </w:rPr>
            </w:pPr>
            <w:r>
              <w:rPr>
                <w:rFonts w:hint="eastAsia" w:ascii="宋体" w:hAnsi="宋体" w:cs="宋体"/>
                <w:szCs w:val="21"/>
              </w:rPr>
              <w:t>▲</w:t>
            </w:r>
          </w:p>
        </w:tc>
        <w:tc>
          <w:tcPr>
            <w:tcW w:w="947" w:type="dxa"/>
            <w:vAlign w:val="center"/>
          </w:tcPr>
          <w:p w14:paraId="410F4C49">
            <w:pPr>
              <w:jc w:val="center"/>
              <w:rPr>
                <w:rFonts w:ascii="宋体" w:hAnsi="宋体" w:cs="宋体"/>
                <w:szCs w:val="21"/>
              </w:rPr>
            </w:pPr>
            <w:r>
              <w:rPr>
                <w:rFonts w:hint="eastAsia" w:ascii="宋体" w:hAnsi="宋体" w:cs="宋体"/>
                <w:szCs w:val="21"/>
              </w:rPr>
              <w:t>△</w:t>
            </w:r>
          </w:p>
        </w:tc>
        <w:tc>
          <w:tcPr>
            <w:tcW w:w="947" w:type="dxa"/>
            <w:vAlign w:val="center"/>
          </w:tcPr>
          <w:p w14:paraId="1608FFA0">
            <w:pPr>
              <w:jc w:val="center"/>
              <w:rPr>
                <w:rFonts w:ascii="宋体" w:hAnsi="宋体" w:cs="宋体"/>
                <w:szCs w:val="21"/>
              </w:rPr>
            </w:pPr>
            <w:r>
              <w:rPr>
                <w:rFonts w:hint="eastAsia" w:ascii="宋体" w:hAnsi="宋体" w:cs="宋体"/>
                <w:szCs w:val="21"/>
              </w:rPr>
              <w:t>△</w:t>
            </w:r>
          </w:p>
        </w:tc>
      </w:tr>
      <w:tr w14:paraId="75B2F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07E09A8F">
            <w:pPr>
              <w:rPr>
                <w:color w:val="000000"/>
                <w:sz w:val="22"/>
              </w:rPr>
            </w:pPr>
            <w:r>
              <w:rPr>
                <w:rFonts w:hint="eastAsia"/>
                <w:color w:val="000000"/>
                <w:sz w:val="22"/>
              </w:rPr>
              <w:t>5.3 内部审核</w:t>
            </w:r>
          </w:p>
        </w:tc>
        <w:tc>
          <w:tcPr>
            <w:tcW w:w="947" w:type="dxa"/>
            <w:vAlign w:val="center"/>
          </w:tcPr>
          <w:p w14:paraId="75F38062">
            <w:pPr>
              <w:jc w:val="center"/>
              <w:rPr>
                <w:rFonts w:ascii="宋体" w:hAnsi="宋体" w:cs="宋体"/>
                <w:szCs w:val="21"/>
              </w:rPr>
            </w:pPr>
            <w:r>
              <w:rPr>
                <w:rFonts w:hint="eastAsia" w:ascii="宋体" w:hAnsi="宋体" w:cs="宋体"/>
                <w:szCs w:val="21"/>
              </w:rPr>
              <w:t>△</w:t>
            </w:r>
          </w:p>
        </w:tc>
        <w:tc>
          <w:tcPr>
            <w:tcW w:w="947" w:type="dxa"/>
            <w:vAlign w:val="center"/>
          </w:tcPr>
          <w:p w14:paraId="52C4AF91">
            <w:pPr>
              <w:jc w:val="center"/>
              <w:rPr>
                <w:rFonts w:ascii="宋体" w:hAnsi="宋体" w:cs="宋体"/>
                <w:szCs w:val="21"/>
              </w:rPr>
            </w:pPr>
            <w:r>
              <w:rPr>
                <w:rFonts w:hint="eastAsia" w:ascii="宋体" w:hAnsi="宋体" w:cs="宋体"/>
                <w:szCs w:val="21"/>
              </w:rPr>
              <w:t>▲</w:t>
            </w:r>
          </w:p>
        </w:tc>
        <w:tc>
          <w:tcPr>
            <w:tcW w:w="947" w:type="dxa"/>
            <w:vAlign w:val="center"/>
          </w:tcPr>
          <w:p w14:paraId="0BF2478F">
            <w:pPr>
              <w:jc w:val="center"/>
              <w:rPr>
                <w:rFonts w:ascii="宋体" w:hAnsi="宋体" w:cs="宋体"/>
                <w:szCs w:val="21"/>
              </w:rPr>
            </w:pPr>
            <w:r>
              <w:rPr>
                <w:rFonts w:hint="eastAsia" w:ascii="宋体" w:hAnsi="宋体" w:cs="宋体"/>
                <w:szCs w:val="21"/>
              </w:rPr>
              <w:t>△</w:t>
            </w:r>
          </w:p>
        </w:tc>
        <w:tc>
          <w:tcPr>
            <w:tcW w:w="947" w:type="dxa"/>
            <w:vAlign w:val="center"/>
          </w:tcPr>
          <w:p w14:paraId="3BFD3420">
            <w:pPr>
              <w:jc w:val="center"/>
              <w:rPr>
                <w:rFonts w:ascii="宋体" w:hAnsi="宋体" w:cs="宋体"/>
                <w:szCs w:val="21"/>
              </w:rPr>
            </w:pPr>
            <w:r>
              <w:rPr>
                <w:rFonts w:hint="eastAsia" w:ascii="宋体" w:hAnsi="宋体" w:cs="宋体"/>
                <w:szCs w:val="21"/>
              </w:rPr>
              <w:t>△</w:t>
            </w:r>
          </w:p>
        </w:tc>
        <w:tc>
          <w:tcPr>
            <w:tcW w:w="947" w:type="dxa"/>
            <w:vAlign w:val="center"/>
          </w:tcPr>
          <w:p w14:paraId="46697BB0">
            <w:pPr>
              <w:jc w:val="center"/>
              <w:rPr>
                <w:rFonts w:ascii="宋体" w:hAnsi="宋体" w:cs="宋体"/>
                <w:szCs w:val="21"/>
              </w:rPr>
            </w:pPr>
            <w:r>
              <w:rPr>
                <w:rFonts w:hint="eastAsia" w:ascii="宋体" w:hAnsi="宋体" w:cs="宋体"/>
                <w:szCs w:val="21"/>
              </w:rPr>
              <w:t>△</w:t>
            </w:r>
          </w:p>
        </w:tc>
      </w:tr>
      <w:tr w14:paraId="4D1D2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61" w:hRule="exact"/>
        </w:trPr>
        <w:tc>
          <w:tcPr>
            <w:tcW w:w="4839" w:type="dxa"/>
            <w:vAlign w:val="bottom"/>
          </w:tcPr>
          <w:p w14:paraId="2F36E71D">
            <w:pPr>
              <w:rPr>
                <w:color w:val="000000"/>
                <w:sz w:val="22"/>
              </w:rPr>
            </w:pPr>
            <w:r>
              <w:rPr>
                <w:rFonts w:hint="eastAsia"/>
                <w:color w:val="000000"/>
                <w:sz w:val="22"/>
              </w:rPr>
              <w:t>5.4 管理评审</w:t>
            </w:r>
          </w:p>
        </w:tc>
        <w:tc>
          <w:tcPr>
            <w:tcW w:w="947" w:type="dxa"/>
            <w:vAlign w:val="center"/>
          </w:tcPr>
          <w:p w14:paraId="72BE38FE">
            <w:pPr>
              <w:jc w:val="center"/>
              <w:rPr>
                <w:rFonts w:ascii="宋体" w:hAnsi="宋体" w:cs="宋体"/>
                <w:szCs w:val="21"/>
              </w:rPr>
            </w:pPr>
            <w:r>
              <w:rPr>
                <w:rFonts w:hint="eastAsia" w:ascii="宋体" w:hAnsi="宋体" w:cs="宋体"/>
                <w:szCs w:val="21"/>
              </w:rPr>
              <w:t>▲</w:t>
            </w:r>
          </w:p>
        </w:tc>
        <w:tc>
          <w:tcPr>
            <w:tcW w:w="947" w:type="dxa"/>
            <w:vAlign w:val="center"/>
          </w:tcPr>
          <w:p w14:paraId="72379727">
            <w:pPr>
              <w:jc w:val="center"/>
              <w:rPr>
                <w:rFonts w:ascii="宋体" w:hAnsi="宋体" w:cs="宋体"/>
                <w:szCs w:val="21"/>
              </w:rPr>
            </w:pPr>
            <w:r>
              <w:rPr>
                <w:rFonts w:hint="eastAsia" w:ascii="宋体" w:hAnsi="宋体" w:cs="宋体"/>
                <w:szCs w:val="21"/>
              </w:rPr>
              <w:t>△</w:t>
            </w:r>
          </w:p>
        </w:tc>
        <w:tc>
          <w:tcPr>
            <w:tcW w:w="947" w:type="dxa"/>
            <w:vAlign w:val="center"/>
          </w:tcPr>
          <w:p w14:paraId="50BBBE91">
            <w:pPr>
              <w:jc w:val="center"/>
              <w:rPr>
                <w:rFonts w:ascii="宋体" w:hAnsi="宋体" w:cs="宋体"/>
                <w:szCs w:val="21"/>
              </w:rPr>
            </w:pPr>
            <w:r>
              <w:rPr>
                <w:rFonts w:hint="eastAsia" w:ascii="宋体" w:hAnsi="宋体" w:cs="宋体"/>
                <w:szCs w:val="21"/>
              </w:rPr>
              <w:t>△</w:t>
            </w:r>
          </w:p>
        </w:tc>
        <w:tc>
          <w:tcPr>
            <w:tcW w:w="947" w:type="dxa"/>
            <w:vAlign w:val="center"/>
          </w:tcPr>
          <w:p w14:paraId="497AE0BA">
            <w:pPr>
              <w:jc w:val="center"/>
              <w:rPr>
                <w:rFonts w:ascii="宋体" w:hAnsi="宋体" w:cs="宋体"/>
                <w:szCs w:val="21"/>
              </w:rPr>
            </w:pPr>
            <w:r>
              <w:rPr>
                <w:rFonts w:hint="eastAsia" w:ascii="宋体" w:hAnsi="宋体" w:cs="宋体"/>
                <w:szCs w:val="21"/>
              </w:rPr>
              <w:t>△</w:t>
            </w:r>
          </w:p>
        </w:tc>
        <w:tc>
          <w:tcPr>
            <w:tcW w:w="947" w:type="dxa"/>
            <w:vAlign w:val="center"/>
          </w:tcPr>
          <w:p w14:paraId="70521C55">
            <w:pPr>
              <w:jc w:val="center"/>
              <w:rPr>
                <w:rFonts w:ascii="宋体" w:hAnsi="宋体" w:cs="宋体"/>
                <w:szCs w:val="21"/>
              </w:rPr>
            </w:pPr>
            <w:r>
              <w:rPr>
                <w:rFonts w:hint="eastAsia" w:ascii="宋体" w:hAnsi="宋体" w:cs="宋体"/>
                <w:szCs w:val="21"/>
              </w:rPr>
              <w:t>△</w:t>
            </w:r>
          </w:p>
        </w:tc>
      </w:tr>
      <w:tr w14:paraId="44AD9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377" w:hRule="exact"/>
        </w:trPr>
        <w:tc>
          <w:tcPr>
            <w:tcW w:w="4839" w:type="dxa"/>
            <w:vAlign w:val="bottom"/>
          </w:tcPr>
          <w:p w14:paraId="714B78B8">
            <w:pPr>
              <w:rPr>
                <w:color w:val="000000"/>
                <w:sz w:val="22"/>
              </w:rPr>
            </w:pPr>
            <w:r>
              <w:rPr>
                <w:rFonts w:hint="eastAsia"/>
                <w:color w:val="000000"/>
                <w:sz w:val="22"/>
              </w:rPr>
              <w:t>5.5 持续改进</w:t>
            </w:r>
          </w:p>
        </w:tc>
        <w:tc>
          <w:tcPr>
            <w:tcW w:w="947" w:type="dxa"/>
            <w:vAlign w:val="center"/>
          </w:tcPr>
          <w:p w14:paraId="0193B77D">
            <w:pPr>
              <w:jc w:val="center"/>
              <w:rPr>
                <w:rFonts w:ascii="宋体" w:hAnsi="宋体" w:cs="宋体"/>
                <w:szCs w:val="21"/>
              </w:rPr>
            </w:pPr>
            <w:r>
              <w:rPr>
                <w:rFonts w:hint="eastAsia" w:ascii="宋体" w:hAnsi="宋体" w:cs="宋体"/>
                <w:szCs w:val="21"/>
              </w:rPr>
              <w:t>▲</w:t>
            </w:r>
          </w:p>
        </w:tc>
        <w:tc>
          <w:tcPr>
            <w:tcW w:w="947" w:type="dxa"/>
            <w:vAlign w:val="center"/>
          </w:tcPr>
          <w:p w14:paraId="47350DC1">
            <w:pPr>
              <w:jc w:val="center"/>
              <w:rPr>
                <w:rFonts w:ascii="宋体" w:hAnsi="宋体" w:cs="宋体"/>
                <w:szCs w:val="21"/>
              </w:rPr>
            </w:pPr>
            <w:r>
              <w:rPr>
                <w:rFonts w:hint="eastAsia" w:ascii="宋体" w:hAnsi="宋体" w:cs="宋体"/>
                <w:szCs w:val="21"/>
              </w:rPr>
              <w:t>△</w:t>
            </w:r>
          </w:p>
        </w:tc>
        <w:tc>
          <w:tcPr>
            <w:tcW w:w="947" w:type="dxa"/>
            <w:vAlign w:val="center"/>
          </w:tcPr>
          <w:p w14:paraId="72F4208B">
            <w:pPr>
              <w:jc w:val="center"/>
              <w:rPr>
                <w:rFonts w:ascii="宋体" w:hAnsi="宋体" w:cs="宋体"/>
                <w:szCs w:val="21"/>
              </w:rPr>
            </w:pPr>
            <w:r>
              <w:rPr>
                <w:rFonts w:hint="eastAsia" w:ascii="宋体" w:hAnsi="宋体" w:cs="宋体"/>
                <w:szCs w:val="21"/>
              </w:rPr>
              <w:t>△</w:t>
            </w:r>
          </w:p>
        </w:tc>
        <w:tc>
          <w:tcPr>
            <w:tcW w:w="947" w:type="dxa"/>
            <w:vAlign w:val="center"/>
          </w:tcPr>
          <w:p w14:paraId="0E026DFD">
            <w:pPr>
              <w:jc w:val="center"/>
              <w:rPr>
                <w:rFonts w:ascii="宋体" w:hAnsi="宋体" w:cs="宋体"/>
                <w:szCs w:val="21"/>
              </w:rPr>
            </w:pPr>
            <w:r>
              <w:rPr>
                <w:rFonts w:hint="eastAsia" w:ascii="宋体" w:hAnsi="宋体" w:cs="宋体"/>
                <w:szCs w:val="21"/>
              </w:rPr>
              <w:t>△</w:t>
            </w:r>
          </w:p>
        </w:tc>
        <w:tc>
          <w:tcPr>
            <w:tcW w:w="947" w:type="dxa"/>
            <w:vAlign w:val="center"/>
          </w:tcPr>
          <w:p w14:paraId="0ED12B85">
            <w:pPr>
              <w:jc w:val="center"/>
              <w:rPr>
                <w:rFonts w:ascii="宋体" w:hAnsi="宋体" w:cs="宋体"/>
                <w:szCs w:val="21"/>
              </w:rPr>
            </w:pPr>
            <w:r>
              <w:rPr>
                <w:rFonts w:hint="eastAsia" w:ascii="宋体" w:hAnsi="宋体" w:cs="宋体"/>
                <w:szCs w:val="21"/>
              </w:rPr>
              <w:t>△</w:t>
            </w:r>
          </w:p>
        </w:tc>
      </w:tr>
    </w:tbl>
    <w:p w14:paraId="2B93F1C6">
      <w:pPr>
        <w:pStyle w:val="2"/>
        <w:spacing w:after="0" w:line="460" w:lineRule="exact"/>
        <w:rPr>
          <w:rFonts w:ascii="宋体" w:hAnsi="宋体" w:cs="宋体"/>
          <w:szCs w:val="21"/>
        </w:rPr>
      </w:pPr>
      <w:r>
        <w:rPr>
          <w:rFonts w:hint="eastAsia" w:ascii="宋体" w:hAnsi="宋体" w:cs="宋体"/>
          <w:szCs w:val="21"/>
        </w:rPr>
        <w:t>注：▲-表示主控部门，△-表示配合部门。</w:t>
      </w:r>
    </w:p>
    <w:p w14:paraId="31D6D6A8">
      <w:pPr>
        <w:pStyle w:val="2"/>
        <w:spacing w:after="0" w:line="460" w:lineRule="exact"/>
        <w:rPr>
          <w:rFonts w:ascii="宋体" w:hAnsi="宋体"/>
        </w:rPr>
      </w:pPr>
      <w:r>
        <w:rPr>
          <w:rFonts w:ascii="宋体" w:hAnsi="宋体"/>
        </w:rPr>
        <w:br w:type="page"/>
      </w:r>
    </w:p>
    <w:p w14:paraId="5A403996">
      <w:pPr>
        <w:rPr>
          <w:rFonts w:ascii="宋体" w:hAnsi="宋体"/>
          <w:b/>
          <w:bCs/>
          <w:color w:val="000000"/>
          <w:sz w:val="30"/>
          <w:szCs w:val="30"/>
        </w:rPr>
      </w:pPr>
      <w:r>
        <w:rPr>
          <w:rFonts w:hint="eastAsia" w:ascii="宋体" w:hAnsi="宋体"/>
          <w:b/>
          <w:bCs/>
          <w:color w:val="000000"/>
          <w:sz w:val="30"/>
          <w:szCs w:val="30"/>
        </w:rPr>
        <w:t>附件四：程序文件目录</w:t>
      </w:r>
    </w:p>
    <w:tbl>
      <w:tblPr>
        <w:tblStyle w:val="23"/>
        <w:tblW w:w="9058" w:type="dxa"/>
        <w:tblInd w:w="0" w:type="dxa"/>
        <w:tblLayout w:type="fixed"/>
        <w:tblCellMar>
          <w:top w:w="15" w:type="dxa"/>
          <w:left w:w="15" w:type="dxa"/>
          <w:bottom w:w="15" w:type="dxa"/>
          <w:right w:w="15" w:type="dxa"/>
        </w:tblCellMar>
      </w:tblPr>
      <w:tblGrid>
        <w:gridCol w:w="713"/>
        <w:gridCol w:w="3771"/>
        <w:gridCol w:w="1588"/>
        <w:gridCol w:w="1491"/>
        <w:gridCol w:w="1495"/>
      </w:tblGrid>
      <w:tr w14:paraId="345B1794">
        <w:tblPrEx>
          <w:tblCellMar>
            <w:top w:w="15" w:type="dxa"/>
            <w:left w:w="15" w:type="dxa"/>
            <w:bottom w:w="15" w:type="dxa"/>
            <w:right w:w="15" w:type="dxa"/>
          </w:tblCellMar>
        </w:tblPrEx>
        <w:trPr>
          <w:trHeight w:val="397" w:hRule="atLeast"/>
        </w:trPr>
        <w:tc>
          <w:tcPr>
            <w:tcW w:w="713" w:type="dxa"/>
            <w:tcBorders>
              <w:top w:val="single" w:color="000000" w:sz="12" w:space="0"/>
              <w:left w:val="single" w:color="000000" w:sz="12" w:space="0"/>
              <w:bottom w:val="single" w:color="000000" w:sz="4" w:space="0"/>
              <w:right w:val="single" w:color="000000" w:sz="4" w:space="0"/>
            </w:tcBorders>
            <w:shd w:val="clear" w:color="auto" w:fill="auto"/>
            <w:vAlign w:val="center"/>
          </w:tcPr>
          <w:p w14:paraId="5CD667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3771"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57E2E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文件名称</w:t>
            </w:r>
          </w:p>
        </w:tc>
        <w:tc>
          <w:tcPr>
            <w:tcW w:w="158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132A43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编号</w:t>
            </w:r>
          </w:p>
        </w:tc>
        <w:tc>
          <w:tcPr>
            <w:tcW w:w="1491"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02CD4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版本</w:t>
            </w:r>
          </w:p>
        </w:tc>
        <w:tc>
          <w:tcPr>
            <w:tcW w:w="1495"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ED72F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发布日期</w:t>
            </w:r>
          </w:p>
        </w:tc>
      </w:tr>
      <w:tr w14:paraId="2BFC2581">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0ED7A0C">
            <w:pPr>
              <w:widowControl/>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EE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文件控制程序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8B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QESFH-B-01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60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0BF9">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58DB5B47">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9337BF1">
            <w:pPr>
              <w:widowControl/>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F2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记录控制程序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0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QESFH-B-02</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F9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5BDA">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498C686B">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265A8C1">
            <w:pPr>
              <w:widowControl/>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E8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职责与沟通管理程序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FE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QESFH-B-03</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23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61D5">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070C8F04">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A3C8247">
            <w:pPr>
              <w:widowControl/>
              <w:jc w:val="center"/>
              <w:textAlignment w:val="center"/>
              <w:rPr>
                <w:rFonts w:ascii="宋体" w:hAnsi="宋体" w:cs="宋体"/>
                <w:color w:val="000000"/>
                <w:sz w:val="20"/>
                <w:szCs w:val="20"/>
              </w:rPr>
            </w:pPr>
            <w:r>
              <w:rPr>
                <w:rFonts w:hint="eastAsia" w:ascii="宋体" w:hAnsi="宋体" w:cs="宋体"/>
                <w:color w:val="000000"/>
                <w:sz w:val="20"/>
                <w:szCs w:val="20"/>
              </w:rPr>
              <w:t>4</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5C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应急准备与响应控制程序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72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QESFH-B-04</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02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8D45">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660E74A7">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DEAD4F6">
            <w:pPr>
              <w:widowControl/>
              <w:jc w:val="center"/>
              <w:textAlignment w:val="center"/>
              <w:rPr>
                <w:rFonts w:ascii="宋体" w:hAnsi="宋体" w:cs="宋体"/>
                <w:color w:val="000000"/>
                <w:sz w:val="20"/>
                <w:szCs w:val="20"/>
              </w:rPr>
            </w:pPr>
            <w:r>
              <w:rPr>
                <w:rFonts w:hint="eastAsia" w:ascii="宋体" w:hAnsi="宋体" w:cs="宋体"/>
                <w:color w:val="000000"/>
                <w:sz w:val="20"/>
                <w:szCs w:val="20"/>
              </w:rPr>
              <w:t>5</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E3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管理评审程序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92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QESFH-B-05</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49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16D2">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619511CC">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374E526">
            <w:pPr>
              <w:widowControl/>
              <w:jc w:val="center"/>
              <w:textAlignment w:val="center"/>
              <w:rPr>
                <w:rFonts w:ascii="宋体" w:hAnsi="宋体" w:cs="宋体"/>
                <w:color w:val="000000"/>
                <w:sz w:val="20"/>
                <w:szCs w:val="20"/>
              </w:rPr>
            </w:pPr>
            <w:r>
              <w:rPr>
                <w:rFonts w:hint="eastAsia" w:ascii="宋体" w:hAnsi="宋体" w:cs="宋体"/>
                <w:color w:val="000000"/>
                <w:sz w:val="20"/>
                <w:szCs w:val="20"/>
              </w:rPr>
              <w:t>6</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04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人力资源控制程序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CB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QESFH-B-06</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36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BB58">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54ACC57D">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D91ED5A">
            <w:pPr>
              <w:widowControl/>
              <w:jc w:val="center"/>
              <w:textAlignment w:val="center"/>
              <w:rPr>
                <w:rFonts w:ascii="宋体" w:hAnsi="宋体" w:cs="宋体"/>
                <w:color w:val="000000"/>
                <w:sz w:val="20"/>
                <w:szCs w:val="20"/>
              </w:rPr>
            </w:pPr>
            <w:r>
              <w:rPr>
                <w:rFonts w:hint="eastAsia" w:ascii="宋体" w:hAnsi="宋体" w:cs="宋体"/>
                <w:color w:val="000000"/>
                <w:sz w:val="20"/>
                <w:szCs w:val="20"/>
              </w:rPr>
              <w:t>7</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6E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基础设施控制程序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AE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QESFH-B-07</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1D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4F5C">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2A89E772">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34D0">
            <w:pPr>
              <w:widowControl/>
              <w:jc w:val="center"/>
              <w:textAlignment w:val="center"/>
              <w:rPr>
                <w:rFonts w:ascii="宋体" w:hAnsi="宋体" w:cs="宋体"/>
                <w:color w:val="000000"/>
                <w:sz w:val="20"/>
                <w:szCs w:val="20"/>
              </w:rPr>
            </w:pPr>
            <w:r>
              <w:rPr>
                <w:rFonts w:hint="eastAsia" w:ascii="宋体" w:hAnsi="宋体" w:cs="宋体"/>
                <w:color w:val="000000"/>
                <w:sz w:val="20"/>
                <w:szCs w:val="20"/>
              </w:rPr>
              <w:t>8</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B8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不合格品控制程序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99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QESFH-B-08</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47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A/9</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215E">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51693CFB">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04A4B3B">
            <w:pPr>
              <w:widowControl/>
              <w:jc w:val="center"/>
              <w:textAlignment w:val="center"/>
              <w:rPr>
                <w:rFonts w:ascii="宋体" w:hAnsi="宋体" w:cs="宋体"/>
                <w:color w:val="000000"/>
                <w:sz w:val="20"/>
                <w:szCs w:val="20"/>
              </w:rPr>
            </w:pPr>
            <w:r>
              <w:rPr>
                <w:rFonts w:hint="eastAsia" w:ascii="宋体" w:hAnsi="宋体" w:cs="宋体"/>
                <w:color w:val="000000"/>
                <w:sz w:val="20"/>
                <w:szCs w:val="20"/>
              </w:rPr>
              <w:t>9</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62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采购控制程序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99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QESFH-B-09</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35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998F">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017F2AD9">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BFA87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60F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产品召回控制程序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1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QESFH-B-10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36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053A">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46DBE50F">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4CD07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CF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内部审核控制程序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38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QESFH-B-11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54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9753">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5564016C">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23E9E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3771" w:type="dxa"/>
            <w:shd w:val="clear" w:color="auto" w:fill="auto"/>
            <w:vAlign w:val="center"/>
          </w:tcPr>
          <w:p w14:paraId="675498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确认、验证和改进控制程序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5D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QESFH-B-12</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EC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3F5E">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0152FC12">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E5B72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4B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危害分析、评估、控制程序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F0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QESFH-B-13</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05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47A6">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7416F818">
        <w:tblPrEx>
          <w:tblCellMar>
            <w:top w:w="15" w:type="dxa"/>
            <w:left w:w="15" w:type="dxa"/>
            <w:bottom w:w="15" w:type="dxa"/>
            <w:right w:w="15" w:type="dxa"/>
          </w:tblCellMar>
        </w:tblPrEx>
        <w:trPr>
          <w:trHeight w:val="376"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F5894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30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工作环境控制程序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17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QESFH-B-14</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6B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D030">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0845694B">
        <w:tblPrEx>
          <w:tblCellMar>
            <w:top w:w="15" w:type="dxa"/>
            <w:left w:w="15" w:type="dxa"/>
            <w:bottom w:w="15" w:type="dxa"/>
            <w:right w:w="15" w:type="dxa"/>
          </w:tblCellMar>
        </w:tblPrEx>
        <w:trPr>
          <w:trHeight w:val="376"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4491F65">
            <w:pPr>
              <w:widowControl/>
              <w:jc w:val="center"/>
              <w:textAlignment w:val="center"/>
              <w:rPr>
                <w:rFonts w:ascii="宋体" w:hAnsi="宋体" w:cs="宋体"/>
                <w:color w:val="000000"/>
                <w:sz w:val="20"/>
                <w:szCs w:val="20"/>
              </w:rPr>
            </w:pPr>
            <w:r>
              <w:rPr>
                <w:rFonts w:hint="eastAsia" w:ascii="宋体" w:hAnsi="宋体" w:cs="宋体"/>
                <w:color w:val="000000"/>
                <w:sz w:val="20"/>
                <w:szCs w:val="20"/>
              </w:rPr>
              <w:t>15</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B4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监视和测量设备控制程序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6A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QESFH-B-15</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69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33EC">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49C1030D">
        <w:tblPrEx>
          <w:tblCellMar>
            <w:top w:w="15" w:type="dxa"/>
            <w:left w:w="15" w:type="dxa"/>
            <w:bottom w:w="15" w:type="dxa"/>
            <w:right w:w="15" w:type="dxa"/>
          </w:tblCellMar>
        </w:tblPrEx>
        <w:trPr>
          <w:trHeight w:val="376"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4D4BB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F1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可追溯控制程序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E4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QESFH-B-16</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C7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A9D2">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02DF424C">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0D47D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EC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纠正和纠正措施控制程序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54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QESFH-B-17</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76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699A">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5AB459D1">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5C1D6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62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预防措施控制程序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15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QESFH-B-18</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EA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1DF3">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577C50AE">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45726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7C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监控与纠偏程序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6B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QESFH-B-19</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A8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08F">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1DE763C4">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B1B74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B5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有毒有害品管理程序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29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QESFH-B-20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AE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6D87">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eastAsia="zh-CN" w:bidi="ar"/>
              </w:rPr>
              <w:t>2025.2.12</w:t>
            </w:r>
          </w:p>
        </w:tc>
      </w:tr>
      <w:tr w14:paraId="388EFD22">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941503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D5E6">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预防和消除食品欺诈程序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770E">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QESFH-B-21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802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AA8A">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2025.2.12</w:t>
            </w:r>
          </w:p>
        </w:tc>
      </w:tr>
      <w:tr w14:paraId="34025127">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E8AA31F">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A20">
            <w:pPr>
              <w:widowControl/>
              <w:ind w:firstLine="600" w:firstLineChars="300"/>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食品过敏原控制程序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FCE3">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QESFH-B-22</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E1C2">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FCFF">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2025.2.12</w:t>
            </w:r>
          </w:p>
        </w:tc>
      </w:tr>
      <w:tr w14:paraId="26625E85">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52DE704">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23</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0C6D">
            <w:pPr>
              <w:widowControl/>
              <w:ind w:firstLine="600" w:firstLineChars="300"/>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食品配送控制程序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1269">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QESFH-B-23</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87F8">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2341">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2025.2.12</w:t>
            </w:r>
          </w:p>
        </w:tc>
      </w:tr>
      <w:tr w14:paraId="36047AED">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EE02763">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E57">
            <w:pPr>
              <w:widowControl/>
              <w:ind w:firstLine="600" w:firstLineChars="300"/>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法律及其他要求控制程序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01C6">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QESFH-B-24</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2AB1">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DA4B">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2025.2.12</w:t>
            </w:r>
          </w:p>
        </w:tc>
      </w:tr>
      <w:tr w14:paraId="2EBE79C4">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369C64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DA11">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环境职业健康安全目标和方案控制程序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0AD1">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QESFH-B-25</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446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10DB">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2025.2.12</w:t>
            </w:r>
          </w:p>
        </w:tc>
      </w:tr>
      <w:tr w14:paraId="1DF3AE5C">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F322C0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26</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029F">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环境运行控制程序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D2CA">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QESFH-B-26</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D394">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9BF2">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2025.2.12</w:t>
            </w:r>
          </w:p>
        </w:tc>
      </w:tr>
      <w:tr w14:paraId="6A84547C">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C9A3E6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27</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320D">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环境因素和危险源识别评价控制程序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1B51">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QESFH-B-27</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60DF">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C79F">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2025.2.12</w:t>
            </w:r>
          </w:p>
        </w:tc>
      </w:tr>
      <w:tr w14:paraId="7CF3B599">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293439F">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28</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684F">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公司环境分析控制程序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CC6C">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QESFH-B-28</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5E1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C2D3">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2025.2.12</w:t>
            </w:r>
          </w:p>
        </w:tc>
      </w:tr>
      <w:tr w14:paraId="1A564E4F">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B1CFE45">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29</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1523">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风险和机遇的应对控制程序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EBF9">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QESFH-B-29</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7A2C">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92F7">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2025.2.12</w:t>
            </w:r>
          </w:p>
        </w:tc>
      </w:tr>
      <w:tr w14:paraId="244409CC">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AFA4CE1">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FE4D">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职业健康安全运行控制程序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613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QESFH-B-30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A72C">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FFEC">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2025.2.12</w:t>
            </w:r>
          </w:p>
        </w:tc>
      </w:tr>
      <w:tr w14:paraId="4150C34B">
        <w:tblPrEx>
          <w:tblCellMar>
            <w:top w:w="15" w:type="dxa"/>
            <w:left w:w="15" w:type="dxa"/>
            <w:bottom w:w="15" w:type="dxa"/>
            <w:right w:w="15" w:type="dxa"/>
          </w:tblCellMar>
        </w:tblPrEx>
        <w:trPr>
          <w:trHeight w:val="555"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6DD780D">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694A">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合规性评价控制程序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E43D">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QESFH-B-31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BD4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242E">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2025.2.12</w:t>
            </w:r>
          </w:p>
        </w:tc>
      </w:tr>
      <w:tr w14:paraId="07C235FA">
        <w:tblPrEx>
          <w:tblCellMar>
            <w:top w:w="15" w:type="dxa"/>
            <w:left w:w="15" w:type="dxa"/>
            <w:bottom w:w="15" w:type="dxa"/>
            <w:right w:w="15" w:type="dxa"/>
          </w:tblCellMar>
        </w:tblPrEx>
        <w:trPr>
          <w:trHeight w:val="566" w:hRule="atLeast"/>
        </w:trPr>
        <w:tc>
          <w:tcPr>
            <w:tcW w:w="713"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6ADB576">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32</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05E0">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事故报告、调查与处理控制程序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D85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QESFH-B-32</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DCBD">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A/0</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03F1">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2025.2.12</w:t>
            </w:r>
          </w:p>
        </w:tc>
      </w:tr>
    </w:tbl>
    <w:p w14:paraId="27C089E7">
      <w:pPr>
        <w:pStyle w:val="2"/>
        <w:rPr>
          <w:rFonts w:ascii="宋体" w:hAnsi="宋体"/>
        </w:rPr>
      </w:pPr>
    </w:p>
    <w:sectPr>
      <w:headerReference r:id="rId4" w:type="first"/>
      <w:headerReference r:id="rId3" w:type="default"/>
      <w:pgSz w:w="11906" w:h="16838"/>
      <w:pgMar w:top="1157" w:right="1800" w:bottom="1043" w:left="180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1"/>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pPr w:leftFromText="180" w:rightFromText="180" w:vertAnchor="text" w:tblpX="-124" w:tblpY="1"/>
      <w:tblOverlap w:val="never"/>
      <w:tblW w:w="9356" w:type="dxa"/>
      <w:tblInd w:w="0" w:type="dxa"/>
      <w:tblBorders>
        <w:top w:val="double" w:color="000000" w:sz="6" w:space="0"/>
        <w:left w:val="double" w:color="000000" w:sz="6" w:space="0"/>
        <w:bottom w:val="double" w:color="000000" w:sz="6" w:space="0"/>
        <w:right w:val="double" w:color="000000" w:sz="6" w:space="0"/>
        <w:insideH w:val="dotted" w:color="auto" w:sz="4" w:space="0"/>
        <w:insideV w:val="dotted" w:color="auto" w:sz="4" w:space="0"/>
      </w:tblBorders>
      <w:tblLayout w:type="fixed"/>
      <w:tblCellMar>
        <w:top w:w="0" w:type="dxa"/>
        <w:left w:w="28" w:type="dxa"/>
        <w:bottom w:w="0" w:type="dxa"/>
        <w:right w:w="28" w:type="dxa"/>
      </w:tblCellMar>
    </w:tblPr>
    <w:tblGrid>
      <w:gridCol w:w="5753"/>
      <w:gridCol w:w="2438"/>
      <w:gridCol w:w="1165"/>
    </w:tblGrid>
    <w:tr w14:paraId="5E470F88">
      <w:tblPrEx>
        <w:tblBorders>
          <w:top w:val="double" w:color="000000" w:sz="6" w:space="0"/>
          <w:left w:val="double" w:color="000000" w:sz="6" w:space="0"/>
          <w:bottom w:val="double" w:color="000000" w:sz="6" w:space="0"/>
          <w:right w:val="double" w:color="000000" w:sz="6" w:space="0"/>
          <w:insideH w:val="dotted" w:color="auto" w:sz="4" w:space="0"/>
          <w:insideV w:val="dotted" w:color="auto" w:sz="4" w:space="0"/>
        </w:tblBorders>
        <w:tblCellMar>
          <w:top w:w="0" w:type="dxa"/>
          <w:left w:w="28" w:type="dxa"/>
          <w:bottom w:w="0" w:type="dxa"/>
          <w:right w:w="28" w:type="dxa"/>
        </w:tblCellMar>
      </w:tblPrEx>
      <w:trPr>
        <w:cantSplit/>
        <w:trHeight w:val="274" w:hRule="atLeast"/>
      </w:trPr>
      <w:tc>
        <w:tcPr>
          <w:tcW w:w="5753" w:type="dxa"/>
          <w:vMerge w:val="restart"/>
          <w:tcBorders>
            <w:top w:val="single" w:color="auto" w:sz="4" w:space="0"/>
            <w:left w:val="single" w:color="auto" w:sz="4" w:space="0"/>
            <w:bottom w:val="single" w:color="auto" w:sz="4" w:space="0"/>
            <w:right w:val="single" w:color="auto" w:sz="4" w:space="0"/>
          </w:tcBorders>
          <w:vAlign w:val="center"/>
        </w:tcPr>
        <w:p w14:paraId="5417550E">
          <w:pPr>
            <w:jc w:val="center"/>
            <w:rPr>
              <w:rFonts w:hint="eastAsia" w:asciiTheme="minorEastAsia" w:hAnsiTheme="minorEastAsia" w:eastAsiaTheme="minorEastAsia"/>
              <w:b/>
              <w:bCs/>
              <w:sz w:val="24"/>
              <w:szCs w:val="32"/>
              <w:lang w:eastAsia="zh-CN"/>
            </w:rPr>
          </w:pPr>
          <w:r>
            <w:rPr>
              <w:rFonts w:hint="eastAsia" w:asciiTheme="minorEastAsia" w:hAnsiTheme="minorEastAsia" w:eastAsiaTheme="minorEastAsia"/>
              <w:b/>
              <w:sz w:val="28"/>
              <w:szCs w:val="28"/>
              <w:lang w:eastAsia="zh-CN"/>
            </w:rPr>
            <w:t>武汉硚运供应链管理有限责任公司</w:t>
          </w:r>
        </w:p>
      </w:tc>
      <w:tc>
        <w:tcPr>
          <w:tcW w:w="3603" w:type="dxa"/>
          <w:gridSpan w:val="2"/>
          <w:tcBorders>
            <w:top w:val="single" w:color="auto" w:sz="4" w:space="0"/>
            <w:left w:val="single" w:color="auto" w:sz="4" w:space="0"/>
            <w:bottom w:val="single" w:color="auto" w:sz="4" w:space="0"/>
            <w:right w:val="single" w:color="auto" w:sz="4" w:space="0"/>
          </w:tcBorders>
          <w:vAlign w:val="center"/>
        </w:tcPr>
        <w:p w14:paraId="2B151FA1">
          <w:pPr>
            <w:spacing w:line="300" w:lineRule="exact"/>
            <w:jc w:val="center"/>
            <w:rPr>
              <w:rFonts w:asciiTheme="minorEastAsia" w:hAnsiTheme="minorEastAsia" w:eastAsiaTheme="minorEastAsia"/>
              <w:b/>
              <w:sz w:val="24"/>
              <w:szCs w:val="32"/>
            </w:rPr>
          </w:pPr>
          <w:r>
            <w:rPr>
              <w:rFonts w:hint="eastAsia" w:asciiTheme="minorEastAsia" w:hAnsiTheme="minorEastAsia" w:eastAsiaTheme="minorEastAsia"/>
              <w:sz w:val="24"/>
              <w:szCs w:val="24"/>
            </w:rPr>
            <w:t>文件编</w:t>
          </w:r>
          <w:r>
            <w:rPr>
              <w:rFonts w:asciiTheme="minorEastAsia" w:hAnsiTheme="minorEastAsia" w:eastAsiaTheme="minorEastAsia"/>
              <w:sz w:val="24"/>
              <w:szCs w:val="24"/>
            </w:rPr>
            <w:t>号：</w:t>
          </w:r>
          <w:r>
            <w:rPr>
              <w:rFonts w:hint="eastAsia" w:asciiTheme="minorEastAsia" w:hAnsiTheme="minorEastAsia" w:eastAsiaTheme="minorEastAsia"/>
              <w:sz w:val="24"/>
              <w:szCs w:val="24"/>
            </w:rPr>
            <w:t>QESFH-A-01</w:t>
          </w:r>
        </w:p>
      </w:tc>
    </w:tr>
    <w:tr w14:paraId="24E530F4">
      <w:tblPrEx>
        <w:tblBorders>
          <w:top w:val="double" w:color="000000" w:sz="6" w:space="0"/>
          <w:left w:val="double" w:color="000000" w:sz="6" w:space="0"/>
          <w:bottom w:val="double" w:color="000000" w:sz="6" w:space="0"/>
          <w:right w:val="double" w:color="000000" w:sz="6" w:space="0"/>
          <w:insideH w:val="dotted" w:color="auto" w:sz="4" w:space="0"/>
          <w:insideV w:val="dotted" w:color="auto" w:sz="4" w:space="0"/>
        </w:tblBorders>
        <w:tblCellMar>
          <w:top w:w="0" w:type="dxa"/>
          <w:left w:w="28" w:type="dxa"/>
          <w:bottom w:w="0" w:type="dxa"/>
          <w:right w:w="28" w:type="dxa"/>
        </w:tblCellMar>
      </w:tblPrEx>
      <w:trPr>
        <w:cantSplit/>
        <w:trHeight w:val="267" w:hRule="atLeast"/>
      </w:trPr>
      <w:tc>
        <w:tcPr>
          <w:tcW w:w="5753" w:type="dxa"/>
          <w:vMerge w:val="continue"/>
          <w:tcBorders>
            <w:top w:val="single" w:color="auto" w:sz="4" w:space="0"/>
            <w:left w:val="single" w:color="auto" w:sz="4" w:space="0"/>
            <w:bottom w:val="single" w:color="auto" w:sz="4" w:space="0"/>
            <w:right w:val="single" w:color="auto" w:sz="4" w:space="0"/>
          </w:tcBorders>
        </w:tcPr>
        <w:p w14:paraId="329B3279">
          <w:pPr>
            <w:snapToGrid w:val="0"/>
            <w:jc w:val="center"/>
            <w:rPr>
              <w:rFonts w:asciiTheme="minorEastAsia" w:hAnsiTheme="minorEastAsia" w:eastAsiaTheme="minorEastAsia"/>
              <w:b/>
              <w:sz w:val="32"/>
              <w:szCs w:val="32"/>
            </w:rPr>
          </w:pPr>
        </w:p>
      </w:tc>
      <w:tc>
        <w:tcPr>
          <w:tcW w:w="2438" w:type="dxa"/>
          <w:tcBorders>
            <w:top w:val="single" w:color="auto" w:sz="4" w:space="0"/>
            <w:left w:val="single" w:color="auto" w:sz="4" w:space="0"/>
            <w:bottom w:val="single" w:color="auto" w:sz="4" w:space="0"/>
            <w:right w:val="single" w:color="auto" w:sz="4" w:space="0"/>
          </w:tcBorders>
        </w:tcPr>
        <w:p w14:paraId="3525D651">
          <w:pPr>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共</w:t>
          </w:r>
          <w:r>
            <w:rPr>
              <w:rFonts w:asciiTheme="minorEastAsia" w:hAnsiTheme="minorEastAsia" w:eastAsiaTheme="minorEastAsia"/>
              <w:sz w:val="24"/>
              <w:szCs w:val="24"/>
            </w:rPr>
            <w:fldChar w:fldCharType="begin"/>
          </w:r>
          <w:r>
            <w:rPr>
              <w:rStyle w:val="26"/>
              <w:rFonts w:asciiTheme="minorEastAsia" w:hAnsiTheme="minorEastAsia" w:eastAsiaTheme="minorEastAsia"/>
              <w:sz w:val="24"/>
              <w:szCs w:val="24"/>
            </w:rPr>
            <w:instrText xml:space="preserve"> NUMPAGES </w:instrText>
          </w:r>
          <w:r>
            <w:rPr>
              <w:rFonts w:asciiTheme="minorEastAsia" w:hAnsiTheme="minorEastAsia" w:eastAsiaTheme="minorEastAsia"/>
              <w:sz w:val="24"/>
              <w:szCs w:val="24"/>
            </w:rPr>
            <w:fldChar w:fldCharType="separate"/>
          </w:r>
          <w:r>
            <w:rPr>
              <w:rStyle w:val="26"/>
              <w:rFonts w:asciiTheme="minorEastAsia" w:hAnsiTheme="minorEastAsia" w:eastAsiaTheme="minorEastAsia"/>
              <w:sz w:val="24"/>
              <w:szCs w:val="24"/>
            </w:rPr>
            <w:t>64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页</w:t>
          </w:r>
        </w:p>
      </w:tc>
      <w:tc>
        <w:tcPr>
          <w:tcW w:w="1165" w:type="dxa"/>
          <w:tcBorders>
            <w:top w:val="single" w:color="auto" w:sz="4" w:space="0"/>
            <w:left w:val="single" w:color="auto" w:sz="4" w:space="0"/>
            <w:bottom w:val="single" w:color="auto" w:sz="4" w:space="0"/>
            <w:right w:val="single" w:color="auto" w:sz="4" w:space="0"/>
          </w:tcBorders>
        </w:tcPr>
        <w:p w14:paraId="5F2D9CAE">
          <w:pPr>
            <w:spacing w:line="3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第</w:t>
          </w:r>
          <w:r>
            <w:rPr>
              <w:rFonts w:asciiTheme="minorEastAsia" w:hAnsiTheme="minorEastAsia" w:eastAsiaTheme="minorEastAsia"/>
              <w:sz w:val="24"/>
              <w:szCs w:val="24"/>
            </w:rPr>
            <w:fldChar w:fldCharType="begin"/>
          </w:r>
          <w:r>
            <w:rPr>
              <w:rStyle w:val="26"/>
              <w:rFonts w:asciiTheme="minorEastAsia" w:hAnsiTheme="minorEastAsia" w:eastAsiaTheme="minorEastAsia"/>
              <w:sz w:val="24"/>
              <w:szCs w:val="24"/>
            </w:rPr>
            <w:instrText xml:space="preserve"> PAGE </w:instrText>
          </w:r>
          <w:r>
            <w:rPr>
              <w:rFonts w:asciiTheme="minorEastAsia" w:hAnsiTheme="minorEastAsia" w:eastAsiaTheme="minorEastAsia"/>
              <w:sz w:val="24"/>
              <w:szCs w:val="24"/>
            </w:rPr>
            <w:fldChar w:fldCharType="separate"/>
          </w:r>
          <w:r>
            <w:rPr>
              <w:rStyle w:val="26"/>
              <w:rFonts w:asciiTheme="minorEastAsia" w:hAnsiTheme="minorEastAsia" w:eastAsiaTheme="minorEastAsia"/>
              <w:sz w:val="24"/>
              <w:szCs w:val="24"/>
            </w:rPr>
            <w:t>11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页</w:t>
          </w:r>
        </w:p>
      </w:tc>
    </w:tr>
    <w:tr w14:paraId="61B1AA1D">
      <w:tblPrEx>
        <w:tblBorders>
          <w:top w:val="double" w:color="000000" w:sz="6" w:space="0"/>
          <w:left w:val="double" w:color="000000" w:sz="6" w:space="0"/>
          <w:bottom w:val="double" w:color="000000" w:sz="6" w:space="0"/>
          <w:right w:val="double" w:color="000000" w:sz="6" w:space="0"/>
          <w:insideH w:val="dotted" w:color="auto" w:sz="4" w:space="0"/>
          <w:insideV w:val="dotted" w:color="auto" w:sz="4" w:space="0"/>
        </w:tblBorders>
        <w:tblCellMar>
          <w:top w:w="0" w:type="dxa"/>
          <w:left w:w="28" w:type="dxa"/>
          <w:bottom w:w="0" w:type="dxa"/>
          <w:right w:w="28" w:type="dxa"/>
        </w:tblCellMar>
      </w:tblPrEx>
      <w:trPr>
        <w:cantSplit/>
        <w:trHeight w:val="203" w:hRule="atLeast"/>
      </w:trPr>
      <w:tc>
        <w:tcPr>
          <w:tcW w:w="5753" w:type="dxa"/>
          <w:vMerge w:val="restart"/>
          <w:tcBorders>
            <w:top w:val="single" w:color="auto" w:sz="4" w:space="0"/>
            <w:left w:val="single" w:color="auto" w:sz="4" w:space="0"/>
            <w:bottom w:val="single" w:color="auto" w:sz="4" w:space="0"/>
            <w:right w:val="single" w:color="auto" w:sz="4" w:space="0"/>
          </w:tcBorders>
          <w:vAlign w:val="center"/>
        </w:tcPr>
        <w:p w14:paraId="4AD4E116">
          <w:pPr>
            <w:snapToGrid w:val="0"/>
            <w:jc w:val="center"/>
            <w:rPr>
              <w:rFonts w:asciiTheme="minorEastAsia" w:hAnsiTheme="minorEastAsia" w:eastAsiaTheme="minorEastAsia"/>
              <w:b/>
              <w:sz w:val="32"/>
              <w:szCs w:val="32"/>
            </w:rPr>
          </w:pPr>
          <w:r>
            <w:rPr>
              <w:rFonts w:hint="eastAsia" w:asciiTheme="minorEastAsia" w:hAnsiTheme="minorEastAsia" w:eastAsiaTheme="minorEastAsia"/>
              <w:b/>
              <w:sz w:val="28"/>
              <w:szCs w:val="28"/>
            </w:rPr>
            <w:t>管理手册</w:t>
          </w:r>
        </w:p>
      </w:tc>
      <w:tc>
        <w:tcPr>
          <w:tcW w:w="3603" w:type="dxa"/>
          <w:gridSpan w:val="2"/>
          <w:tcBorders>
            <w:top w:val="single" w:color="auto" w:sz="4" w:space="0"/>
            <w:left w:val="single" w:color="auto" w:sz="4" w:space="0"/>
            <w:bottom w:val="single" w:color="auto" w:sz="4" w:space="0"/>
            <w:right w:val="single" w:color="auto" w:sz="4" w:space="0"/>
          </w:tcBorders>
        </w:tcPr>
        <w:p w14:paraId="058E717F">
          <w:pPr>
            <w:tabs>
              <w:tab w:val="center" w:pos="1847"/>
              <w:tab w:val="left" w:pos="2955"/>
            </w:tabs>
            <w:spacing w:line="3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版本：</w:t>
          </w:r>
          <w:r>
            <w:rPr>
              <w:rFonts w:hint="eastAsia" w:asciiTheme="minorEastAsia" w:hAnsiTheme="minorEastAsia" w:eastAsiaTheme="minorEastAsia"/>
              <w:sz w:val="24"/>
              <w:szCs w:val="24"/>
            </w:rPr>
            <w:t>A/</w:t>
          </w:r>
          <w:r>
            <w:rPr>
              <w:rFonts w:hint="eastAsia" w:asciiTheme="minorEastAsia" w:hAnsiTheme="minorEastAsia" w:eastAsiaTheme="minorEastAsia"/>
              <w:sz w:val="24"/>
              <w:szCs w:val="24"/>
              <w:lang w:val="en-US" w:eastAsia="zh-CN"/>
            </w:rPr>
            <w:t>0</w:t>
          </w:r>
          <w:r>
            <w:rPr>
              <w:rFonts w:asciiTheme="minorEastAsia" w:hAnsiTheme="minorEastAsia" w:eastAsiaTheme="minorEastAsia"/>
              <w:sz w:val="24"/>
              <w:szCs w:val="24"/>
            </w:rPr>
            <w:tab/>
          </w:r>
        </w:p>
      </w:tc>
    </w:tr>
    <w:tr w14:paraId="629E8EB1">
      <w:tblPrEx>
        <w:tblBorders>
          <w:top w:val="double" w:color="000000" w:sz="6" w:space="0"/>
          <w:left w:val="double" w:color="000000" w:sz="6" w:space="0"/>
          <w:bottom w:val="double" w:color="000000" w:sz="6" w:space="0"/>
          <w:right w:val="double" w:color="000000" w:sz="6" w:space="0"/>
          <w:insideH w:val="dotted" w:color="auto" w:sz="4" w:space="0"/>
          <w:insideV w:val="dotted" w:color="auto" w:sz="4" w:space="0"/>
        </w:tblBorders>
        <w:tblCellMar>
          <w:top w:w="0" w:type="dxa"/>
          <w:left w:w="28" w:type="dxa"/>
          <w:bottom w:w="0" w:type="dxa"/>
          <w:right w:w="28" w:type="dxa"/>
        </w:tblCellMar>
      </w:tblPrEx>
      <w:trPr>
        <w:cantSplit/>
        <w:trHeight w:val="202" w:hRule="atLeast"/>
      </w:trPr>
      <w:tc>
        <w:tcPr>
          <w:tcW w:w="5753" w:type="dxa"/>
          <w:vMerge w:val="continue"/>
          <w:tcBorders>
            <w:top w:val="single" w:color="auto" w:sz="4" w:space="0"/>
            <w:left w:val="single" w:color="auto" w:sz="4" w:space="0"/>
            <w:bottom w:val="single" w:color="auto" w:sz="4" w:space="0"/>
            <w:right w:val="single" w:color="auto" w:sz="4" w:space="0"/>
          </w:tcBorders>
        </w:tcPr>
        <w:p w14:paraId="367FB05D">
          <w:pPr>
            <w:snapToGrid w:val="0"/>
            <w:jc w:val="center"/>
            <w:rPr>
              <w:rFonts w:asciiTheme="minorEastAsia" w:hAnsiTheme="minorEastAsia" w:eastAsiaTheme="minorEastAsia"/>
              <w:sz w:val="24"/>
            </w:rPr>
          </w:pPr>
        </w:p>
      </w:tc>
      <w:tc>
        <w:tcPr>
          <w:tcW w:w="3603" w:type="dxa"/>
          <w:gridSpan w:val="2"/>
          <w:tcBorders>
            <w:top w:val="single" w:color="auto" w:sz="4" w:space="0"/>
            <w:left w:val="single" w:color="auto" w:sz="4" w:space="0"/>
            <w:bottom w:val="single" w:color="auto" w:sz="4" w:space="0"/>
            <w:right w:val="single" w:color="auto" w:sz="4" w:space="0"/>
          </w:tcBorders>
        </w:tcPr>
        <w:p w14:paraId="70B26D6E">
          <w:pPr>
            <w:spacing w:line="300" w:lineRule="exact"/>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实施日期</w:t>
          </w:r>
          <w:r>
            <w:rPr>
              <w:rFonts w:hint="eastAsia" w:asciiTheme="minorEastAsia" w:hAnsiTheme="minorEastAsia" w:eastAsiaTheme="minorEastAsia"/>
              <w:sz w:val="24"/>
              <w:szCs w:val="24"/>
            </w:rPr>
            <w:t>：</w:t>
          </w:r>
          <w:r>
            <w:rPr>
              <w:rFonts w:hint="eastAsia" w:asciiTheme="minorEastAsia" w:hAnsiTheme="minorEastAsia" w:eastAsiaTheme="minorEastAsia"/>
              <w:color w:val="000000"/>
              <w:sz w:val="24"/>
              <w:szCs w:val="24"/>
              <w:lang w:eastAsia="zh-CN"/>
            </w:rPr>
            <w:t>2025.2.12</w:t>
          </w:r>
        </w:p>
      </w:tc>
    </w:tr>
  </w:tbl>
  <w:p w14:paraId="634DEA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D0CE6">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decimal"/>
      <w:pStyle w:val="47"/>
      <w:lvlText w:val="%1、"/>
      <w:lvlJc w:val="left"/>
      <w:pPr>
        <w:tabs>
          <w:tab w:val="left" w:pos="360"/>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1E72B37"/>
    <w:multiLevelType w:val="multilevel"/>
    <w:tmpl w:val="01E72B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71F8903"/>
    <w:multiLevelType w:val="singleLevel"/>
    <w:tmpl w:val="171F8903"/>
    <w:lvl w:ilvl="0" w:tentative="0">
      <w:start w:val="1"/>
      <w:numFmt w:val="lowerLetter"/>
      <w:suff w:val="space"/>
      <w:lvlText w:val="%1)"/>
      <w:lvlJc w:val="left"/>
    </w:lvl>
  </w:abstractNum>
  <w:abstractNum w:abstractNumId="3">
    <w:nsid w:val="2F2E381D"/>
    <w:multiLevelType w:val="multilevel"/>
    <w:tmpl w:val="2F2E381D"/>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AFA4110"/>
    <w:multiLevelType w:val="multilevel"/>
    <w:tmpl w:val="3AFA41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6F531AC"/>
    <w:multiLevelType w:val="multilevel"/>
    <w:tmpl w:val="56F531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jZjk5ZDU2ODU2OWNmNmM3YjEwZWE4OGQzNWY4NDcifQ=="/>
  </w:docVars>
  <w:rsids>
    <w:rsidRoot w:val="00172A27"/>
    <w:rsid w:val="00000279"/>
    <w:rsid w:val="00023102"/>
    <w:rsid w:val="000314B4"/>
    <w:rsid w:val="00035C48"/>
    <w:rsid w:val="00040D84"/>
    <w:rsid w:val="0004531F"/>
    <w:rsid w:val="000532BD"/>
    <w:rsid w:val="0006170C"/>
    <w:rsid w:val="00067287"/>
    <w:rsid w:val="00073B3A"/>
    <w:rsid w:val="00077F0D"/>
    <w:rsid w:val="00080159"/>
    <w:rsid w:val="00080FC4"/>
    <w:rsid w:val="00091192"/>
    <w:rsid w:val="00093292"/>
    <w:rsid w:val="000A1F25"/>
    <w:rsid w:val="000D02C5"/>
    <w:rsid w:val="000D5E20"/>
    <w:rsid w:val="000E478C"/>
    <w:rsid w:val="000F084C"/>
    <w:rsid w:val="000F324F"/>
    <w:rsid w:val="000F6FDA"/>
    <w:rsid w:val="00111065"/>
    <w:rsid w:val="00114E6E"/>
    <w:rsid w:val="00116AF8"/>
    <w:rsid w:val="00123A8D"/>
    <w:rsid w:val="00123AC0"/>
    <w:rsid w:val="00133134"/>
    <w:rsid w:val="0014123B"/>
    <w:rsid w:val="00142E4B"/>
    <w:rsid w:val="00153788"/>
    <w:rsid w:val="00153F3C"/>
    <w:rsid w:val="0015723E"/>
    <w:rsid w:val="001605A6"/>
    <w:rsid w:val="00161258"/>
    <w:rsid w:val="0016240B"/>
    <w:rsid w:val="001639A0"/>
    <w:rsid w:val="00165983"/>
    <w:rsid w:val="00172A27"/>
    <w:rsid w:val="0017557B"/>
    <w:rsid w:val="00180072"/>
    <w:rsid w:val="001832F6"/>
    <w:rsid w:val="001904B6"/>
    <w:rsid w:val="001A28CA"/>
    <w:rsid w:val="001B0895"/>
    <w:rsid w:val="001D7C2D"/>
    <w:rsid w:val="001E5A8F"/>
    <w:rsid w:val="001F0F75"/>
    <w:rsid w:val="0020473C"/>
    <w:rsid w:val="00205C09"/>
    <w:rsid w:val="00205ED3"/>
    <w:rsid w:val="00211B8B"/>
    <w:rsid w:val="00226E8B"/>
    <w:rsid w:val="00231339"/>
    <w:rsid w:val="00234C94"/>
    <w:rsid w:val="002355A4"/>
    <w:rsid w:val="00237198"/>
    <w:rsid w:val="00241333"/>
    <w:rsid w:val="0024716E"/>
    <w:rsid w:val="00254BBF"/>
    <w:rsid w:val="00255F8C"/>
    <w:rsid w:val="002575F2"/>
    <w:rsid w:val="002632E4"/>
    <w:rsid w:val="002645BE"/>
    <w:rsid w:val="00285B3F"/>
    <w:rsid w:val="00293664"/>
    <w:rsid w:val="00293BA8"/>
    <w:rsid w:val="002A0497"/>
    <w:rsid w:val="002A3993"/>
    <w:rsid w:val="002A6020"/>
    <w:rsid w:val="002B3055"/>
    <w:rsid w:val="002B5D0F"/>
    <w:rsid w:val="002C314D"/>
    <w:rsid w:val="002C32BB"/>
    <w:rsid w:val="002E175A"/>
    <w:rsid w:val="002E5413"/>
    <w:rsid w:val="002E7C32"/>
    <w:rsid w:val="00301418"/>
    <w:rsid w:val="003120F9"/>
    <w:rsid w:val="00316230"/>
    <w:rsid w:val="00333310"/>
    <w:rsid w:val="003369A3"/>
    <w:rsid w:val="0034463A"/>
    <w:rsid w:val="00354EEB"/>
    <w:rsid w:val="00355E50"/>
    <w:rsid w:val="003722EF"/>
    <w:rsid w:val="00381B83"/>
    <w:rsid w:val="00384822"/>
    <w:rsid w:val="003A49B4"/>
    <w:rsid w:val="003B5F05"/>
    <w:rsid w:val="003C18E1"/>
    <w:rsid w:val="003D0B93"/>
    <w:rsid w:val="003D1D6A"/>
    <w:rsid w:val="003D2A5C"/>
    <w:rsid w:val="003E0F10"/>
    <w:rsid w:val="003E4C82"/>
    <w:rsid w:val="003E5B5F"/>
    <w:rsid w:val="003F30BE"/>
    <w:rsid w:val="004007AB"/>
    <w:rsid w:val="004038F0"/>
    <w:rsid w:val="00415458"/>
    <w:rsid w:val="00426505"/>
    <w:rsid w:val="00441F4D"/>
    <w:rsid w:val="00451D18"/>
    <w:rsid w:val="004567F0"/>
    <w:rsid w:val="004621ED"/>
    <w:rsid w:val="00466540"/>
    <w:rsid w:val="00473A3F"/>
    <w:rsid w:val="004808D4"/>
    <w:rsid w:val="00484A89"/>
    <w:rsid w:val="0049175F"/>
    <w:rsid w:val="00495429"/>
    <w:rsid w:val="004A3A96"/>
    <w:rsid w:val="004A421D"/>
    <w:rsid w:val="004A6034"/>
    <w:rsid w:val="004B41F9"/>
    <w:rsid w:val="004C0FF4"/>
    <w:rsid w:val="004C70D5"/>
    <w:rsid w:val="004D19E2"/>
    <w:rsid w:val="004E417E"/>
    <w:rsid w:val="004E5134"/>
    <w:rsid w:val="004E79E6"/>
    <w:rsid w:val="004F22E2"/>
    <w:rsid w:val="004F443A"/>
    <w:rsid w:val="004F61EE"/>
    <w:rsid w:val="004F6D14"/>
    <w:rsid w:val="005010E4"/>
    <w:rsid w:val="0050335E"/>
    <w:rsid w:val="005071E2"/>
    <w:rsid w:val="005100C3"/>
    <w:rsid w:val="00510FF6"/>
    <w:rsid w:val="00522416"/>
    <w:rsid w:val="00525B43"/>
    <w:rsid w:val="00530EB1"/>
    <w:rsid w:val="00531962"/>
    <w:rsid w:val="00531EB8"/>
    <w:rsid w:val="00543731"/>
    <w:rsid w:val="00561218"/>
    <w:rsid w:val="005804D1"/>
    <w:rsid w:val="005850FC"/>
    <w:rsid w:val="00586BEA"/>
    <w:rsid w:val="00595054"/>
    <w:rsid w:val="00597B73"/>
    <w:rsid w:val="005A5C90"/>
    <w:rsid w:val="005A6142"/>
    <w:rsid w:val="005A6FD2"/>
    <w:rsid w:val="005A7D7D"/>
    <w:rsid w:val="005B0D0B"/>
    <w:rsid w:val="005C6715"/>
    <w:rsid w:val="005D0BFD"/>
    <w:rsid w:val="005D3363"/>
    <w:rsid w:val="005D55B2"/>
    <w:rsid w:val="005D598B"/>
    <w:rsid w:val="005E0ADE"/>
    <w:rsid w:val="005F1BA3"/>
    <w:rsid w:val="005F489D"/>
    <w:rsid w:val="00605DD3"/>
    <w:rsid w:val="00612D38"/>
    <w:rsid w:val="006223C3"/>
    <w:rsid w:val="006235BB"/>
    <w:rsid w:val="00625EF5"/>
    <w:rsid w:val="0063492A"/>
    <w:rsid w:val="0063519D"/>
    <w:rsid w:val="00654329"/>
    <w:rsid w:val="00663088"/>
    <w:rsid w:val="006A6A45"/>
    <w:rsid w:val="006B2670"/>
    <w:rsid w:val="006B2CC5"/>
    <w:rsid w:val="006D23D1"/>
    <w:rsid w:val="006F3FC9"/>
    <w:rsid w:val="00701AB7"/>
    <w:rsid w:val="00725A8E"/>
    <w:rsid w:val="00734107"/>
    <w:rsid w:val="00742687"/>
    <w:rsid w:val="00747BC0"/>
    <w:rsid w:val="00752A1A"/>
    <w:rsid w:val="00771958"/>
    <w:rsid w:val="00777EA9"/>
    <w:rsid w:val="00783B02"/>
    <w:rsid w:val="00784AA2"/>
    <w:rsid w:val="0078561F"/>
    <w:rsid w:val="007869E6"/>
    <w:rsid w:val="00787307"/>
    <w:rsid w:val="007A004D"/>
    <w:rsid w:val="007A4600"/>
    <w:rsid w:val="007A6FC7"/>
    <w:rsid w:val="007B3008"/>
    <w:rsid w:val="007B5AD8"/>
    <w:rsid w:val="007C54FF"/>
    <w:rsid w:val="007D03F6"/>
    <w:rsid w:val="007D3AA4"/>
    <w:rsid w:val="007D441A"/>
    <w:rsid w:val="007D4C37"/>
    <w:rsid w:val="007D76B8"/>
    <w:rsid w:val="007E044A"/>
    <w:rsid w:val="00800A3A"/>
    <w:rsid w:val="00807585"/>
    <w:rsid w:val="00821261"/>
    <w:rsid w:val="0082194D"/>
    <w:rsid w:val="008263D1"/>
    <w:rsid w:val="00830625"/>
    <w:rsid w:val="00831BD7"/>
    <w:rsid w:val="0083278B"/>
    <w:rsid w:val="008508A9"/>
    <w:rsid w:val="0088061C"/>
    <w:rsid w:val="008827A8"/>
    <w:rsid w:val="00882890"/>
    <w:rsid w:val="00883F2F"/>
    <w:rsid w:val="00885239"/>
    <w:rsid w:val="00891305"/>
    <w:rsid w:val="008936DA"/>
    <w:rsid w:val="008A71EA"/>
    <w:rsid w:val="008C0FD8"/>
    <w:rsid w:val="008C23EB"/>
    <w:rsid w:val="008C5400"/>
    <w:rsid w:val="008D72D0"/>
    <w:rsid w:val="008E34C2"/>
    <w:rsid w:val="008E69BE"/>
    <w:rsid w:val="008F1B20"/>
    <w:rsid w:val="008F2213"/>
    <w:rsid w:val="008F2738"/>
    <w:rsid w:val="008F3EA4"/>
    <w:rsid w:val="008F5096"/>
    <w:rsid w:val="009060A8"/>
    <w:rsid w:val="0091014F"/>
    <w:rsid w:val="00927716"/>
    <w:rsid w:val="009679E0"/>
    <w:rsid w:val="00967E5C"/>
    <w:rsid w:val="00981366"/>
    <w:rsid w:val="00991193"/>
    <w:rsid w:val="0099749F"/>
    <w:rsid w:val="009B7E48"/>
    <w:rsid w:val="009C47FF"/>
    <w:rsid w:val="009D7779"/>
    <w:rsid w:val="009E6795"/>
    <w:rsid w:val="009E6D38"/>
    <w:rsid w:val="00A17956"/>
    <w:rsid w:val="00A20F78"/>
    <w:rsid w:val="00A36D60"/>
    <w:rsid w:val="00A44AFF"/>
    <w:rsid w:val="00A60D25"/>
    <w:rsid w:val="00A75714"/>
    <w:rsid w:val="00A84F60"/>
    <w:rsid w:val="00A866EB"/>
    <w:rsid w:val="00A920C7"/>
    <w:rsid w:val="00AA0220"/>
    <w:rsid w:val="00AA7C77"/>
    <w:rsid w:val="00AC3407"/>
    <w:rsid w:val="00AD49EB"/>
    <w:rsid w:val="00AD615F"/>
    <w:rsid w:val="00AE2FBE"/>
    <w:rsid w:val="00AF000A"/>
    <w:rsid w:val="00AF1AF8"/>
    <w:rsid w:val="00AF2FA0"/>
    <w:rsid w:val="00AF76BB"/>
    <w:rsid w:val="00B00A25"/>
    <w:rsid w:val="00B04CAF"/>
    <w:rsid w:val="00B137C5"/>
    <w:rsid w:val="00B22E76"/>
    <w:rsid w:val="00B30634"/>
    <w:rsid w:val="00B3077E"/>
    <w:rsid w:val="00B33350"/>
    <w:rsid w:val="00B4665A"/>
    <w:rsid w:val="00B60A8C"/>
    <w:rsid w:val="00B62C09"/>
    <w:rsid w:val="00B671D1"/>
    <w:rsid w:val="00B9275D"/>
    <w:rsid w:val="00B9646E"/>
    <w:rsid w:val="00BA116D"/>
    <w:rsid w:val="00BA3B1C"/>
    <w:rsid w:val="00BC6147"/>
    <w:rsid w:val="00BE163F"/>
    <w:rsid w:val="00BF02C7"/>
    <w:rsid w:val="00BF2FC6"/>
    <w:rsid w:val="00BF32F0"/>
    <w:rsid w:val="00C04EE5"/>
    <w:rsid w:val="00C127FD"/>
    <w:rsid w:val="00C1592C"/>
    <w:rsid w:val="00C161B1"/>
    <w:rsid w:val="00C27322"/>
    <w:rsid w:val="00C3431D"/>
    <w:rsid w:val="00C43125"/>
    <w:rsid w:val="00C43DA2"/>
    <w:rsid w:val="00C4718E"/>
    <w:rsid w:val="00C47A06"/>
    <w:rsid w:val="00C546E4"/>
    <w:rsid w:val="00C579D3"/>
    <w:rsid w:val="00C75FBC"/>
    <w:rsid w:val="00C877FF"/>
    <w:rsid w:val="00CA0888"/>
    <w:rsid w:val="00CA34FD"/>
    <w:rsid w:val="00CB4CEC"/>
    <w:rsid w:val="00CC0DF0"/>
    <w:rsid w:val="00CC1946"/>
    <w:rsid w:val="00CC4D96"/>
    <w:rsid w:val="00CC595B"/>
    <w:rsid w:val="00CD3229"/>
    <w:rsid w:val="00CE04EE"/>
    <w:rsid w:val="00CE1D9B"/>
    <w:rsid w:val="00CE4A99"/>
    <w:rsid w:val="00CF11B8"/>
    <w:rsid w:val="00CF1A41"/>
    <w:rsid w:val="00CF60C3"/>
    <w:rsid w:val="00D00EB4"/>
    <w:rsid w:val="00D066CD"/>
    <w:rsid w:val="00D249EA"/>
    <w:rsid w:val="00D25D2D"/>
    <w:rsid w:val="00D266F5"/>
    <w:rsid w:val="00D3129A"/>
    <w:rsid w:val="00D33ABA"/>
    <w:rsid w:val="00D34258"/>
    <w:rsid w:val="00D34423"/>
    <w:rsid w:val="00D36A4A"/>
    <w:rsid w:val="00D37C8F"/>
    <w:rsid w:val="00D41C9C"/>
    <w:rsid w:val="00D4585D"/>
    <w:rsid w:val="00D45F6D"/>
    <w:rsid w:val="00D4639A"/>
    <w:rsid w:val="00D5744D"/>
    <w:rsid w:val="00D5783A"/>
    <w:rsid w:val="00D64DA9"/>
    <w:rsid w:val="00D67F58"/>
    <w:rsid w:val="00D7196C"/>
    <w:rsid w:val="00D77895"/>
    <w:rsid w:val="00D84794"/>
    <w:rsid w:val="00D90F29"/>
    <w:rsid w:val="00D95EEF"/>
    <w:rsid w:val="00D96766"/>
    <w:rsid w:val="00DA1070"/>
    <w:rsid w:val="00DB07E5"/>
    <w:rsid w:val="00DB34A6"/>
    <w:rsid w:val="00DB53B0"/>
    <w:rsid w:val="00DD5DCC"/>
    <w:rsid w:val="00DE4E7C"/>
    <w:rsid w:val="00DF01C8"/>
    <w:rsid w:val="00DF7FD4"/>
    <w:rsid w:val="00E1334A"/>
    <w:rsid w:val="00E30211"/>
    <w:rsid w:val="00E35A65"/>
    <w:rsid w:val="00E35E69"/>
    <w:rsid w:val="00E40B59"/>
    <w:rsid w:val="00E4332B"/>
    <w:rsid w:val="00E43D17"/>
    <w:rsid w:val="00E45C41"/>
    <w:rsid w:val="00E51A55"/>
    <w:rsid w:val="00E5424E"/>
    <w:rsid w:val="00E6574C"/>
    <w:rsid w:val="00E72AB0"/>
    <w:rsid w:val="00E72F86"/>
    <w:rsid w:val="00E76A79"/>
    <w:rsid w:val="00E82EBC"/>
    <w:rsid w:val="00E9092E"/>
    <w:rsid w:val="00EA12DF"/>
    <w:rsid w:val="00EA4B76"/>
    <w:rsid w:val="00EB1E40"/>
    <w:rsid w:val="00ED4AFF"/>
    <w:rsid w:val="00ED5682"/>
    <w:rsid w:val="00ED707C"/>
    <w:rsid w:val="00EE47D3"/>
    <w:rsid w:val="00EF50A3"/>
    <w:rsid w:val="00F01BB2"/>
    <w:rsid w:val="00F07E34"/>
    <w:rsid w:val="00F2192F"/>
    <w:rsid w:val="00F24408"/>
    <w:rsid w:val="00F24AFA"/>
    <w:rsid w:val="00F43010"/>
    <w:rsid w:val="00F50ECA"/>
    <w:rsid w:val="00F56A19"/>
    <w:rsid w:val="00F5766C"/>
    <w:rsid w:val="00F639AC"/>
    <w:rsid w:val="00F647D2"/>
    <w:rsid w:val="00F6494C"/>
    <w:rsid w:val="00F65613"/>
    <w:rsid w:val="00F66222"/>
    <w:rsid w:val="00F734D6"/>
    <w:rsid w:val="00F74BE2"/>
    <w:rsid w:val="00F74E49"/>
    <w:rsid w:val="00F904E4"/>
    <w:rsid w:val="00F93B15"/>
    <w:rsid w:val="00F948F5"/>
    <w:rsid w:val="00FB4302"/>
    <w:rsid w:val="00FB5AE1"/>
    <w:rsid w:val="00FC65FA"/>
    <w:rsid w:val="00FD4587"/>
    <w:rsid w:val="00FD6118"/>
    <w:rsid w:val="00FE5FA4"/>
    <w:rsid w:val="01487061"/>
    <w:rsid w:val="01A30D24"/>
    <w:rsid w:val="01F31CD6"/>
    <w:rsid w:val="02437640"/>
    <w:rsid w:val="02A112E7"/>
    <w:rsid w:val="02AA0631"/>
    <w:rsid w:val="02B376D1"/>
    <w:rsid w:val="02E90AC7"/>
    <w:rsid w:val="0330765F"/>
    <w:rsid w:val="03505BC3"/>
    <w:rsid w:val="035C1BFC"/>
    <w:rsid w:val="03EF04EF"/>
    <w:rsid w:val="03F95215"/>
    <w:rsid w:val="04294F58"/>
    <w:rsid w:val="050F7E3C"/>
    <w:rsid w:val="05601777"/>
    <w:rsid w:val="05740424"/>
    <w:rsid w:val="05AC6965"/>
    <w:rsid w:val="05BE6B1F"/>
    <w:rsid w:val="05DB44D5"/>
    <w:rsid w:val="06114A50"/>
    <w:rsid w:val="0648609D"/>
    <w:rsid w:val="06AF16CB"/>
    <w:rsid w:val="06DD74B2"/>
    <w:rsid w:val="070D432F"/>
    <w:rsid w:val="07BA37BF"/>
    <w:rsid w:val="07E07FF3"/>
    <w:rsid w:val="07F11050"/>
    <w:rsid w:val="08BB45BC"/>
    <w:rsid w:val="08DF0CD5"/>
    <w:rsid w:val="09180C8D"/>
    <w:rsid w:val="09217FF8"/>
    <w:rsid w:val="09290A37"/>
    <w:rsid w:val="09495DD1"/>
    <w:rsid w:val="095B7F1A"/>
    <w:rsid w:val="0A0A2577"/>
    <w:rsid w:val="0A3C140A"/>
    <w:rsid w:val="0A4C4B96"/>
    <w:rsid w:val="0A7F50B7"/>
    <w:rsid w:val="0AC33816"/>
    <w:rsid w:val="0AF31E44"/>
    <w:rsid w:val="0AF4186D"/>
    <w:rsid w:val="0B07694A"/>
    <w:rsid w:val="0B637A5B"/>
    <w:rsid w:val="0B875BA2"/>
    <w:rsid w:val="0BBF0882"/>
    <w:rsid w:val="0C5F119A"/>
    <w:rsid w:val="0D546BB5"/>
    <w:rsid w:val="0D776AB9"/>
    <w:rsid w:val="0D8D239B"/>
    <w:rsid w:val="0DC66A40"/>
    <w:rsid w:val="0E2B4510"/>
    <w:rsid w:val="0E575BD5"/>
    <w:rsid w:val="0E7B59B0"/>
    <w:rsid w:val="0E97764A"/>
    <w:rsid w:val="0F0010BF"/>
    <w:rsid w:val="0F0200F5"/>
    <w:rsid w:val="0F0831A8"/>
    <w:rsid w:val="0F5B6FCE"/>
    <w:rsid w:val="0FAB6402"/>
    <w:rsid w:val="0FC73809"/>
    <w:rsid w:val="10357C8A"/>
    <w:rsid w:val="10754679"/>
    <w:rsid w:val="10BE0004"/>
    <w:rsid w:val="11080007"/>
    <w:rsid w:val="11167DA7"/>
    <w:rsid w:val="113C2054"/>
    <w:rsid w:val="11581F3A"/>
    <w:rsid w:val="11F94A10"/>
    <w:rsid w:val="120B4375"/>
    <w:rsid w:val="1274632A"/>
    <w:rsid w:val="127856B3"/>
    <w:rsid w:val="12865741"/>
    <w:rsid w:val="12865AE7"/>
    <w:rsid w:val="12E55780"/>
    <w:rsid w:val="12E829F0"/>
    <w:rsid w:val="13316F3C"/>
    <w:rsid w:val="13897791"/>
    <w:rsid w:val="13EE380B"/>
    <w:rsid w:val="147E4E1C"/>
    <w:rsid w:val="14856627"/>
    <w:rsid w:val="14931546"/>
    <w:rsid w:val="14BC2F24"/>
    <w:rsid w:val="14FC2F18"/>
    <w:rsid w:val="151F551A"/>
    <w:rsid w:val="154301E2"/>
    <w:rsid w:val="158046D9"/>
    <w:rsid w:val="15816C71"/>
    <w:rsid w:val="15E15D66"/>
    <w:rsid w:val="1603662A"/>
    <w:rsid w:val="160B20C4"/>
    <w:rsid w:val="161F4172"/>
    <w:rsid w:val="16581D49"/>
    <w:rsid w:val="16583388"/>
    <w:rsid w:val="16714AFE"/>
    <w:rsid w:val="16CB00C0"/>
    <w:rsid w:val="16E9196E"/>
    <w:rsid w:val="1726493C"/>
    <w:rsid w:val="17E767D5"/>
    <w:rsid w:val="1824221A"/>
    <w:rsid w:val="1854447D"/>
    <w:rsid w:val="18AA255F"/>
    <w:rsid w:val="18D51DA3"/>
    <w:rsid w:val="193F658C"/>
    <w:rsid w:val="1A47586A"/>
    <w:rsid w:val="1A6575B2"/>
    <w:rsid w:val="1AC457C1"/>
    <w:rsid w:val="1AD21359"/>
    <w:rsid w:val="1B1E4695"/>
    <w:rsid w:val="1BA733EC"/>
    <w:rsid w:val="1BB05AD7"/>
    <w:rsid w:val="1C105FB4"/>
    <w:rsid w:val="1D3252B8"/>
    <w:rsid w:val="1D637E6E"/>
    <w:rsid w:val="1DD77F1F"/>
    <w:rsid w:val="1EAC2E79"/>
    <w:rsid w:val="1EFA7C3A"/>
    <w:rsid w:val="1F5F45AC"/>
    <w:rsid w:val="1F694AEC"/>
    <w:rsid w:val="1FA531C3"/>
    <w:rsid w:val="1FE12702"/>
    <w:rsid w:val="20C3228F"/>
    <w:rsid w:val="20D23F93"/>
    <w:rsid w:val="20E361B0"/>
    <w:rsid w:val="20F94B9A"/>
    <w:rsid w:val="21253387"/>
    <w:rsid w:val="21DD5203"/>
    <w:rsid w:val="21F25349"/>
    <w:rsid w:val="22026117"/>
    <w:rsid w:val="22181A99"/>
    <w:rsid w:val="22192627"/>
    <w:rsid w:val="22640044"/>
    <w:rsid w:val="226A52BE"/>
    <w:rsid w:val="22DC5651"/>
    <w:rsid w:val="22E57D24"/>
    <w:rsid w:val="234424D0"/>
    <w:rsid w:val="2357277F"/>
    <w:rsid w:val="23785F17"/>
    <w:rsid w:val="23840333"/>
    <w:rsid w:val="239E23B5"/>
    <w:rsid w:val="23CD35A4"/>
    <w:rsid w:val="23CD7E60"/>
    <w:rsid w:val="25851638"/>
    <w:rsid w:val="26301B36"/>
    <w:rsid w:val="2634639A"/>
    <w:rsid w:val="269E1C8E"/>
    <w:rsid w:val="26C64807"/>
    <w:rsid w:val="26DB5F4C"/>
    <w:rsid w:val="27404CD2"/>
    <w:rsid w:val="277548E7"/>
    <w:rsid w:val="27BD4765"/>
    <w:rsid w:val="27C148EE"/>
    <w:rsid w:val="27D54F6D"/>
    <w:rsid w:val="27F60D25"/>
    <w:rsid w:val="28382902"/>
    <w:rsid w:val="28406D55"/>
    <w:rsid w:val="289061B4"/>
    <w:rsid w:val="28DC65F0"/>
    <w:rsid w:val="28E74F42"/>
    <w:rsid w:val="29125076"/>
    <w:rsid w:val="29471205"/>
    <w:rsid w:val="294B41A7"/>
    <w:rsid w:val="29796E10"/>
    <w:rsid w:val="29950D27"/>
    <w:rsid w:val="29CE3CF8"/>
    <w:rsid w:val="29CF42B2"/>
    <w:rsid w:val="29D62C0E"/>
    <w:rsid w:val="29DE1F27"/>
    <w:rsid w:val="29F85ACA"/>
    <w:rsid w:val="29FA4AED"/>
    <w:rsid w:val="2A797174"/>
    <w:rsid w:val="2AB47E7B"/>
    <w:rsid w:val="2AC94890"/>
    <w:rsid w:val="2B071961"/>
    <w:rsid w:val="2B2172BC"/>
    <w:rsid w:val="2BAE2B17"/>
    <w:rsid w:val="2C1320C0"/>
    <w:rsid w:val="2C2E357C"/>
    <w:rsid w:val="2C797028"/>
    <w:rsid w:val="2C8464B3"/>
    <w:rsid w:val="2CF53FDA"/>
    <w:rsid w:val="2D2C76B3"/>
    <w:rsid w:val="2D681D3A"/>
    <w:rsid w:val="2DE01942"/>
    <w:rsid w:val="2DE0720B"/>
    <w:rsid w:val="2E6200FA"/>
    <w:rsid w:val="2E7E191A"/>
    <w:rsid w:val="2F2C50E6"/>
    <w:rsid w:val="2FA6767D"/>
    <w:rsid w:val="2FC3006F"/>
    <w:rsid w:val="2FF426C8"/>
    <w:rsid w:val="3054724C"/>
    <w:rsid w:val="3069047D"/>
    <w:rsid w:val="30E2157B"/>
    <w:rsid w:val="318737D2"/>
    <w:rsid w:val="31950070"/>
    <w:rsid w:val="31E804DB"/>
    <w:rsid w:val="31F00E91"/>
    <w:rsid w:val="32184CCB"/>
    <w:rsid w:val="32811C86"/>
    <w:rsid w:val="32AD7B54"/>
    <w:rsid w:val="32B910A1"/>
    <w:rsid w:val="32C83865"/>
    <w:rsid w:val="32D6681B"/>
    <w:rsid w:val="32D67057"/>
    <w:rsid w:val="331F3411"/>
    <w:rsid w:val="33414F6C"/>
    <w:rsid w:val="33D012FB"/>
    <w:rsid w:val="33DB6F42"/>
    <w:rsid w:val="33EF6175"/>
    <w:rsid w:val="342356F6"/>
    <w:rsid w:val="347F5CED"/>
    <w:rsid w:val="34992626"/>
    <w:rsid w:val="34CF6AFF"/>
    <w:rsid w:val="34E7260C"/>
    <w:rsid w:val="350C1B78"/>
    <w:rsid w:val="355274FC"/>
    <w:rsid w:val="35671C31"/>
    <w:rsid w:val="35BB77D1"/>
    <w:rsid w:val="35DA1FFA"/>
    <w:rsid w:val="35E911A8"/>
    <w:rsid w:val="35EC1013"/>
    <w:rsid w:val="35FC36B8"/>
    <w:rsid w:val="36273B24"/>
    <w:rsid w:val="36493334"/>
    <w:rsid w:val="36761B6A"/>
    <w:rsid w:val="367C64B1"/>
    <w:rsid w:val="368B674F"/>
    <w:rsid w:val="368C4AF1"/>
    <w:rsid w:val="36D958BF"/>
    <w:rsid w:val="37A02D0C"/>
    <w:rsid w:val="384770D8"/>
    <w:rsid w:val="388411F1"/>
    <w:rsid w:val="38886BD4"/>
    <w:rsid w:val="38951052"/>
    <w:rsid w:val="389A68EB"/>
    <w:rsid w:val="3900432F"/>
    <w:rsid w:val="392D2E35"/>
    <w:rsid w:val="39411D2D"/>
    <w:rsid w:val="39F742FA"/>
    <w:rsid w:val="3A20677D"/>
    <w:rsid w:val="3AF12A69"/>
    <w:rsid w:val="3B05720B"/>
    <w:rsid w:val="3B3745C9"/>
    <w:rsid w:val="3BF90216"/>
    <w:rsid w:val="3C052F2F"/>
    <w:rsid w:val="3C250734"/>
    <w:rsid w:val="3C3D34DD"/>
    <w:rsid w:val="3C7A20DB"/>
    <w:rsid w:val="3CA4277F"/>
    <w:rsid w:val="3CDC2B60"/>
    <w:rsid w:val="3D0A1C00"/>
    <w:rsid w:val="3D414F36"/>
    <w:rsid w:val="3D624C3E"/>
    <w:rsid w:val="3D831D80"/>
    <w:rsid w:val="3DA011FC"/>
    <w:rsid w:val="3DC07130"/>
    <w:rsid w:val="3E363409"/>
    <w:rsid w:val="3EC61F22"/>
    <w:rsid w:val="3EE34979"/>
    <w:rsid w:val="3F8844F1"/>
    <w:rsid w:val="3FC14D2C"/>
    <w:rsid w:val="3FFE5F24"/>
    <w:rsid w:val="404D2E38"/>
    <w:rsid w:val="4070749D"/>
    <w:rsid w:val="40D90DB7"/>
    <w:rsid w:val="416775FC"/>
    <w:rsid w:val="416C5E78"/>
    <w:rsid w:val="41B6509A"/>
    <w:rsid w:val="41E0259D"/>
    <w:rsid w:val="41F05975"/>
    <w:rsid w:val="423A4F36"/>
    <w:rsid w:val="425F5A59"/>
    <w:rsid w:val="42AE7C42"/>
    <w:rsid w:val="42E1371D"/>
    <w:rsid w:val="42E3788B"/>
    <w:rsid w:val="42EC673B"/>
    <w:rsid w:val="43451EAF"/>
    <w:rsid w:val="43A36AC0"/>
    <w:rsid w:val="43AD2FE5"/>
    <w:rsid w:val="440A7A37"/>
    <w:rsid w:val="442C4173"/>
    <w:rsid w:val="44310DA3"/>
    <w:rsid w:val="44626762"/>
    <w:rsid w:val="45561656"/>
    <w:rsid w:val="457705CE"/>
    <w:rsid w:val="45B90B1B"/>
    <w:rsid w:val="45DF4ECD"/>
    <w:rsid w:val="461B0AA9"/>
    <w:rsid w:val="4641165A"/>
    <w:rsid w:val="46646AED"/>
    <w:rsid w:val="46DF0BF1"/>
    <w:rsid w:val="47280F94"/>
    <w:rsid w:val="472C4569"/>
    <w:rsid w:val="473B478B"/>
    <w:rsid w:val="4852105B"/>
    <w:rsid w:val="4868619E"/>
    <w:rsid w:val="48FA50F0"/>
    <w:rsid w:val="49242379"/>
    <w:rsid w:val="49295C3A"/>
    <w:rsid w:val="493A2D06"/>
    <w:rsid w:val="49695393"/>
    <w:rsid w:val="49997F06"/>
    <w:rsid w:val="4A0D21C2"/>
    <w:rsid w:val="4A392CA2"/>
    <w:rsid w:val="4A423CDA"/>
    <w:rsid w:val="4A811E0C"/>
    <w:rsid w:val="4ABA3355"/>
    <w:rsid w:val="4B02599B"/>
    <w:rsid w:val="4B29781F"/>
    <w:rsid w:val="4B2F6E3C"/>
    <w:rsid w:val="4B326604"/>
    <w:rsid w:val="4B3D2633"/>
    <w:rsid w:val="4B436D04"/>
    <w:rsid w:val="4BA57D6B"/>
    <w:rsid w:val="4C737F3B"/>
    <w:rsid w:val="4CA121F8"/>
    <w:rsid w:val="4CC50AFA"/>
    <w:rsid w:val="4CCE468A"/>
    <w:rsid w:val="4CEF3366"/>
    <w:rsid w:val="4D534B82"/>
    <w:rsid w:val="4D552FAE"/>
    <w:rsid w:val="4D7814AF"/>
    <w:rsid w:val="4D9627B1"/>
    <w:rsid w:val="4DB573EA"/>
    <w:rsid w:val="4DBC07E4"/>
    <w:rsid w:val="4DF061F1"/>
    <w:rsid w:val="4E0B2787"/>
    <w:rsid w:val="4E62346D"/>
    <w:rsid w:val="4E9F26D6"/>
    <w:rsid w:val="4EC52B2E"/>
    <w:rsid w:val="4EC7013B"/>
    <w:rsid w:val="4EC800A6"/>
    <w:rsid w:val="4F2B2B12"/>
    <w:rsid w:val="4FAB7107"/>
    <w:rsid w:val="50060418"/>
    <w:rsid w:val="50114DF6"/>
    <w:rsid w:val="50236FAB"/>
    <w:rsid w:val="50D51F28"/>
    <w:rsid w:val="51177DF8"/>
    <w:rsid w:val="51B7313F"/>
    <w:rsid w:val="51D004FB"/>
    <w:rsid w:val="51D73125"/>
    <w:rsid w:val="51E13B70"/>
    <w:rsid w:val="520E4A60"/>
    <w:rsid w:val="522F6E0B"/>
    <w:rsid w:val="525E0E06"/>
    <w:rsid w:val="52A67CD0"/>
    <w:rsid w:val="52FD743E"/>
    <w:rsid w:val="53156C8F"/>
    <w:rsid w:val="531D71BC"/>
    <w:rsid w:val="53573BB8"/>
    <w:rsid w:val="535D1EDD"/>
    <w:rsid w:val="53AC1D0A"/>
    <w:rsid w:val="53C07843"/>
    <w:rsid w:val="54672264"/>
    <w:rsid w:val="551A4B13"/>
    <w:rsid w:val="55603815"/>
    <w:rsid w:val="556D2CD6"/>
    <w:rsid w:val="558D7212"/>
    <w:rsid w:val="55B56BCB"/>
    <w:rsid w:val="55B9654F"/>
    <w:rsid w:val="564707E8"/>
    <w:rsid w:val="56705538"/>
    <w:rsid w:val="567A05AE"/>
    <w:rsid w:val="56840AB6"/>
    <w:rsid w:val="56CA5DF3"/>
    <w:rsid w:val="56CA7276"/>
    <w:rsid w:val="56E074B2"/>
    <w:rsid w:val="573D5931"/>
    <w:rsid w:val="57452FC8"/>
    <w:rsid w:val="575028EE"/>
    <w:rsid w:val="58191E1C"/>
    <w:rsid w:val="58676131"/>
    <w:rsid w:val="587B2479"/>
    <w:rsid w:val="587E0DB8"/>
    <w:rsid w:val="58896392"/>
    <w:rsid w:val="58C81F4A"/>
    <w:rsid w:val="58F92290"/>
    <w:rsid w:val="59143572"/>
    <w:rsid w:val="592B4F26"/>
    <w:rsid w:val="595A2981"/>
    <w:rsid w:val="597716E7"/>
    <w:rsid w:val="59C96E64"/>
    <w:rsid w:val="59E2743B"/>
    <w:rsid w:val="5A935E48"/>
    <w:rsid w:val="5AE52B1F"/>
    <w:rsid w:val="5B222F1F"/>
    <w:rsid w:val="5B8A0D6F"/>
    <w:rsid w:val="5BDA596A"/>
    <w:rsid w:val="5C6813F3"/>
    <w:rsid w:val="5C9F713F"/>
    <w:rsid w:val="5CD5091E"/>
    <w:rsid w:val="5D271928"/>
    <w:rsid w:val="5D5E0913"/>
    <w:rsid w:val="5D7666F0"/>
    <w:rsid w:val="5DA6050C"/>
    <w:rsid w:val="5DB7168A"/>
    <w:rsid w:val="5E2C68E8"/>
    <w:rsid w:val="5E2D2A60"/>
    <w:rsid w:val="5EEF5FE7"/>
    <w:rsid w:val="5EF0395E"/>
    <w:rsid w:val="5F1A0714"/>
    <w:rsid w:val="5F502278"/>
    <w:rsid w:val="5F6031EF"/>
    <w:rsid w:val="5F9F417D"/>
    <w:rsid w:val="5FAE3B59"/>
    <w:rsid w:val="5FF73AA2"/>
    <w:rsid w:val="5FF84F0A"/>
    <w:rsid w:val="5FFB3F02"/>
    <w:rsid w:val="603526F4"/>
    <w:rsid w:val="609C5FB5"/>
    <w:rsid w:val="609D14FB"/>
    <w:rsid w:val="6125692E"/>
    <w:rsid w:val="615F3F67"/>
    <w:rsid w:val="616205BB"/>
    <w:rsid w:val="616B3A97"/>
    <w:rsid w:val="616B58FA"/>
    <w:rsid w:val="619568CD"/>
    <w:rsid w:val="61D7545C"/>
    <w:rsid w:val="61F2094A"/>
    <w:rsid w:val="62524198"/>
    <w:rsid w:val="628F4BAE"/>
    <w:rsid w:val="6291482E"/>
    <w:rsid w:val="62B13189"/>
    <w:rsid w:val="63252488"/>
    <w:rsid w:val="635C1845"/>
    <w:rsid w:val="635D0141"/>
    <w:rsid w:val="63945851"/>
    <w:rsid w:val="63F05EDF"/>
    <w:rsid w:val="63FB1962"/>
    <w:rsid w:val="65632986"/>
    <w:rsid w:val="65702F38"/>
    <w:rsid w:val="6594630B"/>
    <w:rsid w:val="65A36DD5"/>
    <w:rsid w:val="65E53AF1"/>
    <w:rsid w:val="66004E46"/>
    <w:rsid w:val="66061B92"/>
    <w:rsid w:val="66444084"/>
    <w:rsid w:val="66A5123F"/>
    <w:rsid w:val="66EEE343"/>
    <w:rsid w:val="67C06C92"/>
    <w:rsid w:val="67EE5222"/>
    <w:rsid w:val="683D5D87"/>
    <w:rsid w:val="687A1408"/>
    <w:rsid w:val="68CB5E1B"/>
    <w:rsid w:val="68E2141D"/>
    <w:rsid w:val="68F15B20"/>
    <w:rsid w:val="692D55B2"/>
    <w:rsid w:val="69343F7C"/>
    <w:rsid w:val="693B576A"/>
    <w:rsid w:val="69735746"/>
    <w:rsid w:val="69EF300E"/>
    <w:rsid w:val="6AEB7383"/>
    <w:rsid w:val="6AF47FD4"/>
    <w:rsid w:val="6B0C2D17"/>
    <w:rsid w:val="6B1379B7"/>
    <w:rsid w:val="6BBD714D"/>
    <w:rsid w:val="6BD34BCA"/>
    <w:rsid w:val="6C0631C2"/>
    <w:rsid w:val="6C176E02"/>
    <w:rsid w:val="6D085C23"/>
    <w:rsid w:val="6D17010F"/>
    <w:rsid w:val="6D7B70D0"/>
    <w:rsid w:val="6D8F1EA4"/>
    <w:rsid w:val="6D9826E4"/>
    <w:rsid w:val="6DDB589B"/>
    <w:rsid w:val="6E95615F"/>
    <w:rsid w:val="6F007EBB"/>
    <w:rsid w:val="6F0E06FF"/>
    <w:rsid w:val="6F1D694A"/>
    <w:rsid w:val="6F5B4442"/>
    <w:rsid w:val="6F69600D"/>
    <w:rsid w:val="6FF51AC5"/>
    <w:rsid w:val="6FF84273"/>
    <w:rsid w:val="702D5294"/>
    <w:rsid w:val="705A6029"/>
    <w:rsid w:val="70E34518"/>
    <w:rsid w:val="71014D3A"/>
    <w:rsid w:val="71017387"/>
    <w:rsid w:val="716D2849"/>
    <w:rsid w:val="71E003FB"/>
    <w:rsid w:val="71E325EF"/>
    <w:rsid w:val="721041F5"/>
    <w:rsid w:val="72135F37"/>
    <w:rsid w:val="72374E76"/>
    <w:rsid w:val="729A31EB"/>
    <w:rsid w:val="72DE74F5"/>
    <w:rsid w:val="730A6B8E"/>
    <w:rsid w:val="73192CD0"/>
    <w:rsid w:val="7388244A"/>
    <w:rsid w:val="7392045A"/>
    <w:rsid w:val="73C610EA"/>
    <w:rsid w:val="73E67FF4"/>
    <w:rsid w:val="742D3612"/>
    <w:rsid w:val="749E6D5F"/>
    <w:rsid w:val="75514AFE"/>
    <w:rsid w:val="75947EC7"/>
    <w:rsid w:val="75AC2A43"/>
    <w:rsid w:val="75CA204E"/>
    <w:rsid w:val="76763749"/>
    <w:rsid w:val="76A82CD3"/>
    <w:rsid w:val="76CA6BC2"/>
    <w:rsid w:val="76F50087"/>
    <w:rsid w:val="77663B8B"/>
    <w:rsid w:val="777D666B"/>
    <w:rsid w:val="77EF1A80"/>
    <w:rsid w:val="7818108E"/>
    <w:rsid w:val="78192346"/>
    <w:rsid w:val="787C6A0F"/>
    <w:rsid w:val="78942CD6"/>
    <w:rsid w:val="789624DD"/>
    <w:rsid w:val="78C00E83"/>
    <w:rsid w:val="78C9547A"/>
    <w:rsid w:val="78CD08E9"/>
    <w:rsid w:val="78D114F7"/>
    <w:rsid w:val="79417D3E"/>
    <w:rsid w:val="79876199"/>
    <w:rsid w:val="79AE7F78"/>
    <w:rsid w:val="79C12781"/>
    <w:rsid w:val="79CB0970"/>
    <w:rsid w:val="7A420DE6"/>
    <w:rsid w:val="7AC2416D"/>
    <w:rsid w:val="7AE0219F"/>
    <w:rsid w:val="7B8D439E"/>
    <w:rsid w:val="7B9C0A65"/>
    <w:rsid w:val="7BB50186"/>
    <w:rsid w:val="7C0E780D"/>
    <w:rsid w:val="7C201A74"/>
    <w:rsid w:val="7C423400"/>
    <w:rsid w:val="7C487A5A"/>
    <w:rsid w:val="7C6B49A3"/>
    <w:rsid w:val="7C8D3337"/>
    <w:rsid w:val="7C9B6CC8"/>
    <w:rsid w:val="7CA73AA3"/>
    <w:rsid w:val="7D083031"/>
    <w:rsid w:val="7D145E9D"/>
    <w:rsid w:val="7D191AF9"/>
    <w:rsid w:val="7D7B7F36"/>
    <w:rsid w:val="7D815DA1"/>
    <w:rsid w:val="7DC260FA"/>
    <w:rsid w:val="7DC45B90"/>
    <w:rsid w:val="7E3662B6"/>
    <w:rsid w:val="7E7E1834"/>
    <w:rsid w:val="7EE27ADB"/>
    <w:rsid w:val="7F1166EA"/>
    <w:rsid w:val="7F2D5F40"/>
    <w:rsid w:val="7F386674"/>
    <w:rsid w:val="7F6F6558"/>
    <w:rsid w:val="7F7336D2"/>
    <w:rsid w:val="7FF96B50"/>
    <w:rsid w:val="EFFFFC50"/>
    <w:rsid w:val="F79FC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120" w:after="120" w:line="413" w:lineRule="auto"/>
      <w:outlineLvl w:val="1"/>
    </w:pPr>
    <w:rPr>
      <w:rFonts w:ascii="Arial" w:hAnsi="Arial"/>
      <w:b/>
      <w:sz w:val="24"/>
    </w:rPr>
  </w:style>
  <w:style w:type="paragraph" w:styleId="5">
    <w:name w:val="heading 3"/>
    <w:basedOn w:val="1"/>
    <w:next w:val="1"/>
    <w:link w:val="37"/>
    <w:qFormat/>
    <w:uiPriority w:val="0"/>
    <w:pPr>
      <w:keepNext/>
      <w:keepLines/>
      <w:spacing w:before="260" w:after="260" w:line="416" w:lineRule="auto"/>
      <w:outlineLvl w:val="2"/>
    </w:pPr>
    <w:rPr>
      <w:rFonts w:ascii="Times New Roman" w:hAnsi="Times New Roman"/>
      <w:b/>
      <w:bCs/>
      <w:sz w:val="24"/>
      <w:szCs w:val="32"/>
    </w:rPr>
  </w:style>
  <w:style w:type="paragraph" w:styleId="6">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7">
    <w:name w:val="Normal Indent"/>
    <w:basedOn w:val="1"/>
    <w:qFormat/>
    <w:uiPriority w:val="0"/>
    <w:pPr>
      <w:ind w:firstLine="420"/>
    </w:pPr>
    <w:rPr>
      <w:szCs w:val="20"/>
    </w:rPr>
  </w:style>
  <w:style w:type="paragraph" w:styleId="8">
    <w:name w:val="annotation text"/>
    <w:basedOn w:val="1"/>
    <w:link w:val="35"/>
    <w:semiHidden/>
    <w:qFormat/>
    <w:uiPriority w:val="0"/>
    <w:pPr>
      <w:adjustRightInd w:val="0"/>
      <w:spacing w:line="312" w:lineRule="atLeast"/>
      <w:jc w:val="left"/>
      <w:textAlignment w:val="baseline"/>
    </w:pPr>
    <w:rPr>
      <w:rFonts w:ascii="Times New Roman" w:hAnsi="Times New Roman"/>
      <w:kern w:val="0"/>
      <w:sz w:val="20"/>
      <w:szCs w:val="20"/>
    </w:rPr>
  </w:style>
  <w:style w:type="paragraph" w:styleId="9">
    <w:name w:val="Body Text Indent"/>
    <w:basedOn w:val="1"/>
    <w:link w:val="33"/>
    <w:qFormat/>
    <w:uiPriority w:val="0"/>
    <w:pPr>
      <w:ind w:firstLine="540" w:firstLineChars="257"/>
    </w:pPr>
    <w:rPr>
      <w:rFonts w:ascii="Times New Roman" w:hAnsi="Times New Roman"/>
      <w:kern w:val="0"/>
      <w:sz w:val="20"/>
      <w:szCs w:val="24"/>
    </w:rPr>
  </w:style>
  <w:style w:type="paragraph" w:styleId="10">
    <w:name w:val="Block Text"/>
    <w:basedOn w:val="1"/>
    <w:qFormat/>
    <w:uiPriority w:val="0"/>
    <w:pPr>
      <w:autoSpaceDE w:val="0"/>
      <w:autoSpaceDN w:val="0"/>
      <w:adjustRightInd w:val="0"/>
      <w:spacing w:line="288" w:lineRule="auto"/>
      <w:ind w:left="-340" w:right="340" w:firstLine="482"/>
      <w:jc w:val="left"/>
      <w:textAlignment w:val="baseline"/>
    </w:pPr>
    <w:rPr>
      <w:rFonts w:ascii="宋体"/>
      <w:kern w:val="0"/>
      <w:sz w:val="24"/>
      <w:szCs w:val="20"/>
    </w:rPr>
  </w:style>
  <w:style w:type="paragraph" w:styleId="11">
    <w:name w:val="toc 3"/>
    <w:basedOn w:val="1"/>
    <w:next w:val="1"/>
    <w:unhideWhenUsed/>
    <w:qFormat/>
    <w:uiPriority w:val="39"/>
    <w:pPr>
      <w:ind w:left="840" w:leftChars="400"/>
    </w:pPr>
  </w:style>
  <w:style w:type="paragraph" w:styleId="12">
    <w:name w:val="Plain Text"/>
    <w:basedOn w:val="1"/>
    <w:link w:val="32"/>
    <w:qFormat/>
    <w:uiPriority w:val="0"/>
    <w:pPr>
      <w:widowControl/>
      <w:overflowPunct w:val="0"/>
      <w:autoSpaceDE w:val="0"/>
      <w:autoSpaceDN w:val="0"/>
      <w:adjustRightInd w:val="0"/>
      <w:jc w:val="left"/>
      <w:textAlignment w:val="baseline"/>
    </w:pPr>
    <w:rPr>
      <w:rFonts w:ascii="宋体" w:hAnsi="Courier New"/>
      <w:kern w:val="0"/>
      <w:sz w:val="22"/>
      <w:szCs w:val="20"/>
    </w:rPr>
  </w:style>
  <w:style w:type="paragraph" w:styleId="13">
    <w:name w:val="Date"/>
    <w:basedOn w:val="1"/>
    <w:next w:val="1"/>
    <w:link w:val="29"/>
    <w:qFormat/>
    <w:uiPriority w:val="0"/>
    <w:pPr>
      <w:ind w:left="100" w:leftChars="2500"/>
    </w:pPr>
    <w:rPr>
      <w:rFonts w:ascii="Times New Roman" w:hAnsi="Times New Roman"/>
      <w:kern w:val="0"/>
      <w:sz w:val="20"/>
      <w:szCs w:val="24"/>
    </w:rPr>
  </w:style>
  <w:style w:type="paragraph" w:styleId="14">
    <w:name w:val="Body Text Indent 2"/>
    <w:basedOn w:val="1"/>
    <w:qFormat/>
    <w:uiPriority w:val="0"/>
    <w:pPr>
      <w:spacing w:after="120" w:line="480" w:lineRule="auto"/>
      <w:ind w:left="420" w:leftChars="200"/>
    </w:pPr>
    <w:rPr>
      <w:rFonts w:ascii="宋体" w:hAnsi="宋体"/>
      <w:color w:val="000000"/>
      <w:sz w:val="24"/>
    </w:rPr>
  </w:style>
  <w:style w:type="paragraph" w:styleId="15">
    <w:name w:val="footer"/>
    <w:basedOn w:val="1"/>
    <w:link w:val="31"/>
    <w:unhideWhenUsed/>
    <w:qFormat/>
    <w:uiPriority w:val="99"/>
    <w:pPr>
      <w:tabs>
        <w:tab w:val="center" w:pos="4153"/>
        <w:tab w:val="right" w:pos="8306"/>
      </w:tabs>
      <w:snapToGrid w:val="0"/>
      <w:jc w:val="left"/>
    </w:pPr>
    <w:rPr>
      <w:kern w:val="0"/>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spacing w:before="120" w:after="120"/>
      <w:jc w:val="left"/>
    </w:pPr>
    <w:rPr>
      <w:rFonts w:ascii="Times New Roman" w:hAnsi="Times New Roman"/>
      <w:b/>
      <w:bCs/>
      <w:caps/>
      <w:sz w:val="20"/>
      <w:szCs w:val="20"/>
    </w:rPr>
  </w:style>
  <w:style w:type="paragraph" w:styleId="18">
    <w:name w:val="Subtitle"/>
    <w:basedOn w:val="1"/>
    <w:next w:val="1"/>
    <w:qFormat/>
    <w:uiPriority w:val="0"/>
    <w:pPr>
      <w:spacing w:before="240" w:after="60" w:line="312" w:lineRule="auto"/>
      <w:jc w:val="left"/>
      <w:outlineLvl w:val="1"/>
    </w:pPr>
    <w:rPr>
      <w:rFonts w:ascii="Cambria" w:hAnsi="Cambria"/>
      <w:b/>
      <w:bCs/>
      <w:kern w:val="28"/>
      <w:sz w:val="24"/>
      <w:szCs w:val="32"/>
    </w:rPr>
  </w:style>
  <w:style w:type="paragraph" w:styleId="19">
    <w:name w:val="Body Text Indent 3"/>
    <w:basedOn w:val="1"/>
    <w:unhideWhenUsed/>
    <w:qFormat/>
    <w:uiPriority w:val="99"/>
    <w:pPr>
      <w:spacing w:after="120"/>
      <w:ind w:left="420" w:leftChars="200"/>
    </w:pPr>
    <w:rPr>
      <w:sz w:val="16"/>
      <w:szCs w:val="16"/>
    </w:rPr>
  </w:style>
  <w:style w:type="paragraph" w:styleId="20">
    <w:name w:val="toc 2"/>
    <w:basedOn w:val="1"/>
    <w:next w:val="1"/>
    <w:unhideWhenUsed/>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qFormat/>
    <w:uiPriority w:val="0"/>
    <w:pPr>
      <w:spacing w:before="240" w:after="60"/>
      <w:jc w:val="left"/>
      <w:outlineLvl w:val="0"/>
    </w:pPr>
    <w:rPr>
      <w:rFonts w:ascii="Cambria" w:hAnsi="Cambria"/>
      <w:b/>
      <w:bCs/>
      <w:sz w:val="24"/>
      <w:szCs w:val="32"/>
    </w:rPr>
  </w:style>
  <w:style w:type="character" w:styleId="25">
    <w:name w:val="Strong"/>
    <w:qFormat/>
    <w:uiPriority w:val="22"/>
    <w:rPr>
      <w:b/>
    </w:rPr>
  </w:style>
  <w:style w:type="character" w:styleId="26">
    <w:name w:val="page number"/>
    <w:basedOn w:val="24"/>
    <w:qFormat/>
    <w:uiPriority w:val="0"/>
  </w:style>
  <w:style w:type="character" w:styleId="27">
    <w:name w:val="Hyperlink"/>
    <w:qFormat/>
    <w:uiPriority w:val="99"/>
    <w:rPr>
      <w:color w:val="0000FF"/>
      <w:u w:val="single"/>
    </w:rPr>
  </w:style>
  <w:style w:type="paragraph" w:customStyle="1" w:styleId="28">
    <w:name w:val="段"/>
    <w:next w:val="1"/>
    <w:qFormat/>
    <w:uiPriority w:val="99"/>
    <w:pPr>
      <w:widowControl w:val="0"/>
      <w:autoSpaceDE w:val="0"/>
      <w:autoSpaceDN w:val="0"/>
      <w:ind w:left="360"/>
      <w:jc w:val="both"/>
    </w:pPr>
    <w:rPr>
      <w:rFonts w:ascii="宋体" w:hAnsi="新宋体" w:eastAsia="宋体" w:cs="Times New Roman"/>
      <w:kern w:val="2"/>
      <w:sz w:val="24"/>
      <w:szCs w:val="24"/>
      <w:lang w:val="en-US" w:eastAsia="zh-CN" w:bidi="ar-SA"/>
    </w:rPr>
  </w:style>
  <w:style w:type="character" w:customStyle="1" w:styleId="29">
    <w:name w:val="日期 字符"/>
    <w:link w:val="13"/>
    <w:qFormat/>
    <w:uiPriority w:val="0"/>
    <w:rPr>
      <w:rFonts w:ascii="Times New Roman" w:hAnsi="Times New Roman" w:eastAsia="宋体" w:cs="Times New Roman"/>
      <w:szCs w:val="24"/>
    </w:rPr>
  </w:style>
  <w:style w:type="character" w:customStyle="1" w:styleId="30">
    <w:name w:val="apple-converted-space"/>
    <w:basedOn w:val="24"/>
    <w:qFormat/>
    <w:uiPriority w:val="0"/>
  </w:style>
  <w:style w:type="character" w:customStyle="1" w:styleId="31">
    <w:name w:val="页脚 字符"/>
    <w:link w:val="15"/>
    <w:qFormat/>
    <w:uiPriority w:val="99"/>
    <w:rPr>
      <w:sz w:val="18"/>
      <w:szCs w:val="18"/>
    </w:rPr>
  </w:style>
  <w:style w:type="character" w:customStyle="1" w:styleId="32">
    <w:name w:val="纯文本 字符"/>
    <w:link w:val="12"/>
    <w:qFormat/>
    <w:uiPriority w:val="0"/>
    <w:rPr>
      <w:rFonts w:ascii="宋体" w:hAnsi="Courier New" w:eastAsia="宋体" w:cs="Times New Roman"/>
      <w:kern w:val="0"/>
      <w:sz w:val="22"/>
      <w:szCs w:val="20"/>
    </w:rPr>
  </w:style>
  <w:style w:type="character" w:customStyle="1" w:styleId="33">
    <w:name w:val="正文文本缩进 字符"/>
    <w:link w:val="9"/>
    <w:qFormat/>
    <w:uiPriority w:val="0"/>
    <w:rPr>
      <w:rFonts w:ascii="Times New Roman" w:hAnsi="Times New Roman" w:eastAsia="宋体" w:cs="Times New Roman"/>
      <w:szCs w:val="24"/>
    </w:rPr>
  </w:style>
  <w:style w:type="character" w:customStyle="1" w:styleId="34">
    <w:name w:val="页眉 字符"/>
    <w:link w:val="16"/>
    <w:qFormat/>
    <w:uiPriority w:val="99"/>
    <w:rPr>
      <w:sz w:val="18"/>
      <w:szCs w:val="18"/>
    </w:rPr>
  </w:style>
  <w:style w:type="character" w:customStyle="1" w:styleId="35">
    <w:name w:val="批注文字 字符"/>
    <w:link w:val="8"/>
    <w:semiHidden/>
    <w:qFormat/>
    <w:uiPriority w:val="0"/>
    <w:rPr>
      <w:rFonts w:ascii="Times New Roman" w:hAnsi="Times New Roman" w:eastAsia="宋体" w:cs="Times New Roman"/>
      <w:kern w:val="0"/>
      <w:szCs w:val="20"/>
    </w:rPr>
  </w:style>
  <w:style w:type="character" w:customStyle="1" w:styleId="36">
    <w:name w:val="标题 2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黑体" w:hAnsi="Arial" w:eastAsia="黑体" w:cs="Arial"/>
      <w:color w:val="000000"/>
      <w:kern w:val="2"/>
      <w:sz w:val="28"/>
      <w:szCs w:val="32"/>
      <w:lang w:val="en-US" w:eastAsia="zh-CN" w:bidi="ar-SA"/>
    </w:rPr>
  </w:style>
  <w:style w:type="character" w:customStyle="1" w:styleId="37">
    <w:name w:val="标题 3 字符"/>
    <w:link w:val="5"/>
    <w:qFormat/>
    <w:uiPriority w:val="0"/>
    <w:rPr>
      <w:rFonts w:ascii="Times New Roman" w:hAnsi="Times New Roman"/>
      <w:b/>
      <w:bCs/>
      <w:kern w:val="2"/>
      <w:sz w:val="24"/>
      <w:szCs w:val="32"/>
    </w:rPr>
  </w:style>
  <w:style w:type="character" w:customStyle="1" w:styleId="38">
    <w:name w:val="标题 1 字符"/>
    <w:link w:val="3"/>
    <w:qFormat/>
    <w:uiPriority w:val="9"/>
    <w:rPr>
      <w:b/>
      <w:bCs/>
      <w:kern w:val="44"/>
      <w:sz w:val="44"/>
      <w:szCs w:val="44"/>
    </w:rPr>
  </w:style>
  <w:style w:type="character" w:customStyle="1" w:styleId="39">
    <w:name w:val="标题 4 字符"/>
    <w:link w:val="6"/>
    <w:qFormat/>
    <w:uiPriority w:val="0"/>
    <w:rPr>
      <w:rFonts w:ascii="Arial" w:hAnsi="Arial" w:eastAsia="黑体"/>
      <w:b/>
      <w:bCs/>
      <w:kern w:val="2"/>
      <w:sz w:val="28"/>
      <w:szCs w:val="28"/>
    </w:rPr>
  </w:style>
  <w:style w:type="paragraph" w:customStyle="1" w:styleId="40">
    <w:name w:val="cont-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正文首行缩进2字"/>
    <w:basedOn w:val="1"/>
    <w:qFormat/>
    <w:uiPriority w:val="0"/>
    <w:pPr>
      <w:spacing w:line="360" w:lineRule="auto"/>
      <w:ind w:firstLine="200" w:firstLineChars="200"/>
    </w:pPr>
    <w:rPr>
      <w:sz w:val="24"/>
    </w:rPr>
  </w:style>
  <w:style w:type="paragraph" w:customStyle="1" w:styleId="46">
    <w:name w:val="TOC 标题1"/>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7">
    <w:name w:val="样式1"/>
    <w:basedOn w:val="1"/>
    <w:qFormat/>
    <w:uiPriority w:val="0"/>
    <w:pPr>
      <w:numPr>
        <w:ilvl w:val="0"/>
        <w:numId w:val="1"/>
      </w:numPr>
    </w:pPr>
  </w:style>
  <w:style w:type="paragraph" w:customStyle="1" w:styleId="48">
    <w:name w:val="p0"/>
    <w:basedOn w:val="1"/>
    <w:qFormat/>
    <w:uiPriority w:val="0"/>
    <w:pPr>
      <w:widowControl/>
    </w:pPr>
    <w:rPr>
      <w:kern w:val="0"/>
      <w:szCs w:val="21"/>
    </w:rPr>
  </w:style>
  <w:style w:type="paragraph" w:customStyle="1" w:styleId="49">
    <w:name w:val="reader-word-layer reader-word-s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1"/>
    <w:basedOn w:val="1"/>
    <w:qFormat/>
    <w:uiPriority w:val="99"/>
    <w:pPr>
      <w:ind w:firstLine="420" w:firstLineChars="200"/>
    </w:pPr>
  </w:style>
  <w:style w:type="paragraph" w:customStyle="1" w:styleId="51">
    <w:name w:val="二级条标题"/>
    <w:basedOn w:val="1"/>
    <w:next w:val="1"/>
    <w:link w:val="52"/>
    <w:qFormat/>
    <w:uiPriority w:val="0"/>
    <w:pPr>
      <w:widowControl/>
      <w:ind w:left="1050"/>
      <w:jc w:val="left"/>
      <w:outlineLvl w:val="3"/>
    </w:pPr>
    <w:rPr>
      <w:rFonts w:ascii="Times New Roman" w:hAnsi="Times New Roman" w:eastAsia="黑体"/>
      <w:kern w:val="0"/>
      <w:szCs w:val="20"/>
    </w:rPr>
  </w:style>
  <w:style w:type="character" w:customStyle="1" w:styleId="52">
    <w:name w:val="二级条标题 Char"/>
    <w:basedOn w:val="24"/>
    <w:link w:val="51"/>
    <w:qFormat/>
    <w:uiPriority w:val="0"/>
    <w:rPr>
      <w:rFonts w:ascii="Times New Roman" w:hAnsi="Times New Roman" w:eastAsia="黑体"/>
      <w:sz w:val="21"/>
    </w:rPr>
  </w:style>
  <w:style w:type="paragraph" w:customStyle="1" w:styleId="53">
    <w:name w:val="TOC 标题2"/>
    <w:basedOn w:val="3"/>
    <w:next w:val="1"/>
    <w:unhideWhenUsed/>
    <w:qFormat/>
    <w:uiPriority w:val="39"/>
    <w:pPr>
      <w:outlineLvl w:val="9"/>
    </w:pPr>
  </w:style>
  <w:style w:type="paragraph" w:customStyle="1" w:styleId="54">
    <w:name w:val="_Style 1"/>
    <w:basedOn w:val="1"/>
    <w:qFormat/>
    <w:uiPriority w:val="1"/>
    <w:pPr>
      <w:spacing w:before="153"/>
      <w:ind w:left="228"/>
    </w:pPr>
    <w:rPr>
      <w:rFonts w:ascii="宋体" w:hAnsi="宋体" w:cs="宋体"/>
    </w:rPr>
  </w:style>
  <w:style w:type="paragraph" w:customStyle="1" w:styleId="55">
    <w:name w:val="纯文本1"/>
    <w:basedOn w:val="1"/>
    <w:qFormat/>
    <w:uiPriority w:val="0"/>
    <w:rPr>
      <w:rFonts w:ascii="宋体" w:hAnsi="Courier New"/>
      <w:szCs w:val="20"/>
    </w:rPr>
  </w:style>
  <w:style w:type="character" w:customStyle="1" w:styleId="56">
    <w:name w:val="font01"/>
    <w:basedOn w:val="24"/>
    <w:qFormat/>
    <w:uiPriority w:val="0"/>
    <w:rPr>
      <w:rFonts w:hint="eastAsia" w:ascii="宋体" w:hAnsi="宋体" w:eastAsia="宋体" w:cs="宋体"/>
      <w:color w:val="000000"/>
      <w:sz w:val="24"/>
      <w:szCs w:val="24"/>
      <w:u w:val="none"/>
    </w:rPr>
  </w:style>
  <w:style w:type="paragraph" w:customStyle="1" w:styleId="57">
    <w:name w:val="标准书脚_奇数页"/>
    <w:qFormat/>
    <w:uiPriority w:val="0"/>
    <w:pPr>
      <w:spacing w:before="120"/>
      <w:jc w:val="right"/>
    </w:pPr>
    <w:rPr>
      <w:rFonts w:asciiTheme="minorHAnsi" w:hAnsiTheme="minorHAnsi" w:eastAsiaTheme="minorEastAsia" w:cstheme="minorBidi"/>
      <w:sz w:val="18"/>
      <w:szCs w:val="22"/>
      <w:lang w:val="en-US" w:eastAsia="zh-CN" w:bidi="ar-SA"/>
    </w:rPr>
  </w:style>
  <w:style w:type="paragraph" w:styleId="58">
    <w:name w:val="List Paragraph"/>
    <w:basedOn w:val="1"/>
    <w:qFormat/>
    <w:uiPriority w:val="1"/>
    <w:pPr>
      <w:spacing w:before="153"/>
      <w:ind w:left="228"/>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microsoft.com/office/2007/relationships/diagramDrawing" Target="diagrams/drawing1.xml"/><Relationship Id="rId10" Type="http://schemas.openxmlformats.org/officeDocument/2006/relationships/diagramColors" Target="diagrams/colors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796DC1A-447A-4DEA-92D7-465001291B17}" type="doc">
      <dgm:prSet loTypeId="urn:microsoft.com/office/officeart/2005/8/layout/orgChart1#1" loCatId="hierarchy" qsTypeId="urn:microsoft.com/office/officeart/2005/8/quickstyle/simple1#1" qsCatId="simple" csTypeId="urn:microsoft.com/office/officeart/2005/8/colors/accent1_2#1" csCatId="accent1" phldr="1"/>
      <dgm:spPr/>
    </dgm:pt>
    <dgm:pt modelId="{B1600E44-2CBB-468F-8811-3DC351000DDD}">
      <dgm:prSet/>
      <dgm:spPr/>
      <dgm:t>
        <a:bodyPr/>
        <a:p>
          <a:pPr marR="0" algn="ctr" rtl="0"/>
          <a:r>
            <a:rPr lang="zh-CN" altLang="en-US" kern="100" baseline="0">
              <a:latin typeface="Calibri" panose="020F0502020204030204" pitchFamily="2"/>
              <a:ea typeface="宋体" panose="02010600030101010101" charset="-122"/>
            </a:rPr>
            <a:t>总经理</a:t>
          </a:r>
          <a:endParaRPr lang="zh-CN" altLang="en-US"/>
        </a:p>
      </dgm:t>
    </dgm:pt>
    <dgm:pt modelId="{A391A1DC-2412-4DE3-BD35-54BFA67D48EB}" cxnId="{07FEB657-3B4E-4802-946A-486B2FB8F1B6}" type="parTrans">
      <dgm:prSet/>
      <dgm:spPr/>
      <dgm:t>
        <a:bodyPr/>
        <a:p>
          <a:endParaRPr lang="zh-CN" altLang="en-US"/>
        </a:p>
      </dgm:t>
    </dgm:pt>
    <dgm:pt modelId="{27BBF410-BC0E-4EF4-9846-24C39B93434D}" cxnId="{07FEB657-3B4E-4802-946A-486B2FB8F1B6}" type="sibTrans">
      <dgm:prSet/>
      <dgm:spPr/>
      <dgm:t>
        <a:bodyPr/>
        <a:p>
          <a:endParaRPr lang="zh-CN" altLang="en-US"/>
        </a:p>
      </dgm:t>
    </dgm:pt>
    <dgm:pt modelId="{69E57ABC-457E-4EEF-9E86-95FC051327E0}" type="asst">
      <dgm:prSet phldr="0" custT="0"/>
      <dgm:spPr/>
      <dgm:t>
        <a:bodyPr vert="horz" wrap="square"/>
        <a:p>
          <a:pPr marR="0" algn="ctr" rtl="0">
            <a:lnSpc>
              <a:spcPct val="100000"/>
            </a:lnSpc>
            <a:spcBef>
              <a:spcPct val="0"/>
            </a:spcBef>
            <a:spcAft>
              <a:spcPct val="35000"/>
            </a:spcAft>
          </a:pPr>
          <a:r>
            <a:rPr lang="zh-CN" altLang="en-US"/>
            <a:t>食品安全小组长</a:t>
          </a:r>
        </a:p>
      </dgm:t>
    </dgm:pt>
    <dgm:pt modelId="{85E1CF63-7BC5-4CC8-8019-A0158F7C98B5}" cxnId="{0703A426-573E-4739-8369-EFC146704712}" type="parTrans">
      <dgm:prSet/>
      <dgm:spPr/>
      <dgm:t>
        <a:bodyPr/>
        <a:p>
          <a:endParaRPr lang="zh-CN" altLang="en-US"/>
        </a:p>
      </dgm:t>
    </dgm:pt>
    <dgm:pt modelId="{5E8A54F2-95A3-4CA7-9EB5-5E1E5BD79C72}" cxnId="{0703A426-573E-4739-8369-EFC146704712}" type="sibTrans">
      <dgm:prSet/>
      <dgm:spPr/>
      <dgm:t>
        <a:bodyPr/>
        <a:p>
          <a:endParaRPr lang="zh-CN" altLang="en-US"/>
        </a:p>
      </dgm:t>
    </dgm:pt>
    <dgm:pt modelId="{88E105E4-B4AD-4600-B20A-3C34BB65755F}">
      <dgm:prSet phldr="0" custT="1"/>
      <dgm:spPr/>
      <dgm:t>
        <a:bodyPr vert="horz" wrap="square"/>
        <a:p>
          <a:pPr marR="0" algn="ctr" rtl="0">
            <a:lnSpc>
              <a:spcPct val="100000"/>
            </a:lnSpc>
            <a:spcBef>
              <a:spcPct val="0"/>
            </a:spcBef>
            <a:spcAft>
              <a:spcPct val="35000"/>
            </a:spcAft>
          </a:pPr>
          <a:r>
            <a:rPr lang="zh-CN" altLang="en-US" sz="2200"/>
            <a:t>行政部</a:t>
          </a:r>
          <a:endParaRPr sz="2200"/>
        </a:p>
      </dgm:t>
    </dgm:pt>
    <dgm:pt modelId="{4DFBC830-3234-4107-89E0-2A379DED940E}" cxnId="{A35E5CD7-4AE5-4709-BB2C-976D0E295659}" type="parTrans">
      <dgm:prSet/>
      <dgm:spPr/>
      <dgm:t>
        <a:bodyPr/>
        <a:p>
          <a:endParaRPr lang="zh-CN" altLang="en-US"/>
        </a:p>
      </dgm:t>
    </dgm:pt>
    <dgm:pt modelId="{864C6AB3-E43D-4299-93F4-EE9FA886DD43}" cxnId="{A35E5CD7-4AE5-4709-BB2C-976D0E295659}" type="sibTrans">
      <dgm:prSet/>
      <dgm:spPr/>
      <dgm:t>
        <a:bodyPr/>
        <a:p>
          <a:endParaRPr lang="zh-CN" altLang="en-US"/>
        </a:p>
      </dgm:t>
    </dgm:pt>
    <dgm:pt modelId="{BAB3617C-C4DC-4DFC-98BA-FE5CEB986C50}">
      <dgm:prSet phldr="0" custT="1"/>
      <dgm:spPr/>
      <dgm:t>
        <a:bodyPr vert="horz" wrap="square"/>
        <a:p>
          <a:pPr>
            <a:lnSpc>
              <a:spcPct val="100000"/>
            </a:lnSpc>
            <a:spcBef>
              <a:spcPct val="0"/>
            </a:spcBef>
            <a:spcAft>
              <a:spcPct val="35000"/>
            </a:spcAft>
          </a:pPr>
          <a:r>
            <a:rPr lang="zh-CN" sz="2200"/>
            <a:t>市场</a:t>
          </a:r>
          <a:r>
            <a:rPr lang="zh-CN" sz="2200"/>
            <a:t>部</a:t>
          </a:r>
          <a:r>
            <a:rPr altLang="en-US" sz="2200"/>
            <a:t/>
          </a:r>
          <a:endParaRPr altLang="en-US" sz="2200"/>
        </a:p>
      </dgm:t>
    </dgm:pt>
    <dgm:pt modelId="{1312F61B-17D8-4394-B2B4-017084611622}" cxnId="{D0C43CAD-A519-43C1-9935-E47DD55F0FB2}" type="parTrans">
      <dgm:prSet/>
      <dgm:spPr/>
    </dgm:pt>
    <dgm:pt modelId="{4503E2DF-20EF-423C-953D-15C870EA8C80}" cxnId="{D0C43CAD-A519-43C1-9935-E47DD55F0FB2}" type="sibTrans">
      <dgm:prSet/>
      <dgm:spPr/>
    </dgm:pt>
    <dgm:pt modelId="{1743474A-5EDF-41A3-8EA8-9D8F2C70FE59}">
      <dgm:prSet phldr="0" custT="0"/>
      <dgm:spPr/>
      <dgm:t>
        <a:bodyPr vert="horz" wrap="square"/>
        <a:p>
          <a:pPr>
            <a:lnSpc>
              <a:spcPct val="100000"/>
            </a:lnSpc>
            <a:spcBef>
              <a:spcPct val="0"/>
            </a:spcBef>
            <a:spcAft>
              <a:spcPct val="35000"/>
            </a:spcAft>
          </a:pPr>
          <a:r>
            <a:rPr lang="zh-CN"/>
            <a:t>财务部</a:t>
          </a:r>
          <a:endParaRPr altLang="en-US"/>
        </a:p>
      </dgm:t>
    </dgm:pt>
    <dgm:pt modelId="{A652B7F7-9D2B-49D1-9C0E-672958DC94E9}" cxnId="{E7F89503-D2EC-4C05-BE95-1E3A08BDB8D0}" type="parTrans">
      <dgm:prSet/>
      <dgm:spPr/>
    </dgm:pt>
    <dgm:pt modelId="{944C2796-938E-4D8A-B212-A1A1D3D369DA}" cxnId="{E7F89503-D2EC-4C05-BE95-1E3A08BDB8D0}" type="sibTrans">
      <dgm:prSet/>
      <dgm:spPr/>
    </dgm:pt>
    <dgm:pt modelId="{1DFFE7CD-8AD0-4BEA-B4DA-A1E28A14EEAD}" type="pres">
      <dgm:prSet presAssocID="{C796DC1A-447A-4DEA-92D7-465001291B17}" presName="hierChild1" presStyleCnt="0">
        <dgm:presLayoutVars>
          <dgm:orgChart val="1"/>
          <dgm:chPref val="1"/>
          <dgm:dir/>
          <dgm:animOne val="branch"/>
          <dgm:animLvl val="lvl"/>
          <dgm:resizeHandles/>
        </dgm:presLayoutVars>
      </dgm:prSet>
      <dgm:spPr/>
    </dgm:pt>
    <dgm:pt modelId="{7AC21CEE-147B-4F83-ACBF-40895699D0EE}" type="pres">
      <dgm:prSet presAssocID="{B1600E44-2CBB-468F-8811-3DC351000DDD}" presName="hierRoot1" presStyleCnt="0">
        <dgm:presLayoutVars>
          <dgm:hierBranch/>
        </dgm:presLayoutVars>
      </dgm:prSet>
      <dgm:spPr/>
    </dgm:pt>
    <dgm:pt modelId="{E7693295-4F1B-4C22-BD4A-48EF5B98525F}" type="pres">
      <dgm:prSet presAssocID="{B1600E44-2CBB-468F-8811-3DC351000DDD}" presName="rootComposite1" presStyleCnt="0"/>
      <dgm:spPr/>
    </dgm:pt>
    <dgm:pt modelId="{745B2021-998D-4C22-91D7-666595CC0799}" type="pres">
      <dgm:prSet presAssocID="{B1600E44-2CBB-468F-8811-3DC351000DDD}" presName="rootText1" presStyleLbl="node0" presStyleIdx="0" presStyleCnt="1" custLinFactNeighborY="-430">
        <dgm:presLayoutVars>
          <dgm:chPref val="3"/>
        </dgm:presLayoutVars>
      </dgm:prSet>
      <dgm:spPr/>
    </dgm:pt>
    <dgm:pt modelId="{FD2D2416-6B16-486D-A32A-B5877BAD56DD}" type="pres">
      <dgm:prSet presAssocID="{B1600E44-2CBB-468F-8811-3DC351000DDD}" presName="rootConnector1" presStyleCnt="0"/>
      <dgm:spPr/>
    </dgm:pt>
    <dgm:pt modelId="{3EC07B12-D577-44C3-8B59-DC455D27D976}" type="pres">
      <dgm:prSet presAssocID="{B1600E44-2CBB-468F-8811-3DC351000DDD}" presName="hierChild2" presStyleCnt="0"/>
      <dgm:spPr/>
    </dgm:pt>
    <dgm:pt modelId="{4A08A1B8-C692-4602-A503-4BFC1BD52475}" type="pres">
      <dgm:prSet presAssocID="{4DFBC830-3234-4107-89E0-2A379DED940E}" presName="Name35" presStyleLbl="parChTrans1D2" presStyleIdx="0" presStyleCnt="4"/>
      <dgm:spPr/>
    </dgm:pt>
    <dgm:pt modelId="{1D141EA1-0FDD-4C31-B13B-7E5BA964AFC3}" type="pres">
      <dgm:prSet presAssocID="{88E105E4-B4AD-4600-B20A-3C34BB65755F}" presName="hierRoot2" presStyleCnt="0">
        <dgm:presLayoutVars>
          <dgm:hierBranch/>
        </dgm:presLayoutVars>
      </dgm:prSet>
      <dgm:spPr/>
    </dgm:pt>
    <dgm:pt modelId="{20D2C8DC-7FDD-4DE4-BCE0-8E3782D4999A}" type="pres">
      <dgm:prSet presAssocID="{88E105E4-B4AD-4600-B20A-3C34BB65755F}" presName="rootComposite" presStyleCnt="0"/>
      <dgm:spPr/>
    </dgm:pt>
    <dgm:pt modelId="{456E6C54-B681-471B-93BA-321F9E0982C3}" type="pres">
      <dgm:prSet presAssocID="{88E105E4-B4AD-4600-B20A-3C34BB65755F}" presName="rootText" presStyleLbl="node2" presStyleIdx="0" presStyleCnt="3">
        <dgm:presLayoutVars>
          <dgm:chPref val="3"/>
        </dgm:presLayoutVars>
      </dgm:prSet>
      <dgm:spPr/>
    </dgm:pt>
    <dgm:pt modelId="{DF755327-725D-465C-B809-074CB606D4FC}" type="pres">
      <dgm:prSet presAssocID="{88E105E4-B4AD-4600-B20A-3C34BB65755F}" presName="rootConnector" presStyleCnt="0"/>
      <dgm:spPr/>
    </dgm:pt>
    <dgm:pt modelId="{C094FE07-B6F9-4DBC-8B83-CFE7CBCF55A4}" type="pres">
      <dgm:prSet presAssocID="{88E105E4-B4AD-4600-B20A-3C34BB65755F}" presName="hierChild4" presStyleCnt="0"/>
      <dgm:spPr/>
    </dgm:pt>
    <dgm:pt modelId="{77C280CD-E119-4593-9EF4-37AAE3048E0F}" type="pres">
      <dgm:prSet presAssocID="{88E105E4-B4AD-4600-B20A-3C34BB65755F}" presName="hierChild5" presStyleCnt="0"/>
      <dgm:spPr/>
    </dgm:pt>
    <dgm:pt modelId="{A9AA89FD-76BF-47F8-BA42-9D476084B4DB}" type="pres">
      <dgm:prSet presAssocID="{1312F61B-17D8-4394-B2B4-017084611622}" presName="Name35" presStyleLbl="parChTrans1D2" presStyleIdx="1" presStyleCnt="4"/>
      <dgm:spPr/>
    </dgm:pt>
    <dgm:pt modelId="{C498801D-3187-42E1-8838-9BEBB4A5FB64}" type="pres">
      <dgm:prSet presAssocID="{BAB3617C-C4DC-4DFC-98BA-FE5CEB986C50}" presName="hierRoot2" presStyleCnt="0">
        <dgm:presLayoutVars>
          <dgm:hierBranch val="init"/>
        </dgm:presLayoutVars>
      </dgm:prSet>
      <dgm:spPr/>
    </dgm:pt>
    <dgm:pt modelId="{082FA7F1-33D5-42BE-A672-73E2055F1381}" type="pres">
      <dgm:prSet presAssocID="{BAB3617C-C4DC-4DFC-98BA-FE5CEB986C50}" presName="rootComposite" presStyleCnt="0"/>
      <dgm:spPr/>
    </dgm:pt>
    <dgm:pt modelId="{3CCFBD47-0C51-4BB1-A5F2-AEE9B598A352}" type="pres">
      <dgm:prSet presAssocID="{BAB3617C-C4DC-4DFC-98BA-FE5CEB986C50}" presName="rootText" presStyleLbl="node2" presStyleIdx="1" presStyleCnt="3">
        <dgm:presLayoutVars>
          <dgm:chPref val="3"/>
        </dgm:presLayoutVars>
      </dgm:prSet>
      <dgm:spPr/>
    </dgm:pt>
    <dgm:pt modelId="{BF6BC4E3-8757-4A37-B315-A342E2957480}" type="pres">
      <dgm:prSet presAssocID="{BAB3617C-C4DC-4DFC-98BA-FE5CEB986C50}" presName="rootConnector" presStyleCnt="0"/>
      <dgm:spPr/>
    </dgm:pt>
    <dgm:pt modelId="{5913904A-C706-4281-A215-02B81312EB38}" type="pres">
      <dgm:prSet presAssocID="{BAB3617C-C4DC-4DFC-98BA-FE5CEB986C50}" presName="hierChild4" presStyleCnt="0"/>
      <dgm:spPr/>
    </dgm:pt>
    <dgm:pt modelId="{65B012F6-D866-461F-8380-ABCB185F72B6}" type="pres">
      <dgm:prSet presAssocID="{BAB3617C-C4DC-4DFC-98BA-FE5CEB986C50}" presName="hierChild5" presStyleCnt="0"/>
      <dgm:spPr/>
    </dgm:pt>
    <dgm:pt modelId="{CF64C81B-DB69-4146-A095-EC5D5D843F33}" type="pres">
      <dgm:prSet presAssocID="{A652B7F7-9D2B-49D1-9C0E-672958DC94E9}" presName="Name35" presStyleLbl="parChTrans1D2" presStyleIdx="2" presStyleCnt="4"/>
      <dgm:spPr/>
    </dgm:pt>
    <dgm:pt modelId="{A08D1BAF-9237-4AAE-AC08-7824CAB34793}" type="pres">
      <dgm:prSet presAssocID="{1743474A-5EDF-41A3-8EA8-9D8F2C70FE59}" presName="hierRoot2" presStyleCnt="0">
        <dgm:presLayoutVars>
          <dgm:hierBranch val="init"/>
        </dgm:presLayoutVars>
      </dgm:prSet>
      <dgm:spPr/>
    </dgm:pt>
    <dgm:pt modelId="{4D853101-920A-4E8F-BFB8-D1B0EDF9892C}" type="pres">
      <dgm:prSet presAssocID="{1743474A-5EDF-41A3-8EA8-9D8F2C70FE59}" presName="rootComposite" presStyleCnt="0"/>
      <dgm:spPr/>
    </dgm:pt>
    <dgm:pt modelId="{0AF43C8B-8ADA-4FB6-A582-02CE2B40B2C5}" type="pres">
      <dgm:prSet presAssocID="{1743474A-5EDF-41A3-8EA8-9D8F2C70FE59}" presName="rootText" presStyleLbl="node2" presStyleIdx="2" presStyleCnt="3">
        <dgm:presLayoutVars>
          <dgm:chPref val="3"/>
        </dgm:presLayoutVars>
      </dgm:prSet>
      <dgm:spPr/>
    </dgm:pt>
    <dgm:pt modelId="{BD50B100-462B-4249-A3DD-C3A355C321C1}" type="pres">
      <dgm:prSet presAssocID="{1743474A-5EDF-41A3-8EA8-9D8F2C70FE59}" presName="rootConnector" presStyleCnt="0"/>
      <dgm:spPr/>
    </dgm:pt>
    <dgm:pt modelId="{0ECAD950-0839-4F64-ABC1-3EB2020A8DBF}" type="pres">
      <dgm:prSet presAssocID="{1743474A-5EDF-41A3-8EA8-9D8F2C70FE59}" presName="hierChild4" presStyleCnt="0"/>
      <dgm:spPr/>
    </dgm:pt>
    <dgm:pt modelId="{D7E7C092-16C6-4B44-B758-E587AA8CF822}" type="pres">
      <dgm:prSet presAssocID="{1743474A-5EDF-41A3-8EA8-9D8F2C70FE59}" presName="hierChild5" presStyleCnt="0"/>
      <dgm:spPr/>
    </dgm:pt>
    <dgm:pt modelId="{7533C8FE-A90C-4820-A418-30B8F10ACAA4}" type="pres">
      <dgm:prSet presAssocID="{B1600E44-2CBB-468F-8811-3DC351000DDD}" presName="hierChild3" presStyleCnt="0"/>
      <dgm:spPr/>
    </dgm:pt>
    <dgm:pt modelId="{8D46ADCC-D614-4341-8590-33A49256482A}" type="pres">
      <dgm:prSet presAssocID="{85E1CF63-7BC5-4CC8-8019-A0158F7C98B5}" presName="Name111" presStyleLbl="parChTrans1D2" presStyleIdx="3" presStyleCnt="4"/>
      <dgm:spPr/>
    </dgm:pt>
    <dgm:pt modelId="{F3708260-50CF-4E7F-B2F9-29C9EF822442}" type="pres">
      <dgm:prSet presAssocID="{69E57ABC-457E-4EEF-9E86-95FC051327E0}" presName="hierRoot3" presStyleCnt="0">
        <dgm:presLayoutVars>
          <dgm:hierBranch/>
        </dgm:presLayoutVars>
      </dgm:prSet>
      <dgm:spPr/>
    </dgm:pt>
    <dgm:pt modelId="{641B1355-9494-477B-827A-0851A45C6217}" type="pres">
      <dgm:prSet presAssocID="{69E57ABC-457E-4EEF-9E86-95FC051327E0}" presName="rootComposite3" presStyleCnt="0"/>
      <dgm:spPr/>
    </dgm:pt>
    <dgm:pt modelId="{6CE3C41B-19C0-4D38-AB6E-A2215E97A081}" type="pres">
      <dgm:prSet presAssocID="{69E57ABC-457E-4EEF-9E86-95FC051327E0}" presName="rootText3" presStyleLbl="asst1" presStyleIdx="0" presStyleCnt="1" custScaleX="161419">
        <dgm:presLayoutVars>
          <dgm:chPref val="3"/>
        </dgm:presLayoutVars>
      </dgm:prSet>
      <dgm:spPr/>
    </dgm:pt>
    <dgm:pt modelId="{A09D92A1-CAE2-47B7-AB56-4C3BE0461E6D}" type="pres">
      <dgm:prSet presAssocID="{69E57ABC-457E-4EEF-9E86-95FC051327E0}" presName="rootConnector3" presStyleCnt="0"/>
      <dgm:spPr/>
    </dgm:pt>
    <dgm:pt modelId="{6E81EF11-4741-49E9-A835-9D4843E526D1}" type="pres">
      <dgm:prSet presAssocID="{69E57ABC-457E-4EEF-9E86-95FC051327E0}" presName="hierChild6" presStyleCnt="0"/>
      <dgm:spPr/>
    </dgm:pt>
    <dgm:pt modelId="{D99BF93E-EBB3-40A9-AAE4-9E7290BB9387}" type="pres">
      <dgm:prSet presAssocID="{69E57ABC-457E-4EEF-9E86-95FC051327E0}" presName="hierChild7" presStyleCnt="0"/>
      <dgm:spPr/>
    </dgm:pt>
  </dgm:ptLst>
  <dgm:cxnLst>
    <dgm:cxn modelId="{07FEB657-3B4E-4802-946A-486B2FB8F1B6}" srcId="{C796DC1A-447A-4DEA-92D7-465001291B17}" destId="{B1600E44-2CBB-468F-8811-3DC351000DDD}" srcOrd="0" destOrd="0" parTransId="{A391A1DC-2412-4DE3-BD35-54BFA67D48EB}" sibTransId="{27BBF410-BC0E-4EF4-9846-24C39B93434D}"/>
    <dgm:cxn modelId="{0703A426-573E-4739-8369-EFC146704712}" srcId="{B1600E44-2CBB-468F-8811-3DC351000DDD}" destId="{69E57ABC-457E-4EEF-9E86-95FC051327E0}" srcOrd="0" destOrd="0" parTransId="{85E1CF63-7BC5-4CC8-8019-A0158F7C98B5}" sibTransId="{5E8A54F2-95A3-4CA7-9EB5-5E1E5BD79C72}"/>
    <dgm:cxn modelId="{A35E5CD7-4AE5-4709-BB2C-976D0E295659}" srcId="{B1600E44-2CBB-468F-8811-3DC351000DDD}" destId="{88E105E4-B4AD-4600-B20A-3C34BB65755F}" srcOrd="1" destOrd="0" parTransId="{4DFBC830-3234-4107-89E0-2A379DED940E}" sibTransId="{864C6AB3-E43D-4299-93F4-EE9FA886DD43}"/>
    <dgm:cxn modelId="{D0C43CAD-A519-43C1-9935-E47DD55F0FB2}" srcId="{B1600E44-2CBB-468F-8811-3DC351000DDD}" destId="{BAB3617C-C4DC-4DFC-98BA-FE5CEB986C50}" srcOrd="2" destOrd="0" parTransId="{1312F61B-17D8-4394-B2B4-017084611622}" sibTransId="{4503E2DF-20EF-423C-953D-15C870EA8C80}"/>
    <dgm:cxn modelId="{E7F89503-D2EC-4C05-BE95-1E3A08BDB8D0}" srcId="{B1600E44-2CBB-468F-8811-3DC351000DDD}" destId="{1743474A-5EDF-41A3-8EA8-9D8F2C70FE59}" srcOrd="3" destOrd="0" parTransId="{A652B7F7-9D2B-49D1-9C0E-672958DC94E9}" sibTransId="{944C2796-938E-4D8A-B212-A1A1D3D369DA}"/>
    <dgm:cxn modelId="{E3949975-0B90-44CF-BB8A-65BB473042AA}" type="presOf" srcId="{C796DC1A-447A-4DEA-92D7-465001291B17}" destId="{1DFFE7CD-8AD0-4BEA-B4DA-A1E28A14EEAD}" srcOrd="0" destOrd="0" presId="urn:microsoft.com/office/officeart/2005/8/layout/orgChart1#1"/>
    <dgm:cxn modelId="{B5DDA934-6EA8-46FF-9F0A-22DC436DA3D9}" type="presParOf" srcId="{1DFFE7CD-8AD0-4BEA-B4DA-A1E28A14EEAD}" destId="{7AC21CEE-147B-4F83-ACBF-40895699D0EE}" srcOrd="0" destOrd="0" presId="urn:microsoft.com/office/officeart/2005/8/layout/orgChart1#1"/>
    <dgm:cxn modelId="{127BF249-B3ED-48B8-B16D-8000E2878869}" type="presParOf" srcId="{7AC21CEE-147B-4F83-ACBF-40895699D0EE}" destId="{E7693295-4F1B-4C22-BD4A-48EF5B98525F}" srcOrd="0" destOrd="0" presId="urn:microsoft.com/office/officeart/2005/8/layout/orgChart1#1"/>
    <dgm:cxn modelId="{F41B1BD6-4FE5-4F77-BDA5-FA7A55BB028D}" type="presOf" srcId="{B1600E44-2CBB-468F-8811-3DC351000DDD}" destId="{E7693295-4F1B-4C22-BD4A-48EF5B98525F}" srcOrd="0" destOrd="0" presId="urn:microsoft.com/office/officeart/2005/8/layout/orgChart1#1"/>
    <dgm:cxn modelId="{E741A8EA-F3A3-4BB7-91B7-786DCDE1ED1B}" type="presParOf" srcId="{E7693295-4F1B-4C22-BD4A-48EF5B98525F}" destId="{745B2021-998D-4C22-91D7-666595CC0799}" srcOrd="0" destOrd="0" presId="urn:microsoft.com/office/officeart/2005/8/layout/orgChart1#1"/>
    <dgm:cxn modelId="{957907F4-EA92-469A-AC13-EE5038F8019F}" type="presOf" srcId="{B1600E44-2CBB-468F-8811-3DC351000DDD}" destId="{745B2021-998D-4C22-91D7-666595CC0799}" srcOrd="0" destOrd="0" presId="urn:microsoft.com/office/officeart/2005/8/layout/orgChart1#1"/>
    <dgm:cxn modelId="{351E30B5-7AFB-44F3-A25C-FDABE8E11047}" type="presParOf" srcId="{E7693295-4F1B-4C22-BD4A-48EF5B98525F}" destId="{FD2D2416-6B16-486D-A32A-B5877BAD56DD}" srcOrd="1" destOrd="0" presId="urn:microsoft.com/office/officeart/2005/8/layout/orgChart1#1"/>
    <dgm:cxn modelId="{A6EB39C0-4E75-43EF-B9F5-C43181BE3177}" type="presOf" srcId="{B1600E44-2CBB-468F-8811-3DC351000DDD}" destId="{FD2D2416-6B16-486D-A32A-B5877BAD56DD}" srcOrd="0" destOrd="0" presId="urn:microsoft.com/office/officeart/2005/8/layout/orgChart1#1"/>
    <dgm:cxn modelId="{CEF46F07-44C3-4514-B4E5-AB6060204775}" type="presParOf" srcId="{7AC21CEE-147B-4F83-ACBF-40895699D0EE}" destId="{3EC07B12-D577-44C3-8B59-DC455D27D976}" srcOrd="1" destOrd="0" presId="urn:microsoft.com/office/officeart/2005/8/layout/orgChart1#1"/>
    <dgm:cxn modelId="{5FD793DB-4AEC-4AB4-AAB7-D6665B7965A7}" type="presParOf" srcId="{3EC07B12-D577-44C3-8B59-DC455D27D976}" destId="{4A08A1B8-C692-4602-A503-4BFC1BD52475}" srcOrd="0" destOrd="1" presId="urn:microsoft.com/office/officeart/2005/8/layout/orgChart1#1"/>
    <dgm:cxn modelId="{6025924D-B2FE-4299-9CA1-B1DCAF0BA618}" type="presOf" srcId="{4DFBC830-3234-4107-89E0-2A379DED940E}" destId="{4A08A1B8-C692-4602-A503-4BFC1BD52475}" srcOrd="0" destOrd="0" presId="urn:microsoft.com/office/officeart/2005/8/layout/orgChart1#1"/>
    <dgm:cxn modelId="{BBAE0347-262D-43C5-8F93-9064198D02E2}" type="presParOf" srcId="{3EC07B12-D577-44C3-8B59-DC455D27D976}" destId="{1D141EA1-0FDD-4C31-B13B-7E5BA964AFC3}" srcOrd="1" destOrd="1" presId="urn:microsoft.com/office/officeart/2005/8/layout/orgChart1#1"/>
    <dgm:cxn modelId="{24AD5FCA-A833-4C09-BC39-5AB74B65B465}" type="presParOf" srcId="{1D141EA1-0FDD-4C31-B13B-7E5BA964AFC3}" destId="{20D2C8DC-7FDD-4DE4-BCE0-8E3782D4999A}" srcOrd="0" destOrd="1" presId="urn:microsoft.com/office/officeart/2005/8/layout/orgChart1#1"/>
    <dgm:cxn modelId="{EDF7DEC0-E368-4541-A30A-A3F6A2CCB806}" type="presOf" srcId="{88E105E4-B4AD-4600-B20A-3C34BB65755F}" destId="{20D2C8DC-7FDD-4DE4-BCE0-8E3782D4999A}" srcOrd="0" destOrd="0" presId="urn:microsoft.com/office/officeart/2005/8/layout/orgChart1#1"/>
    <dgm:cxn modelId="{200C1B57-44F4-48B1-96A1-51F27BA23AE3}" type="presParOf" srcId="{20D2C8DC-7FDD-4DE4-BCE0-8E3782D4999A}" destId="{456E6C54-B681-471B-93BA-321F9E0982C3}" srcOrd="0" destOrd="0" presId="urn:microsoft.com/office/officeart/2005/8/layout/orgChart1#1"/>
    <dgm:cxn modelId="{A573EC61-D977-485D-9926-5E1BD2E86428}" type="presOf" srcId="{88E105E4-B4AD-4600-B20A-3C34BB65755F}" destId="{456E6C54-B681-471B-93BA-321F9E0982C3}" srcOrd="0" destOrd="0" presId="urn:microsoft.com/office/officeart/2005/8/layout/orgChart1#1"/>
    <dgm:cxn modelId="{AFEC5355-6876-4182-A5DB-83B62E163894}" type="presParOf" srcId="{20D2C8DC-7FDD-4DE4-BCE0-8E3782D4999A}" destId="{DF755327-725D-465C-B809-074CB606D4FC}" srcOrd="1" destOrd="0" presId="urn:microsoft.com/office/officeart/2005/8/layout/orgChart1#1"/>
    <dgm:cxn modelId="{24B6BF74-81F7-43FC-8F9B-05FC5F746F71}" type="presOf" srcId="{88E105E4-B4AD-4600-B20A-3C34BB65755F}" destId="{DF755327-725D-465C-B809-074CB606D4FC}" srcOrd="0" destOrd="0" presId="urn:microsoft.com/office/officeart/2005/8/layout/orgChart1#1"/>
    <dgm:cxn modelId="{1D2F3605-CD7F-4186-8A4B-43D5665711CD}" type="presParOf" srcId="{1D141EA1-0FDD-4C31-B13B-7E5BA964AFC3}" destId="{C094FE07-B6F9-4DBC-8B83-CFE7CBCF55A4}" srcOrd="1" destOrd="1" presId="urn:microsoft.com/office/officeart/2005/8/layout/orgChart1#1"/>
    <dgm:cxn modelId="{D29203ED-A91F-4F8D-BCB1-6E02405724AE}" type="presParOf" srcId="{1D141EA1-0FDD-4C31-B13B-7E5BA964AFC3}" destId="{77C280CD-E119-4593-9EF4-37AAE3048E0F}" srcOrd="2" destOrd="1" presId="urn:microsoft.com/office/officeart/2005/8/layout/orgChart1#1"/>
    <dgm:cxn modelId="{55C23EBA-EB06-4538-9447-7442D780D068}" type="presParOf" srcId="{3EC07B12-D577-44C3-8B59-DC455D27D976}" destId="{A9AA89FD-76BF-47F8-BA42-9D476084B4DB}" srcOrd="2" destOrd="1" presId="urn:microsoft.com/office/officeart/2005/8/layout/orgChart1#1"/>
    <dgm:cxn modelId="{E2AAB6FF-AFBA-40F2-A2CF-C63B4DE2BD3D}" type="presOf" srcId="{1312F61B-17D8-4394-B2B4-017084611622}" destId="{A9AA89FD-76BF-47F8-BA42-9D476084B4DB}" srcOrd="0" destOrd="0" presId="urn:microsoft.com/office/officeart/2005/8/layout/orgChart1#1"/>
    <dgm:cxn modelId="{DA6C78EF-16C9-4E5C-B877-95ED5F254DFB}" type="presParOf" srcId="{3EC07B12-D577-44C3-8B59-DC455D27D976}" destId="{C498801D-3187-42E1-8838-9BEBB4A5FB64}" srcOrd="3" destOrd="1" presId="urn:microsoft.com/office/officeart/2005/8/layout/orgChart1#1"/>
    <dgm:cxn modelId="{71B61205-5173-456F-819E-657FF698960E}" type="presParOf" srcId="{C498801D-3187-42E1-8838-9BEBB4A5FB64}" destId="{082FA7F1-33D5-42BE-A672-73E2055F1381}" srcOrd="0" destOrd="3" presId="urn:microsoft.com/office/officeart/2005/8/layout/orgChart1#1"/>
    <dgm:cxn modelId="{8FDB50AE-A14E-411B-AE4E-A3260A47B2E6}" type="presOf" srcId="{BAB3617C-C4DC-4DFC-98BA-FE5CEB986C50}" destId="{082FA7F1-33D5-42BE-A672-73E2055F1381}" srcOrd="0" destOrd="0" presId="urn:microsoft.com/office/officeart/2005/8/layout/orgChart1#1"/>
    <dgm:cxn modelId="{2A76411E-CFC4-4D22-BBC8-EBA3708A6547}" type="presParOf" srcId="{082FA7F1-33D5-42BE-A672-73E2055F1381}" destId="{3CCFBD47-0C51-4BB1-A5F2-AEE9B598A352}" srcOrd="0" destOrd="0" presId="urn:microsoft.com/office/officeart/2005/8/layout/orgChart1#1"/>
    <dgm:cxn modelId="{101AF0CB-F131-4B43-A9EE-6CE8F008067D}" type="presOf" srcId="{BAB3617C-C4DC-4DFC-98BA-FE5CEB986C50}" destId="{3CCFBD47-0C51-4BB1-A5F2-AEE9B598A352}" srcOrd="0" destOrd="0" presId="urn:microsoft.com/office/officeart/2005/8/layout/orgChart1#1"/>
    <dgm:cxn modelId="{7C57DD22-189F-400A-902B-5343B30A6347}" type="presParOf" srcId="{082FA7F1-33D5-42BE-A672-73E2055F1381}" destId="{BF6BC4E3-8757-4A37-B315-A342E2957480}" srcOrd="1" destOrd="0" presId="urn:microsoft.com/office/officeart/2005/8/layout/orgChart1#1"/>
    <dgm:cxn modelId="{A7C9E5D0-C1B3-4151-8950-103008574A5D}" type="presOf" srcId="{BAB3617C-C4DC-4DFC-98BA-FE5CEB986C50}" destId="{BF6BC4E3-8757-4A37-B315-A342E2957480}" srcOrd="0" destOrd="0" presId="urn:microsoft.com/office/officeart/2005/8/layout/orgChart1#1"/>
    <dgm:cxn modelId="{C5216E4F-F0B6-4355-99BA-17CDE0B6B41B}" type="presParOf" srcId="{C498801D-3187-42E1-8838-9BEBB4A5FB64}" destId="{5913904A-C706-4281-A215-02B81312EB38}" srcOrd="1" destOrd="3" presId="urn:microsoft.com/office/officeart/2005/8/layout/orgChart1#1"/>
    <dgm:cxn modelId="{B51EAC00-D182-4FB3-B604-B070717A673C}" type="presParOf" srcId="{C498801D-3187-42E1-8838-9BEBB4A5FB64}" destId="{65B012F6-D866-461F-8380-ABCB185F72B6}" srcOrd="2" destOrd="3" presId="urn:microsoft.com/office/officeart/2005/8/layout/orgChart1#1"/>
    <dgm:cxn modelId="{7E6B9C9E-71CE-4F0A-A516-8C21049C5F4A}" type="presParOf" srcId="{3EC07B12-D577-44C3-8B59-DC455D27D976}" destId="{CF64C81B-DB69-4146-A095-EC5D5D843F33}" srcOrd="4" destOrd="1" presId="urn:microsoft.com/office/officeart/2005/8/layout/orgChart1#1"/>
    <dgm:cxn modelId="{82A84BCF-950E-4DD0-8920-809C408B2D90}" type="presOf" srcId="{A652B7F7-9D2B-49D1-9C0E-672958DC94E9}" destId="{CF64C81B-DB69-4146-A095-EC5D5D843F33}" srcOrd="0" destOrd="0" presId="urn:microsoft.com/office/officeart/2005/8/layout/orgChart1#1"/>
    <dgm:cxn modelId="{51B0F9B2-9875-4917-B1C4-38201E029A23}" type="presParOf" srcId="{3EC07B12-D577-44C3-8B59-DC455D27D976}" destId="{A08D1BAF-9237-4AAE-AC08-7824CAB34793}" srcOrd="5" destOrd="1" presId="urn:microsoft.com/office/officeart/2005/8/layout/orgChart1#1"/>
    <dgm:cxn modelId="{A8BD02C7-1809-48FE-8C62-AC00F6A4EDA2}" type="presParOf" srcId="{A08D1BAF-9237-4AAE-AC08-7824CAB34793}" destId="{4D853101-920A-4E8F-BFB8-D1B0EDF9892C}" srcOrd="0" destOrd="5" presId="urn:microsoft.com/office/officeart/2005/8/layout/orgChart1#1"/>
    <dgm:cxn modelId="{7607A9D8-D234-4A06-BB5C-B9C0524E6E27}" type="presOf" srcId="{1743474A-5EDF-41A3-8EA8-9D8F2C70FE59}" destId="{4D853101-920A-4E8F-BFB8-D1B0EDF9892C}" srcOrd="0" destOrd="0" presId="urn:microsoft.com/office/officeart/2005/8/layout/orgChart1#1"/>
    <dgm:cxn modelId="{999611FE-5936-42E8-9CD9-0A0D5D121068}" type="presParOf" srcId="{4D853101-920A-4E8F-BFB8-D1B0EDF9892C}" destId="{0AF43C8B-8ADA-4FB6-A582-02CE2B40B2C5}" srcOrd="0" destOrd="0" presId="urn:microsoft.com/office/officeart/2005/8/layout/orgChart1#1"/>
    <dgm:cxn modelId="{8D7FF841-D10A-481E-A63D-2C4279DEEB87}" type="presOf" srcId="{1743474A-5EDF-41A3-8EA8-9D8F2C70FE59}" destId="{0AF43C8B-8ADA-4FB6-A582-02CE2B40B2C5}" srcOrd="0" destOrd="0" presId="urn:microsoft.com/office/officeart/2005/8/layout/orgChart1#1"/>
    <dgm:cxn modelId="{FE424EA0-07AF-4F5E-9D0B-F5C692553AD9}" type="presParOf" srcId="{4D853101-920A-4E8F-BFB8-D1B0EDF9892C}" destId="{BD50B100-462B-4249-A3DD-C3A355C321C1}" srcOrd="1" destOrd="0" presId="urn:microsoft.com/office/officeart/2005/8/layout/orgChart1#1"/>
    <dgm:cxn modelId="{46831279-0BDB-4FCF-85D1-D1CBB616B57C}" type="presOf" srcId="{1743474A-5EDF-41A3-8EA8-9D8F2C70FE59}" destId="{BD50B100-462B-4249-A3DD-C3A355C321C1}" srcOrd="0" destOrd="0" presId="urn:microsoft.com/office/officeart/2005/8/layout/orgChart1#1"/>
    <dgm:cxn modelId="{23ACE08C-F89A-45B7-A8DE-04957A5BEE4D}" type="presParOf" srcId="{A08D1BAF-9237-4AAE-AC08-7824CAB34793}" destId="{0ECAD950-0839-4F64-ABC1-3EB2020A8DBF}" srcOrd="1" destOrd="5" presId="urn:microsoft.com/office/officeart/2005/8/layout/orgChart1#1"/>
    <dgm:cxn modelId="{836ED536-3356-4B5C-A5A9-76AB3A89F753}" type="presParOf" srcId="{A08D1BAF-9237-4AAE-AC08-7824CAB34793}" destId="{D7E7C092-16C6-4B44-B758-E587AA8CF822}" srcOrd="2" destOrd="5" presId="urn:microsoft.com/office/officeart/2005/8/layout/orgChart1#1"/>
    <dgm:cxn modelId="{FF339623-7B16-4616-82FF-A3E2D2C6F2FC}" type="presParOf" srcId="{7AC21CEE-147B-4F83-ACBF-40895699D0EE}" destId="{7533C8FE-A90C-4820-A418-30B8F10ACAA4}" srcOrd="2" destOrd="0" presId="urn:microsoft.com/office/officeart/2005/8/layout/orgChart1#1"/>
    <dgm:cxn modelId="{024B981C-73D3-45EF-9AAB-694031695537}" type="presParOf" srcId="{7533C8FE-A90C-4820-A418-30B8F10ACAA4}" destId="{8D46ADCC-D614-4341-8590-33A49256482A}" srcOrd="0" destOrd="2" presId="urn:microsoft.com/office/officeart/2005/8/layout/orgChart1#1"/>
    <dgm:cxn modelId="{30989733-2C28-4A74-9E36-8338ED67FBAB}" type="presOf" srcId="{85E1CF63-7BC5-4CC8-8019-A0158F7C98B5}" destId="{8D46ADCC-D614-4341-8590-33A49256482A}" srcOrd="0" destOrd="0" presId="urn:microsoft.com/office/officeart/2005/8/layout/orgChart1#1"/>
    <dgm:cxn modelId="{D279BC5F-4A02-4AF7-82D9-296AB02EDCB5}" type="presParOf" srcId="{7533C8FE-A90C-4820-A418-30B8F10ACAA4}" destId="{F3708260-50CF-4E7F-B2F9-29C9EF822442}" srcOrd="1" destOrd="2" presId="urn:microsoft.com/office/officeart/2005/8/layout/orgChart1#1"/>
    <dgm:cxn modelId="{90663F76-4FCE-409F-8A8F-04BBDAB089C7}" type="presParOf" srcId="{F3708260-50CF-4E7F-B2F9-29C9EF822442}" destId="{641B1355-9494-477B-827A-0851A45C6217}" srcOrd="0" destOrd="1" presId="urn:microsoft.com/office/officeart/2005/8/layout/orgChart1#1"/>
    <dgm:cxn modelId="{C902C84A-02FE-4337-9B97-ACDB7950D293}" type="presOf" srcId="{69E57ABC-457E-4EEF-9E86-95FC051327E0}" destId="{641B1355-9494-477B-827A-0851A45C6217}" srcOrd="0" destOrd="0" presId="urn:microsoft.com/office/officeart/2005/8/layout/orgChart1#1"/>
    <dgm:cxn modelId="{D808BAD0-0EF2-4244-8E6F-4821593AE7D4}" type="presParOf" srcId="{641B1355-9494-477B-827A-0851A45C6217}" destId="{6CE3C41B-19C0-4D38-AB6E-A2215E97A081}" srcOrd="0" destOrd="0" presId="urn:microsoft.com/office/officeart/2005/8/layout/orgChart1#1"/>
    <dgm:cxn modelId="{D64222B2-42DF-4107-A50F-A41840A18411}" type="presOf" srcId="{69E57ABC-457E-4EEF-9E86-95FC051327E0}" destId="{6CE3C41B-19C0-4D38-AB6E-A2215E97A081}" srcOrd="0" destOrd="0" presId="urn:microsoft.com/office/officeart/2005/8/layout/orgChart1#1"/>
    <dgm:cxn modelId="{EE3DBC5D-2C45-40D6-B47F-211F75160A2E}" type="presParOf" srcId="{641B1355-9494-477B-827A-0851A45C6217}" destId="{A09D92A1-CAE2-47B7-AB56-4C3BE0461E6D}" srcOrd="1" destOrd="0" presId="urn:microsoft.com/office/officeart/2005/8/layout/orgChart1#1"/>
    <dgm:cxn modelId="{BAF6F06A-A876-4091-A04B-53BE649515CB}" type="presOf" srcId="{69E57ABC-457E-4EEF-9E86-95FC051327E0}" destId="{A09D92A1-CAE2-47B7-AB56-4C3BE0461E6D}" srcOrd="0" destOrd="0" presId="urn:microsoft.com/office/officeart/2005/8/layout/orgChart1#1"/>
    <dgm:cxn modelId="{7F990962-4936-4F0C-ADC6-E65628E8F5BD}" type="presParOf" srcId="{F3708260-50CF-4E7F-B2F9-29C9EF822442}" destId="{6E81EF11-4741-49E9-A835-9D4843E526D1}" srcOrd="1" destOrd="1" presId="urn:microsoft.com/office/officeart/2005/8/layout/orgChart1#1"/>
    <dgm:cxn modelId="{D39BA3DE-A52E-403F-9262-8080F455B2EF}" type="presParOf" srcId="{F3708260-50CF-4E7F-B2F9-29C9EF822442}" destId="{D99BF93E-EBB3-40A9-AAE4-9E7290BB9387}" srcOrd="2" destOrd="1"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82565" cy="3797300"/>
        <a:chOff x="0" y="0"/>
        <a:chExt cx="5282565" cy="3797300"/>
      </a:xfrm>
    </dsp:grpSpPr>
    <dsp:sp modelId="{4A08A1B8-C692-4602-A503-4BFC1BD52475}">
      <dsp:nvSpPr>
        <dsp:cNvPr id="5" name="任意多边形 4"/>
        <dsp:cNvSpPr/>
      </dsp:nvSpPr>
      <dsp:spPr bwMode="white">
        <a:xfrm>
          <a:off x="784392" y="1186722"/>
          <a:ext cx="1863969" cy="1420545"/>
        </a:xfrm>
        <a:custGeom>
          <a:avLst/>
          <a:gdLst/>
          <a:ahLst/>
          <a:cxnLst/>
          <a:pathLst>
            <a:path w="2935" h="2237">
              <a:moveTo>
                <a:pt x="2935" y="0"/>
              </a:moveTo>
              <a:lnTo>
                <a:pt x="2935" y="1982"/>
              </a:lnTo>
              <a:lnTo>
                <a:pt x="0" y="1982"/>
              </a:lnTo>
              <a:lnTo>
                <a:pt x="0" y="2237"/>
              </a:lnTo>
            </a:path>
          </a:pathLst>
        </a:custGeom>
      </dsp:spPr>
      <dsp:style>
        <a:lnRef idx="2">
          <a:schemeClr val="accent1">
            <a:shade val="60000"/>
          </a:schemeClr>
        </a:lnRef>
        <a:fillRef idx="0">
          <a:schemeClr val="accent1"/>
        </a:fillRef>
        <a:effectRef idx="0">
          <a:scrgbClr r="0" g="0" b="0"/>
        </a:effectRef>
        <a:fontRef idx="minor"/>
      </dsp:style>
      <dsp:txXfrm>
        <a:off x="784392" y="1186722"/>
        <a:ext cx="1863969" cy="1420545"/>
      </dsp:txXfrm>
    </dsp:sp>
    <dsp:sp modelId="{A9AA89FD-76BF-47F8-BA42-9D476084B4DB}">
      <dsp:nvSpPr>
        <dsp:cNvPr id="8" name="任意多边形 7"/>
        <dsp:cNvSpPr/>
      </dsp:nvSpPr>
      <dsp:spPr bwMode="white">
        <a:xfrm>
          <a:off x="2648361" y="1186722"/>
          <a:ext cx="0" cy="1420545"/>
        </a:xfrm>
        <a:custGeom>
          <a:avLst/>
          <a:gdLst/>
          <a:ahLst/>
          <a:cxnLst/>
          <a:pathLst>
            <a:path h="2237">
              <a:moveTo>
                <a:pt x="0" y="0"/>
              </a:moveTo>
              <a:lnTo>
                <a:pt x="0" y="2237"/>
              </a:lnTo>
            </a:path>
          </a:pathLst>
        </a:custGeom>
      </dsp:spPr>
      <dsp:style>
        <a:lnRef idx="2">
          <a:schemeClr val="accent1">
            <a:shade val="60000"/>
          </a:schemeClr>
        </a:lnRef>
        <a:fillRef idx="0">
          <a:schemeClr val="accent1"/>
        </a:fillRef>
        <a:effectRef idx="0">
          <a:scrgbClr r="0" g="0" b="0"/>
        </a:effectRef>
        <a:fontRef idx="minor"/>
      </dsp:style>
      <dsp:txXfrm>
        <a:off x="2648361" y="1186722"/>
        <a:ext cx="0" cy="1420545"/>
      </dsp:txXfrm>
    </dsp:sp>
    <dsp:sp modelId="{CF64C81B-DB69-4146-A095-EC5D5D843F33}">
      <dsp:nvSpPr>
        <dsp:cNvPr id="11" name="任意多边形 10"/>
        <dsp:cNvSpPr/>
      </dsp:nvSpPr>
      <dsp:spPr bwMode="white">
        <a:xfrm>
          <a:off x="2648361" y="1186722"/>
          <a:ext cx="1863969" cy="1420545"/>
        </a:xfrm>
        <a:custGeom>
          <a:avLst/>
          <a:gdLst/>
          <a:ahLst/>
          <a:cxnLst/>
          <a:pathLst>
            <a:path w="2935" h="2237">
              <a:moveTo>
                <a:pt x="0" y="0"/>
              </a:moveTo>
              <a:lnTo>
                <a:pt x="0" y="1982"/>
              </a:lnTo>
              <a:lnTo>
                <a:pt x="2935" y="1982"/>
              </a:lnTo>
              <a:lnTo>
                <a:pt x="2935" y="2237"/>
              </a:lnTo>
            </a:path>
          </a:pathLst>
        </a:custGeom>
      </dsp:spPr>
      <dsp:style>
        <a:lnRef idx="2">
          <a:schemeClr val="accent1">
            <a:shade val="60000"/>
          </a:schemeClr>
        </a:lnRef>
        <a:fillRef idx="0">
          <a:schemeClr val="accent1"/>
        </a:fillRef>
        <a:effectRef idx="0">
          <a:scrgbClr r="0" g="0" b="0"/>
        </a:effectRef>
        <a:fontRef idx="minor"/>
      </dsp:style>
      <dsp:txXfrm>
        <a:off x="2648361" y="1186722"/>
        <a:ext cx="1863969" cy="1420545"/>
      </dsp:txXfrm>
    </dsp:sp>
    <dsp:sp modelId="{8D46ADCC-D614-4341-8590-33A49256482A}">
      <dsp:nvSpPr>
        <dsp:cNvPr id="14" name="任意多边形 13"/>
        <dsp:cNvSpPr/>
      </dsp:nvSpPr>
      <dsp:spPr bwMode="white">
        <a:xfrm>
          <a:off x="2486612" y="1186722"/>
          <a:ext cx="161749" cy="711928"/>
        </a:xfrm>
        <a:custGeom>
          <a:avLst/>
          <a:gdLst/>
          <a:ahLst/>
          <a:cxnLst/>
          <a:pathLst>
            <a:path w="255" h="1121">
              <a:moveTo>
                <a:pt x="255" y="0"/>
              </a:moveTo>
              <a:lnTo>
                <a:pt x="255" y="1121"/>
              </a:lnTo>
              <a:lnTo>
                <a:pt x="0" y="1121"/>
              </a:lnTo>
            </a:path>
          </a:pathLst>
        </a:custGeom>
      </dsp:spPr>
      <dsp:style>
        <a:lnRef idx="2">
          <a:schemeClr val="accent1">
            <a:shade val="60000"/>
          </a:schemeClr>
        </a:lnRef>
        <a:fillRef idx="0">
          <a:schemeClr val="accent1"/>
        </a:fillRef>
        <a:effectRef idx="0">
          <a:scrgbClr r="0" g="0" b="0"/>
        </a:effectRef>
        <a:fontRef idx="minor"/>
      </dsp:style>
      <dsp:txXfrm>
        <a:off x="2486612" y="1186722"/>
        <a:ext cx="161749" cy="711928"/>
      </dsp:txXfrm>
    </dsp:sp>
    <dsp:sp modelId="{745B2021-998D-4C22-91D7-666595CC0799}">
      <dsp:nvSpPr>
        <dsp:cNvPr id="3" name="矩形 2"/>
        <dsp:cNvSpPr/>
      </dsp:nvSpPr>
      <dsp:spPr bwMode="white">
        <a:xfrm>
          <a:off x="1878126" y="416487"/>
          <a:ext cx="1540470" cy="770235"/>
        </a:xfrm>
        <a:prstGeom prst="rect">
          <a:avLst/>
        </a:prstGeom>
      </dsp:spPr>
      <dsp:style>
        <a:lnRef idx="2">
          <a:schemeClr val="lt1"/>
        </a:lnRef>
        <a:fillRef idx="1">
          <a:schemeClr val="accent1"/>
        </a:fillRef>
        <a:effectRef idx="0">
          <a:scrgbClr r="0" g="0" b="0"/>
        </a:effectRef>
        <a:fontRef idx="minor">
          <a:schemeClr val="lt1"/>
        </a:fontRef>
      </dsp:style>
      <dsp:txBody>
        <a:bodyPr lIns="17145" tIns="17145" rIns="17145" bIns="17145" anchor="ctr"/>
        <a:lstStyle>
          <a:lvl1pPr algn="ctr">
            <a:defRPr sz="2700"/>
          </a:lvl1pPr>
          <a:lvl2pPr marL="228600" indent="-228600" algn="ctr">
            <a:defRPr sz="2100"/>
          </a:lvl2pPr>
          <a:lvl3pPr marL="457200" indent="-228600" algn="ctr">
            <a:defRPr sz="2100"/>
          </a:lvl3pPr>
          <a:lvl4pPr marL="685800" indent="-228600" algn="ctr">
            <a:defRPr sz="2100"/>
          </a:lvl4pPr>
          <a:lvl5pPr marL="914400" indent="-228600" algn="ctr">
            <a:defRPr sz="2100"/>
          </a:lvl5pPr>
          <a:lvl6pPr marL="1143000" indent="-228600" algn="ctr">
            <a:defRPr sz="2100"/>
          </a:lvl6pPr>
          <a:lvl7pPr marL="1371600" indent="-228600" algn="ctr">
            <a:defRPr sz="2100"/>
          </a:lvl7pPr>
          <a:lvl8pPr marL="1600200" indent="-228600" algn="ctr">
            <a:defRPr sz="2100"/>
          </a:lvl8pPr>
          <a:lvl9pPr marL="1828800" indent="-228600" algn="ctr">
            <a:defRPr sz="2100"/>
          </a:lvl9pPr>
        </a:lstStyle>
        <a:p>
          <a:pPr marR="0" lvl="0" algn="ctr" rtl="0">
            <a:lnSpc>
              <a:spcPct val="100000"/>
            </a:lnSpc>
            <a:spcBef>
              <a:spcPct val="0"/>
            </a:spcBef>
            <a:spcAft>
              <a:spcPct val="35000"/>
            </a:spcAft>
          </a:pPr>
          <a:r>
            <a:rPr lang="zh-CN" altLang="en-US" kern="100" baseline="0">
              <a:latin typeface="Calibri" panose="020F0502020204030204" pitchFamily="2"/>
              <a:ea typeface="宋体" panose="02010600030101010101" charset="-122"/>
            </a:rPr>
            <a:t>总经理</a:t>
          </a:r>
          <a:endParaRPr lang="zh-CN" altLang="en-US"/>
        </a:p>
      </dsp:txBody>
      <dsp:txXfrm>
        <a:off x="1878126" y="416487"/>
        <a:ext cx="1540470" cy="770235"/>
      </dsp:txXfrm>
    </dsp:sp>
    <dsp:sp modelId="{456E6C54-B681-471B-93BA-321F9E0982C3}">
      <dsp:nvSpPr>
        <dsp:cNvPr id="6" name="矩形 5"/>
        <dsp:cNvSpPr/>
      </dsp:nvSpPr>
      <dsp:spPr bwMode="white">
        <a:xfrm>
          <a:off x="14157" y="2607266"/>
          <a:ext cx="1540470" cy="770235"/>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13970" tIns="13970" rIns="13970" bIns="13970" anchor="ctr"/>
        <a:lstStyle>
          <a:lvl1pPr algn="ctr">
            <a:defRPr sz="2700"/>
          </a:lvl1pPr>
          <a:lvl2pPr marL="228600" indent="-228600" algn="ctr">
            <a:defRPr sz="2100"/>
          </a:lvl2pPr>
          <a:lvl3pPr marL="457200" indent="-228600" algn="ctr">
            <a:defRPr sz="2100"/>
          </a:lvl3pPr>
          <a:lvl4pPr marL="685800" indent="-228600" algn="ctr">
            <a:defRPr sz="2100"/>
          </a:lvl4pPr>
          <a:lvl5pPr marL="914400" indent="-228600" algn="ctr">
            <a:defRPr sz="2100"/>
          </a:lvl5pPr>
          <a:lvl6pPr marL="1143000" indent="-228600" algn="ctr">
            <a:defRPr sz="2100"/>
          </a:lvl6pPr>
          <a:lvl7pPr marL="1371600" indent="-228600" algn="ctr">
            <a:defRPr sz="2100"/>
          </a:lvl7pPr>
          <a:lvl8pPr marL="1600200" indent="-228600" algn="ctr">
            <a:defRPr sz="2100"/>
          </a:lvl8pPr>
          <a:lvl9pPr marL="1828800" indent="-228600" algn="ctr">
            <a:defRPr sz="2100"/>
          </a:lvl9pPr>
        </a:lstStyle>
        <a:p>
          <a:pPr marR="0" lvl="0" algn="ctr" rtl="0">
            <a:lnSpc>
              <a:spcPct val="100000"/>
            </a:lnSpc>
            <a:spcBef>
              <a:spcPct val="0"/>
            </a:spcBef>
            <a:spcAft>
              <a:spcPct val="35000"/>
            </a:spcAft>
          </a:pPr>
          <a:r>
            <a:rPr lang="zh-CN" altLang="en-US" sz="2200"/>
            <a:t>行政部</a:t>
          </a:r>
          <a:endParaRPr sz="2200"/>
        </a:p>
      </dsp:txBody>
      <dsp:txXfrm>
        <a:off x="14157" y="2607266"/>
        <a:ext cx="1540470" cy="770235"/>
      </dsp:txXfrm>
    </dsp:sp>
    <dsp:sp modelId="{3CCFBD47-0C51-4BB1-A5F2-AEE9B598A352}">
      <dsp:nvSpPr>
        <dsp:cNvPr id="9" name="矩形 8"/>
        <dsp:cNvSpPr/>
      </dsp:nvSpPr>
      <dsp:spPr bwMode="white">
        <a:xfrm>
          <a:off x="1878126" y="2607266"/>
          <a:ext cx="1540470" cy="770235"/>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13970" tIns="13970" rIns="13970" bIns="13970" anchor="ctr"/>
        <a:lstStyle>
          <a:lvl1pPr algn="ctr">
            <a:defRPr sz="2700"/>
          </a:lvl1pPr>
          <a:lvl2pPr marL="228600" indent="-228600" algn="ctr">
            <a:defRPr sz="2100"/>
          </a:lvl2pPr>
          <a:lvl3pPr marL="457200" indent="-228600" algn="ctr">
            <a:defRPr sz="2100"/>
          </a:lvl3pPr>
          <a:lvl4pPr marL="685800" indent="-228600" algn="ctr">
            <a:defRPr sz="2100"/>
          </a:lvl4pPr>
          <a:lvl5pPr marL="914400" indent="-228600" algn="ctr">
            <a:defRPr sz="2100"/>
          </a:lvl5pPr>
          <a:lvl6pPr marL="1143000" indent="-228600" algn="ctr">
            <a:defRPr sz="2100"/>
          </a:lvl6pPr>
          <a:lvl7pPr marL="1371600" indent="-228600" algn="ctr">
            <a:defRPr sz="2100"/>
          </a:lvl7pPr>
          <a:lvl8pPr marL="1600200" indent="-228600" algn="ctr">
            <a:defRPr sz="2100"/>
          </a:lvl8pPr>
          <a:lvl9pPr marL="1828800" indent="-228600" algn="ctr">
            <a:defRPr sz="2100"/>
          </a:lvl9pPr>
        </a:lstStyle>
        <a:p>
          <a:pPr lvl="0">
            <a:lnSpc>
              <a:spcPct val="100000"/>
            </a:lnSpc>
            <a:spcBef>
              <a:spcPct val="0"/>
            </a:spcBef>
            <a:spcAft>
              <a:spcPct val="35000"/>
            </a:spcAft>
          </a:pPr>
          <a:r>
            <a:rPr lang="zh-CN" sz="2200"/>
            <a:t>市场</a:t>
          </a:r>
          <a:r>
            <a:rPr lang="zh-CN" sz="2200"/>
            <a:t>部</a:t>
          </a:r>
          <a:endParaRPr altLang="en-US" sz="2200"/>
        </a:p>
      </dsp:txBody>
      <dsp:txXfrm>
        <a:off x="1878126" y="2607266"/>
        <a:ext cx="1540470" cy="770235"/>
      </dsp:txXfrm>
    </dsp:sp>
    <dsp:sp modelId="{0AF43C8B-8ADA-4FB6-A582-02CE2B40B2C5}">
      <dsp:nvSpPr>
        <dsp:cNvPr id="12" name="矩形 11"/>
        <dsp:cNvSpPr/>
      </dsp:nvSpPr>
      <dsp:spPr bwMode="white">
        <a:xfrm>
          <a:off x="3742095" y="2607266"/>
          <a:ext cx="1540470" cy="770235"/>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17145" tIns="17145" rIns="17145" bIns="17145" anchor="ctr"/>
        <a:lstStyle>
          <a:lvl1pPr algn="ctr">
            <a:defRPr sz="2700"/>
          </a:lvl1pPr>
          <a:lvl2pPr marL="228600" indent="-228600" algn="ctr">
            <a:defRPr sz="2100"/>
          </a:lvl2pPr>
          <a:lvl3pPr marL="457200" indent="-228600" algn="ctr">
            <a:defRPr sz="2100"/>
          </a:lvl3pPr>
          <a:lvl4pPr marL="685800" indent="-228600" algn="ctr">
            <a:defRPr sz="2100"/>
          </a:lvl4pPr>
          <a:lvl5pPr marL="914400" indent="-228600" algn="ctr">
            <a:defRPr sz="2100"/>
          </a:lvl5pPr>
          <a:lvl6pPr marL="1143000" indent="-228600" algn="ctr">
            <a:defRPr sz="2100"/>
          </a:lvl6pPr>
          <a:lvl7pPr marL="1371600" indent="-228600" algn="ctr">
            <a:defRPr sz="2100"/>
          </a:lvl7pPr>
          <a:lvl8pPr marL="1600200" indent="-228600" algn="ctr">
            <a:defRPr sz="2100"/>
          </a:lvl8pPr>
          <a:lvl9pPr marL="1828800" indent="-228600" algn="ctr">
            <a:defRPr sz="2100"/>
          </a:lvl9pPr>
        </a:lstStyle>
        <a:p>
          <a:pPr lvl="0">
            <a:lnSpc>
              <a:spcPct val="100000"/>
            </a:lnSpc>
            <a:spcBef>
              <a:spcPct val="0"/>
            </a:spcBef>
            <a:spcAft>
              <a:spcPct val="35000"/>
            </a:spcAft>
          </a:pPr>
          <a:r>
            <a:rPr lang="zh-CN"/>
            <a:t>财务部</a:t>
          </a:r>
          <a:endParaRPr altLang="en-US"/>
        </a:p>
      </dsp:txBody>
      <dsp:txXfrm>
        <a:off x="3742095" y="2607266"/>
        <a:ext cx="1540470" cy="770235"/>
      </dsp:txXfrm>
    </dsp:sp>
    <dsp:sp modelId="{6CE3C41B-19C0-4D38-AB6E-A2215E97A081}">
      <dsp:nvSpPr>
        <dsp:cNvPr id="15" name="矩形 14"/>
        <dsp:cNvSpPr/>
      </dsp:nvSpPr>
      <dsp:spPr bwMode="white">
        <a:xfrm>
          <a:off x="0" y="1513532"/>
          <a:ext cx="2486612" cy="770235"/>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17145" tIns="17145" rIns="17145" bIns="17145" anchor="ctr"/>
        <a:lstStyle>
          <a:lvl1pPr algn="ctr">
            <a:defRPr sz="2700"/>
          </a:lvl1pPr>
          <a:lvl2pPr marL="228600" indent="-228600" algn="ctr">
            <a:defRPr sz="2100"/>
          </a:lvl2pPr>
          <a:lvl3pPr marL="457200" indent="-228600" algn="ctr">
            <a:defRPr sz="2100"/>
          </a:lvl3pPr>
          <a:lvl4pPr marL="685800" indent="-228600" algn="ctr">
            <a:defRPr sz="2100"/>
          </a:lvl4pPr>
          <a:lvl5pPr marL="914400" indent="-228600" algn="ctr">
            <a:defRPr sz="2100"/>
          </a:lvl5pPr>
          <a:lvl6pPr marL="1143000" indent="-228600" algn="ctr">
            <a:defRPr sz="2100"/>
          </a:lvl6pPr>
          <a:lvl7pPr marL="1371600" indent="-228600" algn="ctr">
            <a:defRPr sz="2100"/>
          </a:lvl7pPr>
          <a:lvl8pPr marL="1600200" indent="-228600" algn="ctr">
            <a:defRPr sz="2100"/>
          </a:lvl8pPr>
          <a:lvl9pPr marL="1828800" indent="-228600" algn="ctr">
            <a:defRPr sz="2100"/>
          </a:lvl9pPr>
        </a:lstStyle>
        <a:p>
          <a:pPr marR="0" lvl="0" algn="ctr" rtl="0">
            <a:lnSpc>
              <a:spcPct val="100000"/>
            </a:lnSpc>
            <a:spcBef>
              <a:spcPct val="0"/>
            </a:spcBef>
            <a:spcAft>
              <a:spcPct val="35000"/>
            </a:spcAft>
          </a:pPr>
          <a:r>
            <a:rPr lang="zh-CN" altLang="en-US"/>
            <a:t>食品安全小组长</a:t>
          </a:r>
        </a:p>
      </dsp:txBody>
      <dsp:txXfrm>
        <a:off x="0" y="1513532"/>
        <a:ext cx="2486612" cy="770235"/>
      </dsp:txXfrm>
    </dsp:sp>
    <dsp:sp modelId="{FD2D2416-6B16-486D-A32A-B5877BAD56DD}">
      <dsp:nvSpPr>
        <dsp:cNvPr id="4" name="矩形 3" hidden="1"/>
        <dsp:cNvSpPr/>
      </dsp:nvSpPr>
      <dsp:spPr>
        <a:xfrm>
          <a:off x="3110502" y="416487"/>
          <a:ext cx="308094" cy="770235"/>
        </a:xfrm>
        <a:prstGeom prst="rect">
          <a:avLst/>
        </a:prstGeom>
      </dsp:spPr>
      <dsp:txXfrm>
        <a:off x="3110502" y="416487"/>
        <a:ext cx="308094" cy="770235"/>
      </dsp:txXfrm>
    </dsp:sp>
    <dsp:sp modelId="{DF755327-725D-465C-B809-074CB606D4FC}">
      <dsp:nvSpPr>
        <dsp:cNvPr id="7" name="矩形 6" hidden="1"/>
        <dsp:cNvSpPr/>
      </dsp:nvSpPr>
      <dsp:spPr>
        <a:xfrm>
          <a:off x="1246533" y="2607266"/>
          <a:ext cx="308094" cy="770235"/>
        </a:xfrm>
        <a:prstGeom prst="rect">
          <a:avLst/>
        </a:prstGeom>
      </dsp:spPr>
      <dsp:txXfrm>
        <a:off x="1246533" y="2607266"/>
        <a:ext cx="308094" cy="770235"/>
      </dsp:txXfrm>
    </dsp:sp>
    <dsp:sp modelId="{BF6BC4E3-8757-4A37-B315-A342E2957480}">
      <dsp:nvSpPr>
        <dsp:cNvPr id="10" name="矩形 9" hidden="1"/>
        <dsp:cNvSpPr/>
      </dsp:nvSpPr>
      <dsp:spPr>
        <a:xfrm>
          <a:off x="1878126" y="2607266"/>
          <a:ext cx="308094" cy="770235"/>
        </a:xfrm>
        <a:prstGeom prst="rect">
          <a:avLst/>
        </a:prstGeom>
      </dsp:spPr>
      <dsp:txXfrm>
        <a:off x="1878126" y="2607266"/>
        <a:ext cx="308094" cy="770235"/>
      </dsp:txXfrm>
    </dsp:sp>
    <dsp:sp modelId="{BD50B100-462B-4249-A3DD-C3A355C321C1}">
      <dsp:nvSpPr>
        <dsp:cNvPr id="13" name="矩形 12" hidden="1"/>
        <dsp:cNvSpPr/>
      </dsp:nvSpPr>
      <dsp:spPr>
        <a:xfrm>
          <a:off x="3742095" y="2607266"/>
          <a:ext cx="308094" cy="770235"/>
        </a:xfrm>
        <a:prstGeom prst="rect">
          <a:avLst/>
        </a:prstGeom>
      </dsp:spPr>
      <dsp:txXfrm>
        <a:off x="3742095" y="2607266"/>
        <a:ext cx="308094" cy="770235"/>
      </dsp:txXfrm>
    </dsp:sp>
    <dsp:sp modelId="{A09D92A1-CAE2-47B7-AB56-4C3BE0461E6D}">
      <dsp:nvSpPr>
        <dsp:cNvPr id="16" name="矩形 15" hidden="1"/>
        <dsp:cNvSpPr/>
      </dsp:nvSpPr>
      <dsp:spPr>
        <a:xfrm>
          <a:off x="1989289" y="1513532"/>
          <a:ext cx="497322" cy="770235"/>
        </a:xfrm>
        <a:prstGeom prst="rect">
          <a:avLst/>
        </a:prstGeom>
      </dsp:spPr>
      <dsp:txXfrm>
        <a:off x="1989289" y="1513532"/>
        <a:ext cx="497322" cy="7702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7C1F6-0F01-4427-9679-CDB9CED86142}">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61</Pages>
  <Words>1182</Words>
  <Characters>1861</Characters>
  <Lines>310</Lines>
  <Paragraphs>87</Paragraphs>
  <TotalTime>7</TotalTime>
  <ScaleCrop>false</ScaleCrop>
  <LinksUpToDate>false</LinksUpToDate>
  <CharactersWithSpaces>2221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2019-11-19T08:09:00Z</dcterms:created>
  <dc:creator>lushiyi001@163.com</dc:creator>
  <cp:lastModifiedBy>二胖</cp:lastModifiedBy>
  <dcterms:modified xsi:type="dcterms:W3CDTF">2025-05-11T14:21:59Z</dcterms:modified>
  <dc:title>海南雷泷消防科技有限公司</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30D1484E296D4278A376B294F981C431_13</vt:lpwstr>
  </property>
  <property fmtid="{D5CDD505-2E9C-101B-9397-08002B2CF9AE}" pid="3" name="KSOProductBuildVer">
    <vt:lpwstr>2052-12.1.0.20784</vt:lpwstr>
  </property>
  <property fmtid="{D5CDD505-2E9C-101B-9397-08002B2CF9AE}" pid="4" name="KSOTemplateDocerSaveRecord">
    <vt:lpwstr>eyJoZGlkIjoiZjFmZWIzNDg2MmIzZjExOTIzMmViNTBmYTMwYTk0ZWYiLCJ1c2VySWQiOiIzNjg5MjkxNDcifQ==</vt:lpwstr>
  </property>
</Properties>
</file>