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jc w:val="both"/>
              <w:rPr>
                <w:rFonts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（含外包劳务人数时应单独注明）</w:t>
            </w:r>
          </w:p>
        </w:tc>
        <w:tc>
          <w:tcPr>
            <w:tcW w:w="2655" w:type="dxa"/>
          </w:tcPr>
          <w:p>
            <w:pPr>
              <w:pStyle w:val="11"/>
              <w:ind w:right="370" w:firstLine="1080" w:firstLineChars="600"/>
              <w:jc w:val="both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>
            <w:pPr>
              <w:pStyle w:val="11"/>
              <w:spacing w:before="124"/>
              <w:jc w:val="both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 w:eastAsia="zh-CN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 w:eastAsia="zh-CN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迁安市融媒体中心建设项目</w:t>
            </w:r>
          </w:p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lang w:val="en-US" w:eastAsia="zh-CN"/>
              </w:rPr>
              <w:t>进行中</w:t>
            </w:r>
          </w:p>
        </w:tc>
        <w:tc>
          <w:tcPr>
            <w:tcW w:w="1312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</w:t>
            </w: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/>
                <w:lang w:val="en-US" w:eastAsia="zh-CN"/>
              </w:rPr>
              <w:t>计算机系统集成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宋体"/>
                <w:lang w:val="en-US" w:eastAsia="zh-CN"/>
              </w:rPr>
              <w:t>迁安市钢城大街 2646 号文化大厦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无</w:t>
            </w:r>
          </w:p>
        </w:tc>
        <w:tc>
          <w:tcPr>
            <w:tcW w:w="2505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在施</w:t>
            </w:r>
            <w:bookmarkStart w:id="0" w:name="_GoBack"/>
            <w:bookmarkEnd w:id="0"/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 w:eastAsia="zh-CN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 w:eastAsia="zh-CN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sz w:val="21"/>
          <w:szCs w:val="21"/>
        </w:rPr>
        <w:t>单位：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（单位盖章）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366.5pt;margin-top:13.05pt;height:20.2pt;width:26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="Times New Roman" w:hAnsi="Times New Roman"/>
                    <w:szCs w:val="21"/>
                  </w:rPr>
                  <w:t>ISC-A-I-01</w:t>
                </w:r>
                <w:r>
                  <w:rPr>
                    <w:rFonts w:hint="eastAsia"/>
                  </w:rPr>
                  <w:t>管理体系认证申请书—</w:t>
                </w:r>
                <w:r>
                  <w:rPr>
                    <w:rFonts w:hint="eastAsia"/>
                    <w:lang w:val="en-US" w:eastAsia="zh-CN"/>
                  </w:rPr>
                  <w:t>临时</w:t>
                </w:r>
                <w:r>
                  <w:rPr>
                    <w:rFonts w:hint="eastAsia"/>
                  </w:rPr>
                  <w:t>场</w:t>
                </w:r>
                <w:r>
                  <w:rPr>
                    <w:rFonts w:hint="eastAsia"/>
                    <w:lang w:val="en-US" w:eastAsia="zh-CN"/>
                  </w:rPr>
                  <w:t>所</w:t>
                </w:r>
                <w:r>
                  <w:rPr>
                    <w:rFonts w:hint="eastAsia"/>
                  </w:rPr>
                  <w:t>清单（0</w:t>
                </w:r>
                <w:r>
                  <w:rPr>
                    <w:rFonts w:hint="eastAsia"/>
                    <w:lang w:val="en-US" w:eastAsia="zh-CN"/>
                  </w:rPr>
                  <w:t>8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  <w:sz w:val="18"/>
      </w:rPr>
      <w:t xml:space="preserve">         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NTM2ZjIxMTJlYWQwYjgwMjM4YTk2ODJiOTAyM2YifQ=="/>
  </w:docVars>
  <w:rsids>
    <w:rsidRoot w:val="005D2086"/>
    <w:rsid w:val="00133FB4"/>
    <w:rsid w:val="001C72C7"/>
    <w:rsid w:val="00507DC8"/>
    <w:rsid w:val="005D2086"/>
    <w:rsid w:val="005D6FE8"/>
    <w:rsid w:val="008B48C2"/>
    <w:rsid w:val="00B73EA1"/>
    <w:rsid w:val="00D56B3A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446E1F07"/>
    <w:rsid w:val="4F343D4D"/>
    <w:rsid w:val="55746AE5"/>
    <w:rsid w:val="5F16521D"/>
    <w:rsid w:val="6BF40694"/>
    <w:rsid w:val="74533E38"/>
    <w:rsid w:val="7FFB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309</Characters>
  <Lines>3</Lines>
  <Paragraphs>1</Paragraphs>
  <TotalTime>0</TotalTime>
  <ScaleCrop>false</ScaleCrop>
  <LinksUpToDate>false</LinksUpToDate>
  <CharactersWithSpaces>324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同峰</cp:lastModifiedBy>
  <dcterms:modified xsi:type="dcterms:W3CDTF">2022-09-26T03:32:52Z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261F206B5EE6410FBEEF8ECBA1B749D2</vt:lpwstr>
  </property>
</Properties>
</file>