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rPr>
      </w:pPr>
    </w:p>
    <w:p>
      <w:pPr>
        <w:rPr>
          <w:sz w:val="28"/>
        </w:rPr>
      </w:pPr>
    </w:p>
    <w:p>
      <w:pPr>
        <w:spacing w:line="360" w:lineRule="auto"/>
        <w:jc w:val="center"/>
        <w:rPr>
          <w:rFonts w:hint="eastAsia" w:eastAsia="黑体"/>
          <w:b/>
          <w:sz w:val="48"/>
          <w:szCs w:val="48"/>
          <w:u w:val="double"/>
          <w:lang w:eastAsia="zh-CN"/>
        </w:rPr>
      </w:pPr>
      <w:r>
        <w:rPr>
          <w:rFonts w:hint="eastAsia" w:eastAsia="黑体"/>
          <w:b/>
          <w:sz w:val="48"/>
          <w:szCs w:val="48"/>
          <w:u w:val="double"/>
          <w:lang w:eastAsia="zh-CN"/>
        </w:rPr>
        <w:t>四川众弘成物业服务有限公司</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rFonts w:eastAsia="楷体_GB2312"/>
          <w:b/>
          <w:color w:val="0070C0"/>
          <w:sz w:val="52"/>
          <w:szCs w:val="52"/>
        </w:rPr>
      </w:pPr>
      <w:r>
        <w:rPr>
          <w:rFonts w:hint="eastAsia" w:eastAsia="楷体_GB2312"/>
          <w:b/>
          <w:color w:val="0070C0"/>
          <w:sz w:val="52"/>
          <w:szCs w:val="52"/>
        </w:rPr>
        <w:t>质量/</w:t>
      </w:r>
      <w:r>
        <w:rPr>
          <w:rFonts w:eastAsia="楷体_GB2312"/>
          <w:b/>
          <w:color w:val="0070C0"/>
          <w:sz w:val="52"/>
          <w:szCs w:val="52"/>
        </w:rPr>
        <w:t>环境/安全管理手册</w:t>
      </w:r>
    </w:p>
    <w:p>
      <w:pPr>
        <w:jc w:val="center"/>
        <w:rPr>
          <w:rFonts w:eastAsia="汉仪行楷简"/>
          <w:b/>
          <w:sz w:val="36"/>
        </w:rPr>
      </w:pPr>
    </w:p>
    <w:p>
      <w:pPr>
        <w:ind w:firstLine="3373" w:firstLineChars="1200"/>
        <w:rPr>
          <w:rFonts w:hint="eastAsia" w:eastAsia="宋体"/>
          <w:b/>
          <w:sz w:val="28"/>
          <w:szCs w:val="28"/>
          <w:lang w:eastAsia="zh-CN"/>
        </w:rPr>
      </w:pPr>
      <w:r>
        <w:rPr>
          <w:rFonts w:eastAsia="汉仪行楷简"/>
          <w:b/>
          <w:sz w:val="28"/>
          <w:szCs w:val="28"/>
        </w:rPr>
        <w:t>文件编号：</w:t>
      </w:r>
      <w:r>
        <w:rPr>
          <w:rFonts w:hint="eastAsia" w:eastAsia="汉仪行楷简"/>
          <w:sz w:val="28"/>
          <w:szCs w:val="28"/>
          <w:lang w:eastAsia="zh-CN"/>
        </w:rPr>
        <w:t>ZHC</w:t>
      </w:r>
      <w:r>
        <w:rPr>
          <w:sz w:val="28"/>
          <w:szCs w:val="28"/>
        </w:rPr>
        <w:t>-</w:t>
      </w:r>
      <w:r>
        <w:rPr>
          <w:rFonts w:hint="eastAsia"/>
          <w:sz w:val="28"/>
          <w:szCs w:val="28"/>
          <w:lang w:val="en-US" w:eastAsia="zh-CN"/>
        </w:rPr>
        <w:t>QES</w:t>
      </w:r>
      <w:r>
        <w:rPr>
          <w:sz w:val="28"/>
          <w:szCs w:val="28"/>
        </w:rPr>
        <w:t>-</w:t>
      </w:r>
      <w:r>
        <w:rPr>
          <w:rFonts w:hint="eastAsia"/>
          <w:sz w:val="28"/>
          <w:szCs w:val="28"/>
          <w:lang w:eastAsia="zh-CN"/>
        </w:rPr>
        <w:t>2020</w:t>
      </w:r>
    </w:p>
    <w:p>
      <w:pPr>
        <w:ind w:firstLine="3514" w:firstLineChars="1250"/>
        <w:rPr>
          <w:rFonts w:hint="eastAsia" w:eastAsia="汉仪行楷简"/>
          <w:b/>
          <w:sz w:val="28"/>
          <w:szCs w:val="28"/>
          <w:lang w:eastAsia="zh-CN"/>
        </w:rPr>
      </w:pPr>
      <w:r>
        <w:rPr>
          <w:rFonts w:eastAsia="汉仪行楷简"/>
          <w:b/>
          <w:sz w:val="28"/>
          <w:szCs w:val="28"/>
        </w:rPr>
        <w:t>版本：</w:t>
      </w:r>
      <w:r>
        <w:rPr>
          <w:rFonts w:hint="eastAsia" w:eastAsia="汉仪行楷简"/>
          <w:b/>
          <w:sz w:val="28"/>
          <w:szCs w:val="28"/>
          <w:lang w:eastAsia="zh-CN"/>
        </w:rPr>
        <w:t>A/1</w:t>
      </w:r>
    </w:p>
    <w:p>
      <w:pPr>
        <w:ind w:firstLine="3570" w:firstLineChars="1270"/>
        <w:rPr>
          <w:rFonts w:hint="eastAsia" w:eastAsia="汉仪行楷简"/>
          <w:b/>
          <w:sz w:val="28"/>
          <w:szCs w:val="28"/>
          <w:u w:val="single"/>
          <w:lang w:eastAsia="zh-CN"/>
        </w:rPr>
      </w:pPr>
      <w:r>
        <w:rPr>
          <w:rFonts w:eastAsia="汉仪行楷简"/>
          <w:b/>
          <w:sz w:val="28"/>
          <w:szCs w:val="28"/>
        </w:rPr>
        <w:t>编制：</w:t>
      </w:r>
      <w:r>
        <w:rPr>
          <w:rFonts w:hint="eastAsia" w:eastAsia="汉仪行楷简"/>
          <w:b/>
          <w:sz w:val="28"/>
          <w:szCs w:val="28"/>
          <w:lang w:val="en-US" w:eastAsia="zh-CN"/>
        </w:rPr>
        <w:t>行政办公室</w:t>
      </w:r>
    </w:p>
    <w:p>
      <w:pPr>
        <w:ind w:firstLine="3570" w:firstLineChars="1270"/>
        <w:rPr>
          <w:rFonts w:hint="eastAsia" w:eastAsia="汉仪行楷简"/>
          <w:b/>
          <w:sz w:val="28"/>
          <w:szCs w:val="28"/>
          <w:u w:val="single"/>
          <w:lang w:eastAsia="zh-CN"/>
        </w:rPr>
      </w:pPr>
      <w:r>
        <w:rPr>
          <w:rFonts w:eastAsia="汉仪行楷简"/>
          <w:b/>
          <w:sz w:val="28"/>
          <w:szCs w:val="28"/>
        </w:rPr>
        <w:t>审核：</w:t>
      </w:r>
      <w:r>
        <w:rPr>
          <w:rFonts w:hint="eastAsia" w:eastAsia="汉仪行楷简"/>
          <w:b/>
          <w:sz w:val="28"/>
          <w:szCs w:val="28"/>
          <w:lang w:eastAsia="zh-CN"/>
        </w:rPr>
        <w:t>曹可</w:t>
      </w:r>
    </w:p>
    <w:p>
      <w:pPr>
        <w:ind w:firstLine="3570" w:firstLineChars="1270"/>
        <w:rPr>
          <w:rFonts w:hint="eastAsia" w:eastAsia="汉仪行楷简"/>
          <w:b/>
          <w:sz w:val="28"/>
          <w:szCs w:val="28"/>
          <w:u w:val="single"/>
          <w:lang w:eastAsia="zh-CN"/>
        </w:rPr>
      </w:pPr>
      <w:r>
        <w:rPr>
          <w:rFonts w:eastAsia="汉仪行楷简"/>
          <w:b/>
          <w:sz w:val="28"/>
          <w:szCs w:val="28"/>
        </w:rPr>
        <w:t>批准：</w:t>
      </w:r>
      <w:r>
        <w:rPr>
          <w:rFonts w:hint="eastAsia" w:eastAsia="汉仪行楷简"/>
          <w:b/>
          <w:sz w:val="28"/>
          <w:szCs w:val="28"/>
          <w:lang w:eastAsia="zh-CN"/>
        </w:rPr>
        <w:t>郑渝</w:t>
      </w: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sz w:val="30"/>
          <w:u w:val="single"/>
        </w:rPr>
      </w:pPr>
    </w:p>
    <w:p>
      <w:pPr>
        <w:jc w:val="center"/>
        <w:rPr>
          <w:rFonts w:hint="eastAsia" w:eastAsia="楷体_GB2312"/>
          <w:b/>
          <w:sz w:val="28"/>
          <w:szCs w:val="28"/>
          <w:lang w:eastAsia="zh-CN"/>
        </w:rPr>
      </w:pPr>
      <w:r>
        <w:rPr>
          <w:rFonts w:eastAsia="楷体_GB2312"/>
          <w:b/>
          <w:sz w:val="28"/>
          <w:szCs w:val="28"/>
        </w:rPr>
        <w:t>发布日期：</w:t>
      </w:r>
      <w:r>
        <w:rPr>
          <w:rFonts w:hint="eastAsia" w:eastAsia="楷体_GB2312"/>
          <w:b/>
          <w:sz w:val="28"/>
          <w:szCs w:val="28"/>
          <w:lang w:eastAsia="zh-CN"/>
        </w:rPr>
        <w:t>2020.</w:t>
      </w:r>
      <w:r>
        <w:rPr>
          <w:rFonts w:hint="eastAsia" w:eastAsia="楷体_GB2312"/>
          <w:b/>
          <w:sz w:val="28"/>
          <w:szCs w:val="28"/>
          <w:lang w:val="en-US" w:eastAsia="zh-CN"/>
        </w:rPr>
        <w:t>1.26</w:t>
      </w:r>
      <w:r>
        <w:rPr>
          <w:rFonts w:hint="eastAsia" w:eastAsia="楷体_GB2312"/>
          <w:b/>
          <w:sz w:val="28"/>
          <w:szCs w:val="28"/>
        </w:rPr>
        <w:t xml:space="preserve">    </w:t>
      </w:r>
      <w:r>
        <w:rPr>
          <w:rFonts w:hint="eastAsia" w:eastAsia="楷体_GB2312"/>
          <w:b/>
          <w:sz w:val="28"/>
          <w:szCs w:val="28"/>
          <w:lang w:val="en-US" w:eastAsia="zh-CN"/>
        </w:rPr>
        <w:t xml:space="preserve">            </w:t>
      </w:r>
      <w:r>
        <w:rPr>
          <w:rFonts w:hint="eastAsia" w:eastAsia="楷体_GB2312"/>
          <w:b/>
          <w:sz w:val="28"/>
          <w:szCs w:val="28"/>
        </w:rPr>
        <w:t xml:space="preserve"> </w:t>
      </w:r>
      <w:r>
        <w:rPr>
          <w:rFonts w:eastAsia="楷体_GB2312"/>
          <w:b/>
          <w:sz w:val="28"/>
          <w:szCs w:val="28"/>
        </w:rPr>
        <w:t>实施日期：</w:t>
      </w:r>
      <w:r>
        <w:rPr>
          <w:rFonts w:hint="eastAsia" w:eastAsia="楷体_GB2312"/>
          <w:b/>
          <w:sz w:val="28"/>
          <w:szCs w:val="28"/>
          <w:lang w:eastAsia="zh-CN"/>
        </w:rPr>
        <w:t>2020.</w:t>
      </w:r>
      <w:r>
        <w:rPr>
          <w:rFonts w:hint="eastAsia" w:eastAsia="楷体_GB2312"/>
          <w:b/>
          <w:sz w:val="28"/>
          <w:szCs w:val="28"/>
          <w:lang w:val="en-US" w:eastAsia="zh-CN"/>
        </w:rPr>
        <w:t>1.26</w:t>
      </w:r>
    </w:p>
    <w:p>
      <w:pPr>
        <w:jc w:val="center"/>
        <w:rPr>
          <w:rFonts w:eastAsia="楷体_GB2312"/>
          <w:b/>
          <w:sz w:val="36"/>
          <w:szCs w:val="36"/>
          <w:shd w:val="pct10" w:color="auto" w:fill="FFFFFF"/>
        </w:rPr>
      </w:pPr>
    </w:p>
    <w:p>
      <w:pPr>
        <w:jc w:val="center"/>
        <w:rPr>
          <w:rFonts w:eastAsia="楷体_GB2312"/>
          <w:b/>
          <w:sz w:val="36"/>
          <w:szCs w:val="36"/>
          <w:shd w:val="pct10" w:color="auto" w:fill="FFFFFF"/>
        </w:rPr>
      </w:pPr>
    </w:p>
    <w:p>
      <w:pPr>
        <w:jc w:val="center"/>
        <w:rPr>
          <w:rFonts w:eastAsia="黑体"/>
          <w:b/>
          <w:sz w:val="36"/>
          <w:szCs w:val="36"/>
          <w:shd w:val="pct10" w:color="auto" w:fill="FFFFFF"/>
        </w:rPr>
      </w:pPr>
    </w:p>
    <w:p>
      <w:pPr>
        <w:jc w:val="center"/>
        <w:rPr>
          <w:rFonts w:hint="eastAsia" w:eastAsia="黑体"/>
          <w:b/>
          <w:sz w:val="36"/>
          <w:szCs w:val="36"/>
          <w:shd w:val="pct10" w:color="auto" w:fill="FFFFFF"/>
          <w:lang w:eastAsia="zh-CN"/>
        </w:rPr>
      </w:pPr>
      <w:r>
        <w:rPr>
          <w:rFonts w:hint="eastAsia" w:eastAsia="黑体"/>
          <w:b/>
          <w:sz w:val="36"/>
          <w:szCs w:val="36"/>
          <w:shd w:val="pct10" w:color="auto" w:fill="FFFFFF"/>
          <w:lang w:eastAsia="zh-CN"/>
        </w:rPr>
        <w:t>四川众弘成物业服务有限公司</w:t>
      </w:r>
    </w:p>
    <w:tbl>
      <w:tblPr>
        <w:tblStyle w:val="22"/>
        <w:tblpPr w:leftFromText="180" w:rightFromText="180" w:vertAnchor="text" w:horzAnchor="page" w:tblpX="1182" w:tblpY="207"/>
        <w:tblW w:w="10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20"/>
        <w:gridCol w:w="1980"/>
        <w:gridCol w:w="864"/>
        <w:gridCol w:w="2232"/>
        <w:gridCol w:w="1829"/>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0145" w:type="dxa"/>
            <w:gridSpan w:val="7"/>
            <w:tcBorders>
              <w:top w:val="single" w:color="auto" w:sz="24" w:space="0"/>
              <w:left w:val="single" w:color="auto" w:sz="24" w:space="0"/>
              <w:bottom w:val="single" w:color="auto" w:sz="6" w:space="0"/>
              <w:right w:val="single" w:color="auto" w:sz="24" w:space="0"/>
            </w:tcBorders>
            <w:vAlign w:val="center"/>
          </w:tcPr>
          <w:p>
            <w:pPr>
              <w:jc w:val="center"/>
              <w:rPr>
                <w:b/>
                <w:szCs w:val="21"/>
              </w:rPr>
            </w:pPr>
            <w:r>
              <w:rPr>
                <w:rFonts w:hAnsi="宋体"/>
                <w:b/>
                <w:szCs w:val="21"/>
              </w:rPr>
              <w:t>文件修订页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r>
              <w:rPr>
                <w:rFonts w:hAnsi="宋体"/>
                <w:szCs w:val="21"/>
              </w:rPr>
              <w:t>序号</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Ansi="宋体"/>
                <w:szCs w:val="21"/>
              </w:rPr>
              <w:t>版本</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Ansi="宋体"/>
                <w:szCs w:val="21"/>
              </w:rPr>
              <w:t>修订日期</w:t>
            </w: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Ansi="宋体"/>
                <w:szCs w:val="21"/>
              </w:rPr>
              <w:t>条款</w:t>
            </w:r>
          </w:p>
        </w:tc>
        <w:tc>
          <w:tcPr>
            <w:tcW w:w="4061" w:type="dxa"/>
            <w:gridSpan w:val="2"/>
            <w:tcBorders>
              <w:top w:val="single" w:color="auto" w:sz="6" w:space="0"/>
              <w:left w:val="single" w:color="auto" w:sz="6" w:space="0"/>
              <w:bottom w:val="single" w:color="auto" w:sz="6" w:space="0"/>
              <w:right w:val="single" w:color="auto" w:sz="6" w:space="0"/>
            </w:tcBorders>
            <w:vAlign w:val="center"/>
          </w:tcPr>
          <w:p>
            <w:pPr>
              <w:ind w:right="-317" w:rightChars="-151"/>
              <w:jc w:val="center"/>
              <w:rPr>
                <w:szCs w:val="21"/>
              </w:rPr>
            </w:pPr>
            <w:r>
              <w:rPr>
                <w:rFonts w:hAnsi="宋体"/>
                <w:szCs w:val="21"/>
              </w:rPr>
              <w:t>修订内容</w:t>
            </w: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r>
              <w:rPr>
                <w:rFonts w:hAnsi="宋体"/>
                <w:szCs w:val="21"/>
              </w:rPr>
              <w:t>修订者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rFonts w:hint="eastAsia" w:eastAsia="宋体"/>
                <w:szCs w:val="21"/>
                <w:lang w:val="en-US" w:eastAsia="zh-CN"/>
              </w:rPr>
            </w:pPr>
            <w:r>
              <w:rPr>
                <w:rFonts w:hint="eastAsia"/>
                <w:szCs w:val="21"/>
                <w:lang w:val="en-US" w:eastAsia="zh-CN"/>
              </w:rPr>
              <w:t>1</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A/1</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default" w:eastAsia="宋体"/>
                <w:szCs w:val="21"/>
                <w:lang w:val="en-US" w:eastAsia="zh-CN"/>
              </w:rPr>
            </w:pPr>
            <w:r>
              <w:rPr>
                <w:rFonts w:hint="eastAsia"/>
                <w:szCs w:val="21"/>
                <w:lang w:val="en-US" w:eastAsia="zh-CN"/>
              </w:rPr>
              <w:t>2020.1.26</w:t>
            </w: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Cs w:val="21"/>
                <w:lang w:eastAsia="zh-CN"/>
              </w:rPr>
            </w:pPr>
            <w:r>
              <w:rPr>
                <w:rFonts w:hint="eastAsia"/>
                <w:szCs w:val="21"/>
                <w:lang w:eastAsia="zh-CN"/>
              </w:rPr>
              <w:t>全部</w:t>
            </w: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rFonts w:hint="eastAsia" w:eastAsia="宋体"/>
                <w:szCs w:val="21"/>
                <w:lang w:eastAsia="zh-CN"/>
              </w:rPr>
            </w:pPr>
            <w:r>
              <w:rPr>
                <w:rFonts w:hint="eastAsia"/>
                <w:szCs w:val="21"/>
                <w:lang w:eastAsia="zh-CN"/>
              </w:rPr>
              <w:t>职业健康安全管理体系转版</w:t>
            </w: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color w:val="FF0000"/>
                <w:szCs w:val="21"/>
              </w:rPr>
            </w:pPr>
            <w:r>
              <w:rPr>
                <w:rFonts w:hint="eastAsia"/>
                <w:color w:val="auto"/>
                <w:szCs w:val="21"/>
              </w:rPr>
              <w:t>郑渝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rFonts w:hint="eastAsia" w:eastAsia="宋体"/>
                <w:szCs w:val="21"/>
                <w:lang w:val="en-US" w:eastAsia="zh-CN"/>
              </w:rPr>
            </w:pPr>
            <w:r>
              <w:rPr>
                <w:rFonts w:hint="eastAsia"/>
                <w:szCs w:val="21"/>
                <w:lang w:val="en-US" w:eastAsia="zh-CN"/>
              </w:rPr>
              <w:t>2</w:t>
            </w: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r>
              <w:rPr>
                <w:rFonts w:hint="eastAsia"/>
                <w:szCs w:val="21"/>
              </w:rPr>
              <w:t>A/1</w:t>
            </w: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rFonts w:hint="default"/>
                <w:szCs w:val="21"/>
                <w:lang w:val="en-US"/>
              </w:rPr>
            </w:pPr>
            <w:r>
              <w:rPr>
                <w:rFonts w:hint="eastAsia"/>
                <w:szCs w:val="21"/>
                <w:lang w:val="en-US" w:eastAsia="zh-CN"/>
              </w:rPr>
              <w:t>2020.1.26</w:t>
            </w: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rFonts w:hint="eastAsia" w:eastAsia="宋体"/>
                <w:szCs w:val="21"/>
                <w:lang w:eastAsia="zh-CN"/>
              </w:rPr>
            </w:pPr>
            <w:r>
              <w:rPr>
                <w:rFonts w:hint="eastAsia"/>
                <w:szCs w:val="21"/>
                <w:lang w:eastAsia="zh-CN"/>
              </w:rPr>
              <w:t>全部</w:t>
            </w: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rFonts w:hint="eastAsia" w:eastAsia="宋体"/>
                <w:szCs w:val="21"/>
                <w:lang w:eastAsia="zh-CN"/>
              </w:rPr>
            </w:pPr>
            <w:r>
              <w:rPr>
                <w:rFonts w:hint="eastAsia"/>
                <w:szCs w:val="21"/>
                <w:lang w:eastAsia="zh-CN"/>
              </w:rPr>
              <w:t>认证范围修订</w:t>
            </w: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r>
              <w:rPr>
                <w:rFonts w:hint="eastAsia"/>
                <w:color w:val="auto"/>
                <w:szCs w:val="21"/>
              </w:rPr>
              <w:t>郑渝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80" w:type="dxa"/>
            <w:tcBorders>
              <w:top w:val="single" w:color="auto" w:sz="6" w:space="0"/>
              <w:left w:val="single" w:color="auto" w:sz="24" w:space="0"/>
              <w:bottom w:val="single" w:color="auto" w:sz="6" w:space="0"/>
              <w:right w:val="single" w:color="auto" w:sz="6" w:space="0"/>
            </w:tcBorders>
            <w:vAlign w:val="center"/>
          </w:tcPr>
          <w:p>
            <w:pPr>
              <w:jc w:val="center"/>
              <w:rPr>
                <w:szCs w:val="21"/>
              </w:rPr>
            </w:pPr>
          </w:p>
        </w:tc>
        <w:tc>
          <w:tcPr>
            <w:tcW w:w="72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1980"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864" w:type="dxa"/>
            <w:tcBorders>
              <w:top w:val="single" w:color="auto" w:sz="6" w:space="0"/>
              <w:left w:val="single" w:color="auto" w:sz="6" w:space="0"/>
              <w:bottom w:val="single" w:color="auto" w:sz="6" w:space="0"/>
              <w:right w:val="single" w:color="auto" w:sz="6" w:space="0"/>
            </w:tcBorders>
            <w:vAlign w:val="center"/>
          </w:tcPr>
          <w:p>
            <w:pPr>
              <w:jc w:val="center"/>
              <w:rPr>
                <w:szCs w:val="21"/>
              </w:rPr>
            </w:pPr>
          </w:p>
        </w:tc>
        <w:tc>
          <w:tcPr>
            <w:tcW w:w="4061" w:type="dxa"/>
            <w:gridSpan w:val="2"/>
            <w:tcBorders>
              <w:top w:val="single" w:color="auto" w:sz="6" w:space="0"/>
              <w:left w:val="single" w:color="auto" w:sz="6" w:space="0"/>
              <w:bottom w:val="single" w:color="auto" w:sz="6" w:space="0"/>
              <w:right w:val="single" w:color="auto" w:sz="6" w:space="0"/>
            </w:tcBorders>
            <w:vAlign w:val="center"/>
          </w:tcPr>
          <w:p>
            <w:pPr>
              <w:rPr>
                <w:szCs w:val="21"/>
              </w:rPr>
            </w:pPr>
          </w:p>
        </w:tc>
        <w:tc>
          <w:tcPr>
            <w:tcW w:w="1640" w:type="dxa"/>
            <w:tcBorders>
              <w:top w:val="single" w:color="auto" w:sz="6" w:space="0"/>
              <w:left w:val="single" w:color="auto" w:sz="6" w:space="0"/>
              <w:bottom w:val="single" w:color="auto" w:sz="6" w:space="0"/>
              <w:right w:val="single" w:color="auto" w:sz="24" w:space="0"/>
            </w:tcBorders>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3580" w:type="dxa"/>
            <w:gridSpan w:val="3"/>
            <w:tcBorders>
              <w:top w:val="single" w:color="auto" w:sz="6" w:space="0"/>
              <w:left w:val="single" w:color="auto" w:sz="24" w:space="0"/>
              <w:bottom w:val="single" w:color="auto" w:sz="24" w:space="0"/>
              <w:right w:val="single" w:color="auto" w:sz="6" w:space="0"/>
            </w:tcBorders>
          </w:tcPr>
          <w:p>
            <w:pPr>
              <w:rPr>
                <w:rFonts w:hint="eastAsia" w:eastAsia="宋体"/>
                <w:szCs w:val="21"/>
                <w:lang w:eastAsia="zh-CN"/>
              </w:rPr>
            </w:pPr>
            <w:r>
              <w:rPr>
                <w:rFonts w:hAnsi="宋体"/>
                <w:szCs w:val="21"/>
              </w:rPr>
              <w:t>编写：</w:t>
            </w:r>
            <w:r>
              <w:rPr>
                <w:rFonts w:hint="eastAsia" w:hAnsi="宋体"/>
                <w:szCs w:val="21"/>
              </w:rPr>
              <w:t>行政办公室</w:t>
            </w:r>
          </w:p>
        </w:tc>
        <w:tc>
          <w:tcPr>
            <w:tcW w:w="3096" w:type="dxa"/>
            <w:gridSpan w:val="2"/>
            <w:tcBorders>
              <w:top w:val="single" w:color="auto" w:sz="6" w:space="0"/>
              <w:left w:val="single" w:color="auto" w:sz="6" w:space="0"/>
              <w:bottom w:val="single" w:color="auto" w:sz="24" w:space="0"/>
              <w:right w:val="single" w:color="auto" w:sz="6" w:space="0"/>
            </w:tcBorders>
          </w:tcPr>
          <w:p>
            <w:pPr>
              <w:rPr>
                <w:rFonts w:hint="eastAsia" w:eastAsia="宋体"/>
                <w:szCs w:val="21"/>
                <w:lang w:eastAsia="zh-CN"/>
              </w:rPr>
            </w:pPr>
            <w:r>
              <w:rPr>
                <w:rFonts w:hAnsi="宋体"/>
                <w:szCs w:val="21"/>
              </w:rPr>
              <w:t>审核：</w:t>
            </w:r>
            <w:r>
              <w:rPr>
                <w:rFonts w:hint="eastAsia" w:hAnsi="宋体"/>
                <w:szCs w:val="21"/>
                <w:lang w:eastAsia="zh-CN"/>
              </w:rPr>
              <w:t>曹可</w:t>
            </w:r>
          </w:p>
          <w:p>
            <w:pPr>
              <w:rPr>
                <w:szCs w:val="21"/>
              </w:rPr>
            </w:pPr>
          </w:p>
        </w:tc>
        <w:tc>
          <w:tcPr>
            <w:tcW w:w="3469" w:type="dxa"/>
            <w:gridSpan w:val="2"/>
            <w:tcBorders>
              <w:top w:val="single" w:color="auto" w:sz="6" w:space="0"/>
              <w:left w:val="single" w:color="auto" w:sz="6" w:space="0"/>
              <w:bottom w:val="single" w:color="auto" w:sz="24" w:space="0"/>
              <w:right w:val="single" w:color="auto" w:sz="24" w:space="0"/>
            </w:tcBorders>
          </w:tcPr>
          <w:p>
            <w:pPr>
              <w:rPr>
                <w:rFonts w:hint="eastAsia" w:eastAsia="宋体"/>
                <w:szCs w:val="21"/>
                <w:lang w:eastAsia="zh-CN"/>
              </w:rPr>
            </w:pPr>
            <w:r>
              <w:rPr>
                <w:rFonts w:hAnsi="宋体"/>
                <w:szCs w:val="21"/>
              </w:rPr>
              <w:t>核准：</w:t>
            </w:r>
            <w:r>
              <w:rPr>
                <w:rFonts w:hint="eastAsia" w:hAnsi="宋体"/>
                <w:szCs w:val="21"/>
                <w:lang w:eastAsia="zh-CN"/>
              </w:rPr>
              <w:t>郑渝</w:t>
            </w:r>
          </w:p>
          <w:p>
            <w:pPr>
              <w:rPr>
                <w:szCs w:val="21"/>
              </w:rPr>
            </w:pPr>
          </w:p>
        </w:tc>
      </w:tr>
    </w:tbl>
    <w:p>
      <w:pPr>
        <w:rPr>
          <w:rFonts w:eastAsia="仿宋_GB2312"/>
        </w:rPr>
      </w:pPr>
    </w:p>
    <w:p>
      <w:pPr>
        <w:rPr>
          <w:rFonts w:eastAsia="仿宋_GB2312"/>
        </w:rPr>
      </w:pPr>
    </w:p>
    <w:p>
      <w:pPr>
        <w:jc w:val="center"/>
        <w:rPr>
          <w:b/>
          <w:szCs w:val="21"/>
        </w:rPr>
      </w:pPr>
      <w:r>
        <w:rPr>
          <w:b/>
          <w:szCs w:val="21"/>
        </w:rPr>
        <w:t>0  目录</w:t>
      </w:r>
      <w:bookmarkStart w:id="0" w:name="_范围："/>
      <w:bookmarkEnd w:id="0"/>
    </w:p>
    <w:p>
      <w:pPr>
        <w:rPr>
          <w:sz w:val="18"/>
          <w:szCs w:val="18"/>
        </w:rPr>
      </w:pPr>
    </w:p>
    <w:p>
      <w:pPr>
        <w:ind w:firstLine="489" w:firstLineChars="233"/>
        <w:rPr>
          <w:szCs w:val="21"/>
        </w:rPr>
      </w:pPr>
      <w:r>
        <w:rPr>
          <w:szCs w:val="21"/>
        </w:rPr>
        <w:t xml:space="preserve">1 </w:t>
      </w:r>
      <w:r>
        <w:rPr>
          <w:rFonts w:hAnsi="宋体"/>
          <w:szCs w:val="21"/>
        </w:rPr>
        <w:t>范围</w:t>
      </w:r>
    </w:p>
    <w:p>
      <w:pPr>
        <w:ind w:firstLine="489" w:firstLineChars="233"/>
        <w:rPr>
          <w:szCs w:val="21"/>
        </w:rPr>
      </w:pPr>
      <w:r>
        <w:rPr>
          <w:szCs w:val="21"/>
        </w:rPr>
        <w:t xml:space="preserve">2 </w:t>
      </w:r>
      <w:r>
        <w:rPr>
          <w:rFonts w:hAnsi="宋体"/>
          <w:szCs w:val="21"/>
        </w:rPr>
        <w:t>规范性引用文件</w:t>
      </w:r>
    </w:p>
    <w:p>
      <w:pPr>
        <w:ind w:firstLine="489" w:firstLineChars="233"/>
        <w:rPr>
          <w:szCs w:val="21"/>
        </w:rPr>
      </w:pPr>
      <w:r>
        <w:rPr>
          <w:szCs w:val="21"/>
        </w:rPr>
        <w:t xml:space="preserve">3 </w:t>
      </w:r>
      <w:r>
        <w:rPr>
          <w:rFonts w:hAnsi="宋体"/>
          <w:szCs w:val="21"/>
        </w:rPr>
        <w:t>术语和定义</w:t>
      </w:r>
    </w:p>
    <w:p>
      <w:pPr>
        <w:ind w:firstLine="489" w:firstLineChars="233"/>
        <w:rPr>
          <w:szCs w:val="21"/>
        </w:rPr>
      </w:pPr>
      <w:r>
        <w:rPr>
          <w:szCs w:val="21"/>
        </w:rPr>
        <w:t xml:space="preserve">4 </w:t>
      </w:r>
      <w:r>
        <w:rPr>
          <w:rFonts w:hAnsi="宋体"/>
          <w:szCs w:val="21"/>
        </w:rPr>
        <w:t>公司的背景</w:t>
      </w:r>
    </w:p>
    <w:p>
      <w:pPr>
        <w:ind w:firstLine="489" w:firstLineChars="233"/>
        <w:rPr>
          <w:szCs w:val="21"/>
        </w:rPr>
      </w:pPr>
      <w:r>
        <w:rPr>
          <w:szCs w:val="21"/>
        </w:rPr>
        <w:t xml:space="preserve">4.1 </w:t>
      </w:r>
      <w:r>
        <w:rPr>
          <w:rFonts w:hAnsi="宋体"/>
          <w:szCs w:val="21"/>
        </w:rPr>
        <w:t>理解公司及其背景</w:t>
      </w:r>
    </w:p>
    <w:p>
      <w:pPr>
        <w:ind w:firstLine="489" w:firstLineChars="233"/>
        <w:rPr>
          <w:szCs w:val="21"/>
        </w:rPr>
      </w:pPr>
      <w:r>
        <w:rPr>
          <w:szCs w:val="21"/>
        </w:rPr>
        <w:t xml:space="preserve">4.2 </w:t>
      </w:r>
      <w:r>
        <w:rPr>
          <w:rFonts w:hAnsi="宋体"/>
          <w:szCs w:val="21"/>
        </w:rPr>
        <w:t>理解相关方的需求和期望</w:t>
      </w:r>
    </w:p>
    <w:p>
      <w:pPr>
        <w:ind w:firstLine="489" w:firstLineChars="233"/>
        <w:rPr>
          <w:szCs w:val="21"/>
        </w:rPr>
      </w:pPr>
      <w:r>
        <w:rPr>
          <w:szCs w:val="21"/>
        </w:rPr>
        <w:t>4.3</w:t>
      </w:r>
      <w:r>
        <w:rPr>
          <w:rFonts w:hAnsi="宋体"/>
          <w:szCs w:val="21"/>
        </w:rPr>
        <w:t>质量/环境/安全管理体系范围的确定</w:t>
      </w:r>
    </w:p>
    <w:p>
      <w:pPr>
        <w:ind w:firstLine="489" w:firstLineChars="233"/>
        <w:rPr>
          <w:szCs w:val="21"/>
        </w:rPr>
      </w:pPr>
      <w:r>
        <w:rPr>
          <w:szCs w:val="21"/>
        </w:rPr>
        <w:t>4.4</w:t>
      </w:r>
      <w:r>
        <w:rPr>
          <w:rFonts w:hAnsi="宋体"/>
          <w:szCs w:val="21"/>
        </w:rPr>
        <w:t>质量/环境/安全管理体系</w:t>
      </w:r>
    </w:p>
    <w:p>
      <w:pPr>
        <w:ind w:firstLine="489" w:firstLineChars="233"/>
        <w:rPr>
          <w:szCs w:val="21"/>
        </w:rPr>
      </w:pPr>
      <w:r>
        <w:rPr>
          <w:szCs w:val="21"/>
        </w:rPr>
        <w:t xml:space="preserve">5 </w:t>
      </w:r>
      <w:r>
        <w:rPr>
          <w:rFonts w:hAnsi="宋体"/>
          <w:szCs w:val="21"/>
        </w:rPr>
        <w:t>领导作用</w:t>
      </w:r>
    </w:p>
    <w:p>
      <w:pPr>
        <w:ind w:firstLine="489" w:firstLineChars="233"/>
        <w:rPr>
          <w:szCs w:val="21"/>
        </w:rPr>
      </w:pPr>
      <w:r>
        <w:rPr>
          <w:szCs w:val="21"/>
        </w:rPr>
        <w:t xml:space="preserve">5.1 </w:t>
      </w:r>
      <w:r>
        <w:rPr>
          <w:rFonts w:hAnsi="宋体"/>
          <w:szCs w:val="21"/>
        </w:rPr>
        <w:t>领导作用和承诺</w:t>
      </w:r>
    </w:p>
    <w:p>
      <w:pPr>
        <w:ind w:firstLine="489" w:firstLineChars="233"/>
        <w:rPr>
          <w:szCs w:val="21"/>
        </w:rPr>
      </w:pPr>
      <w:r>
        <w:rPr>
          <w:szCs w:val="21"/>
        </w:rPr>
        <w:t xml:space="preserve">5.2 </w:t>
      </w:r>
      <w:r>
        <w:rPr>
          <w:rFonts w:hAnsi="宋体"/>
          <w:szCs w:val="21"/>
        </w:rPr>
        <w:t>质量/环境/安全方针</w:t>
      </w:r>
    </w:p>
    <w:p>
      <w:pPr>
        <w:ind w:firstLine="489" w:firstLineChars="233"/>
        <w:rPr>
          <w:szCs w:val="21"/>
        </w:rPr>
      </w:pPr>
      <w:r>
        <w:rPr>
          <w:szCs w:val="21"/>
        </w:rPr>
        <w:t xml:space="preserve">5.3 </w:t>
      </w:r>
      <w:r>
        <w:rPr>
          <w:rFonts w:hAnsi="宋体"/>
          <w:szCs w:val="21"/>
        </w:rPr>
        <w:t>公司的作用、职责和权限</w:t>
      </w:r>
    </w:p>
    <w:p>
      <w:pPr>
        <w:ind w:firstLine="489" w:firstLineChars="233"/>
        <w:rPr>
          <w:szCs w:val="21"/>
        </w:rPr>
      </w:pPr>
      <w:r>
        <w:rPr>
          <w:szCs w:val="21"/>
        </w:rPr>
        <w:t xml:space="preserve">6 </w:t>
      </w:r>
      <w:r>
        <w:rPr>
          <w:rFonts w:hAnsi="宋体"/>
          <w:szCs w:val="21"/>
        </w:rPr>
        <w:t>策划</w:t>
      </w:r>
    </w:p>
    <w:p>
      <w:pPr>
        <w:ind w:firstLine="489" w:firstLineChars="233"/>
        <w:rPr>
          <w:szCs w:val="21"/>
        </w:rPr>
      </w:pPr>
      <w:r>
        <w:rPr>
          <w:szCs w:val="21"/>
        </w:rPr>
        <w:t xml:space="preserve">6.1 </w:t>
      </w:r>
      <w:r>
        <w:rPr>
          <w:rFonts w:hAnsi="宋体"/>
          <w:szCs w:val="21"/>
        </w:rPr>
        <w:t>风险应对和机遇的措施</w:t>
      </w:r>
    </w:p>
    <w:p>
      <w:pPr>
        <w:ind w:firstLine="489" w:firstLineChars="233"/>
        <w:rPr>
          <w:rFonts w:eastAsiaTheme="minorEastAsia"/>
          <w:szCs w:val="21"/>
        </w:rPr>
      </w:pPr>
      <w:r>
        <w:rPr>
          <w:color w:val="000000"/>
        </w:rPr>
        <w:t>6.</w:t>
      </w:r>
      <w:r>
        <w:rPr>
          <w:rFonts w:hint="eastAsia"/>
          <w:color w:val="000000"/>
        </w:rPr>
        <w:t>2</w:t>
      </w:r>
      <w:r>
        <w:rPr>
          <w:rFonts w:hAnsi="宋体"/>
          <w:szCs w:val="21"/>
        </w:rPr>
        <w:t>质量/环境/安全目标及其实施的策划</w:t>
      </w:r>
    </w:p>
    <w:p>
      <w:pPr>
        <w:ind w:firstLine="489" w:firstLineChars="233"/>
        <w:rPr>
          <w:szCs w:val="21"/>
        </w:rPr>
      </w:pPr>
      <w:r>
        <w:rPr>
          <w:szCs w:val="21"/>
        </w:rPr>
        <w:t>6.</w:t>
      </w:r>
      <w:r>
        <w:rPr>
          <w:rFonts w:hint="eastAsia"/>
          <w:szCs w:val="21"/>
        </w:rPr>
        <w:t>3</w:t>
      </w:r>
      <w:r>
        <w:rPr>
          <w:rFonts w:hAnsi="宋体"/>
          <w:szCs w:val="21"/>
        </w:rPr>
        <w:t>变更的策划</w:t>
      </w:r>
    </w:p>
    <w:p>
      <w:pPr>
        <w:ind w:firstLine="489" w:firstLineChars="233"/>
        <w:rPr>
          <w:szCs w:val="21"/>
        </w:rPr>
      </w:pPr>
      <w:r>
        <w:rPr>
          <w:szCs w:val="21"/>
        </w:rPr>
        <w:t xml:space="preserve">7 </w:t>
      </w:r>
      <w:r>
        <w:rPr>
          <w:rFonts w:hAnsi="宋体"/>
          <w:szCs w:val="21"/>
        </w:rPr>
        <w:t>支持</w:t>
      </w:r>
    </w:p>
    <w:p>
      <w:pPr>
        <w:ind w:firstLine="489" w:firstLineChars="233"/>
        <w:rPr>
          <w:szCs w:val="21"/>
        </w:rPr>
      </w:pPr>
      <w:r>
        <w:rPr>
          <w:szCs w:val="21"/>
        </w:rPr>
        <w:t xml:space="preserve">7.1 </w:t>
      </w:r>
      <w:r>
        <w:rPr>
          <w:rFonts w:hAnsi="宋体"/>
          <w:szCs w:val="21"/>
        </w:rPr>
        <w:t>资源</w:t>
      </w:r>
    </w:p>
    <w:p>
      <w:pPr>
        <w:ind w:firstLine="489" w:firstLineChars="233"/>
        <w:rPr>
          <w:szCs w:val="21"/>
        </w:rPr>
      </w:pPr>
      <w:r>
        <w:rPr>
          <w:szCs w:val="21"/>
        </w:rPr>
        <w:t xml:space="preserve">7.2 </w:t>
      </w:r>
      <w:r>
        <w:rPr>
          <w:rFonts w:hAnsi="宋体"/>
          <w:szCs w:val="21"/>
        </w:rPr>
        <w:t>能力</w:t>
      </w:r>
    </w:p>
    <w:p>
      <w:pPr>
        <w:ind w:firstLine="489" w:firstLineChars="233"/>
        <w:rPr>
          <w:szCs w:val="21"/>
        </w:rPr>
      </w:pPr>
      <w:r>
        <w:rPr>
          <w:szCs w:val="21"/>
        </w:rPr>
        <w:t xml:space="preserve">7.3 </w:t>
      </w:r>
      <w:r>
        <w:rPr>
          <w:rFonts w:hAnsi="宋体"/>
          <w:szCs w:val="21"/>
        </w:rPr>
        <w:t>意识</w:t>
      </w:r>
    </w:p>
    <w:p>
      <w:pPr>
        <w:ind w:firstLine="489" w:firstLineChars="233"/>
        <w:rPr>
          <w:szCs w:val="21"/>
        </w:rPr>
      </w:pPr>
      <w:r>
        <w:rPr>
          <w:szCs w:val="21"/>
        </w:rPr>
        <w:t xml:space="preserve">7.4 </w:t>
      </w:r>
      <w:r>
        <w:rPr>
          <w:rFonts w:hAnsi="宋体"/>
          <w:szCs w:val="21"/>
        </w:rPr>
        <w:t>沟通</w:t>
      </w:r>
      <w:r>
        <w:rPr>
          <w:szCs w:val="21"/>
        </w:rPr>
        <w:t>/</w:t>
      </w:r>
      <w:r>
        <w:rPr>
          <w:rFonts w:hAnsi="宋体"/>
          <w:szCs w:val="21"/>
        </w:rPr>
        <w:t>信息交流</w:t>
      </w:r>
    </w:p>
    <w:p>
      <w:pPr>
        <w:ind w:firstLine="489" w:firstLineChars="233"/>
        <w:rPr>
          <w:szCs w:val="21"/>
        </w:rPr>
      </w:pPr>
      <w:r>
        <w:rPr>
          <w:szCs w:val="21"/>
        </w:rPr>
        <w:t xml:space="preserve">7.5 </w:t>
      </w:r>
      <w:r>
        <w:rPr>
          <w:rFonts w:hAnsi="宋体"/>
          <w:szCs w:val="21"/>
        </w:rPr>
        <w:t>文件化信息</w:t>
      </w:r>
    </w:p>
    <w:p>
      <w:pPr>
        <w:ind w:firstLine="489" w:firstLineChars="233"/>
        <w:rPr>
          <w:szCs w:val="21"/>
        </w:rPr>
      </w:pPr>
      <w:r>
        <w:rPr>
          <w:szCs w:val="21"/>
        </w:rPr>
        <w:t xml:space="preserve">8 </w:t>
      </w:r>
      <w:r>
        <w:rPr>
          <w:rFonts w:hAnsi="宋体"/>
          <w:szCs w:val="21"/>
        </w:rPr>
        <w:t>运行</w:t>
      </w:r>
    </w:p>
    <w:p>
      <w:pPr>
        <w:ind w:firstLine="489" w:firstLineChars="233"/>
        <w:rPr>
          <w:szCs w:val="21"/>
        </w:rPr>
      </w:pPr>
      <w:r>
        <w:rPr>
          <w:szCs w:val="21"/>
        </w:rPr>
        <w:t xml:space="preserve">8.1 </w:t>
      </w:r>
      <w:r>
        <w:rPr>
          <w:rFonts w:hAnsi="宋体"/>
          <w:szCs w:val="21"/>
        </w:rPr>
        <w:t>运行的策划和控制</w:t>
      </w:r>
    </w:p>
    <w:p>
      <w:pPr>
        <w:ind w:firstLine="489" w:firstLineChars="233"/>
        <w:rPr>
          <w:szCs w:val="21"/>
        </w:rPr>
      </w:pPr>
      <w:r>
        <w:rPr>
          <w:szCs w:val="21"/>
        </w:rPr>
        <w:t xml:space="preserve">8.2 </w:t>
      </w:r>
      <w:r>
        <w:rPr>
          <w:rFonts w:hAnsi="宋体"/>
          <w:szCs w:val="21"/>
        </w:rPr>
        <w:t>市场需求的确定和顾客沟通</w:t>
      </w:r>
    </w:p>
    <w:p>
      <w:pPr>
        <w:ind w:firstLine="489" w:firstLineChars="233"/>
        <w:rPr>
          <w:szCs w:val="21"/>
        </w:rPr>
      </w:pPr>
      <w:r>
        <w:rPr>
          <w:szCs w:val="21"/>
        </w:rPr>
        <w:t xml:space="preserve">8.3 </w:t>
      </w:r>
      <w:r>
        <w:rPr>
          <w:rFonts w:hAnsi="宋体"/>
          <w:szCs w:val="21"/>
        </w:rPr>
        <w:t>产品和服务的设计开发</w:t>
      </w:r>
    </w:p>
    <w:p>
      <w:pPr>
        <w:ind w:firstLine="489" w:firstLineChars="233"/>
        <w:rPr>
          <w:szCs w:val="21"/>
        </w:rPr>
      </w:pPr>
      <w:r>
        <w:rPr>
          <w:szCs w:val="21"/>
        </w:rPr>
        <w:t xml:space="preserve">8.4 </w:t>
      </w:r>
      <w:r>
        <w:rPr>
          <w:rFonts w:hAnsi="宋体"/>
          <w:szCs w:val="21"/>
        </w:rPr>
        <w:t>外部供应过程、产品和服务的控制</w:t>
      </w:r>
    </w:p>
    <w:p>
      <w:pPr>
        <w:ind w:firstLine="489" w:firstLineChars="233"/>
        <w:rPr>
          <w:szCs w:val="21"/>
        </w:rPr>
      </w:pPr>
      <w:r>
        <w:rPr>
          <w:szCs w:val="21"/>
        </w:rPr>
        <w:t xml:space="preserve">8.5 </w:t>
      </w:r>
      <w:r>
        <w:rPr>
          <w:rFonts w:hAnsi="宋体"/>
          <w:szCs w:val="21"/>
        </w:rPr>
        <w:t>生产和服务提供</w:t>
      </w:r>
    </w:p>
    <w:p>
      <w:pPr>
        <w:ind w:firstLine="489" w:firstLineChars="233"/>
        <w:rPr>
          <w:szCs w:val="21"/>
        </w:rPr>
      </w:pPr>
      <w:r>
        <w:rPr>
          <w:szCs w:val="21"/>
        </w:rPr>
        <w:t xml:space="preserve">8.6 </w:t>
      </w:r>
      <w:r>
        <w:rPr>
          <w:rFonts w:hAnsi="宋体"/>
          <w:szCs w:val="21"/>
        </w:rPr>
        <w:t>产品和服务旅行</w:t>
      </w:r>
    </w:p>
    <w:p>
      <w:pPr>
        <w:ind w:firstLine="489" w:firstLineChars="233"/>
        <w:rPr>
          <w:rFonts w:hAnsi="宋体"/>
          <w:szCs w:val="21"/>
        </w:rPr>
      </w:pPr>
      <w:r>
        <w:rPr>
          <w:szCs w:val="21"/>
        </w:rPr>
        <w:t xml:space="preserve">8.7 </w:t>
      </w:r>
      <w:r>
        <w:rPr>
          <w:rFonts w:hAnsi="宋体"/>
          <w:szCs w:val="21"/>
        </w:rPr>
        <w:t>不合格输出的控制</w:t>
      </w:r>
    </w:p>
    <w:p>
      <w:pPr>
        <w:ind w:firstLine="489" w:firstLineChars="233"/>
        <w:rPr>
          <w:szCs w:val="21"/>
        </w:rPr>
      </w:pPr>
      <w:r>
        <w:rPr>
          <w:szCs w:val="21"/>
        </w:rPr>
        <w:t>8.</w:t>
      </w:r>
      <w:r>
        <w:rPr>
          <w:rFonts w:hint="eastAsia"/>
          <w:szCs w:val="21"/>
        </w:rPr>
        <w:t>8</w:t>
      </w:r>
      <w:r>
        <w:rPr>
          <w:rFonts w:hAnsi="宋体"/>
          <w:color w:val="000000"/>
        </w:rPr>
        <w:t>应急准备和响应</w:t>
      </w:r>
    </w:p>
    <w:p>
      <w:pPr>
        <w:ind w:firstLine="489" w:firstLineChars="233"/>
        <w:rPr>
          <w:szCs w:val="21"/>
        </w:rPr>
      </w:pPr>
      <w:r>
        <w:rPr>
          <w:szCs w:val="21"/>
        </w:rPr>
        <w:t xml:space="preserve">9 </w:t>
      </w:r>
      <w:r>
        <w:rPr>
          <w:rFonts w:hAnsi="宋体"/>
          <w:szCs w:val="21"/>
        </w:rPr>
        <w:t>绩效评价</w:t>
      </w:r>
    </w:p>
    <w:p>
      <w:pPr>
        <w:ind w:firstLine="489" w:firstLineChars="233"/>
        <w:rPr>
          <w:szCs w:val="21"/>
        </w:rPr>
      </w:pPr>
      <w:r>
        <w:rPr>
          <w:szCs w:val="21"/>
        </w:rPr>
        <w:t xml:space="preserve">9.1 </w:t>
      </w:r>
      <w:r>
        <w:rPr>
          <w:rFonts w:hAnsi="宋体"/>
          <w:szCs w:val="21"/>
        </w:rPr>
        <w:t>监视、测量、分析和评价</w:t>
      </w:r>
    </w:p>
    <w:p>
      <w:pPr>
        <w:ind w:firstLine="489" w:firstLineChars="233"/>
        <w:rPr>
          <w:szCs w:val="21"/>
        </w:rPr>
      </w:pPr>
      <w:r>
        <w:rPr>
          <w:szCs w:val="21"/>
        </w:rPr>
        <w:t xml:space="preserve">9.2 </w:t>
      </w:r>
      <w:r>
        <w:rPr>
          <w:rFonts w:hAnsi="宋体"/>
          <w:szCs w:val="21"/>
        </w:rPr>
        <w:t>内部审核</w:t>
      </w:r>
    </w:p>
    <w:p>
      <w:pPr>
        <w:ind w:firstLine="489" w:firstLineChars="233"/>
        <w:rPr>
          <w:szCs w:val="21"/>
        </w:rPr>
      </w:pPr>
      <w:r>
        <w:rPr>
          <w:szCs w:val="21"/>
        </w:rPr>
        <w:t xml:space="preserve">9.3 </w:t>
      </w:r>
      <w:r>
        <w:rPr>
          <w:rFonts w:hAnsi="宋体"/>
          <w:szCs w:val="21"/>
        </w:rPr>
        <w:t>管理评审</w:t>
      </w:r>
    </w:p>
    <w:p>
      <w:pPr>
        <w:ind w:firstLine="489" w:firstLineChars="233"/>
        <w:rPr>
          <w:szCs w:val="21"/>
        </w:rPr>
      </w:pPr>
      <w:r>
        <w:rPr>
          <w:szCs w:val="21"/>
        </w:rPr>
        <w:t xml:space="preserve">10 </w:t>
      </w:r>
      <w:r>
        <w:rPr>
          <w:rFonts w:hAnsi="宋体"/>
          <w:szCs w:val="21"/>
        </w:rPr>
        <w:t>改进</w:t>
      </w:r>
    </w:p>
    <w:p>
      <w:pPr>
        <w:ind w:firstLine="489" w:firstLineChars="233"/>
        <w:rPr>
          <w:szCs w:val="21"/>
        </w:rPr>
      </w:pPr>
      <w:r>
        <w:rPr>
          <w:szCs w:val="21"/>
        </w:rPr>
        <w:t xml:space="preserve">10.1 </w:t>
      </w:r>
      <w:r>
        <w:rPr>
          <w:rFonts w:hAnsi="宋体"/>
          <w:szCs w:val="21"/>
        </w:rPr>
        <w:t>总则</w:t>
      </w:r>
    </w:p>
    <w:p>
      <w:pPr>
        <w:ind w:firstLine="489" w:firstLineChars="233"/>
        <w:rPr>
          <w:szCs w:val="21"/>
        </w:rPr>
      </w:pPr>
      <w:r>
        <w:rPr>
          <w:szCs w:val="21"/>
        </w:rPr>
        <w:t>10.2</w:t>
      </w:r>
      <w:r>
        <w:rPr>
          <w:rFonts w:hAnsi="宋体"/>
          <w:szCs w:val="21"/>
        </w:rPr>
        <w:t>不符合和纠正措施</w:t>
      </w:r>
    </w:p>
    <w:p>
      <w:pPr>
        <w:ind w:firstLine="489" w:firstLineChars="233"/>
        <w:rPr>
          <w:sz w:val="18"/>
          <w:szCs w:val="18"/>
        </w:rPr>
      </w:pPr>
      <w:r>
        <w:rPr>
          <w:szCs w:val="21"/>
        </w:rPr>
        <w:t>10.3持续改进</w:t>
      </w:r>
    </w:p>
    <w:p>
      <w:pPr>
        <w:ind w:firstLine="525" w:firstLineChars="250"/>
        <w:rPr>
          <w:szCs w:val="21"/>
        </w:rPr>
      </w:pPr>
    </w:p>
    <w:p>
      <w:pPr>
        <w:ind w:firstLine="525" w:firstLineChars="250"/>
        <w:rPr>
          <w:szCs w:val="21"/>
        </w:rPr>
      </w:pPr>
    </w:p>
    <w:p>
      <w:pPr>
        <w:ind w:firstLine="525" w:firstLineChars="250"/>
        <w:rPr>
          <w:szCs w:val="21"/>
        </w:rPr>
      </w:pPr>
    </w:p>
    <w:p>
      <w:pPr>
        <w:ind w:firstLine="525" w:firstLineChars="250"/>
        <w:rPr>
          <w:szCs w:val="21"/>
        </w:rPr>
      </w:pPr>
    </w:p>
    <w:p>
      <w:pPr>
        <w:ind w:firstLine="560"/>
        <w:rPr>
          <w:b/>
          <w:szCs w:val="21"/>
        </w:rPr>
      </w:pPr>
      <w:r>
        <w:rPr>
          <w:b/>
          <w:szCs w:val="21"/>
        </w:rPr>
        <w:t>1范围</w:t>
      </w:r>
    </w:p>
    <w:p>
      <w:pPr>
        <w:ind w:left="525" w:leftChars="250"/>
        <w:rPr>
          <w:szCs w:val="21"/>
        </w:rPr>
      </w:pPr>
      <w:r>
        <w:rPr>
          <w:szCs w:val="21"/>
        </w:rPr>
        <w:t>本手册适用于本公司质量/环境/安全管理全过程，公司依据ISO9001：2015</w:t>
      </w:r>
      <w:r>
        <w:rPr>
          <w:rFonts w:hint="eastAsia"/>
          <w:szCs w:val="21"/>
        </w:rPr>
        <w:t>，</w:t>
      </w:r>
      <w:r>
        <w:rPr>
          <w:szCs w:val="21"/>
        </w:rPr>
        <w:t>ISO14001:2015</w:t>
      </w:r>
      <w:r>
        <w:rPr>
          <w:rFonts w:hint="eastAsia"/>
          <w:szCs w:val="21"/>
        </w:rPr>
        <w:t>，</w:t>
      </w:r>
      <w:r>
        <w:rPr>
          <w:rFonts w:hint="eastAsia"/>
          <w:szCs w:val="21"/>
          <w:lang w:eastAsia="zh-CN"/>
        </w:rPr>
        <w:t>ISO45001-2018</w:t>
      </w:r>
      <w:r>
        <w:rPr>
          <w:szCs w:val="21"/>
        </w:rPr>
        <w:t>标准要求建立并保持质量/环境/安全管理体系，制定质量/环境/安全方针和目标，运用过程方法及各过程的输入、输出、管理职责、工作要求、绩效考核，并形成文件的信息。通过对质量/环境/安全管理体系全过程的管理，遵守</w:t>
      </w:r>
      <w:r>
        <w:rPr>
          <w:rFonts w:hint="eastAsia"/>
          <w:szCs w:val="21"/>
        </w:rPr>
        <w:t>合规义务</w:t>
      </w:r>
      <w:r>
        <w:rPr>
          <w:szCs w:val="21"/>
        </w:rPr>
        <w:t>和其他相关要求，以证实本公司具有不断提高顾客满意度和持续改进质量/环境/安全管理体系及产品和服务质量/环境/安全水平的能力。</w:t>
      </w:r>
    </w:p>
    <w:p>
      <w:pPr>
        <w:ind w:firstLine="560"/>
        <w:rPr>
          <w:b/>
          <w:szCs w:val="21"/>
        </w:rPr>
      </w:pPr>
      <w:r>
        <w:rPr>
          <w:b/>
          <w:szCs w:val="21"/>
        </w:rPr>
        <w:t>2规范性引用文件</w:t>
      </w:r>
    </w:p>
    <w:p>
      <w:pPr>
        <w:ind w:firstLine="560"/>
        <w:rPr>
          <w:szCs w:val="21"/>
        </w:rPr>
      </w:pPr>
      <w:r>
        <w:rPr>
          <w:szCs w:val="21"/>
        </w:rPr>
        <w:t>ISO9000：2015</w:t>
      </w:r>
      <w:r>
        <w:rPr>
          <w:rFonts w:hint="eastAsia"/>
          <w:szCs w:val="21"/>
        </w:rPr>
        <w:t>;I</w:t>
      </w:r>
      <w:r>
        <w:rPr>
          <w:szCs w:val="21"/>
        </w:rPr>
        <w:t>SO14001:2015</w:t>
      </w:r>
      <w:r>
        <w:rPr>
          <w:rFonts w:hint="eastAsia"/>
          <w:szCs w:val="21"/>
        </w:rPr>
        <w:t>，</w:t>
      </w:r>
      <w:r>
        <w:rPr>
          <w:rFonts w:hint="eastAsia"/>
          <w:szCs w:val="21"/>
          <w:lang w:eastAsia="zh-CN"/>
        </w:rPr>
        <w:t>ISO45001-2018</w:t>
      </w:r>
      <w:r>
        <w:rPr>
          <w:szCs w:val="21"/>
        </w:rPr>
        <w:t>体系基础和术语及行业规范、标准。</w:t>
      </w:r>
    </w:p>
    <w:p>
      <w:pPr>
        <w:ind w:firstLine="560"/>
        <w:rPr>
          <w:b/>
          <w:szCs w:val="21"/>
        </w:rPr>
      </w:pPr>
      <w:r>
        <w:rPr>
          <w:b/>
          <w:szCs w:val="21"/>
        </w:rPr>
        <w:t>3术语和定义</w:t>
      </w:r>
    </w:p>
    <w:p>
      <w:pPr>
        <w:ind w:left="559" w:leftChars="266"/>
        <w:rPr>
          <w:szCs w:val="21"/>
        </w:rPr>
      </w:pPr>
      <w:r>
        <w:rPr>
          <w:szCs w:val="21"/>
        </w:rPr>
        <w:t xml:space="preserve">本手册采用 ISO9000：2015 </w:t>
      </w:r>
      <w:r>
        <w:rPr>
          <w:rFonts w:hint="eastAsia"/>
          <w:szCs w:val="21"/>
        </w:rPr>
        <w:t>I</w:t>
      </w:r>
      <w:r>
        <w:rPr>
          <w:szCs w:val="21"/>
        </w:rPr>
        <w:t>SO14001:2015</w:t>
      </w:r>
      <w:r>
        <w:rPr>
          <w:rFonts w:hint="eastAsia"/>
          <w:szCs w:val="21"/>
        </w:rPr>
        <w:t>，</w:t>
      </w:r>
      <w:r>
        <w:rPr>
          <w:rFonts w:hint="eastAsia"/>
          <w:szCs w:val="21"/>
          <w:lang w:eastAsia="zh-CN"/>
        </w:rPr>
        <w:t>ISO45001-2018</w:t>
      </w:r>
      <w:r>
        <w:rPr>
          <w:szCs w:val="21"/>
        </w:rPr>
        <w:t>中所确立的术语和定义及行业通用的术语和定义。</w:t>
      </w:r>
    </w:p>
    <w:p>
      <w:pPr>
        <w:ind w:firstLine="560"/>
        <w:rPr>
          <w:b/>
          <w:szCs w:val="21"/>
        </w:rPr>
      </w:pPr>
      <w:r>
        <w:rPr>
          <w:b/>
          <w:szCs w:val="21"/>
        </w:rPr>
        <w:t>4公司的环境</w:t>
      </w:r>
    </w:p>
    <w:p>
      <w:pPr>
        <w:ind w:firstLine="560"/>
        <w:rPr>
          <w:b/>
          <w:szCs w:val="21"/>
        </w:rPr>
      </w:pPr>
      <w:r>
        <w:rPr>
          <w:b/>
          <w:szCs w:val="21"/>
        </w:rPr>
        <w:t>4.1理解公司及其环境</w:t>
      </w:r>
    </w:p>
    <w:p>
      <w:pPr>
        <w:ind w:firstLine="560"/>
        <w:rPr>
          <w:szCs w:val="21"/>
        </w:rPr>
      </w:pPr>
      <w:r>
        <w:rPr>
          <w:szCs w:val="21"/>
        </w:rPr>
        <w:t>4.1.1公司简介</w:t>
      </w:r>
    </w:p>
    <w:p>
      <w:pPr>
        <w:ind w:left="525" w:leftChars="250"/>
        <w:rPr>
          <w:rFonts w:hint="eastAsia"/>
          <w:szCs w:val="21"/>
        </w:rPr>
      </w:pPr>
      <w:r>
        <w:rPr>
          <w:rFonts w:hint="eastAsia"/>
          <w:szCs w:val="21"/>
        </w:rPr>
        <w:t>四川众弘成物业服务有限公司（原名：德阳市众成物业有限公司）创建于二00三年三月，注册资本600万元，物业国家“贰级”管理资质。现管理面积近三百万平方米。项目类型有：办公大楼、大型商住小区、商业中心、学校、医院、银行、工厂、食堂等。公司现系德阳市房地产协会会员单位、德阳市物业管理专业委员会副主任单位、德阳市优秀示范小区及物业招投标专家评审组成员、四川建筑职业技术学院产、学、研合作培训基地。</w:t>
      </w:r>
    </w:p>
    <w:p>
      <w:pPr>
        <w:ind w:left="525" w:leftChars="250"/>
        <w:rPr>
          <w:rFonts w:hint="eastAsia"/>
          <w:szCs w:val="21"/>
        </w:rPr>
      </w:pPr>
      <w:r>
        <w:rPr>
          <w:rFonts w:hint="eastAsia"/>
          <w:szCs w:val="21"/>
        </w:rPr>
        <w:t>公司自成立以来，一直遵循“业主至上、服务第一”的企业宗旨，发扬“团结、务实、开拓、创新”的企业精神，树立了“以人为本、人性化管理；以客为尊、超越客户满意”的经营理念，创立了具有众弘成特色的物业管理模式。所服务的项目先后荣获“德阳市优秀物业服务企业”、 “守合同重信用单位”、 “消费者信得过单位”、“优质服务特别贡献奖“、“德阳市和谐小区”、“和谐物管优秀大厦”、“德阳市物业管理优秀大厦”、“四川省物业管理优秀大厦”等殊荣。</w:t>
      </w:r>
    </w:p>
    <w:p>
      <w:pPr>
        <w:ind w:left="525" w:leftChars="250"/>
        <w:rPr>
          <w:rFonts w:hint="eastAsia"/>
          <w:szCs w:val="21"/>
        </w:rPr>
      </w:pPr>
      <w:r>
        <w:rPr>
          <w:rFonts w:hint="eastAsia"/>
          <w:szCs w:val="21"/>
        </w:rPr>
        <w:t>公司不断完善管理体系，推动企业的制度文化建设。为了不断提高管理服务的品质，公司于2010年通过了ISO9001的质量体系的认证，严格按照ISO9001的要求制定了企业的质量方针、目标和质量手册、程序文件，同时制定了各部门各专业的作业指导书。对物业管理实行条块结合、以条为主的专业化管理，和内外并举、以绩为先的规模化、专业化经营，通过组建、磨合、扩充，形成独树一帜的人才优势、技术优势和产业优势，众弘成物业高标准、专业的服务运作体系得到了社会各界的肯定。</w:t>
      </w:r>
    </w:p>
    <w:p>
      <w:pPr>
        <w:ind w:left="525" w:leftChars="250"/>
        <w:rPr>
          <w:rFonts w:hint="eastAsia"/>
          <w:szCs w:val="21"/>
        </w:rPr>
      </w:pPr>
      <w:r>
        <w:rPr>
          <w:rFonts w:hint="eastAsia"/>
          <w:szCs w:val="21"/>
        </w:rPr>
        <w:t>我们相信，有了你们的真诚理解与支持，“众弘成物业”将会成为德阳地区物业管理行业的一个专业与放心的品牌，走向更加美好明天！</w:t>
      </w:r>
    </w:p>
    <w:p>
      <w:pPr>
        <w:ind w:left="525" w:leftChars="250"/>
        <w:rPr>
          <w:rFonts w:hint="eastAsia"/>
          <w:szCs w:val="21"/>
        </w:rPr>
      </w:pPr>
    </w:p>
    <w:p>
      <w:pPr>
        <w:ind w:left="525" w:leftChars="250"/>
        <w:rPr>
          <w:rFonts w:hint="eastAsia"/>
          <w:szCs w:val="21"/>
        </w:rPr>
      </w:pPr>
    </w:p>
    <w:p>
      <w:pPr>
        <w:ind w:left="525" w:leftChars="250"/>
        <w:rPr>
          <w:rFonts w:hint="eastAsia"/>
          <w:szCs w:val="21"/>
        </w:rPr>
      </w:pPr>
      <w:r>
        <w:rPr>
          <w:rFonts w:hint="eastAsia"/>
          <w:szCs w:val="21"/>
        </w:rPr>
        <w:t>联 系 人：郑会玲</w:t>
      </w:r>
    </w:p>
    <w:p>
      <w:pPr>
        <w:ind w:left="525" w:leftChars="250"/>
        <w:rPr>
          <w:rFonts w:hint="eastAsia"/>
          <w:szCs w:val="21"/>
        </w:rPr>
      </w:pPr>
      <w:r>
        <w:rPr>
          <w:rFonts w:hint="eastAsia"/>
          <w:szCs w:val="21"/>
        </w:rPr>
        <w:t>手    机：13689656297</w:t>
      </w:r>
    </w:p>
    <w:p>
      <w:pPr>
        <w:ind w:left="525" w:leftChars="250"/>
        <w:rPr>
          <w:rFonts w:hint="eastAsia"/>
          <w:szCs w:val="21"/>
        </w:rPr>
      </w:pPr>
      <w:r>
        <w:rPr>
          <w:rFonts w:hint="eastAsia"/>
          <w:szCs w:val="21"/>
        </w:rPr>
        <w:t xml:space="preserve">传    真：0838-2906308 </w:t>
      </w:r>
    </w:p>
    <w:p>
      <w:pPr>
        <w:ind w:left="573" w:leftChars="273"/>
        <w:rPr>
          <w:szCs w:val="21"/>
        </w:rPr>
      </w:pPr>
      <w:r>
        <w:rPr>
          <w:szCs w:val="21"/>
        </w:rPr>
        <w:t>4.1.2公司发展和战略</w:t>
      </w:r>
      <w:bookmarkStart w:id="1" w:name="sub1_2_1"/>
      <w:bookmarkEnd w:id="1"/>
      <w:bookmarkStart w:id="2" w:name="2_1"/>
      <w:bookmarkEnd w:id="2"/>
      <w:r>
        <w:rPr>
          <w:szCs w:val="21"/>
        </w:rPr>
        <w:br w:type="textWrapping"/>
      </w:r>
      <w:r>
        <w:rPr>
          <w:szCs w:val="21"/>
        </w:rPr>
        <w:t>企业宗旨：管理就是高标准，服务就是创一流。</w:t>
      </w:r>
      <w:r>
        <w:rPr>
          <w:szCs w:val="21"/>
        </w:rPr>
        <w:br w:type="textWrapping"/>
      </w:r>
      <w:r>
        <w:rPr>
          <w:szCs w:val="21"/>
        </w:rPr>
        <w:t>经营理念：品牌信誉为先，实力质量为本。</w:t>
      </w:r>
      <w:r>
        <w:rPr>
          <w:szCs w:val="21"/>
        </w:rPr>
        <w:br w:type="textWrapping"/>
      </w:r>
      <w:r>
        <w:rPr>
          <w:szCs w:val="21"/>
        </w:rPr>
        <w:t>企业目标：现代化管理，高品质服务。</w:t>
      </w:r>
    </w:p>
    <w:p>
      <w:pPr>
        <w:ind w:left="525" w:leftChars="250" w:firstLine="33" w:firstLineChars="16"/>
        <w:rPr>
          <w:szCs w:val="21"/>
        </w:rPr>
      </w:pPr>
      <w:r>
        <w:rPr>
          <w:szCs w:val="21"/>
        </w:rPr>
        <w:t>4.1.3影响本公司质量/环境/安全管理体系实现预期结果的外部因素有：</w:t>
      </w:r>
      <w:r>
        <w:rPr>
          <w:rFonts w:hint="eastAsia"/>
          <w:szCs w:val="21"/>
        </w:rPr>
        <w:t>包括法规、先进技术、产品和服务使用者的文化、经济性及市场环境等</w:t>
      </w:r>
      <w:r>
        <w:rPr>
          <w:szCs w:val="21"/>
        </w:rPr>
        <w:t>；内部因素有：</w:t>
      </w:r>
      <w:r>
        <w:rPr>
          <w:rFonts w:hint="eastAsia"/>
          <w:szCs w:val="21"/>
        </w:rPr>
        <w:t>企业的经营理念、企业文化等</w:t>
      </w:r>
      <w:r>
        <w:rPr>
          <w:szCs w:val="21"/>
        </w:rPr>
        <w:t>。</w:t>
      </w:r>
    </w:p>
    <w:p>
      <w:pPr>
        <w:ind w:left="525" w:leftChars="250" w:firstLine="33" w:firstLineChars="16"/>
        <w:rPr>
          <w:szCs w:val="21"/>
        </w:rPr>
      </w:pPr>
      <w:r>
        <w:rPr>
          <w:szCs w:val="21"/>
        </w:rPr>
        <w:t>4.1.4公司按照各项管理制度的要求对这些内外部因素的相关信息进行监视、获取，通过定期例会或管理评审分析、制定计划予以应对内外部变化，并根据上述决策或计划动态调整质量/环境/安全管理体系，使质量/环境/安全管理体系与公司的环境动态变化相匹配，提高管理体系的保障力、应变力、生命力和竞争力。</w:t>
      </w:r>
    </w:p>
    <w:p>
      <w:pPr>
        <w:ind w:firstLine="527" w:firstLineChars="250"/>
        <w:rPr>
          <w:b/>
          <w:szCs w:val="21"/>
        </w:rPr>
      </w:pPr>
      <w:r>
        <w:rPr>
          <w:b/>
          <w:szCs w:val="21"/>
        </w:rPr>
        <w:t>4.2理解相关方的需求和期望</w:t>
      </w:r>
    </w:p>
    <w:p>
      <w:pPr>
        <w:ind w:left="567" w:leftChars="270"/>
        <w:rPr>
          <w:szCs w:val="21"/>
        </w:rPr>
      </w:pPr>
      <w:r>
        <w:rPr>
          <w:szCs w:val="21"/>
        </w:rPr>
        <w:t>4.</w:t>
      </w:r>
      <w:r>
        <w:rPr>
          <w:rFonts w:hint="eastAsia"/>
          <w:szCs w:val="21"/>
          <w:lang w:val="en-US" w:eastAsia="zh-CN"/>
        </w:rPr>
        <w:t>2</w:t>
      </w:r>
      <w:r>
        <w:rPr>
          <w:szCs w:val="21"/>
        </w:rPr>
        <w:t>.1公司确定与质量/环境/安全管理体系有关的相关方及相关方的要求，此类相关方包括但不限</w:t>
      </w:r>
      <w:r>
        <w:rPr>
          <w:rFonts w:hint="eastAsia"/>
          <w:szCs w:val="21"/>
        </w:rPr>
        <w:t>以</w:t>
      </w:r>
      <w:r>
        <w:rPr>
          <w:szCs w:val="21"/>
        </w:rPr>
        <w:t>下方面：直接顾客、最终使用者、外部供方、立法机构、其他，如：股东、员工、社区等。</w:t>
      </w:r>
    </w:p>
    <w:p>
      <w:pPr>
        <w:ind w:left="567" w:leftChars="270"/>
        <w:rPr>
          <w:szCs w:val="21"/>
        </w:rPr>
      </w:pPr>
      <w:r>
        <w:rPr>
          <w:szCs w:val="21"/>
        </w:rPr>
        <w:t>4.2.2公司确定与上述相关方的要求，以避免相关方对公司持续提供符合顾客要求和适用法律法规要求的产品和服务的能力影响或潜在影响。</w:t>
      </w:r>
    </w:p>
    <w:p>
      <w:pPr>
        <w:ind w:firstLine="560"/>
        <w:rPr>
          <w:szCs w:val="21"/>
        </w:rPr>
      </w:pPr>
      <w:r>
        <w:rPr>
          <w:szCs w:val="21"/>
        </w:rPr>
        <w:t>4.2.3公司定期对这些相关方及其要求的相关信息进行监视和评审。</w:t>
      </w:r>
    </w:p>
    <w:p>
      <w:pPr>
        <w:ind w:firstLine="560"/>
        <w:rPr>
          <w:szCs w:val="21"/>
        </w:rPr>
      </w:pPr>
      <w:r>
        <w:rPr>
          <w:szCs w:val="21"/>
        </w:rPr>
        <w:t>4.2.4公司定期更新以上确定的结果，以便于理解和满足影响顾客要求和顾客满意度的需求和期望。</w:t>
      </w:r>
    </w:p>
    <w:p>
      <w:pPr>
        <w:ind w:firstLine="560"/>
        <w:rPr>
          <w:szCs w:val="21"/>
        </w:rPr>
      </w:pPr>
      <w:r>
        <w:rPr>
          <w:szCs w:val="21"/>
        </w:rPr>
        <w:t>4.2.5公司要识别应对当前的和预期的未来需求可导致改进和变革的机会。</w:t>
      </w:r>
    </w:p>
    <w:p>
      <w:pPr>
        <w:ind w:firstLine="560"/>
        <w:rPr>
          <w:b/>
          <w:szCs w:val="21"/>
        </w:rPr>
      </w:pPr>
      <w:r>
        <w:rPr>
          <w:b/>
          <w:szCs w:val="21"/>
        </w:rPr>
        <w:t>4.3质量/环境/安全管理体系的范围的确定</w:t>
      </w:r>
    </w:p>
    <w:p>
      <w:pPr>
        <w:ind w:left="559" w:leftChars="266"/>
        <w:rPr>
          <w:szCs w:val="21"/>
        </w:rPr>
      </w:pPr>
      <w:r>
        <w:rPr>
          <w:szCs w:val="21"/>
        </w:rPr>
        <w:t>a)本手册所覆盖的产品和服务：</w:t>
      </w:r>
      <w:r>
        <w:rPr>
          <w:rFonts w:hint="eastAsia"/>
          <w:szCs w:val="21"/>
          <w:u w:val="single"/>
          <w:lang w:eastAsia="zh-CN"/>
        </w:rPr>
        <w:t>资质范围内的物业服务</w:t>
      </w:r>
      <w:r>
        <w:rPr>
          <w:rFonts w:hint="eastAsia" w:ascii="宋体" w:hAnsi="宋体"/>
          <w:color w:val="000000"/>
        </w:rPr>
        <w:t>；</w:t>
      </w:r>
      <w:r>
        <w:rPr>
          <w:rFonts w:hint="eastAsia" w:ascii="宋体" w:hAnsi="宋体" w:cs="Arial"/>
          <w:szCs w:val="21"/>
        </w:rPr>
        <w:t xml:space="preserve"> </w:t>
      </w:r>
    </w:p>
    <w:p>
      <w:pPr>
        <w:ind w:left="559" w:leftChars="266"/>
        <w:rPr>
          <w:rFonts w:hint="eastAsia" w:eastAsia="宋体"/>
          <w:szCs w:val="21"/>
          <w:u w:val="single"/>
          <w:lang w:eastAsia="zh-CN"/>
        </w:rPr>
      </w:pPr>
      <w:r>
        <w:rPr>
          <w:rFonts w:hint="eastAsia"/>
          <w:szCs w:val="21"/>
        </w:rPr>
        <w:t>b</w:t>
      </w:r>
      <w:r>
        <w:rPr>
          <w:szCs w:val="21"/>
        </w:rPr>
        <w:t>)本手册所覆盖的产品和服务</w:t>
      </w:r>
      <w:r>
        <w:rPr>
          <w:rFonts w:hint="eastAsia"/>
          <w:szCs w:val="21"/>
        </w:rPr>
        <w:t>的区域范围</w:t>
      </w:r>
      <w:r>
        <w:rPr>
          <w:szCs w:val="21"/>
        </w:rPr>
        <w:t>：</w:t>
      </w:r>
      <w:r>
        <w:rPr>
          <w:rFonts w:hint="eastAsia" w:ascii="宋体" w:hAnsi="宋体"/>
          <w:color w:val="000000"/>
          <w:u w:val="single"/>
          <w:lang w:eastAsia="zh-CN"/>
        </w:rPr>
        <w:t>四川省德阳市镇江街18号睫园综合楼1幢1-9号</w:t>
      </w:r>
    </w:p>
    <w:p>
      <w:pPr>
        <w:ind w:left="565" w:leftChars="269"/>
        <w:rPr>
          <w:rFonts w:hint="eastAsia"/>
          <w:szCs w:val="21"/>
        </w:rPr>
      </w:pPr>
      <w:r>
        <w:rPr>
          <w:rFonts w:hint="eastAsia"/>
          <w:szCs w:val="21"/>
        </w:rPr>
        <w:t>c</w:t>
      </w:r>
      <w:r>
        <w:rPr>
          <w:szCs w:val="21"/>
        </w:rPr>
        <w:t xml:space="preserve">) </w:t>
      </w:r>
      <w:r>
        <w:rPr>
          <w:rFonts w:hint="eastAsia"/>
          <w:szCs w:val="21"/>
        </w:rPr>
        <w:t>不适用说明</w:t>
      </w:r>
    </w:p>
    <w:p>
      <w:pPr>
        <w:ind w:left="565" w:leftChars="269"/>
        <w:rPr>
          <w:rFonts w:hint="eastAsia"/>
          <w:szCs w:val="21"/>
        </w:rPr>
      </w:pPr>
      <w:r>
        <w:rPr>
          <w:rFonts w:hint="eastAsia"/>
          <w:szCs w:val="21"/>
        </w:rPr>
        <w:t>公司按相应国家行业标准进行物业服务，不涉及设计与开发，故8.3不适用。删减不影响公司提供满足顾客要求和相关法律法规要求的能力</w:t>
      </w:r>
    </w:p>
    <w:p>
      <w:pPr>
        <w:ind w:firstLine="560"/>
        <w:rPr>
          <w:b/>
          <w:szCs w:val="21"/>
        </w:rPr>
      </w:pPr>
      <w:r>
        <w:rPr>
          <w:b/>
          <w:szCs w:val="21"/>
        </w:rPr>
        <w:t>4.4质量/环境/安全管理体系及其过程</w:t>
      </w:r>
    </w:p>
    <w:p>
      <w:pPr>
        <w:ind w:left="559" w:leftChars="266"/>
        <w:rPr>
          <w:szCs w:val="21"/>
        </w:rPr>
      </w:pPr>
      <w:r>
        <w:rPr>
          <w:szCs w:val="21"/>
        </w:rPr>
        <w:t>4.4.1</w:t>
      </w:r>
      <w:r>
        <w:rPr>
          <w:rFonts w:hint="eastAsia"/>
          <w:szCs w:val="21"/>
        </w:rPr>
        <w:t>在本手册4.3界定的范围内，本</w:t>
      </w:r>
      <w:r>
        <w:rPr>
          <w:szCs w:val="21"/>
        </w:rPr>
        <w:t>公司按照</w:t>
      </w:r>
      <w:r>
        <w:rPr>
          <w:rFonts w:hint="eastAsia"/>
          <w:szCs w:val="21"/>
        </w:rPr>
        <w:t>I</w:t>
      </w:r>
      <w:r>
        <w:rPr>
          <w:szCs w:val="21"/>
        </w:rPr>
        <w:t>SO9001:2015</w:t>
      </w:r>
      <w:r>
        <w:rPr>
          <w:rFonts w:hint="eastAsia"/>
          <w:szCs w:val="21"/>
        </w:rPr>
        <w:t>，</w:t>
      </w:r>
      <w:r>
        <w:rPr>
          <w:szCs w:val="21"/>
        </w:rPr>
        <w:t>ISO14001:2015</w:t>
      </w:r>
      <w:r>
        <w:rPr>
          <w:rFonts w:hint="eastAsia"/>
          <w:szCs w:val="21"/>
        </w:rPr>
        <w:t>，</w:t>
      </w:r>
      <w:r>
        <w:rPr>
          <w:rFonts w:hint="eastAsia"/>
          <w:szCs w:val="21"/>
          <w:lang w:eastAsia="zh-CN"/>
        </w:rPr>
        <w:t>ISO45001-2018</w:t>
      </w:r>
      <w:r>
        <w:rPr>
          <w:szCs w:val="21"/>
        </w:rPr>
        <w:t>建立质量/环境/安全管理体系、过程及其相互作用，加以实施和保持，并持续改进。</w:t>
      </w:r>
    </w:p>
    <w:p>
      <w:pPr>
        <w:ind w:left="525" w:leftChars="250" w:firstLine="33" w:firstLineChars="16"/>
        <w:rPr>
          <w:szCs w:val="21"/>
        </w:rPr>
      </w:pPr>
      <w:r>
        <w:rPr>
          <w:szCs w:val="21"/>
        </w:rPr>
        <w:t>公司按照过程方法建立质量/环境/安全管理体系。并使策划、识别、确定的各过程与公司诸业务流程保持一致，确保质量/环境/安全管理体系的要求纳入公司的实际经营运作；</w:t>
      </w:r>
    </w:p>
    <w:p>
      <w:pPr>
        <w:ind w:left="525" w:leftChars="250" w:firstLine="33" w:firstLineChars="16"/>
        <w:rPr>
          <w:szCs w:val="21"/>
        </w:rPr>
      </w:pPr>
      <w:r>
        <w:rPr>
          <w:szCs w:val="21"/>
        </w:rPr>
        <w:t>a)确定质量/环境/安全管理体系所需的过程及其在整个公司中的应用，对公司现有运行过程进行识别，确定主要</w:t>
      </w:r>
      <w:r>
        <w:rPr>
          <w:rFonts w:hint="eastAsia"/>
          <w:szCs w:val="21"/>
          <w:lang w:eastAsia="zh-CN"/>
        </w:rPr>
        <w:t>服务</w:t>
      </w:r>
      <w:r>
        <w:rPr>
          <w:szCs w:val="21"/>
        </w:rPr>
        <w:t>过程；</w:t>
      </w:r>
    </w:p>
    <w:p>
      <w:pPr>
        <w:ind w:firstLine="560"/>
        <w:rPr>
          <w:szCs w:val="21"/>
        </w:rPr>
      </w:pPr>
      <w:r>
        <w:rPr>
          <w:szCs w:val="21"/>
        </w:rPr>
        <w:t>b)确定每个过程所需的输入和期望的输出；</w:t>
      </w:r>
    </w:p>
    <w:p>
      <w:pPr>
        <w:ind w:firstLine="560"/>
        <w:rPr>
          <w:szCs w:val="21"/>
        </w:rPr>
      </w:pPr>
      <w:r>
        <w:rPr>
          <w:szCs w:val="21"/>
        </w:rPr>
        <w:t>c)确定这些过程的顺序和相互作用，对过程之间的关系进行清理；</w:t>
      </w:r>
    </w:p>
    <w:p>
      <w:pPr>
        <w:ind w:left="559" w:leftChars="266"/>
        <w:rPr>
          <w:szCs w:val="21"/>
        </w:rPr>
      </w:pPr>
      <w:r>
        <w:rPr>
          <w:szCs w:val="21"/>
        </w:rPr>
        <w:t>d)确定运行所需的准则、方法（包括监视、测量和相关的绩效指标），以确保这些过程的运行和有效控制；</w:t>
      </w:r>
    </w:p>
    <w:p>
      <w:pPr>
        <w:ind w:firstLine="560"/>
        <w:rPr>
          <w:szCs w:val="21"/>
        </w:rPr>
      </w:pPr>
      <w:r>
        <w:rPr>
          <w:szCs w:val="21"/>
        </w:rPr>
        <w:t>e)确定和提供资源，包括人力、设备、财力、环境等资源；</w:t>
      </w:r>
    </w:p>
    <w:p>
      <w:pPr>
        <w:ind w:firstLine="560"/>
        <w:rPr>
          <w:szCs w:val="21"/>
        </w:rPr>
      </w:pPr>
      <w:r>
        <w:rPr>
          <w:szCs w:val="21"/>
        </w:rPr>
        <w:t>f)规定各过程的责任和权限；</w:t>
      </w:r>
    </w:p>
    <w:p>
      <w:pPr>
        <w:ind w:firstLine="560"/>
        <w:rPr>
          <w:szCs w:val="21"/>
        </w:rPr>
      </w:pPr>
      <w:r>
        <w:rPr>
          <w:szCs w:val="21"/>
        </w:rPr>
        <w:t>g)确定产生非预期的输出或过程失效对产品、服务</w:t>
      </w:r>
      <w:r>
        <w:rPr>
          <w:rFonts w:hint="eastAsia"/>
          <w:szCs w:val="21"/>
        </w:rPr>
        <w:t>、环境</w:t>
      </w:r>
      <w:r>
        <w:rPr>
          <w:szCs w:val="21"/>
        </w:rPr>
        <w:t>和顾客满意带来的风险；</w:t>
      </w:r>
    </w:p>
    <w:p>
      <w:pPr>
        <w:ind w:firstLine="560"/>
        <w:rPr>
          <w:szCs w:val="21"/>
        </w:rPr>
      </w:pPr>
      <w:r>
        <w:rPr>
          <w:szCs w:val="21"/>
        </w:rPr>
        <w:t>h)实施所需的措施以实现策划的结果；</w:t>
      </w:r>
    </w:p>
    <w:p>
      <w:pPr>
        <w:ind w:firstLine="560"/>
        <w:rPr>
          <w:szCs w:val="21"/>
        </w:rPr>
      </w:pPr>
      <w:r>
        <w:rPr>
          <w:szCs w:val="21"/>
        </w:rPr>
        <w:t>i)监测、分析这些过程，必要时变更，以确保过程持续产生期望的结果；</w:t>
      </w:r>
    </w:p>
    <w:p>
      <w:pPr>
        <w:ind w:firstLine="560"/>
        <w:rPr>
          <w:szCs w:val="21"/>
        </w:rPr>
      </w:pPr>
      <w:r>
        <w:rPr>
          <w:szCs w:val="21"/>
        </w:rPr>
        <w:t>j)确保持续改进这些过程。</w:t>
      </w:r>
    </w:p>
    <w:p>
      <w:pPr>
        <w:ind w:firstLine="560"/>
        <w:rPr>
          <w:szCs w:val="21"/>
        </w:rPr>
      </w:pPr>
      <w:r>
        <w:rPr>
          <w:szCs w:val="21"/>
        </w:rPr>
        <w:t>4.4.2与过程有关的名词解释</w:t>
      </w:r>
    </w:p>
    <w:p>
      <w:pPr>
        <w:ind w:left="525" w:leftChars="250" w:firstLine="33" w:firstLineChars="16"/>
        <w:rPr>
          <w:szCs w:val="21"/>
        </w:rPr>
      </w:pPr>
      <w:r>
        <w:rPr>
          <w:szCs w:val="21"/>
        </w:rPr>
        <w:t>过程：一组将输入转化为输出的相互关联的或相互作用的活动。过程是为顾客（内部的或外部的）提供产品或服务的一系列活动，过程开始于输入，以输出为结束。</w:t>
      </w:r>
    </w:p>
    <w:p>
      <w:pPr>
        <w:ind w:firstLine="560"/>
        <w:rPr>
          <w:szCs w:val="21"/>
        </w:rPr>
      </w:pPr>
      <w:r>
        <w:rPr>
          <w:szCs w:val="21"/>
        </w:rPr>
        <w:t>公司的质量/环境/安全管理体系按类型分为：顾客导向过程（COP）、支持过程（SP）、管理过程（MP）。</w:t>
      </w:r>
    </w:p>
    <w:p>
      <w:pPr>
        <w:ind w:left="559" w:leftChars="266"/>
        <w:rPr>
          <w:szCs w:val="21"/>
        </w:rPr>
      </w:pPr>
      <w:r>
        <w:rPr>
          <w:szCs w:val="21"/>
        </w:rPr>
        <w:t>顾客导向过程：通过输入和输出直接和外部顾客联系的过程，直接对顾客产生影响，是给公司直接带来效益的过程。</w:t>
      </w:r>
    </w:p>
    <w:p>
      <w:pPr>
        <w:ind w:left="559" w:leftChars="266"/>
        <w:rPr>
          <w:szCs w:val="21"/>
        </w:rPr>
      </w:pPr>
      <w:r>
        <w:rPr>
          <w:szCs w:val="21"/>
        </w:rPr>
        <w:t>支持过程：提供主要资源或能力，为了实现公司的经营目标，支持顾客导向过程实现预计目标的过程，支持过程是实现顾客导向过程功能的必要过程。</w:t>
      </w:r>
    </w:p>
    <w:p>
      <w:pPr>
        <w:ind w:left="525" w:leftChars="250" w:firstLine="33" w:firstLineChars="16"/>
        <w:rPr>
          <w:szCs w:val="21"/>
        </w:rPr>
      </w:pPr>
      <w:r>
        <w:rPr>
          <w:szCs w:val="21"/>
        </w:rPr>
        <w:t>管理过程：用来衡量和评价顾客导向过程和支持过程的有效性和效率，公司策划将顾客要求转化为公司衡量的目标和指标，确定公司公司结构，产生公司决策和目标及更改等过程。</w:t>
      </w:r>
    </w:p>
    <w:p>
      <w:pPr>
        <w:ind w:firstLine="560"/>
        <w:rPr>
          <w:szCs w:val="21"/>
        </w:rPr>
      </w:pPr>
      <w:r>
        <w:rPr>
          <w:szCs w:val="21"/>
        </w:rPr>
        <w:t>4.4.3主要过程识别</w:t>
      </w:r>
      <w:r>
        <w:rPr>
          <w:rFonts w:hint="eastAsia"/>
          <w:szCs w:val="21"/>
        </w:rPr>
        <w:t>如附录B</w:t>
      </w:r>
    </w:p>
    <w:p>
      <w:pPr>
        <w:ind w:firstLine="560"/>
        <w:rPr>
          <w:sz w:val="18"/>
          <w:szCs w:val="18"/>
        </w:rPr>
      </w:pPr>
      <w:r>
        <w:rPr>
          <w:szCs w:val="21"/>
        </w:rPr>
        <w:t>4.4.4过程与过程之间的相互关系</w:t>
      </w:r>
      <w:r>
        <w:rPr>
          <w:rFonts w:hint="eastAsia"/>
          <w:szCs w:val="21"/>
        </w:rPr>
        <w:t xml:space="preserve">如附录C </w:t>
      </w:r>
    </w:p>
    <w:p>
      <w:pPr>
        <w:ind w:firstLine="560"/>
        <w:rPr>
          <w:szCs w:val="21"/>
        </w:rPr>
      </w:pPr>
      <w:r>
        <w:rPr>
          <w:szCs w:val="21"/>
        </w:rPr>
        <w:t>4.4.5质量管理体系过程职责分配与过程关系表</w:t>
      </w:r>
      <w:r>
        <w:rPr>
          <w:rFonts w:hint="eastAsia"/>
          <w:szCs w:val="21"/>
        </w:rPr>
        <w:t>如附录D</w:t>
      </w:r>
    </w:p>
    <w:p>
      <w:pPr>
        <w:ind w:firstLine="525" w:firstLineChars="250"/>
        <w:jc w:val="left"/>
        <w:rPr>
          <w:szCs w:val="21"/>
        </w:rPr>
      </w:pPr>
      <w:r>
        <w:rPr>
          <w:szCs w:val="21"/>
        </w:rPr>
        <w:t>环境</w:t>
      </w:r>
      <w:r>
        <w:rPr>
          <w:rFonts w:hint="eastAsia"/>
          <w:szCs w:val="21"/>
        </w:rPr>
        <w:t>安全</w:t>
      </w:r>
      <w:r>
        <w:rPr>
          <w:szCs w:val="21"/>
        </w:rPr>
        <w:t>管理体系过程职责分配与过程关系表</w:t>
      </w:r>
      <w:r>
        <w:rPr>
          <w:rFonts w:hint="eastAsia"/>
          <w:szCs w:val="21"/>
        </w:rPr>
        <w:t>如附录E</w:t>
      </w:r>
    </w:p>
    <w:p>
      <w:pPr>
        <w:ind w:left="525" w:leftChars="250" w:firstLine="33" w:firstLineChars="16"/>
        <w:rPr>
          <w:szCs w:val="21"/>
        </w:rPr>
      </w:pPr>
      <w:r>
        <w:rPr>
          <w:szCs w:val="21"/>
        </w:rPr>
        <w:t>4.4.</w:t>
      </w:r>
      <w:r>
        <w:rPr>
          <w:rFonts w:hint="eastAsia"/>
          <w:szCs w:val="21"/>
        </w:rPr>
        <w:t>6</w:t>
      </w:r>
      <w:r>
        <w:rPr>
          <w:szCs w:val="21"/>
        </w:rPr>
        <w:t>公司制定流程图、管理制度、作业指导书、操作规范等文件以支持过程运行，并保留相关文件要求的记录，来证明其过程是按策划进行的。</w:t>
      </w:r>
    </w:p>
    <w:p>
      <w:pPr>
        <w:ind w:firstLine="560"/>
        <w:rPr>
          <w:b/>
          <w:szCs w:val="21"/>
        </w:rPr>
      </w:pPr>
      <w:r>
        <w:rPr>
          <w:b/>
          <w:szCs w:val="21"/>
        </w:rPr>
        <w:t>5领导作用</w:t>
      </w:r>
    </w:p>
    <w:p>
      <w:pPr>
        <w:ind w:firstLine="560"/>
        <w:rPr>
          <w:b/>
          <w:szCs w:val="21"/>
        </w:rPr>
      </w:pPr>
      <w:r>
        <w:rPr>
          <w:b/>
          <w:szCs w:val="21"/>
        </w:rPr>
        <w:t>5.1领导与承诺</w:t>
      </w:r>
    </w:p>
    <w:p>
      <w:pPr>
        <w:ind w:firstLine="560"/>
        <w:rPr>
          <w:szCs w:val="21"/>
        </w:rPr>
      </w:pPr>
      <w:r>
        <w:rPr>
          <w:szCs w:val="21"/>
        </w:rPr>
        <w:t>5.1.1总则</w:t>
      </w:r>
    </w:p>
    <w:p>
      <w:pPr>
        <w:ind w:firstLine="560"/>
        <w:rPr>
          <w:szCs w:val="21"/>
        </w:rPr>
      </w:pPr>
      <w:r>
        <w:rPr>
          <w:szCs w:val="21"/>
        </w:rPr>
        <w:t>总经理通过以下方面证实其对质量/环境/安全管理体系的领导作用与承诺：</w:t>
      </w:r>
    </w:p>
    <w:p>
      <w:pPr>
        <w:ind w:firstLine="560"/>
        <w:rPr>
          <w:szCs w:val="21"/>
        </w:rPr>
      </w:pPr>
      <w:r>
        <w:rPr>
          <w:szCs w:val="21"/>
        </w:rPr>
        <w:t>a)对公司的质量/环境/安全体系有效性负责</w:t>
      </w:r>
    </w:p>
    <w:p>
      <w:pPr>
        <w:ind w:firstLine="560"/>
        <w:rPr>
          <w:szCs w:val="21"/>
        </w:rPr>
      </w:pPr>
      <w:r>
        <w:rPr>
          <w:szCs w:val="21"/>
        </w:rPr>
        <w:t>b)确保质量/环境/安全方针和质量/环境/安全目标得到建立，并与公司的战略方向保持一致；</w:t>
      </w:r>
    </w:p>
    <w:p>
      <w:pPr>
        <w:ind w:firstLine="560"/>
        <w:rPr>
          <w:szCs w:val="21"/>
        </w:rPr>
      </w:pPr>
      <w:r>
        <w:rPr>
          <w:szCs w:val="21"/>
        </w:rPr>
        <w:t>c)确保质量/环境/安全方针在公司内得到理解和实施；</w:t>
      </w:r>
    </w:p>
    <w:p>
      <w:pPr>
        <w:ind w:firstLine="560"/>
        <w:rPr>
          <w:szCs w:val="21"/>
        </w:rPr>
      </w:pPr>
      <w:r>
        <w:rPr>
          <w:szCs w:val="21"/>
        </w:rPr>
        <w:t>d)确保质量/环境/安全管理体系要求纳入公司的经营运作；</w:t>
      </w:r>
    </w:p>
    <w:p>
      <w:pPr>
        <w:ind w:firstLine="560"/>
        <w:rPr>
          <w:szCs w:val="21"/>
        </w:rPr>
      </w:pPr>
      <w:r>
        <w:rPr>
          <w:szCs w:val="21"/>
        </w:rPr>
        <w:t>e)提高过程方法的意识和基于风险的方法；</w:t>
      </w:r>
    </w:p>
    <w:p>
      <w:pPr>
        <w:ind w:firstLine="560"/>
        <w:rPr>
          <w:szCs w:val="21"/>
        </w:rPr>
      </w:pPr>
      <w:r>
        <w:rPr>
          <w:szCs w:val="21"/>
        </w:rPr>
        <w:t>f)确保质量/环境/安全管理体系所需资源的获得；</w:t>
      </w:r>
    </w:p>
    <w:p>
      <w:pPr>
        <w:ind w:firstLine="560"/>
        <w:rPr>
          <w:szCs w:val="21"/>
        </w:rPr>
      </w:pPr>
      <w:r>
        <w:rPr>
          <w:szCs w:val="21"/>
        </w:rPr>
        <w:t>g)传达有效的质量/环境/安全管理以及满足质量/环境/安全管理体系、产品和服务要求的重要性；</w:t>
      </w:r>
    </w:p>
    <w:p>
      <w:pPr>
        <w:ind w:firstLine="560"/>
        <w:rPr>
          <w:szCs w:val="21"/>
        </w:rPr>
      </w:pPr>
      <w:r>
        <w:rPr>
          <w:szCs w:val="21"/>
        </w:rPr>
        <w:t>h)确保质量/环境/安全管理体系实现预期的输出；</w:t>
      </w:r>
    </w:p>
    <w:p>
      <w:pPr>
        <w:ind w:firstLine="560"/>
        <w:rPr>
          <w:szCs w:val="21"/>
        </w:rPr>
      </w:pPr>
      <w:r>
        <w:rPr>
          <w:szCs w:val="21"/>
        </w:rPr>
        <w:t>i)积极参与、指导和支持员工参与对质量/环境/安全管理体系的有效性做出贡献；</w:t>
      </w:r>
    </w:p>
    <w:p>
      <w:pPr>
        <w:ind w:firstLine="560"/>
        <w:rPr>
          <w:szCs w:val="21"/>
        </w:rPr>
      </w:pPr>
      <w:r>
        <w:rPr>
          <w:szCs w:val="21"/>
        </w:rPr>
        <w:t>j)增强持续改进和创新；</w:t>
      </w:r>
    </w:p>
    <w:p>
      <w:pPr>
        <w:ind w:firstLine="560"/>
        <w:rPr>
          <w:szCs w:val="21"/>
        </w:rPr>
      </w:pPr>
      <w:r>
        <w:rPr>
          <w:szCs w:val="21"/>
        </w:rPr>
        <w:t>k)支持其他的管理者在其负责的领域证实其领导作用。</w:t>
      </w:r>
    </w:p>
    <w:p>
      <w:pPr>
        <w:ind w:firstLine="560"/>
        <w:rPr>
          <w:szCs w:val="21"/>
        </w:rPr>
      </w:pPr>
      <w:r>
        <w:rPr>
          <w:szCs w:val="21"/>
        </w:rPr>
        <w:t>5.1.2以顾客为关注焦点</w:t>
      </w:r>
    </w:p>
    <w:p>
      <w:pPr>
        <w:ind w:firstLine="560"/>
        <w:rPr>
          <w:szCs w:val="21"/>
        </w:rPr>
      </w:pPr>
      <w:r>
        <w:rPr>
          <w:szCs w:val="21"/>
        </w:rPr>
        <w:t>总经理通过以下方面，证实其针对以顾客为关注焦点的领导作用和承诺：</w:t>
      </w:r>
    </w:p>
    <w:p>
      <w:pPr>
        <w:ind w:firstLine="560"/>
        <w:rPr>
          <w:szCs w:val="21"/>
        </w:rPr>
      </w:pPr>
      <w:r>
        <w:rPr>
          <w:szCs w:val="21"/>
        </w:rPr>
        <w:t>a)可能影响产品和服务符合性、顾客满意的风险得到识别和机遇的应对；</w:t>
      </w:r>
    </w:p>
    <w:p>
      <w:pPr>
        <w:ind w:firstLine="560"/>
        <w:rPr>
          <w:szCs w:val="21"/>
        </w:rPr>
      </w:pPr>
      <w:r>
        <w:rPr>
          <w:szCs w:val="21"/>
        </w:rPr>
        <w:t>b)顾客要求得到确定和满足；</w:t>
      </w:r>
    </w:p>
    <w:p>
      <w:pPr>
        <w:ind w:firstLine="560"/>
        <w:rPr>
          <w:szCs w:val="21"/>
        </w:rPr>
      </w:pPr>
      <w:r>
        <w:rPr>
          <w:szCs w:val="21"/>
        </w:rPr>
        <w:t>c)保持以稳定提供满足顾客和相关法规要求的产品和服务为焦点；</w:t>
      </w:r>
    </w:p>
    <w:p>
      <w:pPr>
        <w:ind w:firstLine="560"/>
        <w:rPr>
          <w:szCs w:val="21"/>
        </w:rPr>
      </w:pPr>
      <w:r>
        <w:rPr>
          <w:szCs w:val="21"/>
        </w:rPr>
        <w:t>d)保持以增强顾客满意为焦点；</w:t>
      </w:r>
    </w:p>
    <w:p>
      <w:pPr>
        <w:ind w:firstLine="560"/>
        <w:rPr>
          <w:b/>
          <w:szCs w:val="21"/>
        </w:rPr>
      </w:pPr>
      <w:r>
        <w:rPr>
          <w:b/>
          <w:szCs w:val="21"/>
        </w:rPr>
        <w:t>5.2质量/环境/安全方针</w:t>
      </w:r>
    </w:p>
    <w:p>
      <w:pPr>
        <w:ind w:left="525" w:leftChars="250" w:firstLine="33" w:firstLineChars="16"/>
        <w:rPr>
          <w:szCs w:val="21"/>
        </w:rPr>
      </w:pPr>
      <w:r>
        <w:rPr>
          <w:szCs w:val="21"/>
        </w:rPr>
        <w:t>为实现顾客满意的目的，确保顾客的需求和期望得到满足，并转化为本公司的产品和服务要求，特制定本公司的质量/环境/安全方针为：</w:t>
      </w:r>
    </w:p>
    <w:p>
      <w:pPr>
        <w:ind w:left="1049" w:leftChars="399" w:hanging="211" w:hangingChars="75"/>
        <w:jc w:val="left"/>
        <w:rPr>
          <w:rFonts w:ascii="宋体" w:hAnsi="宋体" w:eastAsia="宋体" w:cs="宋体"/>
          <w:b/>
          <w:bCs/>
          <w:kern w:val="0"/>
          <w:sz w:val="28"/>
          <w:szCs w:val="28"/>
          <w:lang w:val="en-US" w:eastAsia="zh-CN" w:bidi="ar-SA"/>
        </w:rPr>
      </w:pPr>
      <w:r>
        <w:rPr>
          <w:rFonts w:ascii="宋体" w:hAnsi="宋体" w:eastAsia="宋体" w:cs="宋体"/>
          <w:b/>
          <w:bCs/>
          <w:kern w:val="0"/>
          <w:sz w:val="28"/>
          <w:szCs w:val="28"/>
          <w:lang w:val="en-US" w:eastAsia="zh-CN" w:bidi="ar-SA"/>
        </w:rPr>
        <w:t>以稳定品质、完善服务、持续改进、满足顾客需求；</w:t>
      </w:r>
    </w:p>
    <w:p>
      <w:pPr>
        <w:ind w:left="559" w:leftChars="266" w:firstLine="281" w:firstLineChars="100"/>
        <w:rPr>
          <w:rFonts w:ascii="华文行楷" w:eastAsia="华文行楷"/>
          <w:b/>
          <w:sz w:val="32"/>
        </w:rPr>
      </w:pPr>
      <w:r>
        <w:rPr>
          <w:rFonts w:ascii="宋体" w:hAnsi="宋体" w:eastAsia="宋体" w:cs="宋体"/>
          <w:b/>
          <w:bCs/>
          <w:kern w:val="0"/>
          <w:sz w:val="28"/>
          <w:szCs w:val="28"/>
          <w:lang w:val="en-US" w:eastAsia="zh-CN" w:bidi="ar-SA"/>
        </w:rPr>
        <w:t>以安全生产、保护环境、守法诚信、体现社会责任</w:t>
      </w:r>
      <w:r>
        <w:rPr>
          <w:rFonts w:hint="eastAsia" w:ascii="宋体" w:hAnsi="宋体" w:cs="宋体"/>
          <w:b/>
          <w:bCs/>
          <w:kern w:val="0"/>
          <w:sz w:val="28"/>
          <w:szCs w:val="28"/>
          <w:lang w:val="en-US" w:eastAsia="zh-CN" w:bidi="ar-SA"/>
        </w:rPr>
        <w:t>。</w:t>
      </w:r>
    </w:p>
    <w:p>
      <w:pPr>
        <w:ind w:left="559" w:leftChars="266"/>
        <w:rPr>
          <w:b/>
          <w:szCs w:val="21"/>
        </w:rPr>
      </w:pPr>
      <w:r>
        <w:rPr>
          <w:szCs w:val="21"/>
        </w:rPr>
        <w:t>上述质量/环境/安全方针是以质量/环境/安全管理的基本原则为基础制定的，是本公司总的质量/环境/安全宗旨和质量/环境/安全方向。</w:t>
      </w:r>
    </w:p>
    <w:p>
      <w:pPr>
        <w:ind w:firstLine="560"/>
        <w:rPr>
          <w:szCs w:val="21"/>
        </w:rPr>
      </w:pPr>
      <w:r>
        <w:rPr>
          <w:szCs w:val="21"/>
        </w:rPr>
        <w:t>质量方针：</w:t>
      </w:r>
    </w:p>
    <w:p>
      <w:pPr>
        <w:ind w:firstLine="560"/>
        <w:rPr>
          <w:szCs w:val="21"/>
        </w:rPr>
      </w:pPr>
      <w:r>
        <w:rPr>
          <w:szCs w:val="21"/>
        </w:rPr>
        <w:t>——与公司未来的设想和战略相一致；</w:t>
      </w:r>
    </w:p>
    <w:p>
      <w:pPr>
        <w:ind w:firstLine="560"/>
        <w:rPr>
          <w:szCs w:val="21"/>
        </w:rPr>
      </w:pPr>
      <w:r>
        <w:rPr>
          <w:szCs w:val="21"/>
        </w:rPr>
        <w:t>——能够为所有员工得理解并贯彻落实；</w:t>
      </w:r>
    </w:p>
    <w:p>
      <w:pPr>
        <w:ind w:firstLine="560"/>
        <w:rPr>
          <w:szCs w:val="21"/>
        </w:rPr>
      </w:pPr>
      <w:r>
        <w:rPr>
          <w:szCs w:val="21"/>
        </w:rPr>
        <w:t>——表明总经理对质量以及为实现目标提供足够资源的承诺；</w:t>
      </w:r>
    </w:p>
    <w:p>
      <w:pPr>
        <w:ind w:firstLine="560"/>
        <w:rPr>
          <w:szCs w:val="21"/>
        </w:rPr>
      </w:pPr>
      <w:r>
        <w:rPr>
          <w:szCs w:val="21"/>
        </w:rPr>
        <w:t>——在总经理的正确领导下，促进对满足要求和增强顾客满意的承诺；</w:t>
      </w:r>
    </w:p>
    <w:p>
      <w:pPr>
        <w:ind w:firstLine="560"/>
        <w:rPr>
          <w:szCs w:val="21"/>
        </w:rPr>
      </w:pPr>
      <w:r>
        <w:rPr>
          <w:szCs w:val="21"/>
        </w:rPr>
        <w:t>——包括与顾客和其他相关方需求和期望满意程度和相关的持续改进；</w:t>
      </w:r>
    </w:p>
    <w:p>
      <w:pPr>
        <w:ind w:firstLine="560"/>
        <w:rPr>
          <w:szCs w:val="21"/>
        </w:rPr>
      </w:pPr>
      <w:r>
        <w:rPr>
          <w:szCs w:val="21"/>
        </w:rPr>
        <w:t>——以有效的方式表述，以高效的方式沟通，并且公示，可为相关方获取。</w:t>
      </w:r>
    </w:p>
    <w:p>
      <w:pPr>
        <w:ind w:firstLine="560"/>
        <w:rPr>
          <w:szCs w:val="21"/>
        </w:rPr>
      </w:pPr>
      <w:r>
        <w:rPr>
          <w:rFonts w:hint="eastAsia"/>
          <w:szCs w:val="21"/>
        </w:rPr>
        <w:t>环境方针：</w:t>
      </w:r>
    </w:p>
    <w:p>
      <w:pPr>
        <w:ind w:firstLine="560"/>
        <w:rPr>
          <w:szCs w:val="21"/>
        </w:rPr>
      </w:pPr>
      <w:r>
        <w:rPr>
          <w:rFonts w:hint="eastAsia"/>
          <w:szCs w:val="21"/>
        </w:rPr>
        <w:t>a）其适合于组织的目的和背景，背景包括组织的性质、规模和其活动、产品和服务的</w:t>
      </w:r>
    </w:p>
    <w:p>
      <w:pPr>
        <w:ind w:firstLine="560"/>
        <w:rPr>
          <w:szCs w:val="21"/>
        </w:rPr>
      </w:pPr>
      <w:r>
        <w:rPr>
          <w:rFonts w:hint="eastAsia"/>
          <w:szCs w:val="21"/>
        </w:rPr>
        <w:t>环境影响；</w:t>
      </w:r>
    </w:p>
    <w:p>
      <w:pPr>
        <w:ind w:firstLine="560"/>
        <w:rPr>
          <w:szCs w:val="21"/>
        </w:rPr>
      </w:pPr>
      <w:r>
        <w:rPr>
          <w:rFonts w:hint="eastAsia"/>
          <w:szCs w:val="21"/>
        </w:rPr>
        <w:t>b）为设定环境目标提供框架；</w:t>
      </w:r>
    </w:p>
    <w:p>
      <w:pPr>
        <w:ind w:firstLine="560"/>
        <w:rPr>
          <w:szCs w:val="21"/>
        </w:rPr>
      </w:pPr>
      <w:r>
        <w:rPr>
          <w:rFonts w:hint="eastAsia"/>
          <w:szCs w:val="21"/>
        </w:rPr>
        <w:t>c）包括对环境保护的承诺，包括了防止污染和组织背景有关的其他细节；</w:t>
      </w:r>
    </w:p>
    <w:p>
      <w:pPr>
        <w:ind w:firstLine="560"/>
        <w:rPr>
          <w:szCs w:val="21"/>
        </w:rPr>
      </w:pPr>
      <w:r>
        <w:rPr>
          <w:rFonts w:hint="eastAsia"/>
          <w:szCs w:val="21"/>
        </w:rPr>
        <w:t>注：环境保护的其他详细的承诺可以包括：可持续资源的使用，缓解和适应气候变化，保护生</w:t>
      </w:r>
    </w:p>
    <w:p>
      <w:pPr>
        <w:ind w:firstLine="560"/>
        <w:rPr>
          <w:szCs w:val="21"/>
        </w:rPr>
      </w:pPr>
      <w:r>
        <w:rPr>
          <w:rFonts w:hint="eastAsia"/>
          <w:szCs w:val="21"/>
        </w:rPr>
        <w:t>物多样性和生态系统，或者其他相关的环境因素。</w:t>
      </w:r>
    </w:p>
    <w:p>
      <w:pPr>
        <w:ind w:firstLine="560"/>
        <w:rPr>
          <w:szCs w:val="21"/>
        </w:rPr>
      </w:pPr>
      <w:r>
        <w:rPr>
          <w:rFonts w:hint="eastAsia"/>
          <w:szCs w:val="21"/>
        </w:rPr>
        <w:t>d）包括遵守合规性要求的承诺；</w:t>
      </w:r>
    </w:p>
    <w:p>
      <w:pPr>
        <w:ind w:firstLine="560"/>
        <w:rPr>
          <w:szCs w:val="21"/>
        </w:rPr>
      </w:pPr>
      <w:r>
        <w:rPr>
          <w:rFonts w:hint="eastAsia"/>
          <w:szCs w:val="21"/>
        </w:rPr>
        <w:t>e）包括为增强环境绩效持续改进环境管理体系的承诺</w:t>
      </w:r>
    </w:p>
    <w:p>
      <w:pPr>
        <w:ind w:firstLine="560"/>
        <w:rPr>
          <w:szCs w:val="21"/>
        </w:rPr>
      </w:pPr>
      <w:r>
        <w:rPr>
          <w:rFonts w:hint="eastAsia"/>
          <w:szCs w:val="21"/>
        </w:rPr>
        <w:t>安全方针应满足下列要求：</w:t>
      </w:r>
    </w:p>
    <w:p>
      <w:pPr>
        <w:ind w:firstLine="560"/>
        <w:rPr>
          <w:szCs w:val="21"/>
        </w:rPr>
      </w:pPr>
      <w:r>
        <w:rPr>
          <w:rFonts w:hint="eastAsia"/>
          <w:szCs w:val="21"/>
        </w:rPr>
        <w:t>a) 适合组织的职业健康安全风险的性质和规模；</w:t>
      </w:r>
    </w:p>
    <w:p>
      <w:pPr>
        <w:ind w:firstLine="630" w:firstLineChars="300"/>
        <w:rPr>
          <w:szCs w:val="21"/>
        </w:rPr>
      </w:pPr>
      <w:r>
        <w:rPr>
          <w:rFonts w:hint="eastAsia"/>
          <w:szCs w:val="21"/>
        </w:rPr>
        <w:t xml:space="preserve"> b) 包括对预防伤害和疾病，以及持续改进职业健康安全管理和职业健康安全绩效的承诺；</w:t>
      </w:r>
    </w:p>
    <w:p>
      <w:pPr>
        <w:ind w:firstLine="560"/>
        <w:rPr>
          <w:szCs w:val="21"/>
        </w:rPr>
      </w:pPr>
      <w:r>
        <w:rPr>
          <w:rFonts w:hint="eastAsia"/>
          <w:szCs w:val="21"/>
        </w:rPr>
        <w:t>c) 包括对组织至少遵守现行职业健康安全法规和组织接受的其他要求的承诺；</w:t>
      </w:r>
    </w:p>
    <w:p>
      <w:pPr>
        <w:ind w:firstLine="560"/>
        <w:rPr>
          <w:szCs w:val="21"/>
        </w:rPr>
      </w:pPr>
      <w:r>
        <w:rPr>
          <w:rFonts w:hint="eastAsia"/>
          <w:szCs w:val="21"/>
        </w:rPr>
        <w:t>d) 提供制定和审查健康安全目标的架构；</w:t>
      </w:r>
    </w:p>
    <w:p>
      <w:pPr>
        <w:ind w:firstLine="560"/>
        <w:rPr>
          <w:szCs w:val="21"/>
        </w:rPr>
      </w:pPr>
      <w:r>
        <w:rPr>
          <w:rFonts w:hint="eastAsia"/>
          <w:szCs w:val="21"/>
        </w:rPr>
        <w:t>e) 形成文件，实施并保持；</w:t>
      </w:r>
    </w:p>
    <w:p>
      <w:pPr>
        <w:ind w:firstLine="560"/>
        <w:rPr>
          <w:szCs w:val="21"/>
        </w:rPr>
      </w:pPr>
      <w:r>
        <w:rPr>
          <w:rFonts w:hint="eastAsia"/>
          <w:szCs w:val="21"/>
        </w:rPr>
        <w:t>f)传达到全体员工，使其认识各自的职业健康安全义务；</w:t>
      </w:r>
    </w:p>
    <w:p>
      <w:pPr>
        <w:ind w:firstLine="560"/>
        <w:rPr>
          <w:szCs w:val="21"/>
        </w:rPr>
      </w:pPr>
      <w:r>
        <w:rPr>
          <w:rFonts w:hint="eastAsia"/>
          <w:szCs w:val="21"/>
        </w:rPr>
        <w:t>g) 可为相关方所获取；</w:t>
      </w:r>
    </w:p>
    <w:p>
      <w:pPr>
        <w:spacing w:line="400" w:lineRule="atLeast"/>
        <w:ind w:firstLine="480"/>
        <w:rPr>
          <w:rFonts w:ascii="宋体" w:hAnsi="宋体"/>
          <w:sz w:val="24"/>
          <w:szCs w:val="20"/>
        </w:rPr>
      </w:pPr>
      <w:r>
        <w:rPr>
          <w:rFonts w:hint="eastAsia" w:ascii="宋体" w:hAnsi="宋体"/>
          <w:sz w:val="24"/>
        </w:rPr>
        <w:t>h)被定期评审，以确保其与组织保持相关和适宜。</w:t>
      </w:r>
    </w:p>
    <w:p>
      <w:pPr>
        <w:ind w:firstLine="560"/>
        <w:rPr>
          <w:b/>
          <w:szCs w:val="21"/>
        </w:rPr>
      </w:pPr>
      <w:r>
        <w:rPr>
          <w:b/>
          <w:szCs w:val="21"/>
        </w:rPr>
        <w:t>5.3公司的岗位、职责和权限</w:t>
      </w:r>
    </w:p>
    <w:p>
      <w:pPr>
        <w:ind w:left="525" w:leftChars="250" w:firstLine="33" w:firstLineChars="16"/>
        <w:rPr>
          <w:szCs w:val="21"/>
        </w:rPr>
      </w:pPr>
      <w:r>
        <w:rPr>
          <w:szCs w:val="21"/>
        </w:rPr>
        <w:t>5.3.</w:t>
      </w:r>
      <w:r>
        <w:rPr>
          <w:rFonts w:hint="eastAsia"/>
          <w:szCs w:val="21"/>
        </w:rPr>
        <w:t>1</w:t>
      </w:r>
      <w:r>
        <w:rPr>
          <w:szCs w:val="21"/>
        </w:rPr>
        <w:t>总经理对质量/环境/安全管理体系的有效性负责，任命</w:t>
      </w:r>
      <w:r>
        <w:rPr>
          <w:rFonts w:hint="eastAsia"/>
          <w:b/>
          <w:szCs w:val="21"/>
          <w:u w:val="single"/>
          <w:lang w:eastAsia="zh-CN"/>
        </w:rPr>
        <w:t>曹可</w:t>
      </w:r>
      <w:r>
        <w:rPr>
          <w:szCs w:val="21"/>
        </w:rPr>
        <w:t>为质量/环境/安全管理体系负责人，其职责和权限如下：</w:t>
      </w:r>
    </w:p>
    <w:p>
      <w:pPr>
        <w:ind w:firstLine="560"/>
        <w:rPr>
          <w:szCs w:val="21"/>
        </w:rPr>
      </w:pPr>
      <w:r>
        <w:rPr>
          <w:szCs w:val="21"/>
        </w:rPr>
        <w:t>a) 确保质量/环境/安全管理体系符合本标准的要求；</w:t>
      </w:r>
    </w:p>
    <w:p>
      <w:pPr>
        <w:ind w:firstLine="560"/>
        <w:rPr>
          <w:szCs w:val="21"/>
        </w:rPr>
      </w:pPr>
      <w:r>
        <w:rPr>
          <w:szCs w:val="21"/>
        </w:rPr>
        <w:t>b) 确保过程相互作用并产生期望的结果；</w:t>
      </w:r>
    </w:p>
    <w:p>
      <w:pPr>
        <w:ind w:firstLine="560"/>
        <w:rPr>
          <w:szCs w:val="21"/>
        </w:rPr>
      </w:pPr>
      <w:r>
        <w:rPr>
          <w:szCs w:val="21"/>
        </w:rPr>
        <w:t>c) 向总经理报告质量/环境/安全管理体系的绩效和任何改进的需求；</w:t>
      </w:r>
    </w:p>
    <w:p>
      <w:pPr>
        <w:ind w:left="567" w:leftChars="270"/>
        <w:rPr>
          <w:szCs w:val="21"/>
        </w:rPr>
      </w:pPr>
      <w:r>
        <w:rPr>
          <w:szCs w:val="21"/>
        </w:rPr>
        <w:t>d) 确保在整个公司内提高满足顾客要求的意识</w:t>
      </w:r>
      <w:r>
        <w:rPr>
          <w:rFonts w:hint="eastAsia"/>
          <w:szCs w:val="21"/>
        </w:rPr>
        <w:t>，确保所有承担管理职责的人员，都应该表明职业健康安全以及环境绩效持续改进的承诺。</w:t>
      </w:r>
      <w:r>
        <w:rPr>
          <w:szCs w:val="21"/>
        </w:rPr>
        <w:t>；</w:t>
      </w:r>
    </w:p>
    <w:p>
      <w:pPr>
        <w:ind w:firstLine="560"/>
        <w:rPr>
          <w:szCs w:val="21"/>
        </w:rPr>
      </w:pPr>
      <w:r>
        <w:rPr>
          <w:szCs w:val="21"/>
        </w:rPr>
        <w:t>e )确保体系在任何情况下的完整性。</w:t>
      </w:r>
    </w:p>
    <w:p>
      <w:pPr>
        <w:pStyle w:val="14"/>
        <w:spacing w:line="400" w:lineRule="exact"/>
        <w:ind w:firstLine="480"/>
        <w:rPr>
          <w:rFonts w:ascii="Times New Roman" w:hAnsi="Times New Roman"/>
          <w:szCs w:val="21"/>
        </w:rPr>
      </w:pPr>
      <w:r>
        <w:rPr>
          <w:rFonts w:hint="eastAsia" w:ascii="Times New Roman" w:hAnsi="Times New Roman"/>
          <w:szCs w:val="21"/>
        </w:rPr>
        <w:t>总经理任命</w:t>
      </w:r>
      <w:r>
        <w:rPr>
          <w:rFonts w:hint="eastAsia" w:ascii="Times New Roman" w:hAnsi="Times New Roman"/>
          <w:b/>
          <w:szCs w:val="21"/>
          <w:u w:val="single"/>
          <w:lang w:eastAsia="zh-CN"/>
        </w:rPr>
        <w:t>郑会玲</w:t>
      </w:r>
      <w:r>
        <w:rPr>
          <w:rFonts w:hint="eastAsia" w:ascii="Times New Roman" w:hAnsi="Times New Roman"/>
          <w:szCs w:val="21"/>
        </w:rPr>
        <w:t>同志为安全事务代表，负责以下事务：</w:t>
      </w:r>
    </w:p>
    <w:p>
      <w:pPr>
        <w:pStyle w:val="14"/>
        <w:spacing w:line="400" w:lineRule="exact"/>
        <w:ind w:firstLine="525" w:firstLineChars="250"/>
        <w:rPr>
          <w:rFonts w:ascii="Times New Roman" w:hAnsi="Times New Roman"/>
          <w:szCs w:val="21"/>
        </w:rPr>
      </w:pPr>
      <w:r>
        <w:rPr>
          <w:rFonts w:ascii="Times New Roman" w:hAnsi="Times New Roman"/>
          <w:szCs w:val="21"/>
        </w:rPr>
        <w:t>----</w:t>
      </w:r>
      <w:r>
        <w:rPr>
          <w:rFonts w:hint="eastAsia" w:ascii="Times New Roman" w:hAnsi="Times New Roman"/>
          <w:szCs w:val="21"/>
        </w:rPr>
        <w:t>参与管理评审；</w:t>
      </w:r>
    </w:p>
    <w:p>
      <w:pPr>
        <w:pStyle w:val="14"/>
        <w:spacing w:line="400" w:lineRule="exact"/>
        <w:ind w:left="899" w:leftChars="228" w:hanging="420" w:hangingChars="200"/>
        <w:rPr>
          <w:rFonts w:ascii="Times New Roman" w:hAnsi="Times New Roman"/>
          <w:szCs w:val="21"/>
        </w:rPr>
      </w:pPr>
      <w:r>
        <w:rPr>
          <w:rFonts w:ascii="Times New Roman" w:hAnsi="Times New Roman"/>
          <w:szCs w:val="21"/>
        </w:rPr>
        <w:t>----</w:t>
      </w:r>
      <w:r>
        <w:rPr>
          <w:rFonts w:hint="eastAsia" w:ascii="Times New Roman" w:hAnsi="Times New Roman"/>
          <w:szCs w:val="21"/>
        </w:rPr>
        <w:t>负责就职工职业健康，安全，福利等相关事宜与公司管理进行沟通协商；</w:t>
      </w:r>
    </w:p>
    <w:p>
      <w:pPr>
        <w:ind w:left="420" w:leftChars="200"/>
        <w:rPr>
          <w:szCs w:val="21"/>
        </w:rPr>
      </w:pPr>
      <w:r>
        <w:rPr>
          <w:szCs w:val="21"/>
        </w:rPr>
        <w:t>5.3.2总经理策划和批准组建公司的部门组成和架构，并规定各管理层、各部门、流程、岗位的职责和权限，确保公司内相关的职责、权限得到规定和沟通。</w:t>
      </w:r>
    </w:p>
    <w:p>
      <w:pPr>
        <w:ind w:left="420" w:leftChars="200"/>
        <w:rPr>
          <w:szCs w:val="21"/>
        </w:rPr>
      </w:pPr>
      <w:r>
        <w:rPr>
          <w:szCs w:val="21"/>
        </w:rPr>
        <w:t>各部门之间的质量/环境/安全管理职能的分配见 “质量/环境/安全管理体系过程职责分配与过程关系表”。</w:t>
      </w:r>
    </w:p>
    <w:p>
      <w:pPr>
        <w:ind w:left="420" w:leftChars="200"/>
        <w:rPr>
          <w:rFonts w:hint="eastAsia"/>
          <w:szCs w:val="21"/>
        </w:rPr>
      </w:pPr>
      <w:r>
        <w:rPr>
          <w:szCs w:val="21"/>
        </w:rPr>
        <w:t>5.3.3总经理应策划和批准组建公司内的岗位相关职责与权限。</w:t>
      </w:r>
      <w:r>
        <w:rPr>
          <w:rFonts w:hint="eastAsia"/>
          <w:szCs w:val="21"/>
        </w:rPr>
        <w:t>具体如下：</w:t>
      </w:r>
    </w:p>
    <w:p>
      <w:pPr>
        <w:ind w:left="420" w:leftChars="200"/>
        <w:rPr>
          <w:rFonts w:hint="eastAsia"/>
          <w:szCs w:val="21"/>
        </w:rPr>
      </w:pPr>
      <w:r>
        <w:rPr>
          <w:rFonts w:hint="eastAsia"/>
          <w:szCs w:val="21"/>
        </w:rPr>
        <w:t>总经理</w:t>
      </w:r>
    </w:p>
    <w:p>
      <w:pPr>
        <w:ind w:left="420" w:leftChars="200" w:firstLine="420" w:firstLineChars="200"/>
        <w:rPr>
          <w:rFonts w:hint="eastAsia"/>
          <w:szCs w:val="21"/>
        </w:rPr>
      </w:pPr>
      <w:r>
        <w:rPr>
          <w:rFonts w:hint="eastAsia"/>
          <w:szCs w:val="21"/>
        </w:rPr>
        <w:t>主持本公司质量、环境、职业健康安全管理体系的策划；制定并批准相应的管理方针、目标、指标和管理方案；组织管理领导小组会议和管理评审；为管理体系实施提供必要的资源保证，包括在年度预算中作出安排，批准相关的设备和人力资源计划；任命管理者代表，决定组织机构设置，批准管理体系中相关人员的职责、权限与相互关系，对管理体系的相关管理人员进行任命和调整；对各管理处服务质量、环保、安全负最高领导责任；对与各项产品实现过程相关的环境、职业健康安全负最高领导责任；主持重、特大质量、环境、职业健康安全事故的调查、分析、处理；在物业服务、经营和奖惩中实施质量、环保、职业健康安全否决权。</w:t>
      </w:r>
    </w:p>
    <w:p>
      <w:pPr>
        <w:ind w:left="420" w:leftChars="200"/>
        <w:rPr>
          <w:rFonts w:hint="eastAsia"/>
          <w:szCs w:val="21"/>
        </w:rPr>
      </w:pPr>
      <w:r>
        <w:rPr>
          <w:rFonts w:hint="eastAsia"/>
          <w:szCs w:val="21"/>
        </w:rPr>
        <w:t>管理者代表</w:t>
      </w:r>
    </w:p>
    <w:p>
      <w:pPr>
        <w:ind w:left="420" w:leftChars="200" w:firstLine="420" w:firstLineChars="200"/>
        <w:rPr>
          <w:rFonts w:hint="eastAsia"/>
          <w:szCs w:val="21"/>
        </w:rPr>
      </w:pPr>
      <w:r>
        <w:rPr>
          <w:rFonts w:hint="eastAsia"/>
          <w:szCs w:val="21"/>
        </w:rPr>
        <w:t>总经理 在本公司管理层任命一名管理者代表。负责具体组织和协调管理体系的建立、实施、保持和改进；向公司总经理报告管理体系的业绩和改进的需求；督促、检查与管理体系相关的各职能部门行使其职责；负责与管理体系有关事宜的外部联络；负责组织制定并批准内部审核计划、报告，组织开展内部审核活动；负责组织管理体系运行质量、环境与职业健康安全的检查。</w:t>
      </w:r>
    </w:p>
    <w:p>
      <w:pPr>
        <w:ind w:left="420" w:leftChars="200"/>
        <w:rPr>
          <w:rFonts w:hint="eastAsia"/>
          <w:szCs w:val="21"/>
        </w:rPr>
      </w:pPr>
      <w:r>
        <w:rPr>
          <w:rFonts w:hint="eastAsia"/>
          <w:szCs w:val="21"/>
        </w:rPr>
        <w:t>分管环境与职业健康安全的副总经理</w:t>
      </w:r>
    </w:p>
    <w:p>
      <w:pPr>
        <w:ind w:left="420" w:leftChars="200" w:firstLine="420" w:firstLineChars="200"/>
        <w:rPr>
          <w:rFonts w:hint="eastAsia"/>
          <w:szCs w:val="21"/>
        </w:rPr>
      </w:pPr>
      <w:r>
        <w:rPr>
          <w:rFonts w:hint="eastAsia"/>
          <w:szCs w:val="21"/>
        </w:rPr>
        <w:t>负责领导管理体系中环境、职业健康安全方面的管理方案制定、相关人力资源管理、运行控制及过程的绩效监视和测量；负责领导应急响应的控制，以及环境、职业健康安全事故、事件的控制；负责领导本公司员工职业健康安全防护、环境控制设施的配置标准及监督检查；负责领导环境、职业健康安全体系的环境因素识别、评价和危险源辨识、风险评价及其风险控制的监督检查。</w:t>
      </w:r>
    </w:p>
    <w:p>
      <w:pPr>
        <w:ind w:left="420" w:leftChars="200"/>
        <w:rPr>
          <w:rFonts w:hint="eastAsia"/>
          <w:szCs w:val="21"/>
        </w:rPr>
      </w:pPr>
      <w:r>
        <w:rPr>
          <w:rFonts w:hint="eastAsia"/>
          <w:szCs w:val="21"/>
        </w:rPr>
        <w:t>分管经营的副总经理</w:t>
      </w:r>
    </w:p>
    <w:p>
      <w:pPr>
        <w:ind w:left="420" w:leftChars="200" w:firstLine="420" w:firstLineChars="200"/>
        <w:rPr>
          <w:rFonts w:hint="eastAsia"/>
          <w:szCs w:val="21"/>
        </w:rPr>
      </w:pPr>
      <w:r>
        <w:rPr>
          <w:rFonts w:hint="eastAsia"/>
          <w:szCs w:val="21"/>
        </w:rPr>
        <w:t>在公司对外经营的活动中，负责组织、协调、检查管理体系的运行，在标书和合同的制定与评审、外包、完工交付后的服务工作等过程中，领导质量、环境、职业健康安全的实施与运行，负责顾客满意度信息的汇总、分析与处理，向总经理、管理者代表提供质量、环境、职业健康安全管理方面的改进意见和建议。</w:t>
      </w:r>
    </w:p>
    <w:p>
      <w:pPr>
        <w:ind w:left="420" w:leftChars="200"/>
        <w:rPr>
          <w:rFonts w:hint="eastAsia"/>
          <w:szCs w:val="21"/>
        </w:rPr>
      </w:pPr>
      <w:r>
        <w:rPr>
          <w:rFonts w:hint="eastAsia"/>
          <w:szCs w:val="21"/>
        </w:rPr>
        <w:t>业务拓展部</w:t>
      </w:r>
    </w:p>
    <w:p>
      <w:pPr>
        <w:ind w:left="420" w:leftChars="200" w:firstLine="420" w:firstLineChars="200"/>
        <w:rPr>
          <w:rFonts w:hint="eastAsia"/>
          <w:szCs w:val="21"/>
        </w:rPr>
      </w:pPr>
      <w:r>
        <w:rPr>
          <w:rFonts w:hint="eastAsia"/>
          <w:szCs w:val="21"/>
        </w:rPr>
        <w:t>负责服务项目的环境因素识别、评价和危险源辨识、风险评价及风险控制；负责全公司员工职业健康安全防护的管理，以及环境控制设施的配置标准及监督检查；负责环境保护、职业健康安全的监视和测量，以及环境、安全标识的管理；负责与环境、职业健康安全相关的法律法规及相关要求的识别、获取与更新；负责环境、职业健康安全的应急响应和事故、事件的控制与处理。负责管理体系的策划和各项管理记录的控制；负责监测管理方针、目标与指标的实施；负责产品实现策划控制；负责产品有关要求的确定和评审；还负责：服务设备管理；材料和设备管理；外包管理。</w:t>
      </w:r>
    </w:p>
    <w:p>
      <w:pPr>
        <w:ind w:firstLine="420" w:firstLineChars="200"/>
        <w:rPr>
          <w:rFonts w:hint="eastAsia" w:eastAsia="宋体"/>
          <w:szCs w:val="21"/>
          <w:lang w:eastAsia="zh-CN"/>
        </w:rPr>
      </w:pPr>
      <w:r>
        <w:rPr>
          <w:rFonts w:hint="eastAsia"/>
          <w:szCs w:val="21"/>
          <w:lang w:eastAsia="zh-CN"/>
        </w:rPr>
        <w:t>行政办公室</w:t>
      </w:r>
    </w:p>
    <w:p>
      <w:pPr>
        <w:ind w:left="420" w:leftChars="200" w:firstLine="420" w:firstLineChars="200"/>
        <w:rPr>
          <w:rFonts w:hint="eastAsia"/>
          <w:szCs w:val="21"/>
        </w:rPr>
      </w:pPr>
      <w:r>
        <w:rPr>
          <w:rFonts w:hint="eastAsia"/>
          <w:szCs w:val="21"/>
        </w:rPr>
        <w:t>负责领导各管理层、部门、单位、员工之间的协商与沟通，监督这一协商与沟通渠道的有效与畅通，向公司 总经理 、管理者代表提出管理体系实施、运行与改进的意见和建议。</w:t>
      </w:r>
    </w:p>
    <w:p>
      <w:pPr>
        <w:ind w:left="420" w:leftChars="200"/>
        <w:rPr>
          <w:rFonts w:hint="eastAsia"/>
          <w:szCs w:val="21"/>
        </w:rPr>
      </w:pPr>
      <w:r>
        <w:rPr>
          <w:rFonts w:hint="eastAsia"/>
          <w:szCs w:val="21"/>
        </w:rPr>
        <w:t>管理处</w:t>
      </w:r>
    </w:p>
    <w:p>
      <w:pPr>
        <w:ind w:left="420" w:leftChars="200" w:firstLine="420" w:firstLineChars="200"/>
        <w:rPr>
          <w:rFonts w:hint="eastAsia"/>
          <w:szCs w:val="21"/>
        </w:rPr>
      </w:pPr>
      <w:r>
        <w:rPr>
          <w:rFonts w:hint="eastAsia"/>
          <w:szCs w:val="21"/>
        </w:rPr>
        <w:t>负责管理体系中环境因素识别、评价和危险源辨识、风险评价及风险控制的监督检查；负责全公司员工职业健康安全防护的管理，以及环境控制设施的配置标准及监督检查；负责与环境、职业健康安全相关的法律法规及相关要求的识别、获取与更新；负责环境、职业健康安全的应急响应和事故、事件的控制与处理。负责管理体系的策划和各项管理记录的控制；负责监测管理方针、目标与指标的实施；负责产品实现策划控制；负责产品有关要求的确定和评审；</w:t>
      </w:r>
    </w:p>
    <w:p>
      <w:pPr>
        <w:ind w:left="420" w:leftChars="200"/>
        <w:rPr>
          <w:rFonts w:hint="eastAsia"/>
          <w:szCs w:val="21"/>
        </w:rPr>
      </w:pPr>
      <w:r>
        <w:rPr>
          <w:rFonts w:hint="eastAsia"/>
          <w:szCs w:val="21"/>
        </w:rPr>
        <w:t>负责不合格品的控制；负责监视和测量设备的控制；负责产品的监视和测量及产品状态标识的管理和可追溯性；负责制定、检查产品防护措施及实施；负责内审工作，对管理体系运行中的问题进行监督和检查；协助进行重大质量、环境、职业健康安全事故的调查处理。负责服务提供过程的管理；负责工作环境的控制；环境监测和测量；环境 合规性评价；环境不符合，纠正措施和预防措施。</w:t>
      </w:r>
    </w:p>
    <w:p>
      <w:pPr>
        <w:ind w:left="420" w:leftChars="200"/>
        <w:rPr>
          <w:rFonts w:hint="eastAsia"/>
          <w:szCs w:val="21"/>
        </w:rPr>
      </w:pPr>
      <w:r>
        <w:rPr>
          <w:rFonts w:hint="eastAsia"/>
          <w:szCs w:val="21"/>
        </w:rPr>
        <w:t>财务部</w:t>
      </w:r>
    </w:p>
    <w:p>
      <w:pPr>
        <w:ind w:left="420" w:leftChars="200" w:firstLine="420" w:firstLineChars="200"/>
        <w:rPr>
          <w:szCs w:val="21"/>
        </w:rPr>
      </w:pPr>
      <w:r>
        <w:rPr>
          <w:rFonts w:hint="eastAsia"/>
          <w:szCs w:val="21"/>
        </w:rPr>
        <w:t>起草公司的财务预算，检查预算执行情况，负责公司财务分析工作，负责往来帐、银行帐的对帐工作，负责职工工资发放，税费代缴，负责的帐务处理，参与财务决算，编制会计报表，负责公司会计核算的日常稽核工作，监督日常财务制度执行，保管财务票据，管理会计档案，检查监督子公司的会计核算工作。</w:t>
      </w:r>
    </w:p>
    <w:p>
      <w:pPr>
        <w:ind w:left="420" w:leftChars="200"/>
        <w:rPr>
          <w:szCs w:val="21"/>
        </w:rPr>
      </w:pPr>
      <w:r>
        <w:rPr>
          <w:rFonts w:hint="eastAsia"/>
          <w:szCs w:val="21"/>
        </w:rPr>
        <w:t>职业健康安全事务代表</w:t>
      </w:r>
    </w:p>
    <w:p>
      <w:pPr>
        <w:ind w:left="420" w:leftChars="200"/>
        <w:rPr>
          <w:szCs w:val="21"/>
        </w:rPr>
      </w:pPr>
      <w:r>
        <w:rPr>
          <w:rFonts w:hint="eastAsia"/>
          <w:szCs w:val="21"/>
        </w:rPr>
        <w:t>a)代表全厂员工参与危险源辨识、风险评价和风险控制等的策划。</w:t>
      </w:r>
    </w:p>
    <w:p>
      <w:pPr>
        <w:ind w:left="420" w:leftChars="200"/>
        <w:rPr>
          <w:szCs w:val="21"/>
        </w:rPr>
      </w:pPr>
      <w:r>
        <w:rPr>
          <w:rFonts w:hint="eastAsia"/>
          <w:szCs w:val="21"/>
        </w:rPr>
        <w:t>b)参与本公司职业健康安全方针、目标及管理方案的讨论、制定和评审。</w:t>
      </w:r>
    </w:p>
    <w:p>
      <w:pPr>
        <w:ind w:left="420" w:leftChars="200"/>
        <w:rPr>
          <w:szCs w:val="21"/>
        </w:rPr>
      </w:pPr>
      <w:r>
        <w:rPr>
          <w:rFonts w:hint="eastAsia"/>
          <w:szCs w:val="21"/>
        </w:rPr>
        <w:t>c)就职业病预防、风险危害预防的职工个体防护方面，影响工作场所职业健康安全的任何变化，提出建议和要求。</w:t>
      </w:r>
    </w:p>
    <w:p>
      <w:pPr>
        <w:ind w:left="420" w:leftChars="200"/>
        <w:rPr>
          <w:szCs w:val="21"/>
        </w:rPr>
      </w:pPr>
      <w:r>
        <w:rPr>
          <w:rFonts w:hint="eastAsia"/>
          <w:szCs w:val="21"/>
        </w:rPr>
        <w:t>d)参与职业健康安全事务。</w:t>
      </w:r>
    </w:p>
    <w:p>
      <w:pPr>
        <w:ind w:left="420" w:leftChars="200"/>
        <w:rPr>
          <w:szCs w:val="21"/>
        </w:rPr>
      </w:pPr>
      <w:r>
        <w:rPr>
          <w:rFonts w:hint="eastAsia"/>
          <w:szCs w:val="21"/>
        </w:rPr>
        <w:t>e)代表员工与领导层进行沟通，在职业健康安全防治方面负有宣传、释疑和监督各项活动落实之责。负责组织员工开展遵章守纪和预防事故的群众性活动。关心员工职业健康安全条件的改善，加强女工保护，并做好伤亡事故的善后处理工作。</w:t>
      </w:r>
    </w:p>
    <w:p>
      <w:pPr>
        <w:ind w:left="420" w:leftChars="200"/>
        <w:rPr>
          <w:szCs w:val="21"/>
        </w:rPr>
      </w:pPr>
      <w:r>
        <w:rPr>
          <w:rFonts w:hint="eastAsia"/>
          <w:szCs w:val="21"/>
        </w:rPr>
        <w:t>f)代表员工参与职业健康安全的有关管理工作，汇集、报告员工的意见和建议，并与相关部门协商解决或上报，确保充分发挥员工在环境保护、安全生产中的作用。</w:t>
      </w:r>
    </w:p>
    <w:p>
      <w:pPr>
        <w:ind w:firstLine="310" w:firstLineChars="147"/>
        <w:rPr>
          <w:szCs w:val="21"/>
        </w:rPr>
      </w:pPr>
      <w:r>
        <w:rPr>
          <w:rFonts w:hint="eastAsia"/>
          <w:b/>
          <w:szCs w:val="21"/>
        </w:rPr>
        <w:t>5.4 参与和协商</w:t>
      </w:r>
    </w:p>
    <w:p>
      <w:pPr>
        <w:ind w:left="574" w:leftChars="270" w:hanging="7"/>
        <w:rPr>
          <w:szCs w:val="21"/>
        </w:rPr>
      </w:pPr>
      <w:r>
        <w:rPr>
          <w:rFonts w:hint="eastAsia"/>
          <w:szCs w:val="21"/>
        </w:rPr>
        <w:t>各层管理者应建立、实施和保持一个或多个程序，由所有相关层次和职能部门的员工和员工代表（如有）参与（包括协商）建立、策划、实施、评价和改进职业健康安全管理体系。</w:t>
      </w:r>
    </w:p>
    <w:p>
      <w:pPr>
        <w:ind w:firstLine="560"/>
        <w:rPr>
          <w:szCs w:val="21"/>
        </w:rPr>
      </w:pPr>
      <w:r>
        <w:rPr>
          <w:rFonts w:hint="eastAsia"/>
          <w:szCs w:val="21"/>
        </w:rPr>
        <w:t>组织应：</w:t>
      </w:r>
    </w:p>
    <w:p>
      <w:pPr>
        <w:ind w:firstLine="560"/>
        <w:rPr>
          <w:szCs w:val="21"/>
        </w:rPr>
      </w:pPr>
      <w:r>
        <w:rPr>
          <w:rFonts w:hint="eastAsia"/>
          <w:szCs w:val="21"/>
        </w:rPr>
        <w:t>a) 提供参与所需的机制、时间、培训和资源；</w:t>
      </w:r>
    </w:p>
    <w:p>
      <w:pPr>
        <w:ind w:firstLine="560"/>
        <w:rPr>
          <w:szCs w:val="21"/>
        </w:rPr>
      </w:pPr>
      <w:r>
        <w:rPr>
          <w:rFonts w:hint="eastAsia"/>
          <w:szCs w:val="21"/>
        </w:rPr>
        <w:t>b) 及时提供有关职业健康安全管理体系的清晰的、可理解的和相关的信息；</w:t>
      </w:r>
    </w:p>
    <w:p>
      <w:pPr>
        <w:ind w:firstLine="560"/>
        <w:rPr>
          <w:szCs w:val="21"/>
        </w:rPr>
      </w:pPr>
      <w:r>
        <w:rPr>
          <w:rFonts w:hint="eastAsia"/>
          <w:szCs w:val="21"/>
        </w:rPr>
        <w:t>c) 识别和消除妨碍参与的障碍或障碍物并最大限度地降低那些无法消除的；</w:t>
      </w:r>
    </w:p>
    <w:p>
      <w:pPr>
        <w:ind w:left="574" w:leftChars="270" w:hanging="7"/>
        <w:rPr>
          <w:szCs w:val="21"/>
        </w:rPr>
      </w:pPr>
      <w:r>
        <w:rPr>
          <w:rFonts w:hint="eastAsia"/>
          <w:szCs w:val="21"/>
        </w:rPr>
        <w:t>注1: 障碍和障碍物可能包括没有对员工的输入或建议作出回应，语言或读写障碍，报复或报复的威胁以及使员工丧失参与信心的或妨碍员工参与的方针或做法。</w:t>
      </w:r>
    </w:p>
    <w:p>
      <w:pPr>
        <w:ind w:firstLine="560"/>
        <w:rPr>
          <w:szCs w:val="21"/>
        </w:rPr>
      </w:pPr>
      <w:r>
        <w:rPr>
          <w:rFonts w:hint="eastAsia"/>
          <w:szCs w:val="21"/>
        </w:rPr>
        <w:t>d) 特别强调非管理类员工参与下述活动：</w:t>
      </w:r>
    </w:p>
    <w:p>
      <w:pPr>
        <w:ind w:firstLine="560"/>
        <w:rPr>
          <w:szCs w:val="21"/>
        </w:rPr>
      </w:pPr>
      <w:r>
        <w:rPr>
          <w:rFonts w:hint="eastAsia"/>
          <w:szCs w:val="21"/>
        </w:rPr>
        <w:t>1) 确定他们参与和协商的机制；</w:t>
      </w:r>
    </w:p>
    <w:p>
      <w:pPr>
        <w:ind w:firstLine="560"/>
        <w:rPr>
          <w:szCs w:val="21"/>
        </w:rPr>
      </w:pPr>
      <w:r>
        <w:rPr>
          <w:rFonts w:hint="eastAsia"/>
          <w:szCs w:val="21"/>
        </w:rPr>
        <w:t>2) 危险源辨识和风险评价（见6.1,6.1.1和6.1.2）；</w:t>
      </w:r>
    </w:p>
    <w:p>
      <w:pPr>
        <w:ind w:firstLine="560"/>
        <w:rPr>
          <w:szCs w:val="21"/>
        </w:rPr>
      </w:pPr>
      <w:r>
        <w:rPr>
          <w:rFonts w:hint="eastAsia"/>
          <w:szCs w:val="21"/>
        </w:rPr>
        <w:t>3) 控制危险源和风险（见6.1.4） 的措施；</w:t>
      </w:r>
    </w:p>
    <w:p>
      <w:pPr>
        <w:ind w:firstLine="560"/>
        <w:rPr>
          <w:szCs w:val="21"/>
        </w:rPr>
      </w:pPr>
      <w:r>
        <w:rPr>
          <w:rFonts w:hint="eastAsia"/>
          <w:szCs w:val="21"/>
        </w:rPr>
        <w:t>4) 识别能力、培训和培训评价的需求（见7.2）;</w:t>
      </w:r>
    </w:p>
    <w:p>
      <w:pPr>
        <w:ind w:firstLine="560"/>
        <w:rPr>
          <w:szCs w:val="21"/>
        </w:rPr>
      </w:pPr>
      <w:r>
        <w:rPr>
          <w:rFonts w:hint="eastAsia"/>
          <w:szCs w:val="21"/>
        </w:rPr>
        <w:t>5) 确定需要沟通的信息以及如何沟通（见7.4）；</w:t>
      </w:r>
    </w:p>
    <w:p>
      <w:pPr>
        <w:ind w:firstLine="560"/>
        <w:rPr>
          <w:szCs w:val="21"/>
        </w:rPr>
      </w:pPr>
      <w:r>
        <w:rPr>
          <w:rFonts w:hint="eastAsia"/>
          <w:szCs w:val="21"/>
        </w:rPr>
        <w:t>6) 确定控制措施及其有效应用（见8.1，8.2和8.6）；</w:t>
      </w:r>
    </w:p>
    <w:p>
      <w:pPr>
        <w:ind w:firstLine="560"/>
        <w:rPr>
          <w:szCs w:val="21"/>
        </w:rPr>
      </w:pPr>
      <w:r>
        <w:rPr>
          <w:rFonts w:hint="eastAsia"/>
          <w:szCs w:val="21"/>
        </w:rPr>
        <w:t>7) 调查事件和不符合并确定纠正措施（见10.1）；</w:t>
      </w:r>
    </w:p>
    <w:p>
      <w:pPr>
        <w:ind w:firstLine="560"/>
        <w:rPr>
          <w:szCs w:val="21"/>
        </w:rPr>
      </w:pPr>
      <w:r>
        <w:rPr>
          <w:rFonts w:hint="eastAsia"/>
          <w:szCs w:val="21"/>
        </w:rPr>
        <w:t>e) 特别强调非管理类员工参与协商下述活动：</w:t>
      </w:r>
    </w:p>
    <w:p>
      <w:pPr>
        <w:ind w:firstLine="560"/>
        <w:rPr>
          <w:szCs w:val="21"/>
        </w:rPr>
      </w:pPr>
      <w:r>
        <w:rPr>
          <w:rFonts w:hint="eastAsia"/>
          <w:szCs w:val="21"/>
        </w:rPr>
        <w:t>1) 确定相关方的需求和期望（见4.2）；</w:t>
      </w:r>
    </w:p>
    <w:p>
      <w:pPr>
        <w:ind w:firstLine="560"/>
        <w:rPr>
          <w:szCs w:val="21"/>
        </w:rPr>
      </w:pPr>
      <w:r>
        <w:rPr>
          <w:rFonts w:hint="eastAsia"/>
          <w:szCs w:val="21"/>
        </w:rPr>
        <w:t>2) 制定方针（见5.2）；</w:t>
      </w:r>
    </w:p>
    <w:p>
      <w:pPr>
        <w:ind w:firstLine="560"/>
        <w:rPr>
          <w:szCs w:val="21"/>
        </w:rPr>
      </w:pPr>
      <w:r>
        <w:rPr>
          <w:rFonts w:hint="eastAsia"/>
          <w:szCs w:val="21"/>
        </w:rPr>
        <w:t>3) 适用时分配组织的岗位、职责、责任和权限（见5.3）；</w:t>
      </w:r>
    </w:p>
    <w:p>
      <w:pPr>
        <w:ind w:firstLine="560"/>
        <w:rPr>
          <w:szCs w:val="21"/>
        </w:rPr>
      </w:pPr>
      <w:r>
        <w:rPr>
          <w:rFonts w:hint="eastAsia"/>
          <w:szCs w:val="21"/>
        </w:rPr>
        <w:t>4) 确定如何应用法律法规要求和其他要求（见6.1.3）；</w:t>
      </w:r>
    </w:p>
    <w:p>
      <w:pPr>
        <w:ind w:firstLine="560"/>
        <w:rPr>
          <w:szCs w:val="21"/>
        </w:rPr>
      </w:pPr>
      <w:r>
        <w:rPr>
          <w:rFonts w:hint="eastAsia"/>
          <w:szCs w:val="21"/>
        </w:rPr>
        <w:t>5) 制定职业健康安全目标（见6.2.1）；</w:t>
      </w:r>
    </w:p>
    <w:p>
      <w:pPr>
        <w:ind w:firstLine="560"/>
        <w:rPr>
          <w:szCs w:val="21"/>
        </w:rPr>
      </w:pPr>
      <w:r>
        <w:rPr>
          <w:rFonts w:hint="eastAsia"/>
          <w:szCs w:val="21"/>
        </w:rPr>
        <w:t>6) 确定外包、采购和分包商的适用的控制方法（见8.3,8.4和8.5）;</w:t>
      </w:r>
    </w:p>
    <w:p>
      <w:pPr>
        <w:ind w:firstLine="560"/>
        <w:rPr>
          <w:szCs w:val="21"/>
        </w:rPr>
      </w:pPr>
      <w:r>
        <w:rPr>
          <w:rFonts w:hint="eastAsia"/>
          <w:szCs w:val="21"/>
        </w:rPr>
        <w:t>7) 确定哪些需要监视、测量和评价；（见9.1.1）;</w:t>
      </w:r>
    </w:p>
    <w:p>
      <w:pPr>
        <w:ind w:firstLine="560"/>
        <w:rPr>
          <w:szCs w:val="21"/>
        </w:rPr>
      </w:pPr>
      <w:r>
        <w:rPr>
          <w:rFonts w:hint="eastAsia"/>
          <w:szCs w:val="21"/>
        </w:rPr>
        <w:t>8) 策划、建立、实施并保持一个或多个审核方案（见9.2.2）；</w:t>
      </w:r>
    </w:p>
    <w:p>
      <w:pPr>
        <w:ind w:firstLine="560"/>
        <w:rPr>
          <w:szCs w:val="21"/>
        </w:rPr>
      </w:pPr>
      <w:r>
        <w:rPr>
          <w:rFonts w:hint="eastAsia"/>
          <w:szCs w:val="21"/>
        </w:rPr>
        <w:t>9) 建立一个或多个持续改进过程（见10.2.2)。</w:t>
      </w:r>
    </w:p>
    <w:p>
      <w:pPr>
        <w:ind w:firstLine="413" w:firstLineChars="196"/>
        <w:rPr>
          <w:b/>
          <w:szCs w:val="21"/>
        </w:rPr>
      </w:pPr>
      <w:r>
        <w:rPr>
          <w:b/>
          <w:szCs w:val="21"/>
        </w:rPr>
        <w:t>6策划</w:t>
      </w:r>
    </w:p>
    <w:p>
      <w:pPr>
        <w:ind w:firstLine="411" w:firstLineChars="195"/>
        <w:rPr>
          <w:b/>
          <w:szCs w:val="21"/>
        </w:rPr>
      </w:pPr>
      <w:r>
        <w:rPr>
          <w:b/>
          <w:szCs w:val="21"/>
        </w:rPr>
        <w:t>6.1风险和机遇的应对措施（M1）</w:t>
      </w:r>
    </w:p>
    <w:p>
      <w:pPr>
        <w:ind w:left="420" w:leftChars="200"/>
        <w:rPr>
          <w:szCs w:val="21"/>
        </w:rPr>
      </w:pPr>
      <w:r>
        <w:rPr>
          <w:szCs w:val="21"/>
        </w:rPr>
        <w:t>6.1.1策划质量/环境/安全管理体系时，公司考虑总体战略要求、过程方法的使用、相关方和法规的要求，确定需应对的风险和机遇，以便：</w:t>
      </w:r>
    </w:p>
    <w:p>
      <w:pPr>
        <w:ind w:firstLine="420" w:firstLineChars="200"/>
        <w:rPr>
          <w:szCs w:val="21"/>
        </w:rPr>
      </w:pPr>
      <w:r>
        <w:rPr>
          <w:szCs w:val="21"/>
        </w:rPr>
        <w:t>a)确保质量/环境/安全管理体系实现期望的结果；</w:t>
      </w:r>
    </w:p>
    <w:p>
      <w:pPr>
        <w:ind w:firstLine="420" w:firstLineChars="200"/>
        <w:rPr>
          <w:szCs w:val="21"/>
        </w:rPr>
      </w:pPr>
      <w:r>
        <w:rPr>
          <w:szCs w:val="21"/>
        </w:rPr>
        <w:t>b)确保公司能稳定地实现产品、服务符合要求和顾客满意；</w:t>
      </w:r>
    </w:p>
    <w:p>
      <w:pPr>
        <w:ind w:firstLine="420" w:firstLineChars="200"/>
        <w:rPr>
          <w:szCs w:val="21"/>
        </w:rPr>
      </w:pPr>
      <w:r>
        <w:rPr>
          <w:szCs w:val="21"/>
        </w:rPr>
        <w:t>c)预防或减少非预期的影响；</w:t>
      </w:r>
    </w:p>
    <w:p>
      <w:pPr>
        <w:ind w:firstLine="420" w:firstLineChars="200"/>
        <w:rPr>
          <w:szCs w:val="21"/>
        </w:rPr>
      </w:pPr>
      <w:r>
        <w:rPr>
          <w:szCs w:val="21"/>
        </w:rPr>
        <w:t>d)实现持续改进；</w:t>
      </w:r>
    </w:p>
    <w:p>
      <w:pPr>
        <w:ind w:firstLine="420" w:firstLineChars="200"/>
        <w:rPr>
          <w:szCs w:val="21"/>
        </w:rPr>
      </w:pPr>
      <w:r>
        <w:rPr>
          <w:szCs w:val="21"/>
        </w:rPr>
        <w:t>e)增强有利因素。</w:t>
      </w:r>
    </w:p>
    <w:p>
      <w:pPr>
        <w:ind w:left="420" w:leftChars="200"/>
        <w:rPr>
          <w:szCs w:val="21"/>
        </w:rPr>
      </w:pPr>
      <w:r>
        <w:rPr>
          <w:szCs w:val="21"/>
        </w:rPr>
        <w:t>公司建立《</w:t>
      </w:r>
      <w:r>
        <w:t>风险和机遇管理制度</w:t>
      </w:r>
      <w:r>
        <w:rPr>
          <w:szCs w:val="21"/>
        </w:rPr>
        <w:t>》，定期开展内外部经营环境和市场分析，根据风险和机遇识别、分析的结果，制定与产品、服务的符合性和顾客满意的潜在影响相适应的应对措施，并在质量/环境/安全管理体系运行过程进行运用，当风险和机遇发生后要评价这些措施的有效性。</w:t>
      </w:r>
    </w:p>
    <w:p>
      <w:pPr>
        <w:ind w:firstLine="413" w:firstLineChars="196"/>
        <w:rPr>
          <w:b/>
          <w:szCs w:val="21"/>
        </w:rPr>
      </w:pPr>
      <w:r>
        <w:rPr>
          <w:b/>
          <w:szCs w:val="21"/>
        </w:rPr>
        <w:t>6.</w:t>
      </w:r>
      <w:r>
        <w:rPr>
          <w:rFonts w:hint="eastAsia"/>
          <w:b/>
          <w:szCs w:val="21"/>
        </w:rPr>
        <w:t>1.2</w:t>
      </w:r>
      <w:r>
        <w:rPr>
          <w:b/>
          <w:szCs w:val="21"/>
        </w:rPr>
        <w:t>环境因素/危险源</w:t>
      </w:r>
    </w:p>
    <w:p>
      <w:pPr>
        <w:snapToGrid w:val="0"/>
        <w:ind w:left="420" w:leftChars="200"/>
        <w:rPr>
          <w:rFonts w:eastAsiaTheme="minorEastAsia"/>
          <w:color w:val="000000"/>
          <w:szCs w:val="21"/>
        </w:rPr>
      </w:pPr>
      <w:r>
        <w:rPr>
          <w:rFonts w:eastAsiaTheme="minorEastAsia"/>
          <w:szCs w:val="21"/>
        </w:rPr>
        <w:t>6.1.</w:t>
      </w:r>
      <w:r>
        <w:rPr>
          <w:rFonts w:hint="eastAsia" w:eastAsiaTheme="minorEastAsia"/>
          <w:szCs w:val="21"/>
        </w:rPr>
        <w:t>7.1</w:t>
      </w:r>
      <w:r>
        <w:rPr>
          <w:rFonts w:eastAsiaTheme="minorEastAsia"/>
          <w:szCs w:val="21"/>
        </w:rPr>
        <w:t>公司</w:t>
      </w:r>
      <w:r>
        <w:rPr>
          <w:rFonts w:eastAsiaTheme="minorEastAsia"/>
          <w:color w:val="000000"/>
          <w:szCs w:val="21"/>
        </w:rPr>
        <w:t>建立并保持《危险源和环境因素识别与评价管理制度》，对公司各过程中环境因素/危险源进行识别并评价确定重要环境因素/危险源。</w:t>
      </w:r>
    </w:p>
    <w:p>
      <w:pPr>
        <w:snapToGrid w:val="0"/>
        <w:ind w:firstLine="420" w:firstLineChars="200"/>
        <w:rPr>
          <w:rFonts w:eastAsiaTheme="minorEastAsia"/>
          <w:color w:val="000000"/>
          <w:szCs w:val="21"/>
        </w:rPr>
      </w:pPr>
      <w:r>
        <w:rPr>
          <w:rFonts w:eastAsiaTheme="minorEastAsia"/>
          <w:color w:val="000000"/>
          <w:szCs w:val="21"/>
        </w:rPr>
        <w:t>6.1.</w:t>
      </w:r>
      <w:r>
        <w:rPr>
          <w:rFonts w:hint="eastAsia" w:eastAsiaTheme="minorEastAsia"/>
          <w:color w:val="000000"/>
          <w:szCs w:val="21"/>
        </w:rPr>
        <w:t>2</w:t>
      </w:r>
      <w:r>
        <w:rPr>
          <w:rFonts w:eastAsiaTheme="minorEastAsia"/>
          <w:color w:val="000000"/>
          <w:szCs w:val="21"/>
        </w:rPr>
        <w:t>.2识别环境因素/危险源的范围必须覆盖公司产品实现过程中所有活动的各个方面。</w:t>
      </w:r>
    </w:p>
    <w:p>
      <w:pPr>
        <w:snapToGrid w:val="0"/>
        <w:ind w:left="420" w:leftChars="200"/>
        <w:rPr>
          <w:rFonts w:eastAsiaTheme="minorEastAsia"/>
          <w:color w:val="000000"/>
          <w:szCs w:val="21"/>
        </w:rPr>
      </w:pPr>
      <w:r>
        <w:rPr>
          <w:rFonts w:eastAsiaTheme="minorEastAsia"/>
          <w:color w:val="000000"/>
          <w:szCs w:val="21"/>
        </w:rPr>
        <w:t>6.1.</w:t>
      </w:r>
      <w:r>
        <w:rPr>
          <w:rFonts w:hint="eastAsia" w:eastAsiaTheme="minorEastAsia"/>
          <w:color w:val="000000"/>
          <w:szCs w:val="21"/>
        </w:rPr>
        <w:t>2</w:t>
      </w:r>
      <w:r>
        <w:rPr>
          <w:rFonts w:eastAsiaTheme="minorEastAsia"/>
          <w:color w:val="000000"/>
          <w:szCs w:val="21"/>
        </w:rPr>
        <w:t>.</w:t>
      </w:r>
      <w:r>
        <w:rPr>
          <w:rFonts w:hint="eastAsia" w:eastAsiaTheme="minorEastAsia"/>
          <w:color w:val="000000"/>
          <w:szCs w:val="21"/>
        </w:rPr>
        <w:t>7.1</w:t>
      </w:r>
      <w:r>
        <w:rPr>
          <w:rFonts w:eastAsiaTheme="minorEastAsia"/>
          <w:color w:val="000000"/>
          <w:szCs w:val="21"/>
        </w:rPr>
        <w:t>识别环境因素时应考虑过去、现在、将来三种时态及正常、异常、紧急三种状态和以下几种类型：</w:t>
      </w:r>
    </w:p>
    <w:p>
      <w:pPr>
        <w:snapToGrid w:val="0"/>
        <w:ind w:firstLine="525" w:firstLineChars="250"/>
        <w:rPr>
          <w:rFonts w:eastAsiaTheme="minorEastAsia"/>
          <w:color w:val="000000"/>
          <w:szCs w:val="21"/>
        </w:rPr>
      </w:pPr>
      <w:r>
        <w:rPr>
          <w:rFonts w:eastAsiaTheme="minorEastAsia"/>
          <w:color w:val="000000"/>
          <w:szCs w:val="21"/>
        </w:rPr>
        <w:t>a）向大气排放的污染物。</w:t>
      </w:r>
    </w:p>
    <w:p>
      <w:pPr>
        <w:snapToGrid w:val="0"/>
        <w:ind w:firstLine="525" w:firstLineChars="250"/>
        <w:rPr>
          <w:rFonts w:eastAsiaTheme="minorEastAsia"/>
          <w:color w:val="000000"/>
          <w:szCs w:val="21"/>
        </w:rPr>
      </w:pPr>
      <w:r>
        <w:rPr>
          <w:rFonts w:eastAsiaTheme="minorEastAsia"/>
          <w:color w:val="000000"/>
          <w:szCs w:val="21"/>
        </w:rPr>
        <w:t>b）向水体排放的污染物。</w:t>
      </w:r>
    </w:p>
    <w:p>
      <w:pPr>
        <w:snapToGrid w:val="0"/>
        <w:ind w:firstLine="525" w:firstLineChars="250"/>
        <w:rPr>
          <w:rFonts w:eastAsiaTheme="minorEastAsia"/>
          <w:color w:val="000000"/>
          <w:szCs w:val="21"/>
        </w:rPr>
      </w:pPr>
      <w:r>
        <w:rPr>
          <w:rFonts w:eastAsiaTheme="minorEastAsia"/>
          <w:color w:val="000000"/>
          <w:szCs w:val="21"/>
        </w:rPr>
        <w:t>c）固体废弃物污染。</w:t>
      </w:r>
    </w:p>
    <w:p>
      <w:pPr>
        <w:snapToGrid w:val="0"/>
        <w:ind w:firstLine="525" w:firstLineChars="250"/>
        <w:rPr>
          <w:rFonts w:eastAsiaTheme="minorEastAsia"/>
          <w:color w:val="000000"/>
          <w:szCs w:val="21"/>
        </w:rPr>
      </w:pPr>
      <w:r>
        <w:rPr>
          <w:rFonts w:eastAsiaTheme="minorEastAsia"/>
          <w:color w:val="000000"/>
          <w:szCs w:val="21"/>
        </w:rPr>
        <w:t>d）噪声对周围环境的影响。</w:t>
      </w:r>
    </w:p>
    <w:p>
      <w:pPr>
        <w:snapToGrid w:val="0"/>
        <w:ind w:firstLine="525" w:firstLineChars="250"/>
        <w:rPr>
          <w:rFonts w:eastAsiaTheme="minorEastAsia"/>
          <w:color w:val="000000"/>
          <w:szCs w:val="21"/>
        </w:rPr>
      </w:pPr>
      <w:r>
        <w:rPr>
          <w:rFonts w:eastAsiaTheme="minorEastAsia"/>
          <w:color w:val="000000"/>
          <w:szCs w:val="21"/>
        </w:rPr>
        <w:t>e）电、水、气、油等及原材料和自然资源使用对环境的影响。</w:t>
      </w:r>
    </w:p>
    <w:p>
      <w:pPr>
        <w:snapToGrid w:val="0"/>
        <w:ind w:firstLine="525" w:firstLineChars="250"/>
        <w:rPr>
          <w:rFonts w:eastAsiaTheme="minorEastAsia"/>
          <w:color w:val="000000"/>
          <w:szCs w:val="21"/>
        </w:rPr>
      </w:pPr>
      <w:r>
        <w:rPr>
          <w:rFonts w:eastAsiaTheme="minorEastAsia"/>
          <w:color w:val="000000"/>
          <w:szCs w:val="21"/>
        </w:rPr>
        <w:t>f）其他对周围居民生活的影响。</w:t>
      </w:r>
    </w:p>
    <w:p>
      <w:pPr>
        <w:snapToGrid w:val="0"/>
        <w:ind w:firstLine="525" w:firstLineChars="250"/>
        <w:rPr>
          <w:rFonts w:eastAsiaTheme="minorEastAsia"/>
          <w:color w:val="000000"/>
          <w:szCs w:val="21"/>
        </w:rPr>
      </w:pPr>
      <w:r>
        <w:rPr>
          <w:rFonts w:eastAsiaTheme="minorEastAsia"/>
          <w:color w:val="000000"/>
          <w:szCs w:val="21"/>
        </w:rPr>
        <w:t>6.1.</w:t>
      </w:r>
      <w:r>
        <w:rPr>
          <w:rFonts w:hint="eastAsia" w:eastAsiaTheme="minorEastAsia"/>
          <w:color w:val="000000"/>
          <w:szCs w:val="21"/>
        </w:rPr>
        <w:t>2</w:t>
      </w:r>
      <w:r>
        <w:rPr>
          <w:rFonts w:eastAsiaTheme="minorEastAsia"/>
          <w:color w:val="000000"/>
          <w:szCs w:val="21"/>
        </w:rPr>
        <w:t>.</w:t>
      </w:r>
      <w:r>
        <w:rPr>
          <w:rFonts w:hint="eastAsia" w:eastAsiaTheme="minorEastAsia"/>
          <w:color w:val="000000"/>
          <w:szCs w:val="21"/>
        </w:rPr>
        <w:t>2.2  对危险源的识别应注意下面方面：</w:t>
      </w:r>
    </w:p>
    <w:p>
      <w:pPr>
        <w:snapToGrid w:val="0"/>
        <w:ind w:firstLine="525" w:firstLineChars="250"/>
        <w:rPr>
          <w:rFonts w:eastAsiaTheme="minorEastAsia"/>
          <w:color w:val="000000"/>
          <w:szCs w:val="21"/>
        </w:rPr>
      </w:pPr>
      <w:r>
        <w:rPr>
          <w:rFonts w:hint="eastAsia" w:eastAsiaTheme="minorEastAsia"/>
          <w:color w:val="000000"/>
          <w:szCs w:val="21"/>
        </w:rPr>
        <w:t>——常规和非常规的活动；</w:t>
      </w:r>
    </w:p>
    <w:p>
      <w:pPr>
        <w:snapToGrid w:val="0"/>
        <w:ind w:firstLine="525" w:firstLineChars="250"/>
        <w:rPr>
          <w:rFonts w:eastAsiaTheme="minorEastAsia"/>
          <w:color w:val="000000"/>
          <w:szCs w:val="21"/>
        </w:rPr>
      </w:pPr>
      <w:r>
        <w:rPr>
          <w:rFonts w:hint="eastAsia" w:eastAsiaTheme="minorEastAsia"/>
          <w:color w:val="000000"/>
          <w:szCs w:val="21"/>
        </w:rPr>
        <w:t>——所有进入工作场所的人员（包括合同方人员和访问者）的活动；</w:t>
      </w:r>
    </w:p>
    <w:p>
      <w:pPr>
        <w:snapToGrid w:val="0"/>
        <w:ind w:firstLine="525" w:firstLineChars="250"/>
        <w:rPr>
          <w:rFonts w:eastAsiaTheme="minorEastAsia"/>
          <w:color w:val="000000"/>
          <w:szCs w:val="21"/>
        </w:rPr>
      </w:pPr>
      <w:r>
        <w:rPr>
          <w:rFonts w:hint="eastAsia" w:eastAsiaTheme="minorEastAsia"/>
          <w:color w:val="000000"/>
          <w:szCs w:val="21"/>
        </w:rPr>
        <w:t>——人员的活动、能力及其他的认为因素；</w:t>
      </w:r>
    </w:p>
    <w:p>
      <w:pPr>
        <w:snapToGrid w:val="0"/>
        <w:ind w:firstLine="525" w:firstLineChars="250"/>
        <w:rPr>
          <w:rFonts w:eastAsiaTheme="minorEastAsia"/>
          <w:color w:val="000000"/>
          <w:szCs w:val="21"/>
        </w:rPr>
      </w:pPr>
      <w:r>
        <w:rPr>
          <w:rFonts w:hint="eastAsia" w:eastAsiaTheme="minorEastAsia"/>
          <w:color w:val="000000"/>
          <w:szCs w:val="21"/>
        </w:rPr>
        <w:t>——工作场所之外的危害，但其有可能影响组织控制之下的工作场所范围内人员的健康安全；</w:t>
      </w:r>
    </w:p>
    <w:p>
      <w:pPr>
        <w:snapToGrid w:val="0"/>
        <w:ind w:firstLine="525" w:firstLineChars="250"/>
        <w:rPr>
          <w:rFonts w:eastAsiaTheme="minorEastAsia"/>
          <w:color w:val="000000"/>
          <w:szCs w:val="21"/>
        </w:rPr>
      </w:pPr>
      <w:r>
        <w:rPr>
          <w:rFonts w:hint="eastAsia" w:eastAsiaTheme="minorEastAsia"/>
          <w:color w:val="000000"/>
          <w:szCs w:val="21"/>
        </w:rPr>
        <w:t>——在组织控制之下，因工作相关的活动而造成工作场所周围的危害；</w:t>
      </w:r>
    </w:p>
    <w:p>
      <w:pPr>
        <w:snapToGrid w:val="0"/>
        <w:ind w:firstLine="525" w:firstLineChars="250"/>
        <w:rPr>
          <w:rFonts w:eastAsiaTheme="minorEastAsia"/>
          <w:color w:val="000000"/>
          <w:szCs w:val="21"/>
        </w:rPr>
      </w:pPr>
      <w:r>
        <w:rPr>
          <w:rFonts w:hint="eastAsia" w:eastAsiaTheme="minorEastAsia"/>
          <w:color w:val="000000"/>
          <w:szCs w:val="21"/>
        </w:rPr>
        <w:t>——工作场所的设施、设备及物料；</w:t>
      </w:r>
    </w:p>
    <w:p>
      <w:pPr>
        <w:snapToGrid w:val="0"/>
        <w:ind w:firstLine="525" w:firstLineChars="250"/>
        <w:rPr>
          <w:rFonts w:eastAsiaTheme="minorEastAsia"/>
          <w:color w:val="000000"/>
          <w:szCs w:val="21"/>
        </w:rPr>
      </w:pPr>
      <w:r>
        <w:rPr>
          <w:rFonts w:hint="eastAsia" w:eastAsiaTheme="minorEastAsia"/>
          <w:color w:val="000000"/>
          <w:szCs w:val="21"/>
        </w:rPr>
        <w:t>——在组织或其活动、物料方面，所做的改变或提出的改变；</w:t>
      </w:r>
    </w:p>
    <w:p>
      <w:pPr>
        <w:snapToGrid w:val="0"/>
        <w:ind w:firstLine="525" w:firstLineChars="250"/>
        <w:rPr>
          <w:rFonts w:eastAsiaTheme="minorEastAsia"/>
          <w:color w:val="000000"/>
          <w:szCs w:val="21"/>
        </w:rPr>
      </w:pPr>
      <w:r>
        <w:rPr>
          <w:rFonts w:hint="eastAsia" w:eastAsiaTheme="minorEastAsia"/>
          <w:color w:val="000000"/>
          <w:szCs w:val="21"/>
        </w:rPr>
        <w:t>——健康安全管理系统的改变，包括暂时性的改变和其在操作、过程以及活动的影响；</w:t>
      </w:r>
    </w:p>
    <w:p>
      <w:pPr>
        <w:snapToGrid w:val="0"/>
        <w:ind w:firstLine="525" w:firstLineChars="250"/>
        <w:rPr>
          <w:rFonts w:eastAsiaTheme="minorEastAsia"/>
          <w:color w:val="000000"/>
          <w:szCs w:val="21"/>
        </w:rPr>
      </w:pPr>
      <w:r>
        <w:rPr>
          <w:rFonts w:hint="eastAsia" w:eastAsiaTheme="minorEastAsia"/>
          <w:color w:val="000000"/>
          <w:szCs w:val="21"/>
        </w:rPr>
        <w:t>——任何关于风险评估和实施必要控制措施所适用的法律责任；（可参考3.12的备注）</w:t>
      </w:r>
    </w:p>
    <w:p>
      <w:pPr>
        <w:snapToGrid w:val="0"/>
        <w:ind w:left="525" w:leftChars="250"/>
        <w:rPr>
          <w:rFonts w:eastAsiaTheme="minorEastAsia"/>
          <w:color w:val="000000"/>
          <w:szCs w:val="21"/>
        </w:rPr>
      </w:pPr>
      <w:r>
        <w:rPr>
          <w:rFonts w:hint="eastAsia" w:eastAsiaTheme="minorEastAsia"/>
          <w:color w:val="000000"/>
          <w:szCs w:val="21"/>
        </w:rPr>
        <w:t>——对工作区域、过程、装置、机械/设备、操作程序及工作组织的设计，包括这些设计对人员能力的适用。</w:t>
      </w:r>
    </w:p>
    <w:p>
      <w:pPr>
        <w:snapToGrid w:val="0"/>
        <w:ind w:left="525" w:leftChars="250"/>
        <w:rPr>
          <w:rFonts w:eastAsiaTheme="minorEastAsia"/>
          <w:color w:val="000000"/>
          <w:szCs w:val="21"/>
        </w:rPr>
      </w:pPr>
      <w:r>
        <w:rPr>
          <w:rFonts w:eastAsiaTheme="minorEastAsia"/>
          <w:color w:val="000000"/>
          <w:szCs w:val="21"/>
        </w:rPr>
        <w:t>6.1.</w:t>
      </w:r>
      <w:r>
        <w:rPr>
          <w:rFonts w:hint="eastAsia" w:eastAsiaTheme="minorEastAsia"/>
          <w:color w:val="000000"/>
          <w:szCs w:val="21"/>
        </w:rPr>
        <w:t>2</w:t>
      </w:r>
      <w:r>
        <w:rPr>
          <w:rFonts w:eastAsiaTheme="minorEastAsia"/>
          <w:color w:val="000000"/>
          <w:szCs w:val="21"/>
        </w:rPr>
        <w:t>.4评价环境因素/危险源时将考虑对环境影响的范围、影响程度、发生频次、相关方关心程度、超标倍数、资源消耗等。</w:t>
      </w:r>
    </w:p>
    <w:p>
      <w:pPr>
        <w:snapToGrid w:val="0"/>
        <w:ind w:left="525" w:leftChars="250"/>
        <w:rPr>
          <w:rFonts w:eastAsiaTheme="minorEastAsia"/>
          <w:color w:val="000000"/>
          <w:szCs w:val="21"/>
        </w:rPr>
      </w:pPr>
      <w:r>
        <w:rPr>
          <w:rFonts w:eastAsiaTheme="minorEastAsia"/>
          <w:color w:val="000000"/>
          <w:szCs w:val="21"/>
        </w:rPr>
        <w:t>6.1.</w:t>
      </w:r>
      <w:r>
        <w:rPr>
          <w:rFonts w:hint="eastAsia" w:eastAsiaTheme="minorEastAsia"/>
          <w:color w:val="000000"/>
          <w:szCs w:val="21"/>
        </w:rPr>
        <w:t>2</w:t>
      </w:r>
      <w:r>
        <w:rPr>
          <w:rFonts w:eastAsiaTheme="minorEastAsia"/>
          <w:color w:val="000000"/>
          <w:szCs w:val="21"/>
        </w:rPr>
        <w:t>.5当产品实现过程中的活动发生较大变化或法律及其他要求更新时，各部门应及时对环境因素/危险源进行补充识别，及时报</w:t>
      </w:r>
      <w:r>
        <w:rPr>
          <w:rFonts w:hint="eastAsia" w:eastAsiaTheme="minorEastAsia"/>
          <w:color w:val="000000"/>
          <w:szCs w:val="21"/>
          <w:lang w:eastAsia="zh-CN"/>
        </w:rPr>
        <w:t>行政办公室</w:t>
      </w:r>
      <w:r>
        <w:rPr>
          <w:rFonts w:eastAsiaTheme="minorEastAsia"/>
          <w:color w:val="000000"/>
          <w:szCs w:val="21"/>
        </w:rPr>
        <w:t>评价以重新确定重要环境因素/危险源。</w:t>
      </w:r>
    </w:p>
    <w:p>
      <w:pPr>
        <w:snapToGrid w:val="0"/>
        <w:ind w:firstLine="525" w:firstLineChars="250"/>
        <w:rPr>
          <w:rFonts w:eastAsiaTheme="minorEastAsia"/>
          <w:color w:val="000000"/>
          <w:szCs w:val="21"/>
        </w:rPr>
      </w:pPr>
      <w:r>
        <w:rPr>
          <w:rFonts w:eastAsiaTheme="minorEastAsia"/>
          <w:color w:val="000000"/>
          <w:szCs w:val="21"/>
        </w:rPr>
        <w:t>6.1.</w:t>
      </w:r>
      <w:r>
        <w:rPr>
          <w:rFonts w:hint="eastAsia" w:eastAsiaTheme="minorEastAsia"/>
          <w:color w:val="000000"/>
          <w:szCs w:val="21"/>
        </w:rPr>
        <w:t>2</w:t>
      </w:r>
      <w:r>
        <w:rPr>
          <w:rFonts w:eastAsiaTheme="minorEastAsia"/>
          <w:color w:val="000000"/>
          <w:szCs w:val="21"/>
        </w:rPr>
        <w:t>.6对环境因素/危险源的识别和评价，具体按《危险源和环境因素识别与评价管理制度》执行。</w:t>
      </w:r>
    </w:p>
    <w:p>
      <w:pPr>
        <w:snapToGrid w:val="0"/>
        <w:ind w:firstLine="527" w:firstLineChars="250"/>
        <w:rPr>
          <w:rFonts w:eastAsiaTheme="minorEastAsia"/>
          <w:b/>
          <w:color w:val="000000"/>
          <w:szCs w:val="21"/>
        </w:rPr>
      </w:pPr>
      <w:r>
        <w:rPr>
          <w:rFonts w:eastAsiaTheme="minorEastAsia"/>
          <w:b/>
          <w:color w:val="000000"/>
          <w:szCs w:val="21"/>
        </w:rPr>
        <w:t>6.</w:t>
      </w:r>
      <w:r>
        <w:rPr>
          <w:rFonts w:hint="eastAsia" w:eastAsiaTheme="minorEastAsia"/>
          <w:b/>
          <w:color w:val="000000"/>
          <w:szCs w:val="21"/>
        </w:rPr>
        <w:t>1.3</w:t>
      </w:r>
      <w:r>
        <w:rPr>
          <w:rFonts w:eastAsiaTheme="minorEastAsia"/>
          <w:b/>
          <w:color w:val="000000"/>
          <w:szCs w:val="21"/>
        </w:rPr>
        <w:t>合规义务</w:t>
      </w:r>
    </w:p>
    <w:p>
      <w:pPr>
        <w:snapToGrid w:val="0"/>
        <w:ind w:left="525" w:leftChars="250"/>
        <w:rPr>
          <w:rFonts w:eastAsiaTheme="minorEastAsia"/>
          <w:color w:val="000000"/>
          <w:szCs w:val="21"/>
        </w:rPr>
      </w:pPr>
      <w:r>
        <w:rPr>
          <w:rFonts w:eastAsiaTheme="minorEastAsia"/>
          <w:color w:val="000000"/>
          <w:szCs w:val="21"/>
        </w:rPr>
        <w:t>6.</w:t>
      </w:r>
      <w:r>
        <w:rPr>
          <w:rFonts w:hint="eastAsia" w:eastAsiaTheme="minorEastAsia"/>
          <w:color w:val="000000"/>
          <w:szCs w:val="21"/>
        </w:rPr>
        <w:t>1</w:t>
      </w:r>
      <w:r>
        <w:rPr>
          <w:rFonts w:eastAsiaTheme="minorEastAsia"/>
          <w:color w:val="000000"/>
          <w:szCs w:val="21"/>
        </w:rPr>
        <w:t>.</w:t>
      </w:r>
      <w:r>
        <w:rPr>
          <w:rFonts w:hint="eastAsia" w:eastAsiaTheme="minorEastAsia"/>
          <w:color w:val="000000"/>
          <w:szCs w:val="21"/>
        </w:rPr>
        <w:t>3.1</w:t>
      </w:r>
      <w:r>
        <w:rPr>
          <w:rFonts w:hint="eastAsia" w:eastAsiaTheme="minorEastAsia"/>
          <w:color w:val="000000"/>
          <w:szCs w:val="21"/>
          <w:lang w:eastAsia="zh-CN"/>
        </w:rPr>
        <w:t>行政办公室</w:t>
      </w:r>
      <w:r>
        <w:rPr>
          <w:rFonts w:eastAsiaTheme="minorEastAsia"/>
          <w:color w:val="000000"/>
          <w:szCs w:val="21"/>
        </w:rPr>
        <w:t>根据</w:t>
      </w:r>
      <w:r>
        <w:rPr>
          <w:rFonts w:eastAsiaTheme="minorEastAsia"/>
          <w:szCs w:val="21"/>
        </w:rPr>
        <w:t>《合规义务管理制度》，确</w:t>
      </w:r>
      <w:r>
        <w:rPr>
          <w:rFonts w:eastAsiaTheme="minorEastAsia"/>
          <w:color w:val="000000"/>
          <w:szCs w:val="21"/>
        </w:rPr>
        <w:t>定和获取适用于本公司活动、产品及服务中的应遵守</w:t>
      </w:r>
      <w:r>
        <w:rPr>
          <w:rFonts w:hint="eastAsia" w:eastAsiaTheme="minorEastAsia"/>
          <w:color w:val="000000"/>
          <w:szCs w:val="21"/>
        </w:rPr>
        <w:t>的质量，</w:t>
      </w:r>
      <w:r>
        <w:rPr>
          <w:rFonts w:eastAsiaTheme="minorEastAsia"/>
          <w:color w:val="000000"/>
          <w:szCs w:val="21"/>
        </w:rPr>
        <w:t>环境保护</w:t>
      </w:r>
      <w:r>
        <w:rPr>
          <w:rFonts w:hint="eastAsia" w:eastAsiaTheme="minorEastAsia"/>
          <w:color w:val="000000"/>
          <w:szCs w:val="21"/>
        </w:rPr>
        <w:t>，职业健康安全</w:t>
      </w:r>
      <w:r>
        <w:rPr>
          <w:rFonts w:eastAsiaTheme="minorEastAsia"/>
          <w:color w:val="000000"/>
          <w:szCs w:val="21"/>
        </w:rPr>
        <w:t>的法律法规和其他要求，并进行登录、维护和管理。随着公司活动、产品和服务的变化，法律、的变化，作必要的更新。</w:t>
      </w:r>
    </w:p>
    <w:p>
      <w:pPr>
        <w:snapToGrid w:val="0"/>
        <w:ind w:firstLine="525" w:firstLineChars="250"/>
        <w:rPr>
          <w:rFonts w:eastAsiaTheme="minorEastAsia"/>
          <w:color w:val="000000"/>
          <w:szCs w:val="21"/>
        </w:rPr>
      </w:pPr>
      <w:r>
        <w:rPr>
          <w:rFonts w:eastAsiaTheme="minorEastAsia"/>
          <w:color w:val="000000"/>
          <w:szCs w:val="21"/>
        </w:rPr>
        <w:t>6.</w:t>
      </w:r>
      <w:r>
        <w:rPr>
          <w:rFonts w:hint="eastAsia" w:eastAsiaTheme="minorEastAsia"/>
          <w:color w:val="000000"/>
          <w:szCs w:val="21"/>
        </w:rPr>
        <w:t>1</w:t>
      </w:r>
      <w:r>
        <w:rPr>
          <w:rFonts w:eastAsiaTheme="minorEastAsia"/>
          <w:color w:val="000000"/>
          <w:szCs w:val="21"/>
        </w:rPr>
        <w:t>.</w:t>
      </w:r>
      <w:r>
        <w:rPr>
          <w:rFonts w:hint="eastAsia" w:eastAsiaTheme="minorEastAsia"/>
          <w:color w:val="000000"/>
          <w:szCs w:val="21"/>
        </w:rPr>
        <w:t>3</w:t>
      </w:r>
      <w:r>
        <w:rPr>
          <w:rFonts w:eastAsiaTheme="minorEastAsia"/>
          <w:color w:val="000000"/>
          <w:szCs w:val="21"/>
        </w:rPr>
        <w:t>.2法律、法规及其他要求包括下列内容：</w:t>
      </w:r>
    </w:p>
    <w:p>
      <w:pPr>
        <w:snapToGrid w:val="0"/>
        <w:ind w:firstLine="525" w:firstLineChars="250"/>
        <w:rPr>
          <w:rFonts w:eastAsiaTheme="minorEastAsia"/>
          <w:color w:val="000000"/>
          <w:szCs w:val="21"/>
        </w:rPr>
      </w:pPr>
      <w:r>
        <w:rPr>
          <w:rFonts w:eastAsiaTheme="minorEastAsia"/>
          <w:color w:val="000000"/>
          <w:szCs w:val="21"/>
        </w:rPr>
        <w:t>a.国内、国际法律、法规、标准、指南；</w:t>
      </w:r>
    </w:p>
    <w:p>
      <w:pPr>
        <w:snapToGrid w:val="0"/>
        <w:ind w:firstLine="525" w:firstLineChars="250"/>
        <w:rPr>
          <w:rFonts w:eastAsiaTheme="minorEastAsia"/>
          <w:color w:val="000000"/>
          <w:szCs w:val="21"/>
        </w:rPr>
      </w:pPr>
      <w:r>
        <w:rPr>
          <w:rFonts w:eastAsiaTheme="minorEastAsia"/>
          <w:color w:val="000000"/>
          <w:szCs w:val="21"/>
        </w:rPr>
        <w:t>b.省市条例；</w:t>
      </w:r>
    </w:p>
    <w:p>
      <w:pPr>
        <w:snapToGrid w:val="0"/>
        <w:ind w:firstLine="525" w:firstLineChars="250"/>
        <w:rPr>
          <w:rFonts w:eastAsiaTheme="minorEastAsia"/>
          <w:color w:val="000000"/>
          <w:szCs w:val="21"/>
        </w:rPr>
      </w:pPr>
      <w:r>
        <w:rPr>
          <w:rFonts w:eastAsiaTheme="minorEastAsia"/>
          <w:color w:val="000000"/>
          <w:szCs w:val="21"/>
        </w:rPr>
        <w:t>c.其他相关方所提出的要求。</w:t>
      </w:r>
    </w:p>
    <w:p>
      <w:pPr>
        <w:snapToGrid w:val="0"/>
        <w:ind w:firstLine="525" w:firstLineChars="250"/>
        <w:rPr>
          <w:rFonts w:eastAsiaTheme="minorEastAsia"/>
          <w:szCs w:val="21"/>
        </w:rPr>
      </w:pPr>
      <w:r>
        <w:rPr>
          <w:rFonts w:eastAsiaTheme="minorEastAsia"/>
          <w:color w:val="000000"/>
          <w:szCs w:val="21"/>
        </w:rPr>
        <w:t>6.</w:t>
      </w:r>
      <w:r>
        <w:rPr>
          <w:rFonts w:hint="eastAsia" w:eastAsiaTheme="minorEastAsia"/>
          <w:color w:val="000000"/>
          <w:szCs w:val="21"/>
        </w:rPr>
        <w:t>1</w:t>
      </w:r>
      <w:r>
        <w:rPr>
          <w:rFonts w:eastAsiaTheme="minorEastAsia"/>
          <w:color w:val="000000"/>
          <w:szCs w:val="21"/>
        </w:rPr>
        <w:t>.</w:t>
      </w:r>
      <w:r>
        <w:rPr>
          <w:rFonts w:hint="eastAsia" w:eastAsiaTheme="minorEastAsia"/>
          <w:color w:val="000000"/>
          <w:szCs w:val="21"/>
        </w:rPr>
        <w:t>3</w:t>
      </w:r>
      <w:r>
        <w:rPr>
          <w:rFonts w:eastAsiaTheme="minorEastAsia"/>
          <w:color w:val="000000"/>
          <w:szCs w:val="21"/>
        </w:rPr>
        <w:t>.3获取途径：</w:t>
      </w:r>
      <w:r>
        <w:rPr>
          <w:rFonts w:eastAsiaTheme="minorEastAsia"/>
          <w:szCs w:val="21"/>
        </w:rPr>
        <w:t>《合规义务管理制度》中确定及时有效的获得法律、法规和其他要求的途径。</w:t>
      </w:r>
    </w:p>
    <w:p>
      <w:pPr>
        <w:snapToGrid w:val="0"/>
        <w:ind w:firstLine="525" w:firstLineChars="250"/>
        <w:rPr>
          <w:rFonts w:eastAsiaTheme="minorEastAsia"/>
          <w:color w:val="000000"/>
          <w:szCs w:val="21"/>
        </w:rPr>
      </w:pPr>
      <w:r>
        <w:rPr>
          <w:rFonts w:eastAsiaTheme="minorEastAsia"/>
          <w:color w:val="000000"/>
          <w:szCs w:val="21"/>
        </w:rPr>
        <w:t>6.</w:t>
      </w:r>
      <w:r>
        <w:rPr>
          <w:rFonts w:hint="eastAsia" w:eastAsiaTheme="minorEastAsia"/>
          <w:color w:val="000000"/>
          <w:szCs w:val="21"/>
        </w:rPr>
        <w:t>1</w:t>
      </w:r>
      <w:r>
        <w:rPr>
          <w:rFonts w:eastAsiaTheme="minorEastAsia"/>
          <w:color w:val="000000"/>
          <w:szCs w:val="21"/>
        </w:rPr>
        <w:t>.</w:t>
      </w:r>
      <w:r>
        <w:rPr>
          <w:rFonts w:hint="eastAsia" w:eastAsiaTheme="minorEastAsia"/>
          <w:color w:val="000000"/>
          <w:szCs w:val="21"/>
        </w:rPr>
        <w:t>3</w:t>
      </w:r>
      <w:r>
        <w:rPr>
          <w:rFonts w:eastAsiaTheme="minorEastAsia"/>
          <w:szCs w:val="21"/>
        </w:rPr>
        <w:t>.4交流：法律、法规和其他要求的相关</w:t>
      </w:r>
      <w:r>
        <w:rPr>
          <w:rFonts w:eastAsiaTheme="minorEastAsia"/>
          <w:color w:val="000000"/>
          <w:szCs w:val="21"/>
        </w:rPr>
        <w:t>内容由环境管理者代表向相关部门传达。</w:t>
      </w:r>
    </w:p>
    <w:p>
      <w:pPr>
        <w:snapToGrid w:val="0"/>
        <w:ind w:firstLine="525" w:firstLineChars="250"/>
        <w:rPr>
          <w:rFonts w:eastAsiaTheme="minorEastAsia"/>
          <w:color w:val="000000"/>
          <w:szCs w:val="21"/>
        </w:rPr>
      </w:pPr>
      <w:r>
        <w:rPr>
          <w:rFonts w:eastAsiaTheme="minorEastAsia"/>
          <w:color w:val="000000"/>
          <w:szCs w:val="21"/>
        </w:rPr>
        <w:t>6.</w:t>
      </w:r>
      <w:r>
        <w:rPr>
          <w:rFonts w:hint="eastAsia" w:eastAsiaTheme="minorEastAsia"/>
          <w:color w:val="000000"/>
          <w:szCs w:val="21"/>
        </w:rPr>
        <w:t>1</w:t>
      </w:r>
      <w:r>
        <w:rPr>
          <w:rFonts w:eastAsiaTheme="minorEastAsia"/>
          <w:color w:val="000000"/>
          <w:szCs w:val="21"/>
        </w:rPr>
        <w:t>.</w:t>
      </w:r>
      <w:r>
        <w:rPr>
          <w:rFonts w:hint="eastAsia" w:eastAsiaTheme="minorEastAsia"/>
          <w:color w:val="000000"/>
          <w:szCs w:val="21"/>
        </w:rPr>
        <w:t>3</w:t>
      </w:r>
      <w:r>
        <w:rPr>
          <w:rFonts w:eastAsiaTheme="minorEastAsia"/>
          <w:color w:val="000000"/>
          <w:szCs w:val="21"/>
        </w:rPr>
        <w:t>.5</w:t>
      </w:r>
      <w:r>
        <w:rPr>
          <w:rFonts w:hint="eastAsia" w:eastAsiaTheme="minorEastAsia"/>
          <w:color w:val="000000"/>
          <w:szCs w:val="21"/>
          <w:lang w:eastAsia="zh-CN"/>
        </w:rPr>
        <w:t>行政办公室</w:t>
      </w:r>
      <w:r>
        <w:rPr>
          <w:rFonts w:eastAsiaTheme="minorEastAsia"/>
          <w:color w:val="000000"/>
          <w:szCs w:val="21"/>
        </w:rPr>
        <w:t>对法律、法规及其他要求的变化、更新情况进行跟踪，获取最新信息。</w:t>
      </w:r>
    </w:p>
    <w:p>
      <w:pPr>
        <w:ind w:firstLine="560"/>
        <w:rPr>
          <w:b/>
          <w:szCs w:val="21"/>
        </w:rPr>
      </w:pPr>
      <w:r>
        <w:rPr>
          <w:b/>
          <w:szCs w:val="21"/>
        </w:rPr>
        <w:t>6.</w:t>
      </w:r>
      <w:r>
        <w:rPr>
          <w:rFonts w:hint="eastAsia"/>
          <w:b/>
          <w:szCs w:val="21"/>
        </w:rPr>
        <w:t>2</w:t>
      </w:r>
      <w:r>
        <w:rPr>
          <w:b/>
          <w:szCs w:val="21"/>
        </w:rPr>
        <w:t>、质量/环境/安全</w:t>
      </w:r>
      <w:r>
        <w:rPr>
          <w:rFonts w:hint="eastAsia"/>
          <w:b/>
          <w:szCs w:val="21"/>
        </w:rPr>
        <w:t>/安全</w:t>
      </w:r>
      <w:r>
        <w:rPr>
          <w:b/>
          <w:szCs w:val="21"/>
        </w:rPr>
        <w:t>目标及其实现的策划（M2）</w:t>
      </w:r>
    </w:p>
    <w:p>
      <w:pPr>
        <w:ind w:firstLine="560"/>
        <w:rPr>
          <w:szCs w:val="21"/>
        </w:rPr>
      </w:pPr>
      <w:r>
        <w:rPr>
          <w:szCs w:val="21"/>
        </w:rPr>
        <w:t>公司在相关职能、层次、过程上建立质量/环境/安全目标。</w:t>
      </w:r>
    </w:p>
    <w:p>
      <w:pPr>
        <w:ind w:firstLine="560"/>
        <w:rPr>
          <w:szCs w:val="21"/>
        </w:rPr>
      </w:pPr>
      <w:r>
        <w:rPr>
          <w:szCs w:val="21"/>
        </w:rPr>
        <w:t>6.</w:t>
      </w:r>
      <w:r>
        <w:rPr>
          <w:rFonts w:hint="eastAsia"/>
          <w:szCs w:val="21"/>
        </w:rPr>
        <w:t>7.1</w:t>
      </w:r>
      <w:r>
        <w:rPr>
          <w:szCs w:val="21"/>
        </w:rPr>
        <w:t>质量/环境/安全目标应：</w:t>
      </w:r>
    </w:p>
    <w:p>
      <w:pPr>
        <w:ind w:firstLine="560"/>
        <w:rPr>
          <w:szCs w:val="21"/>
        </w:rPr>
      </w:pPr>
      <w:r>
        <w:rPr>
          <w:szCs w:val="21"/>
        </w:rPr>
        <w:t>a)与质量/环境/安全方针保持一致；</w:t>
      </w:r>
    </w:p>
    <w:p>
      <w:pPr>
        <w:ind w:firstLine="560"/>
        <w:rPr>
          <w:szCs w:val="21"/>
        </w:rPr>
      </w:pPr>
      <w:r>
        <w:rPr>
          <w:szCs w:val="21"/>
        </w:rPr>
        <w:t>b)与产品、服务的符合性和顾客满意相关；</w:t>
      </w:r>
    </w:p>
    <w:p>
      <w:pPr>
        <w:ind w:firstLine="560"/>
        <w:rPr>
          <w:szCs w:val="21"/>
        </w:rPr>
      </w:pPr>
      <w:r>
        <w:rPr>
          <w:szCs w:val="21"/>
        </w:rPr>
        <w:t>c)可测量（可行时) ；</w:t>
      </w:r>
    </w:p>
    <w:p>
      <w:pPr>
        <w:ind w:firstLine="560"/>
        <w:rPr>
          <w:szCs w:val="21"/>
        </w:rPr>
      </w:pPr>
      <w:r>
        <w:rPr>
          <w:szCs w:val="21"/>
        </w:rPr>
        <w:t>d)考虑适用的要求；</w:t>
      </w:r>
    </w:p>
    <w:p>
      <w:pPr>
        <w:ind w:firstLine="560"/>
        <w:rPr>
          <w:szCs w:val="21"/>
        </w:rPr>
      </w:pPr>
      <w:r>
        <w:rPr>
          <w:szCs w:val="21"/>
        </w:rPr>
        <w:t>e)得到监测；</w:t>
      </w:r>
    </w:p>
    <w:p>
      <w:pPr>
        <w:ind w:firstLine="560"/>
        <w:rPr>
          <w:szCs w:val="21"/>
        </w:rPr>
      </w:pPr>
      <w:r>
        <w:rPr>
          <w:szCs w:val="21"/>
        </w:rPr>
        <w:t>f)得到沟通；</w:t>
      </w:r>
    </w:p>
    <w:p>
      <w:pPr>
        <w:ind w:firstLine="560"/>
        <w:rPr>
          <w:szCs w:val="21"/>
        </w:rPr>
      </w:pPr>
      <w:r>
        <w:rPr>
          <w:szCs w:val="21"/>
        </w:rPr>
        <w:t>g)适当时进行更新。</w:t>
      </w:r>
    </w:p>
    <w:p>
      <w:pPr>
        <w:ind w:left="525" w:leftChars="250" w:firstLine="33" w:firstLineChars="16"/>
        <w:rPr>
          <w:szCs w:val="21"/>
        </w:rPr>
      </w:pPr>
      <w:r>
        <w:rPr>
          <w:rFonts w:hint="eastAsia"/>
          <w:szCs w:val="21"/>
        </w:rPr>
        <w:t>h)应考虑法规和组织同意的其他要求、自身的企业情况、可选择的技术方案、财务、运行和经营要求以及相关方的意见</w:t>
      </w:r>
    </w:p>
    <w:p>
      <w:pPr>
        <w:ind w:left="525" w:leftChars="250"/>
        <w:rPr>
          <w:rFonts w:hint="eastAsia"/>
          <w:color w:val="000000"/>
          <w:szCs w:val="21"/>
        </w:rPr>
      </w:pPr>
      <w:r>
        <w:t>公司建立《质量/环境/安全目标分解及考核办法》，</w:t>
      </w:r>
      <w:r>
        <w:rPr>
          <w:szCs w:val="21"/>
        </w:rPr>
        <w:t>每年度策划总体质量/环境/安全目标，并进行分解和考核。质量/环境/安全目标形成文件并每年度评审更新。</w:t>
      </w:r>
      <w:r>
        <w:rPr>
          <w:color w:val="000000"/>
          <w:szCs w:val="21"/>
        </w:rPr>
        <w:t>所设定的目标和指标，应包含有关预防的原则，并应与方针相统一。</w:t>
      </w:r>
    </w:p>
    <w:p>
      <w:pPr>
        <w:ind w:left="525" w:leftChars="250"/>
        <w:rPr>
          <w:rFonts w:hint="eastAsia"/>
          <w:color w:val="000000"/>
          <w:szCs w:val="21"/>
        </w:rPr>
      </w:pPr>
    </w:p>
    <w:p>
      <w:pPr>
        <w:ind w:left="525" w:leftChars="250"/>
        <w:rPr>
          <w:rFonts w:hint="eastAsia"/>
          <w:color w:val="000000"/>
          <w:szCs w:val="21"/>
        </w:rPr>
      </w:pPr>
    </w:p>
    <w:p>
      <w:pPr>
        <w:ind w:left="525" w:leftChars="250"/>
        <w:rPr>
          <w:rFonts w:hint="eastAsia"/>
          <w:color w:val="000000"/>
          <w:szCs w:val="21"/>
        </w:rPr>
      </w:pPr>
    </w:p>
    <w:p>
      <w:pPr>
        <w:ind w:left="525" w:leftChars="250"/>
        <w:rPr>
          <w:rFonts w:hint="eastAsia"/>
          <w:color w:val="000000"/>
          <w:szCs w:val="21"/>
        </w:rPr>
      </w:pPr>
    </w:p>
    <w:p>
      <w:pPr>
        <w:ind w:left="525" w:leftChars="250"/>
        <w:rPr>
          <w:color w:val="000000"/>
          <w:szCs w:val="21"/>
        </w:rPr>
      </w:pPr>
    </w:p>
    <w:p>
      <w:pPr>
        <w:ind w:firstLine="525" w:firstLineChars="250"/>
        <w:rPr>
          <w:rFonts w:hint="eastAsia"/>
          <w:color w:val="000000"/>
          <w:szCs w:val="21"/>
        </w:rPr>
      </w:pPr>
      <w:r>
        <w:rPr>
          <w:rFonts w:hint="eastAsia"/>
          <w:color w:val="000000"/>
          <w:szCs w:val="21"/>
        </w:rPr>
        <w:t>公司目标：</w:t>
      </w:r>
    </w:p>
    <w:tbl>
      <w:tblPr>
        <w:tblStyle w:val="22"/>
        <w:tblW w:w="3200" w:type="dxa"/>
        <w:tblInd w:w="9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eastAsia="zh-CN"/>
              </w:rPr>
              <w:t>.业主反馈处理率100%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2.业主满意度≥95分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3.合同履约率达100%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ascii="宋体" w:hAnsi="宋体" w:cs="宋体"/>
                <w:kern w:val="0"/>
                <w:sz w:val="24"/>
              </w:rPr>
            </w:pPr>
            <w:r>
              <w:rPr>
                <w:rFonts w:hint="eastAsia" w:ascii="宋体" w:hAnsi="宋体" w:cs="宋体"/>
                <w:kern w:val="0"/>
                <w:sz w:val="24"/>
              </w:rPr>
              <w:t>4.重大质量、安全事故为零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5.服务噪声、粉尘、污水排放无投诉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hint="default" w:ascii="宋体" w:hAnsi="宋体" w:cs="宋体"/>
                <w:kern w:val="0"/>
                <w:sz w:val="24"/>
                <w:lang w:val="en-US" w:eastAsia="zh-CN"/>
              </w:rPr>
            </w:pPr>
            <w:r>
              <w:rPr>
                <w:rFonts w:hint="eastAsia" w:ascii="宋体" w:hAnsi="宋体" w:cs="宋体"/>
                <w:kern w:val="0"/>
                <w:sz w:val="24"/>
                <w:lang w:val="en-US" w:eastAsia="zh-CN"/>
              </w:rPr>
              <w:t>6.固体废弃物（含危废）有效处置率≥95%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hint="default" w:ascii="宋体" w:hAnsi="宋体" w:cs="宋体"/>
                <w:kern w:val="0"/>
                <w:sz w:val="24"/>
                <w:lang w:val="en-US" w:eastAsia="zh-CN"/>
              </w:rPr>
            </w:pPr>
            <w:r>
              <w:rPr>
                <w:rFonts w:hint="eastAsia" w:ascii="宋体" w:hAnsi="宋体" w:cs="宋体"/>
                <w:kern w:val="0"/>
                <w:sz w:val="24"/>
                <w:lang w:val="en-US" w:eastAsia="zh-CN"/>
              </w:rPr>
              <w:t>7.重大安全事故为0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200" w:type="dxa"/>
            <w:shd w:val="clear" w:color="auto" w:fill="auto"/>
            <w:vAlign w:val="center"/>
          </w:tcPr>
          <w:p>
            <w:pPr>
              <w:widowControl/>
              <w:jc w:val="left"/>
              <w:rPr>
                <w:rFonts w:hint="default" w:ascii="宋体" w:hAnsi="宋体" w:cs="宋体"/>
                <w:kern w:val="0"/>
                <w:sz w:val="24"/>
                <w:lang w:val="en-US" w:eastAsia="zh-CN"/>
              </w:rPr>
            </w:pPr>
            <w:r>
              <w:rPr>
                <w:rFonts w:hint="eastAsia" w:ascii="宋体" w:hAnsi="宋体" w:cs="宋体"/>
                <w:kern w:val="0"/>
                <w:sz w:val="24"/>
                <w:lang w:val="en-US" w:eastAsia="zh-CN"/>
              </w:rPr>
              <w:t>8.火灾爆炸事故为0</w:t>
            </w:r>
          </w:p>
        </w:tc>
      </w:tr>
    </w:tbl>
    <w:p>
      <w:pPr>
        <w:ind w:firstLine="525" w:firstLineChars="250"/>
        <w:rPr>
          <w:rFonts w:eastAsiaTheme="minorEastAsia"/>
          <w:color w:val="000000"/>
          <w:szCs w:val="21"/>
        </w:rPr>
      </w:pPr>
      <w:r>
        <w:rPr>
          <w:rFonts w:eastAsiaTheme="minorEastAsia"/>
          <w:color w:val="000000"/>
          <w:szCs w:val="21"/>
        </w:rPr>
        <w:t>6.</w:t>
      </w:r>
      <w:r>
        <w:rPr>
          <w:rFonts w:hint="eastAsia" w:eastAsiaTheme="minorEastAsia"/>
          <w:color w:val="000000"/>
          <w:szCs w:val="21"/>
        </w:rPr>
        <w:t>2</w:t>
      </w:r>
      <w:r>
        <w:rPr>
          <w:rFonts w:eastAsiaTheme="minorEastAsia"/>
          <w:color w:val="000000"/>
          <w:szCs w:val="21"/>
        </w:rPr>
        <w:t>.2环境</w:t>
      </w:r>
      <w:r>
        <w:rPr>
          <w:rFonts w:hint="eastAsia" w:eastAsiaTheme="minorEastAsia"/>
          <w:color w:val="000000"/>
          <w:szCs w:val="21"/>
        </w:rPr>
        <w:t>、安全</w:t>
      </w:r>
      <w:r>
        <w:rPr>
          <w:rFonts w:eastAsiaTheme="minorEastAsia"/>
          <w:color w:val="000000"/>
          <w:szCs w:val="21"/>
        </w:rPr>
        <w:t>管理方案</w:t>
      </w:r>
    </w:p>
    <w:p>
      <w:pPr>
        <w:snapToGrid w:val="0"/>
        <w:ind w:left="525" w:leftChars="250"/>
        <w:rPr>
          <w:color w:val="000000"/>
          <w:szCs w:val="21"/>
        </w:rPr>
      </w:pPr>
      <w:r>
        <w:rPr>
          <w:rFonts w:eastAsiaTheme="minorEastAsia"/>
          <w:color w:val="000000"/>
          <w:szCs w:val="21"/>
        </w:rPr>
        <w:t>公司建立并保持《</w:t>
      </w:r>
      <w:r>
        <w:rPr>
          <w:color w:val="000000"/>
          <w:szCs w:val="21"/>
        </w:rPr>
        <w:t>目标、指标和方案</w:t>
      </w:r>
      <w:r>
        <w:rPr>
          <w:rFonts w:eastAsiaTheme="minorEastAsia"/>
          <w:color w:val="000000"/>
          <w:szCs w:val="21"/>
        </w:rPr>
        <w:t>管理制度</w:t>
      </w:r>
      <w:r>
        <w:rPr>
          <w:color w:val="000000"/>
          <w:szCs w:val="21"/>
        </w:rPr>
        <w:t>》规定了制定环境</w:t>
      </w:r>
      <w:r>
        <w:rPr>
          <w:rFonts w:hint="eastAsia"/>
          <w:color w:val="000000"/>
          <w:szCs w:val="21"/>
        </w:rPr>
        <w:t>，安全</w:t>
      </w:r>
      <w:r>
        <w:rPr>
          <w:color w:val="000000"/>
          <w:szCs w:val="21"/>
        </w:rPr>
        <w:t>管理方案，方案中应包括以下事项:</w:t>
      </w:r>
    </w:p>
    <w:p>
      <w:pPr>
        <w:snapToGrid w:val="0"/>
        <w:ind w:left="141" w:leftChars="67" w:firstLine="420" w:firstLineChars="200"/>
        <w:rPr>
          <w:color w:val="000000"/>
          <w:szCs w:val="21"/>
        </w:rPr>
      </w:pPr>
      <w:r>
        <w:rPr>
          <w:rFonts w:eastAsiaTheme="minorEastAsia"/>
          <w:color w:val="000000"/>
          <w:szCs w:val="21"/>
        </w:rPr>
        <w:t>a)</w:t>
      </w:r>
      <w:r>
        <w:rPr>
          <w:color w:val="000000"/>
          <w:szCs w:val="21"/>
        </w:rPr>
        <w:t>环境</w:t>
      </w:r>
      <w:r>
        <w:rPr>
          <w:rFonts w:hint="eastAsia"/>
          <w:color w:val="000000"/>
          <w:szCs w:val="21"/>
        </w:rPr>
        <w:t>，安全</w:t>
      </w:r>
      <w:r>
        <w:rPr>
          <w:color w:val="000000"/>
          <w:szCs w:val="21"/>
        </w:rPr>
        <w:t>管理方案应明确实现环境</w:t>
      </w:r>
      <w:r>
        <w:rPr>
          <w:rFonts w:hint="eastAsia"/>
          <w:color w:val="000000"/>
          <w:szCs w:val="21"/>
        </w:rPr>
        <w:t>及安全</w:t>
      </w:r>
      <w:r>
        <w:rPr>
          <w:color w:val="000000"/>
          <w:szCs w:val="21"/>
        </w:rPr>
        <w:t>目标和指标过程中公司个相关部门和层次人员的职责；</w:t>
      </w:r>
    </w:p>
    <w:p>
      <w:pPr>
        <w:snapToGrid w:val="0"/>
        <w:ind w:firstLine="525" w:firstLineChars="250"/>
        <w:rPr>
          <w:color w:val="000000"/>
          <w:szCs w:val="21"/>
        </w:rPr>
      </w:pPr>
      <w:r>
        <w:rPr>
          <w:rFonts w:eastAsiaTheme="minorEastAsia"/>
          <w:color w:val="000000"/>
          <w:szCs w:val="21"/>
        </w:rPr>
        <w:t>b)</w:t>
      </w:r>
      <w:r>
        <w:rPr>
          <w:color w:val="000000"/>
          <w:szCs w:val="21"/>
        </w:rPr>
        <w:t>管理方案应包括实现目标和指标的方法及时间要求。</w:t>
      </w:r>
    </w:p>
    <w:p>
      <w:pPr>
        <w:snapToGrid w:val="0"/>
        <w:ind w:firstLine="525" w:firstLineChars="250"/>
        <w:rPr>
          <w:color w:val="000000"/>
          <w:szCs w:val="21"/>
        </w:rPr>
      </w:pPr>
      <w:r>
        <w:rPr>
          <w:rFonts w:eastAsiaTheme="minorEastAsia"/>
          <w:color w:val="000000"/>
          <w:szCs w:val="21"/>
        </w:rPr>
        <w:t>c)</w:t>
      </w:r>
      <w:r>
        <w:rPr>
          <w:color w:val="000000"/>
          <w:szCs w:val="21"/>
        </w:rPr>
        <w:t>如在活动时间内，本公司活动及产品上发生变化影响到管理方案的实施时，则根据需要进行修改。</w:t>
      </w:r>
    </w:p>
    <w:p>
      <w:pPr>
        <w:snapToGrid w:val="0"/>
        <w:ind w:left="525" w:leftChars="250"/>
        <w:rPr>
          <w:rFonts w:eastAsiaTheme="minorEastAsia"/>
          <w:color w:val="000000"/>
          <w:szCs w:val="21"/>
        </w:rPr>
      </w:pPr>
      <w:r>
        <w:rPr>
          <w:color w:val="000000"/>
          <w:szCs w:val="21"/>
        </w:rPr>
        <w:t>各部门根据本公司的环境目标和指标及《目标、指标和方案</w:t>
      </w:r>
      <w:r>
        <w:rPr>
          <w:rFonts w:eastAsiaTheme="minorEastAsia"/>
          <w:color w:val="000000"/>
          <w:szCs w:val="21"/>
        </w:rPr>
        <w:t>管理制度</w:t>
      </w:r>
      <w:r>
        <w:rPr>
          <w:color w:val="000000"/>
          <w:szCs w:val="21"/>
        </w:rPr>
        <w:t>》，实施与本部门有关的环境管理方案。</w:t>
      </w:r>
    </w:p>
    <w:p>
      <w:pPr>
        <w:snapToGrid w:val="0"/>
        <w:ind w:firstLine="525" w:firstLineChars="250"/>
        <w:rPr>
          <w:rFonts w:eastAsiaTheme="minorEastAsia"/>
          <w:color w:val="000000"/>
          <w:szCs w:val="21"/>
        </w:rPr>
      </w:pPr>
      <w:r>
        <w:rPr>
          <w:color w:val="000000"/>
          <w:szCs w:val="21"/>
        </w:rPr>
        <w:t>管理方案应随着公司活动、业务的改变作必要的更改，以适应这些变化。</w:t>
      </w:r>
    </w:p>
    <w:p>
      <w:pPr>
        <w:snapToGrid w:val="0"/>
        <w:ind w:firstLine="525" w:firstLineChars="250"/>
        <w:rPr>
          <w:rFonts w:eastAsiaTheme="minorEastAsia"/>
          <w:color w:val="000000"/>
          <w:szCs w:val="21"/>
        </w:rPr>
      </w:pPr>
      <w:r>
        <w:rPr>
          <w:szCs w:val="21"/>
        </w:rPr>
        <w:t>在策划目标的实现时，公司要确定目标与分解指标、需求资源、负责人员、完成时间、评价方法等。</w:t>
      </w:r>
    </w:p>
    <w:p>
      <w:pPr>
        <w:ind w:firstLine="560"/>
        <w:rPr>
          <w:b/>
          <w:szCs w:val="21"/>
        </w:rPr>
      </w:pPr>
      <w:r>
        <w:rPr>
          <w:b/>
          <w:szCs w:val="21"/>
        </w:rPr>
        <w:t>6.</w:t>
      </w:r>
      <w:r>
        <w:rPr>
          <w:rFonts w:hint="eastAsia"/>
          <w:b/>
          <w:szCs w:val="21"/>
        </w:rPr>
        <w:t>3</w:t>
      </w:r>
      <w:r>
        <w:rPr>
          <w:b/>
          <w:szCs w:val="21"/>
        </w:rPr>
        <w:t>变更的策划</w:t>
      </w:r>
    </w:p>
    <w:p>
      <w:pPr>
        <w:ind w:firstLine="560"/>
        <w:rPr>
          <w:szCs w:val="21"/>
        </w:rPr>
      </w:pPr>
      <w:r>
        <w:rPr>
          <w:szCs w:val="21"/>
        </w:rPr>
        <w:t>公司要确定变更的需求和机会，以保持和改进质量/环境/安全管理体系绩效。</w:t>
      </w:r>
    </w:p>
    <w:p>
      <w:pPr>
        <w:ind w:firstLine="560"/>
        <w:rPr>
          <w:szCs w:val="21"/>
        </w:rPr>
      </w:pPr>
      <w:r>
        <w:rPr>
          <w:szCs w:val="21"/>
        </w:rPr>
        <w:t>公司要有计划、系统地进行变更，识别风险和机遇，并评价变更的潜在后果。</w:t>
      </w:r>
    </w:p>
    <w:p>
      <w:pPr>
        <w:ind w:firstLine="560"/>
        <w:rPr>
          <w:szCs w:val="21"/>
        </w:rPr>
      </w:pPr>
      <w:r>
        <w:rPr>
          <w:szCs w:val="21"/>
        </w:rPr>
        <w:t>确保更改目的及潜在后果，质量/环境/安全管理体系的完整性，资源的可获得，责任和权限的分配。</w:t>
      </w:r>
    </w:p>
    <w:p>
      <w:pPr>
        <w:ind w:firstLine="560"/>
        <w:rPr>
          <w:b/>
          <w:szCs w:val="21"/>
        </w:rPr>
      </w:pPr>
      <w:r>
        <w:rPr>
          <w:b/>
          <w:szCs w:val="21"/>
        </w:rPr>
        <w:t>7支持</w:t>
      </w:r>
    </w:p>
    <w:p>
      <w:pPr>
        <w:ind w:firstLine="560"/>
        <w:rPr>
          <w:b/>
          <w:szCs w:val="21"/>
        </w:rPr>
      </w:pPr>
      <w:r>
        <w:rPr>
          <w:b/>
          <w:szCs w:val="21"/>
        </w:rPr>
        <w:t>7.1资源</w:t>
      </w:r>
    </w:p>
    <w:p>
      <w:pPr>
        <w:ind w:firstLine="560"/>
        <w:rPr>
          <w:szCs w:val="21"/>
        </w:rPr>
      </w:pPr>
      <w:r>
        <w:rPr>
          <w:szCs w:val="21"/>
        </w:rPr>
        <w:t>7.1.1总则</w:t>
      </w:r>
    </w:p>
    <w:p>
      <w:pPr>
        <w:ind w:left="525" w:leftChars="250" w:firstLine="33" w:firstLineChars="16"/>
        <w:rPr>
          <w:szCs w:val="21"/>
        </w:rPr>
      </w:pPr>
      <w:r>
        <w:rPr>
          <w:szCs w:val="21"/>
        </w:rPr>
        <w:t>公司要确定、提供为建立、实施、保持和改进质量/环境/安全管理体系所需的资源。并考虑现有的资源、能力、局限及外部提供的产品和服务。</w:t>
      </w:r>
    </w:p>
    <w:p>
      <w:pPr>
        <w:ind w:firstLine="560"/>
        <w:rPr>
          <w:szCs w:val="21"/>
        </w:rPr>
      </w:pPr>
      <w:r>
        <w:rPr>
          <w:szCs w:val="21"/>
        </w:rPr>
        <w:t>7.1.2人员</w:t>
      </w:r>
    </w:p>
    <w:p>
      <w:pPr>
        <w:spacing w:line="360" w:lineRule="auto"/>
        <w:ind w:left="525" w:leftChars="250"/>
        <w:rPr>
          <w:rFonts w:eastAsia="黑体"/>
          <w:bCs/>
          <w:kern w:val="0"/>
        </w:rPr>
      </w:pPr>
      <w:r>
        <w:rPr>
          <w:szCs w:val="21"/>
        </w:rPr>
        <w:t>公司</w:t>
      </w:r>
      <w:r>
        <w:rPr>
          <w:rFonts w:hint="eastAsia"/>
          <w:szCs w:val="21"/>
        </w:rPr>
        <w:t>相关</w:t>
      </w:r>
      <w:r>
        <w:rPr>
          <w:rFonts w:hint="eastAsia"/>
        </w:rPr>
        <w:t>制度</w:t>
      </w:r>
      <w:r>
        <w:rPr>
          <w:rFonts w:eastAsia="黑体"/>
          <w:bCs/>
          <w:kern w:val="0"/>
        </w:rPr>
        <w:t>，</w:t>
      </w:r>
      <w:r>
        <w:rPr>
          <w:szCs w:val="21"/>
        </w:rPr>
        <w:t>通过人力资源规划和人员岗位的确定及编制，确定并提供有效实施质量/环境/安全管理体系并运行和控制其过程所需要的人员。</w:t>
      </w:r>
    </w:p>
    <w:p>
      <w:pPr>
        <w:ind w:firstLine="560"/>
        <w:rPr>
          <w:szCs w:val="21"/>
        </w:rPr>
      </w:pPr>
      <w:r>
        <w:rPr>
          <w:szCs w:val="21"/>
        </w:rPr>
        <w:t>7.1.3基础设施(S1)</w:t>
      </w:r>
    </w:p>
    <w:p>
      <w:pPr>
        <w:ind w:left="525" w:leftChars="250" w:firstLine="33" w:firstLineChars="16"/>
        <w:rPr>
          <w:szCs w:val="21"/>
        </w:rPr>
      </w:pPr>
      <w:r>
        <w:rPr>
          <w:szCs w:val="21"/>
        </w:rPr>
        <w:t>公司建立确定、提供和维护其运行和确保产品、服务符合性和顾客满意所需的基础设施。包括办公场所和相关的硬件设施、设备（包括</w:t>
      </w:r>
      <w:r>
        <w:rPr>
          <w:rFonts w:hint="eastAsia"/>
          <w:szCs w:val="21"/>
          <w:lang w:eastAsia="zh-CN"/>
        </w:rPr>
        <w:t>服务开展所需的各种设备</w:t>
      </w:r>
      <w:r>
        <w:rPr>
          <w:szCs w:val="21"/>
        </w:rPr>
        <w:t>）、运输、通讯和信息系统等。</w:t>
      </w:r>
    </w:p>
    <w:p>
      <w:pPr>
        <w:ind w:firstLine="560"/>
        <w:rPr>
          <w:szCs w:val="21"/>
        </w:rPr>
      </w:pPr>
      <w:r>
        <w:rPr>
          <w:szCs w:val="21"/>
        </w:rPr>
        <w:t>7.1.4过程环境（S2）</w:t>
      </w:r>
    </w:p>
    <w:p>
      <w:pPr>
        <w:ind w:left="525" w:leftChars="250" w:firstLine="33" w:firstLineChars="16"/>
        <w:rPr>
          <w:szCs w:val="21"/>
        </w:rPr>
      </w:pPr>
      <w:r>
        <w:rPr>
          <w:szCs w:val="21"/>
        </w:rPr>
        <w:t>为满足国家规范标准的要求、顾客要求、管理体系的要求、过程控制要求及公司内部管理的要求，公司要确定、提供和维护其运行和确保产品、服务符合性和顾客满意所需的过程环境，包括温度、照明、个人情感、卫生等物理的、社会的、心理的和环境的因素。</w:t>
      </w:r>
    </w:p>
    <w:p>
      <w:pPr>
        <w:ind w:firstLine="560"/>
        <w:rPr>
          <w:szCs w:val="21"/>
        </w:rPr>
      </w:pPr>
      <w:r>
        <w:rPr>
          <w:szCs w:val="21"/>
        </w:rPr>
        <w:t>7.1.5监视和测量资源（S3）</w:t>
      </w:r>
    </w:p>
    <w:p>
      <w:pPr>
        <w:ind w:firstLine="560"/>
        <w:rPr>
          <w:szCs w:val="21"/>
        </w:rPr>
      </w:pPr>
      <w:r>
        <w:rPr>
          <w:szCs w:val="21"/>
        </w:rPr>
        <w:t>7.1.5.1总则</w:t>
      </w:r>
    </w:p>
    <w:p>
      <w:pPr>
        <w:ind w:left="525" w:leftChars="250" w:firstLine="33" w:firstLineChars="16"/>
        <w:rPr>
          <w:szCs w:val="21"/>
        </w:rPr>
      </w:pPr>
      <w:r>
        <w:rPr>
          <w:szCs w:val="21"/>
        </w:rPr>
        <w:t>公司确定、提供和维护用于验证产品符合性所需的监视和测量资源，并确保监视和测量资源满足使用要求。</w:t>
      </w:r>
    </w:p>
    <w:p>
      <w:pPr>
        <w:ind w:firstLine="560"/>
        <w:rPr>
          <w:szCs w:val="21"/>
        </w:rPr>
      </w:pPr>
      <w:r>
        <w:rPr>
          <w:szCs w:val="21"/>
        </w:rPr>
        <w:t>a)适合特定类型的监视和测量活动；</w:t>
      </w:r>
    </w:p>
    <w:p>
      <w:pPr>
        <w:ind w:firstLine="560"/>
        <w:rPr>
          <w:szCs w:val="21"/>
        </w:rPr>
      </w:pPr>
      <w:r>
        <w:rPr>
          <w:szCs w:val="21"/>
        </w:rPr>
        <w:t>b)得到适当的维护，以确保持续适合其用途。</w:t>
      </w:r>
    </w:p>
    <w:p>
      <w:pPr>
        <w:ind w:left="525" w:leftChars="250" w:firstLine="33" w:firstLineChars="16"/>
        <w:rPr>
          <w:szCs w:val="21"/>
        </w:rPr>
      </w:pPr>
      <w:r>
        <w:rPr>
          <w:szCs w:val="21"/>
        </w:rPr>
        <w:t>监视和测量资源可包括测量设备和评价方法（例如：调查问卷），公司要定期对监视和测量设备能满足使用要求的状态进行评审，并提供形成文件信息的证据。</w:t>
      </w:r>
    </w:p>
    <w:p>
      <w:pPr>
        <w:ind w:firstLine="560"/>
        <w:rPr>
          <w:szCs w:val="21"/>
        </w:rPr>
      </w:pPr>
      <w:r>
        <w:rPr>
          <w:szCs w:val="21"/>
        </w:rPr>
        <w:t>7.1.5.2测量溯源</w:t>
      </w:r>
    </w:p>
    <w:p>
      <w:pPr>
        <w:ind w:firstLine="560"/>
        <w:rPr>
          <w:szCs w:val="21"/>
        </w:rPr>
      </w:pPr>
      <w:r>
        <w:rPr>
          <w:szCs w:val="21"/>
        </w:rPr>
        <w:t>当要求测量溯源时，或公司认为测量溯源是信任测量结果有效的重要要素，则测量设备应：</w:t>
      </w:r>
    </w:p>
    <w:p>
      <w:pPr>
        <w:ind w:left="525" w:leftChars="250" w:firstLine="33" w:firstLineChars="16"/>
        <w:rPr>
          <w:szCs w:val="21"/>
        </w:rPr>
      </w:pPr>
      <w:r>
        <w:rPr>
          <w:szCs w:val="21"/>
        </w:rPr>
        <w:t>a)对照能溯源到国际或国家标准的测量标准，按照规定的时间间隔或在使用前进行校准和（或）检定（验证），当不存在上述标准时，应保留作为校准或检定（验证）依据的形成文件的信息；</w:t>
      </w:r>
    </w:p>
    <w:p>
      <w:pPr>
        <w:ind w:firstLine="560"/>
        <w:rPr>
          <w:szCs w:val="21"/>
        </w:rPr>
      </w:pPr>
      <w:r>
        <w:rPr>
          <w:szCs w:val="21"/>
        </w:rPr>
        <w:t>b)具有标识，以确定其校准状态；</w:t>
      </w:r>
    </w:p>
    <w:p>
      <w:pPr>
        <w:ind w:firstLine="560"/>
        <w:rPr>
          <w:szCs w:val="21"/>
        </w:rPr>
      </w:pPr>
      <w:r>
        <w:rPr>
          <w:szCs w:val="21"/>
        </w:rPr>
        <w:t>c)予以保护，防止可能使校准状态和随后的测量结果失效的调整、损坏或退化。</w:t>
      </w:r>
    </w:p>
    <w:p>
      <w:pPr>
        <w:ind w:left="525" w:leftChars="250" w:firstLine="33" w:firstLineChars="16"/>
        <w:rPr>
          <w:szCs w:val="21"/>
        </w:rPr>
      </w:pPr>
      <w:r>
        <w:rPr>
          <w:szCs w:val="21"/>
        </w:rPr>
        <w:t>当发现测量设备不符合预期用途时，公司要确定以往测量结果的有效性是否受到不利影响，并采取适当的必要措施。</w:t>
      </w:r>
    </w:p>
    <w:p>
      <w:pPr>
        <w:ind w:firstLine="560"/>
        <w:rPr>
          <w:szCs w:val="21"/>
        </w:rPr>
      </w:pPr>
      <w:r>
        <w:rPr>
          <w:szCs w:val="21"/>
        </w:rPr>
        <w:t>7.1.6知识（S4）</w:t>
      </w:r>
    </w:p>
    <w:p>
      <w:pPr>
        <w:ind w:left="525" w:leftChars="250" w:firstLine="33" w:firstLineChars="16"/>
        <w:rPr>
          <w:szCs w:val="21"/>
        </w:rPr>
      </w:pPr>
      <w:r>
        <w:rPr>
          <w:szCs w:val="21"/>
        </w:rPr>
        <w:t>公司建立</w:t>
      </w:r>
      <w:r>
        <w:rPr>
          <w:rFonts w:hint="eastAsia"/>
          <w:szCs w:val="21"/>
        </w:rPr>
        <w:t>相关制度</w:t>
      </w:r>
      <w:r>
        <w:rPr>
          <w:szCs w:val="21"/>
        </w:rPr>
        <w:t>确定质量/环境/安全管理体系运行、过程、确保产品和服务符合性及顾客满意所需的知识。这些知识应得到保持、保护、需要时便于获取。</w:t>
      </w:r>
    </w:p>
    <w:p>
      <w:pPr>
        <w:ind w:firstLine="560"/>
        <w:rPr>
          <w:szCs w:val="21"/>
        </w:rPr>
      </w:pPr>
      <w:r>
        <w:rPr>
          <w:szCs w:val="21"/>
        </w:rPr>
        <w:t>在应对变化的需求和趋势时，公司要考虑现有的知识基础，确定如何获取必需的更多知识。</w:t>
      </w:r>
    </w:p>
    <w:p>
      <w:pPr>
        <w:ind w:firstLine="560"/>
        <w:rPr>
          <w:szCs w:val="21"/>
        </w:rPr>
      </w:pPr>
      <w:r>
        <w:rPr>
          <w:szCs w:val="21"/>
        </w:rPr>
        <w:t>a)质量/环境/安全管理体系运行所需的知识；</w:t>
      </w:r>
    </w:p>
    <w:p>
      <w:pPr>
        <w:ind w:firstLine="560"/>
        <w:rPr>
          <w:szCs w:val="21"/>
        </w:rPr>
      </w:pPr>
      <w:r>
        <w:rPr>
          <w:szCs w:val="21"/>
        </w:rPr>
        <w:t>b)过程所需的知识；</w:t>
      </w:r>
    </w:p>
    <w:p>
      <w:pPr>
        <w:ind w:firstLine="560"/>
        <w:rPr>
          <w:szCs w:val="21"/>
        </w:rPr>
      </w:pPr>
      <w:r>
        <w:rPr>
          <w:szCs w:val="21"/>
        </w:rPr>
        <w:t>c)确保产品和服务符合性所需的知识；</w:t>
      </w:r>
    </w:p>
    <w:p>
      <w:pPr>
        <w:ind w:firstLine="560"/>
        <w:rPr>
          <w:szCs w:val="21"/>
        </w:rPr>
      </w:pPr>
      <w:r>
        <w:rPr>
          <w:szCs w:val="21"/>
        </w:rPr>
        <w:t>d)顾客满意所需的知识；</w:t>
      </w:r>
    </w:p>
    <w:p>
      <w:pPr>
        <w:ind w:firstLine="560"/>
        <w:rPr>
          <w:szCs w:val="21"/>
        </w:rPr>
      </w:pPr>
      <w:r>
        <w:rPr>
          <w:szCs w:val="21"/>
        </w:rPr>
        <w:t>e)员工岗位技能所需的知识；</w:t>
      </w:r>
    </w:p>
    <w:p>
      <w:pPr>
        <w:ind w:firstLine="560"/>
        <w:rPr>
          <w:szCs w:val="21"/>
        </w:rPr>
      </w:pPr>
      <w:r>
        <w:rPr>
          <w:szCs w:val="21"/>
        </w:rPr>
        <w:t>f)体系变化时，评估所需更多的知识。</w:t>
      </w:r>
    </w:p>
    <w:p>
      <w:pPr>
        <w:ind w:firstLine="560"/>
        <w:rPr>
          <w:b/>
          <w:szCs w:val="21"/>
        </w:rPr>
      </w:pPr>
      <w:r>
        <w:rPr>
          <w:b/>
          <w:szCs w:val="21"/>
        </w:rPr>
        <w:t>7.2能力（S5）</w:t>
      </w:r>
    </w:p>
    <w:p>
      <w:pPr>
        <w:ind w:firstLine="560"/>
        <w:rPr>
          <w:szCs w:val="21"/>
        </w:rPr>
      </w:pPr>
      <w:r>
        <w:rPr>
          <w:szCs w:val="21"/>
        </w:rPr>
        <w:t>公司要：</w:t>
      </w:r>
    </w:p>
    <w:p>
      <w:pPr>
        <w:ind w:firstLine="560"/>
        <w:rPr>
          <w:szCs w:val="21"/>
        </w:rPr>
      </w:pPr>
      <w:r>
        <w:rPr>
          <w:szCs w:val="21"/>
        </w:rPr>
        <w:t>a)确定在公司控制下从事影响质量/环境/安全绩效工作的人员所必要的能力；</w:t>
      </w:r>
    </w:p>
    <w:p>
      <w:pPr>
        <w:ind w:firstLine="560"/>
        <w:rPr>
          <w:szCs w:val="21"/>
        </w:rPr>
      </w:pPr>
      <w:r>
        <w:rPr>
          <w:szCs w:val="21"/>
        </w:rPr>
        <w:t>b)基于适当的教育、培训和经验，确保这些人员是胜任的；</w:t>
      </w:r>
    </w:p>
    <w:p>
      <w:pPr>
        <w:ind w:left="525" w:leftChars="250" w:firstLine="33" w:firstLineChars="16"/>
        <w:rPr>
          <w:szCs w:val="21"/>
        </w:rPr>
      </w:pPr>
      <w:r>
        <w:rPr>
          <w:szCs w:val="21"/>
        </w:rPr>
        <w:t>c)适用时，采取措施以获取必要的能力，并评价这些措施的有效性；这些措施可包括，例如提供培训、辅导、重新分配任务、招聘胜任的人员等。</w:t>
      </w:r>
    </w:p>
    <w:p>
      <w:pPr>
        <w:ind w:firstLine="560"/>
        <w:rPr>
          <w:szCs w:val="21"/>
        </w:rPr>
      </w:pPr>
      <w:r>
        <w:rPr>
          <w:szCs w:val="21"/>
        </w:rPr>
        <w:t>d)保持形成文件的信息，以提供能力的证据。</w:t>
      </w:r>
    </w:p>
    <w:p>
      <w:pPr>
        <w:ind w:firstLine="560"/>
        <w:rPr>
          <w:b/>
          <w:szCs w:val="21"/>
        </w:rPr>
      </w:pPr>
      <w:r>
        <w:rPr>
          <w:b/>
          <w:szCs w:val="21"/>
        </w:rPr>
        <w:t>7.3意识（S6）</w:t>
      </w:r>
    </w:p>
    <w:p>
      <w:pPr>
        <w:ind w:left="525" w:leftChars="250" w:firstLine="33" w:firstLineChars="16"/>
        <w:rPr>
          <w:szCs w:val="21"/>
        </w:rPr>
      </w:pPr>
      <w:r>
        <w:rPr>
          <w:szCs w:val="21"/>
        </w:rPr>
        <w:t>公司通过教育培训、公开宣传、设定岗位职责等措施，使公司的全体工作人员均要意识到质量/环境/安全方针；相关的质量/环境/安全目标；他们对质量/环境/安全管理体系有效性的贡献，包括改进质量/环境/安全绩效的益处；偏离质量/环境/安全管理体系要求的后果。</w:t>
      </w:r>
    </w:p>
    <w:p>
      <w:pPr>
        <w:ind w:firstLine="560"/>
        <w:rPr>
          <w:b/>
          <w:szCs w:val="21"/>
        </w:rPr>
      </w:pPr>
      <w:r>
        <w:rPr>
          <w:b/>
          <w:szCs w:val="21"/>
        </w:rPr>
        <w:t>7.4沟通/信息交流（S7）</w:t>
      </w:r>
    </w:p>
    <w:p>
      <w:pPr>
        <w:ind w:left="559" w:leftChars="266"/>
        <w:rPr>
          <w:szCs w:val="21"/>
        </w:rPr>
      </w:pPr>
      <w:r>
        <w:rPr>
          <w:szCs w:val="21"/>
        </w:rPr>
        <w:t>公司建立《信息交流管理制度》，对与质量/环境/安全管理体系相关的内外部沟通的需求进行管理。管理的内容包括：信息交流的种类、性质和职责，信息交流的时机、对象、内容和方式。</w:t>
      </w:r>
    </w:p>
    <w:p>
      <w:pPr>
        <w:ind w:left="525" w:leftChars="250" w:firstLine="33" w:firstLineChars="16"/>
      </w:pPr>
      <w:r>
        <w:rPr>
          <w:szCs w:val="21"/>
        </w:rPr>
        <w:t>交流内容：</w:t>
      </w:r>
      <w:r>
        <w:t>法津、法规等对质量、环境，安全的要求，外部相关方的质量、环境，安全要求信息，有关化学物质的毒性、安全资料，公司的质量、环境，安全方针、质量目标、环境，安全目标和指针、环境，安全管理方案，公司质量、环境，安全体系的监测、审核、管理评审的结果，产品质量信息，顾客相关投诉，公司的质量、环境，安全绩效及质量、环境，安全改进情况，质量、环境，安全事故等一切与质量管理、环境，安全管理相关的信息</w:t>
      </w:r>
      <w:r>
        <w:rPr>
          <w:rFonts w:hint="eastAsia"/>
        </w:rPr>
        <w:t>，</w:t>
      </w:r>
      <w:r>
        <w:t>均可作为交流的内容。</w:t>
      </w:r>
    </w:p>
    <w:p>
      <w:pPr>
        <w:spacing w:line="400" w:lineRule="atLeast"/>
        <w:ind w:firstLine="525" w:firstLineChars="250"/>
      </w:pPr>
      <w:r>
        <w:rPr>
          <w:rFonts w:hint="eastAsia"/>
        </w:rPr>
        <w:t>应确保员工对职业健康体系的参与，通过：</w:t>
      </w:r>
    </w:p>
    <w:p>
      <w:pPr>
        <w:spacing w:line="400" w:lineRule="atLeast"/>
        <w:ind w:firstLine="480"/>
      </w:pPr>
      <w:r>
        <w:rPr>
          <w:rFonts w:hint="eastAsia"/>
        </w:rPr>
        <w:t>——适当的参与危险源识别，风险评价和确定控制措施；</w:t>
      </w:r>
    </w:p>
    <w:p>
      <w:pPr>
        <w:spacing w:line="400" w:lineRule="atLeast"/>
        <w:ind w:firstLine="480"/>
      </w:pPr>
      <w:r>
        <w:rPr>
          <w:rFonts w:hint="eastAsia"/>
        </w:rPr>
        <w:t>——适当的参与事件调查；</w:t>
      </w:r>
    </w:p>
    <w:p>
      <w:pPr>
        <w:spacing w:line="400" w:lineRule="atLeast"/>
        <w:ind w:firstLine="420" w:firstLineChars="200"/>
      </w:pPr>
      <w:r>
        <w:rPr>
          <w:rFonts w:hint="eastAsia"/>
        </w:rPr>
        <w:t>——参与风险管理方针和程序的制定和评审；</w:t>
      </w:r>
    </w:p>
    <w:p>
      <w:pPr>
        <w:spacing w:line="400" w:lineRule="atLeast"/>
        <w:ind w:firstLine="420" w:firstLineChars="200"/>
      </w:pPr>
      <w:r>
        <w:rPr>
          <w:rFonts w:hint="eastAsia"/>
        </w:rPr>
        <w:t>——参与商讨影响工作场所职业健康安全的任何变化；</w:t>
      </w:r>
    </w:p>
    <w:p>
      <w:pPr>
        <w:spacing w:line="400" w:lineRule="atLeast"/>
        <w:ind w:firstLine="420" w:firstLineChars="200"/>
      </w:pPr>
      <w:r>
        <w:rPr>
          <w:rFonts w:hint="eastAsia"/>
        </w:rPr>
        <w:t>——在职业健康安全事务上有代表；</w:t>
      </w:r>
    </w:p>
    <w:p>
      <w:pPr>
        <w:spacing w:line="400" w:lineRule="atLeast"/>
        <w:ind w:firstLine="420" w:firstLineChars="200"/>
      </w:pPr>
      <w:r>
        <w:rPr>
          <w:rFonts w:hint="eastAsia"/>
        </w:rPr>
        <w:t>——了解谁是职业健康安全的员工代表和指定的管理者代表</w:t>
      </w:r>
      <w:r>
        <w:t>。</w:t>
      </w:r>
    </w:p>
    <w:p>
      <w:pPr>
        <w:spacing w:line="400" w:lineRule="atLeast"/>
        <w:ind w:firstLine="420" w:firstLineChars="200"/>
      </w:pPr>
      <w:r>
        <w:rPr>
          <w:rFonts w:hint="eastAsia"/>
        </w:rPr>
        <w:t>——存在影响分包方人员职业健康安全的变化时，与其协商。</w:t>
      </w:r>
    </w:p>
    <w:p>
      <w:pPr>
        <w:spacing w:line="400" w:lineRule="atLeast"/>
        <w:ind w:firstLine="420" w:firstLineChars="200"/>
      </w:pPr>
      <w:r>
        <w:rPr>
          <w:rFonts w:hint="eastAsia"/>
        </w:rPr>
        <w:t>组织应确保，适当时就相关的职业健康安全事务和外部相关方进行协商</w:t>
      </w:r>
    </w:p>
    <w:p>
      <w:pPr>
        <w:spacing w:line="400" w:lineRule="atLeast"/>
        <w:ind w:firstLine="420" w:firstLineChars="200"/>
        <w:rPr>
          <w:rFonts w:eastAsiaTheme="minorEastAsia"/>
          <w:szCs w:val="21"/>
        </w:rPr>
      </w:pPr>
      <w:r>
        <w:rPr>
          <w:rFonts w:hint="eastAsia"/>
        </w:rPr>
        <w:t>《</w:t>
      </w:r>
      <w:r>
        <w:t>信息交流管</w:t>
      </w:r>
      <w:r>
        <w:rPr>
          <w:rFonts w:eastAsiaTheme="minorEastAsia"/>
          <w:szCs w:val="21"/>
        </w:rPr>
        <w:t>理制度》</w:t>
      </w:r>
      <w:r>
        <w:rPr>
          <w:color w:val="000000"/>
          <w:szCs w:val="21"/>
        </w:rPr>
        <w:t>规定了公司内外环境信息交流的方法和程序。规定公司内部的各部门之间及各层次之间的信息交流的程序。规定了与外部相关单位和个人就有关环境因素/危险源及环境管理体系的信息的接收、形成文件和答复的程序。涉及重要环境因素/危险源的外部联络及处理方法，并记录其决定。</w:t>
      </w:r>
    </w:p>
    <w:p>
      <w:pPr>
        <w:ind w:firstLine="560"/>
        <w:rPr>
          <w:b/>
          <w:szCs w:val="21"/>
        </w:rPr>
      </w:pPr>
      <w:r>
        <w:rPr>
          <w:b/>
          <w:szCs w:val="21"/>
        </w:rPr>
        <w:t>7.5文件化信息（S8）</w:t>
      </w:r>
    </w:p>
    <w:p>
      <w:pPr>
        <w:ind w:firstLine="560"/>
        <w:rPr>
          <w:b/>
          <w:szCs w:val="21"/>
        </w:rPr>
      </w:pPr>
      <w:r>
        <w:rPr>
          <w:b/>
          <w:szCs w:val="21"/>
        </w:rPr>
        <w:t>7.5.1总则</w:t>
      </w:r>
    </w:p>
    <w:p>
      <w:pPr>
        <w:ind w:left="559" w:leftChars="266"/>
        <w:rPr>
          <w:szCs w:val="21"/>
        </w:rPr>
      </w:pPr>
      <w:r>
        <w:rPr>
          <w:szCs w:val="21"/>
        </w:rPr>
        <w:t>公司质量/环境/安全管理体系包括以下要求：标准所要求的文件信息及确定的为确保质量/环境/安全管理体系有效运行所需的文件化信息。</w:t>
      </w:r>
    </w:p>
    <w:p>
      <w:pPr>
        <w:ind w:left="525" w:leftChars="250" w:firstLine="33" w:firstLineChars="16"/>
        <w:rPr>
          <w:szCs w:val="21"/>
        </w:rPr>
      </w:pPr>
      <w:r>
        <w:t>公司建立</w:t>
      </w:r>
      <w:r>
        <w:rPr>
          <w:szCs w:val="21"/>
        </w:rPr>
        <w:t>《</w:t>
      </w:r>
      <w:r>
        <w:t>文件化信息管理制度</w:t>
      </w:r>
      <w:r>
        <w:rPr>
          <w:szCs w:val="21"/>
        </w:rPr>
        <w:t>》,并根据自身规模、活动类型、过程、产品和服务，过程及其相互作用的复杂程度及人员的能力对文件的数量与详略程度进行总体策划和控制。</w:t>
      </w:r>
    </w:p>
    <w:p>
      <w:pPr>
        <w:ind w:firstLine="560"/>
        <w:rPr>
          <w:b/>
          <w:szCs w:val="21"/>
        </w:rPr>
      </w:pPr>
      <w:r>
        <w:rPr>
          <w:b/>
          <w:szCs w:val="21"/>
        </w:rPr>
        <w:t>7.5.2创建和更新</w:t>
      </w:r>
    </w:p>
    <w:p>
      <w:pPr>
        <w:ind w:firstLine="560"/>
        <w:rPr>
          <w:szCs w:val="21"/>
        </w:rPr>
      </w:pPr>
      <w:r>
        <w:rPr>
          <w:szCs w:val="21"/>
        </w:rPr>
        <w:t>公司在创建和更新文件时，要确保适当的：</w:t>
      </w:r>
    </w:p>
    <w:p>
      <w:pPr>
        <w:ind w:firstLine="560"/>
        <w:rPr>
          <w:szCs w:val="21"/>
        </w:rPr>
      </w:pPr>
      <w:r>
        <w:rPr>
          <w:szCs w:val="21"/>
        </w:rPr>
        <w:t xml:space="preserve">a)标识和说明（例如：标题、日期、作者、索引编号等) </w:t>
      </w:r>
    </w:p>
    <w:p>
      <w:pPr>
        <w:ind w:firstLine="560"/>
        <w:rPr>
          <w:szCs w:val="21"/>
        </w:rPr>
      </w:pPr>
      <w:r>
        <w:rPr>
          <w:szCs w:val="21"/>
        </w:rPr>
        <w:t>b)格式（例如：语言、软件版本、图示)和媒介（例如：纸质、电子格式）</w:t>
      </w:r>
    </w:p>
    <w:p>
      <w:pPr>
        <w:ind w:firstLine="560"/>
        <w:rPr>
          <w:szCs w:val="21"/>
        </w:rPr>
      </w:pPr>
      <w:r>
        <w:rPr>
          <w:szCs w:val="21"/>
        </w:rPr>
        <w:t>c)评审和批准以确保适宜性和充分性</w:t>
      </w:r>
    </w:p>
    <w:p>
      <w:pPr>
        <w:ind w:firstLine="560"/>
        <w:rPr>
          <w:b/>
          <w:szCs w:val="21"/>
        </w:rPr>
      </w:pPr>
      <w:r>
        <w:rPr>
          <w:b/>
          <w:szCs w:val="21"/>
        </w:rPr>
        <w:t>7.5.3文件化信息的控制</w:t>
      </w:r>
    </w:p>
    <w:p>
      <w:pPr>
        <w:ind w:firstLine="560"/>
        <w:rPr>
          <w:szCs w:val="21"/>
        </w:rPr>
      </w:pPr>
      <w:r>
        <w:rPr>
          <w:szCs w:val="21"/>
        </w:rPr>
        <w:t>7.5.3.1公司要对质量/环境/安全管理体系和本标准所要求的形成文件的信息应进行控制，以确保：</w:t>
      </w:r>
    </w:p>
    <w:p>
      <w:pPr>
        <w:ind w:firstLine="560"/>
        <w:rPr>
          <w:szCs w:val="21"/>
        </w:rPr>
      </w:pPr>
      <w:r>
        <w:rPr>
          <w:szCs w:val="21"/>
        </w:rPr>
        <w:t>a)需要文件的场所能获得适用的文件</w:t>
      </w:r>
    </w:p>
    <w:p>
      <w:pPr>
        <w:ind w:firstLine="560"/>
        <w:rPr>
          <w:szCs w:val="21"/>
        </w:rPr>
      </w:pPr>
      <w:r>
        <w:rPr>
          <w:szCs w:val="21"/>
        </w:rPr>
        <w:t>b)文件得到充分保护，如防止泄密、误用、缺损。</w:t>
      </w:r>
    </w:p>
    <w:p>
      <w:pPr>
        <w:ind w:firstLine="560"/>
        <w:rPr>
          <w:szCs w:val="21"/>
        </w:rPr>
      </w:pPr>
      <w:r>
        <w:rPr>
          <w:szCs w:val="21"/>
        </w:rPr>
        <w:t>7.5.3.2适用时，公司要对以下文件活动进行控制：</w:t>
      </w:r>
    </w:p>
    <w:p>
      <w:pPr>
        <w:ind w:firstLine="560"/>
        <w:rPr>
          <w:szCs w:val="21"/>
        </w:rPr>
      </w:pPr>
      <w:r>
        <w:rPr>
          <w:szCs w:val="21"/>
        </w:rPr>
        <w:t>a)分发、访问、回收、使用；</w:t>
      </w:r>
    </w:p>
    <w:p>
      <w:pPr>
        <w:ind w:firstLine="560"/>
        <w:rPr>
          <w:szCs w:val="21"/>
        </w:rPr>
      </w:pPr>
      <w:r>
        <w:rPr>
          <w:szCs w:val="21"/>
        </w:rPr>
        <w:t>b)存放、保护，包括保持清晰；</w:t>
      </w:r>
    </w:p>
    <w:p>
      <w:pPr>
        <w:ind w:firstLine="560"/>
        <w:rPr>
          <w:szCs w:val="21"/>
        </w:rPr>
      </w:pPr>
      <w:r>
        <w:rPr>
          <w:szCs w:val="21"/>
        </w:rPr>
        <w:t>c)更改的控制（如：版本控制)；</w:t>
      </w:r>
    </w:p>
    <w:p>
      <w:pPr>
        <w:ind w:firstLine="560"/>
        <w:rPr>
          <w:szCs w:val="21"/>
        </w:rPr>
      </w:pPr>
      <w:r>
        <w:rPr>
          <w:szCs w:val="21"/>
        </w:rPr>
        <w:t>d)保留和处置。</w:t>
      </w:r>
    </w:p>
    <w:p>
      <w:pPr>
        <w:ind w:firstLine="945" w:firstLineChars="450"/>
        <w:rPr>
          <w:szCs w:val="21"/>
        </w:rPr>
      </w:pPr>
      <w:r>
        <w:rPr>
          <w:szCs w:val="21"/>
        </w:rPr>
        <w:t>同时对所确定的策划和运行质量/环境/安全管理体系所需的外来文件进行识别和确保控制。</w:t>
      </w:r>
    </w:p>
    <w:p>
      <w:pPr>
        <w:ind w:firstLine="560"/>
        <w:rPr>
          <w:szCs w:val="21"/>
        </w:rPr>
      </w:pPr>
      <w:r>
        <w:rPr>
          <w:szCs w:val="21"/>
        </w:rPr>
        <w:t>注：“访问”指仅得到查阅文件的许可，或授权查阅和修改文件。</w:t>
      </w:r>
    </w:p>
    <w:p>
      <w:pPr>
        <w:ind w:firstLine="560"/>
        <w:rPr>
          <w:b/>
          <w:szCs w:val="21"/>
        </w:rPr>
      </w:pPr>
      <w:r>
        <w:rPr>
          <w:b/>
          <w:szCs w:val="21"/>
        </w:rPr>
        <w:t>8运行</w:t>
      </w:r>
    </w:p>
    <w:p>
      <w:pPr>
        <w:ind w:firstLine="560"/>
        <w:rPr>
          <w:b/>
          <w:szCs w:val="21"/>
        </w:rPr>
      </w:pPr>
      <w:r>
        <w:rPr>
          <w:b/>
          <w:szCs w:val="21"/>
        </w:rPr>
        <w:t>8.1运行策划和控制（S9）</w:t>
      </w:r>
    </w:p>
    <w:p>
      <w:pPr>
        <w:ind w:firstLine="560"/>
        <w:rPr>
          <w:szCs w:val="21"/>
        </w:rPr>
      </w:pPr>
      <w:r>
        <w:rPr>
          <w:rFonts w:hint="eastAsia"/>
          <w:szCs w:val="21"/>
        </w:rPr>
        <w:t>质量体系方面：</w:t>
      </w:r>
      <w:r>
        <w:rPr>
          <w:szCs w:val="21"/>
        </w:rPr>
        <w:t>为提供满足顾客要求的产品和服务，公司要实施过程以确定以下内容，适用时包括：</w:t>
      </w:r>
    </w:p>
    <w:p>
      <w:pPr>
        <w:ind w:firstLine="560"/>
        <w:rPr>
          <w:szCs w:val="21"/>
        </w:rPr>
      </w:pPr>
      <w:r>
        <w:rPr>
          <w:szCs w:val="21"/>
        </w:rPr>
        <w:t>a)产品和服务的要求，并考虑相关的质量目标；</w:t>
      </w:r>
    </w:p>
    <w:p>
      <w:pPr>
        <w:ind w:firstLine="560"/>
        <w:rPr>
          <w:szCs w:val="21"/>
        </w:rPr>
      </w:pPr>
      <w:r>
        <w:rPr>
          <w:szCs w:val="21"/>
        </w:rPr>
        <w:t>b)识别和应对与实现产品和服务满足要求所涉及的风险相关的措施；</w:t>
      </w:r>
    </w:p>
    <w:p>
      <w:pPr>
        <w:ind w:firstLine="560"/>
        <w:rPr>
          <w:szCs w:val="21"/>
        </w:rPr>
      </w:pPr>
      <w:r>
        <w:rPr>
          <w:szCs w:val="21"/>
        </w:rPr>
        <w:t>c)针对产品和服务确定资源的需求；</w:t>
      </w:r>
    </w:p>
    <w:p>
      <w:pPr>
        <w:ind w:firstLine="560"/>
        <w:rPr>
          <w:szCs w:val="21"/>
        </w:rPr>
      </w:pPr>
      <w:r>
        <w:rPr>
          <w:szCs w:val="21"/>
        </w:rPr>
        <w:t>d)产品和服务的接收准则，建立过程准则，按准则要求实施过程控制；</w:t>
      </w:r>
    </w:p>
    <w:p>
      <w:pPr>
        <w:ind w:firstLine="560"/>
        <w:rPr>
          <w:szCs w:val="21"/>
        </w:rPr>
      </w:pPr>
      <w:r>
        <w:rPr>
          <w:szCs w:val="21"/>
        </w:rPr>
        <w:t>e)产品和服务所要求的验证、确认、监视、检验和试验活动；</w:t>
      </w:r>
    </w:p>
    <w:p>
      <w:pPr>
        <w:ind w:firstLine="560"/>
        <w:rPr>
          <w:szCs w:val="21"/>
        </w:rPr>
      </w:pPr>
      <w:r>
        <w:rPr>
          <w:szCs w:val="21"/>
        </w:rPr>
        <w:t>f)绩效数据的形成和沟通；</w:t>
      </w:r>
    </w:p>
    <w:p>
      <w:pPr>
        <w:ind w:firstLine="560"/>
        <w:rPr>
          <w:szCs w:val="21"/>
        </w:rPr>
      </w:pPr>
      <w:r>
        <w:rPr>
          <w:szCs w:val="21"/>
        </w:rPr>
        <w:t>g)可追溯性、产品防护、产品和服务交付及交付后活动的要求；</w:t>
      </w:r>
    </w:p>
    <w:p>
      <w:pPr>
        <w:ind w:firstLine="560"/>
        <w:rPr>
          <w:szCs w:val="21"/>
        </w:rPr>
      </w:pPr>
      <w:r>
        <w:rPr>
          <w:szCs w:val="21"/>
        </w:rPr>
        <w:t>策划的输出形式应便于公司的运作。</w:t>
      </w:r>
    </w:p>
    <w:p>
      <w:pPr>
        <w:ind w:firstLine="560"/>
        <w:rPr>
          <w:szCs w:val="21"/>
        </w:rPr>
      </w:pPr>
      <w:r>
        <w:rPr>
          <w:szCs w:val="21"/>
        </w:rPr>
        <w:t>公司对任何影响产品和服务提供的外包过程均要进行识别和控制（8.4）。</w:t>
      </w:r>
    </w:p>
    <w:p>
      <w:pPr>
        <w:autoSpaceDE w:val="0"/>
        <w:autoSpaceDN w:val="0"/>
        <w:adjustRightInd w:val="0"/>
        <w:ind w:left="525" w:leftChars="250"/>
        <w:jc w:val="left"/>
        <w:rPr>
          <w:color w:val="000000"/>
          <w:kern w:val="0"/>
          <w:szCs w:val="21"/>
        </w:rPr>
      </w:pPr>
      <w:r>
        <w:rPr>
          <w:rFonts w:hint="eastAsia"/>
          <w:color w:val="000000"/>
          <w:kern w:val="0"/>
          <w:szCs w:val="21"/>
        </w:rPr>
        <w:t>环境体系方面：</w:t>
      </w:r>
      <w:r>
        <w:rPr>
          <w:color w:val="000000"/>
          <w:kern w:val="0"/>
          <w:szCs w:val="21"/>
        </w:rPr>
        <w:t>公司应确保对外包过程实施控制或施加影响。应在环境管理体系内规定对这些过程实施控制或施加影响的类型与程度。</w:t>
      </w:r>
    </w:p>
    <w:p>
      <w:pPr>
        <w:autoSpaceDE w:val="0"/>
        <w:autoSpaceDN w:val="0"/>
        <w:adjustRightInd w:val="0"/>
        <w:ind w:firstLine="525" w:firstLineChars="250"/>
        <w:jc w:val="left"/>
        <w:rPr>
          <w:color w:val="000000"/>
          <w:kern w:val="0"/>
          <w:szCs w:val="21"/>
        </w:rPr>
      </w:pPr>
      <w:r>
        <w:rPr>
          <w:color w:val="000000"/>
          <w:kern w:val="0"/>
          <w:szCs w:val="21"/>
        </w:rPr>
        <w:t>从生命周期观点出发，公司应</w:t>
      </w:r>
      <w:r>
        <w:rPr>
          <w:rFonts w:hint="eastAsia"/>
          <w:color w:val="000000"/>
          <w:kern w:val="0"/>
          <w:szCs w:val="21"/>
        </w:rPr>
        <w:t>：</w:t>
      </w:r>
    </w:p>
    <w:p>
      <w:pPr>
        <w:autoSpaceDE w:val="0"/>
        <w:autoSpaceDN w:val="0"/>
        <w:adjustRightInd w:val="0"/>
        <w:ind w:left="525" w:leftChars="250"/>
        <w:jc w:val="left"/>
        <w:rPr>
          <w:color w:val="000000"/>
          <w:kern w:val="0"/>
          <w:szCs w:val="21"/>
        </w:rPr>
      </w:pPr>
      <w:r>
        <w:rPr>
          <w:color w:val="000000"/>
          <w:kern w:val="0"/>
          <w:szCs w:val="21"/>
        </w:rPr>
        <w:t>a）适当时，制定控制措施，确保在产品或服务设计和开发过程中，考虑其生命周期的每一阶段，并提出环境要求；</w:t>
      </w:r>
    </w:p>
    <w:p>
      <w:pPr>
        <w:autoSpaceDE w:val="0"/>
        <w:autoSpaceDN w:val="0"/>
        <w:adjustRightInd w:val="0"/>
        <w:ind w:firstLine="525" w:firstLineChars="250"/>
        <w:jc w:val="left"/>
        <w:rPr>
          <w:color w:val="000000"/>
          <w:kern w:val="0"/>
          <w:szCs w:val="21"/>
        </w:rPr>
      </w:pPr>
      <w:r>
        <w:rPr>
          <w:color w:val="000000"/>
          <w:kern w:val="0"/>
          <w:szCs w:val="21"/>
        </w:rPr>
        <w:t>b）适当时，确定产品和服务采购的环境要求；</w:t>
      </w:r>
    </w:p>
    <w:p>
      <w:pPr>
        <w:autoSpaceDE w:val="0"/>
        <w:autoSpaceDN w:val="0"/>
        <w:adjustRightInd w:val="0"/>
        <w:ind w:firstLine="525" w:firstLineChars="250"/>
        <w:jc w:val="left"/>
        <w:rPr>
          <w:color w:val="000000"/>
          <w:kern w:val="0"/>
          <w:szCs w:val="21"/>
        </w:rPr>
      </w:pPr>
      <w:r>
        <w:rPr>
          <w:color w:val="000000"/>
          <w:kern w:val="0"/>
          <w:szCs w:val="21"/>
        </w:rPr>
        <w:t>c）与外部供方（包括合同方）沟通其相关环境要求；</w:t>
      </w:r>
    </w:p>
    <w:p>
      <w:pPr>
        <w:ind w:left="525" w:leftChars="250"/>
        <w:rPr>
          <w:szCs w:val="21"/>
        </w:rPr>
      </w:pPr>
      <w:r>
        <w:rPr>
          <w:color w:val="000000"/>
          <w:kern w:val="0"/>
          <w:szCs w:val="21"/>
        </w:rPr>
        <w:t>d）考虑提供与产品或服务的运输或交付、使用、寿命结束后处理和最终处置相关的潜在重大环境影响的信息的需求。</w:t>
      </w:r>
    </w:p>
    <w:p>
      <w:pPr>
        <w:ind w:firstLine="560"/>
        <w:rPr>
          <w:szCs w:val="21"/>
        </w:rPr>
      </w:pPr>
      <w:r>
        <w:rPr>
          <w:szCs w:val="21"/>
        </w:rPr>
        <w:t>公司应保持必要的文件化信息，以确信过程已按策划得到实施。</w:t>
      </w:r>
    </w:p>
    <w:p>
      <w:pPr>
        <w:ind w:left="945" w:leftChars="250" w:hanging="420" w:hangingChars="200"/>
        <w:rPr>
          <w:kern w:val="0"/>
          <w:szCs w:val="21"/>
        </w:rPr>
      </w:pPr>
      <w:r>
        <w:rPr>
          <w:rFonts w:hint="eastAsia"/>
          <w:kern w:val="0"/>
          <w:szCs w:val="21"/>
        </w:rPr>
        <w:t>安全体系方面：组织应策划、实施并控制满足职业健康安全管理体系要求以及实施条款6所确定的措施所需的过程，通过：</w:t>
      </w:r>
    </w:p>
    <w:p>
      <w:pPr>
        <w:widowControl/>
        <w:ind w:firstLine="630" w:firstLineChars="300"/>
        <w:jc w:val="left"/>
        <w:rPr>
          <w:kern w:val="0"/>
          <w:szCs w:val="21"/>
        </w:rPr>
      </w:pPr>
      <w:r>
        <w:rPr>
          <w:rFonts w:hint="eastAsia"/>
          <w:kern w:val="0"/>
          <w:szCs w:val="21"/>
        </w:rPr>
        <w:t>a) 建立过程准则；</w:t>
      </w:r>
    </w:p>
    <w:p>
      <w:pPr>
        <w:widowControl/>
        <w:ind w:firstLine="630" w:firstLineChars="300"/>
        <w:jc w:val="left"/>
        <w:rPr>
          <w:kern w:val="0"/>
          <w:szCs w:val="21"/>
        </w:rPr>
      </w:pPr>
      <w:r>
        <w:rPr>
          <w:rFonts w:hint="eastAsia"/>
          <w:kern w:val="0"/>
          <w:szCs w:val="21"/>
        </w:rPr>
        <w:t>b) 按照准则实施过程控制；</w:t>
      </w:r>
    </w:p>
    <w:p>
      <w:pPr>
        <w:widowControl/>
        <w:ind w:firstLine="630" w:firstLineChars="300"/>
        <w:jc w:val="left"/>
        <w:rPr>
          <w:kern w:val="0"/>
          <w:szCs w:val="21"/>
        </w:rPr>
      </w:pPr>
      <w:r>
        <w:rPr>
          <w:rFonts w:hint="eastAsia"/>
          <w:kern w:val="0"/>
          <w:szCs w:val="21"/>
        </w:rPr>
        <w:t>c) 保持必要的文件化信息，以确信过程已按策划得到实施；</w:t>
      </w:r>
    </w:p>
    <w:p>
      <w:pPr>
        <w:widowControl/>
        <w:ind w:firstLine="630" w:firstLineChars="300"/>
        <w:jc w:val="left"/>
        <w:rPr>
          <w:kern w:val="0"/>
          <w:szCs w:val="21"/>
        </w:rPr>
      </w:pPr>
      <w:r>
        <w:rPr>
          <w:rFonts w:hint="eastAsia"/>
          <w:kern w:val="0"/>
          <w:szCs w:val="21"/>
        </w:rPr>
        <w:t>d) 确定因缺乏文件化信息而可能偏离职业健康安全方针和职业健康安全目标的情况；</w:t>
      </w:r>
    </w:p>
    <w:p>
      <w:pPr>
        <w:widowControl/>
        <w:ind w:firstLine="630" w:firstLineChars="300"/>
        <w:jc w:val="left"/>
        <w:rPr>
          <w:kern w:val="0"/>
          <w:szCs w:val="21"/>
        </w:rPr>
      </w:pPr>
      <w:r>
        <w:rPr>
          <w:rFonts w:hint="eastAsia"/>
          <w:kern w:val="0"/>
          <w:szCs w:val="21"/>
        </w:rPr>
        <w:t>e) 使工作适合于员工。</w:t>
      </w:r>
    </w:p>
    <w:p>
      <w:pPr>
        <w:widowControl/>
        <w:ind w:left="840" w:leftChars="400"/>
        <w:jc w:val="left"/>
        <w:rPr>
          <w:kern w:val="0"/>
          <w:szCs w:val="21"/>
        </w:rPr>
      </w:pPr>
      <w:r>
        <w:rPr>
          <w:rFonts w:hint="eastAsia"/>
          <w:kern w:val="0"/>
          <w:szCs w:val="21"/>
        </w:rPr>
        <w:t>在存在多个雇主的工作场所，组织应实施一个过程用以协调职业健康安全管理体系相关各方与其它组织。</w:t>
      </w:r>
    </w:p>
    <w:p>
      <w:pPr>
        <w:widowControl/>
        <w:ind w:firstLine="630" w:firstLineChars="300"/>
        <w:jc w:val="left"/>
        <w:rPr>
          <w:kern w:val="0"/>
          <w:szCs w:val="21"/>
        </w:rPr>
      </w:pPr>
      <w:r>
        <w:rPr>
          <w:rFonts w:hint="eastAsia"/>
          <w:kern w:val="0"/>
          <w:szCs w:val="21"/>
        </w:rPr>
        <w:t>8.1.2 控制层级</w:t>
      </w:r>
    </w:p>
    <w:p>
      <w:pPr>
        <w:widowControl/>
        <w:ind w:firstLine="630" w:firstLineChars="300"/>
        <w:jc w:val="left"/>
        <w:rPr>
          <w:kern w:val="0"/>
          <w:szCs w:val="21"/>
        </w:rPr>
      </w:pPr>
      <w:r>
        <w:rPr>
          <w:rFonts w:hint="eastAsia"/>
          <w:kern w:val="0"/>
          <w:szCs w:val="21"/>
        </w:rPr>
        <w:t>组织应建立一个过程并确定实现减少职业健康安全风险的控制措施，通过运用下面的层级：</w:t>
      </w:r>
    </w:p>
    <w:p>
      <w:pPr>
        <w:widowControl/>
        <w:ind w:firstLine="630" w:firstLineChars="300"/>
        <w:jc w:val="left"/>
        <w:rPr>
          <w:kern w:val="0"/>
          <w:szCs w:val="21"/>
        </w:rPr>
      </w:pPr>
      <w:r>
        <w:rPr>
          <w:rFonts w:hint="eastAsia"/>
          <w:kern w:val="0"/>
          <w:szCs w:val="21"/>
        </w:rPr>
        <w:t>a) 消除危险源；</w:t>
      </w:r>
    </w:p>
    <w:p>
      <w:pPr>
        <w:widowControl/>
        <w:ind w:firstLine="630" w:firstLineChars="300"/>
        <w:jc w:val="left"/>
        <w:rPr>
          <w:kern w:val="0"/>
          <w:szCs w:val="21"/>
        </w:rPr>
      </w:pPr>
      <w:r>
        <w:rPr>
          <w:rFonts w:hint="eastAsia"/>
          <w:kern w:val="0"/>
          <w:szCs w:val="21"/>
        </w:rPr>
        <w:t>b) 用危险性较低的材料、过程、运行或设备替代；</w:t>
      </w:r>
    </w:p>
    <w:p>
      <w:pPr>
        <w:widowControl/>
        <w:ind w:firstLine="630" w:firstLineChars="300"/>
        <w:jc w:val="left"/>
        <w:rPr>
          <w:kern w:val="0"/>
          <w:szCs w:val="21"/>
        </w:rPr>
      </w:pPr>
      <w:r>
        <w:rPr>
          <w:rFonts w:hint="eastAsia"/>
          <w:kern w:val="0"/>
          <w:szCs w:val="21"/>
        </w:rPr>
        <w:t>c) 运用工程控制措施；</w:t>
      </w:r>
    </w:p>
    <w:p>
      <w:pPr>
        <w:widowControl/>
        <w:ind w:firstLine="630" w:firstLineChars="300"/>
        <w:jc w:val="left"/>
        <w:rPr>
          <w:kern w:val="0"/>
          <w:szCs w:val="21"/>
        </w:rPr>
      </w:pPr>
      <w:r>
        <w:rPr>
          <w:rFonts w:hint="eastAsia"/>
          <w:kern w:val="0"/>
          <w:szCs w:val="21"/>
        </w:rPr>
        <w:t>d) 运用管理控制措施；</w:t>
      </w:r>
    </w:p>
    <w:p>
      <w:pPr>
        <w:ind w:left="945" w:leftChars="250" w:hanging="420" w:hangingChars="200"/>
        <w:rPr>
          <w:kern w:val="0"/>
          <w:szCs w:val="21"/>
        </w:rPr>
      </w:pPr>
      <w:r>
        <w:rPr>
          <w:rFonts w:hint="eastAsia"/>
          <w:kern w:val="0"/>
          <w:szCs w:val="21"/>
        </w:rPr>
        <w:t>e) 提供并确保使用充分的个人防护装备。</w:t>
      </w:r>
    </w:p>
    <w:p>
      <w:pPr>
        <w:ind w:left="945" w:leftChars="250" w:hanging="420" w:hangingChars="200"/>
        <w:rPr>
          <w:kern w:val="0"/>
          <w:szCs w:val="21"/>
        </w:rPr>
      </w:pPr>
      <w:r>
        <w:rPr>
          <w:rFonts w:hint="eastAsia"/>
          <w:kern w:val="0"/>
          <w:szCs w:val="21"/>
        </w:rPr>
        <w:t>8</w:t>
      </w:r>
      <w:r>
        <w:rPr>
          <w:kern w:val="0"/>
          <w:szCs w:val="21"/>
        </w:rPr>
        <w:t>.1.3</w:t>
      </w:r>
      <w:r>
        <w:rPr>
          <w:rFonts w:hint="eastAsia"/>
          <w:kern w:val="0"/>
          <w:szCs w:val="21"/>
        </w:rPr>
        <w:t>变更管理</w:t>
      </w:r>
    </w:p>
    <w:p>
      <w:pPr>
        <w:ind w:left="945" w:leftChars="250" w:hanging="420" w:hangingChars="200"/>
        <w:rPr>
          <w:kern w:val="0"/>
          <w:szCs w:val="21"/>
        </w:rPr>
      </w:pPr>
      <w:r>
        <w:rPr>
          <w:rFonts w:hint="eastAsia"/>
          <w:kern w:val="0"/>
          <w:szCs w:val="21"/>
        </w:rPr>
        <w:t>组织应建立一个过程，以实施和控制影响职业健康安全绩效的有计划的变更，例如：</w:t>
      </w:r>
    </w:p>
    <w:p>
      <w:pPr>
        <w:ind w:left="945" w:leftChars="250" w:hanging="420" w:hangingChars="200"/>
        <w:rPr>
          <w:kern w:val="0"/>
          <w:szCs w:val="21"/>
        </w:rPr>
      </w:pPr>
      <w:r>
        <w:rPr>
          <w:rFonts w:hint="eastAsia"/>
          <w:kern w:val="0"/>
          <w:szCs w:val="21"/>
        </w:rPr>
        <w:t>a) 新的产品、过程或服务；</w:t>
      </w:r>
    </w:p>
    <w:p>
      <w:pPr>
        <w:ind w:left="945" w:leftChars="250" w:hanging="420" w:hangingChars="200"/>
        <w:rPr>
          <w:kern w:val="0"/>
          <w:szCs w:val="21"/>
        </w:rPr>
      </w:pPr>
      <w:r>
        <w:rPr>
          <w:rFonts w:hint="eastAsia"/>
          <w:kern w:val="0"/>
          <w:szCs w:val="21"/>
        </w:rPr>
        <w:t>b) 工作过程、程序、设备或组织结构的变更；</w:t>
      </w:r>
    </w:p>
    <w:p>
      <w:pPr>
        <w:ind w:left="945" w:leftChars="250" w:hanging="420" w:hangingChars="200"/>
        <w:rPr>
          <w:kern w:val="0"/>
          <w:szCs w:val="21"/>
        </w:rPr>
      </w:pPr>
      <w:r>
        <w:rPr>
          <w:rFonts w:hint="eastAsia"/>
          <w:kern w:val="0"/>
          <w:szCs w:val="21"/>
        </w:rPr>
        <w:t>c) 适用的法律法规要求和其他要求的变更；</w:t>
      </w:r>
    </w:p>
    <w:p>
      <w:pPr>
        <w:ind w:left="945" w:leftChars="250" w:hanging="420" w:hangingChars="200"/>
        <w:rPr>
          <w:kern w:val="0"/>
          <w:szCs w:val="21"/>
        </w:rPr>
      </w:pPr>
      <w:r>
        <w:rPr>
          <w:rFonts w:hint="eastAsia"/>
          <w:kern w:val="0"/>
          <w:szCs w:val="21"/>
        </w:rPr>
        <w:t>d) 有关危险源和相关的职业健康安全风险的知识或信息的变更；</w:t>
      </w:r>
    </w:p>
    <w:p>
      <w:pPr>
        <w:ind w:left="945" w:leftChars="250" w:hanging="420" w:hangingChars="200"/>
        <w:rPr>
          <w:kern w:val="0"/>
          <w:szCs w:val="21"/>
        </w:rPr>
      </w:pPr>
      <w:r>
        <w:rPr>
          <w:rFonts w:hint="eastAsia"/>
          <w:kern w:val="0"/>
          <w:szCs w:val="21"/>
        </w:rPr>
        <w:t>e) 知识和技术的发展。</w:t>
      </w:r>
    </w:p>
    <w:p>
      <w:pPr>
        <w:ind w:left="945" w:leftChars="250" w:hanging="420" w:hangingChars="200"/>
        <w:rPr>
          <w:kern w:val="0"/>
          <w:szCs w:val="21"/>
        </w:rPr>
      </w:pPr>
      <w:r>
        <w:rPr>
          <w:rFonts w:hint="eastAsia"/>
          <w:kern w:val="0"/>
          <w:szCs w:val="21"/>
        </w:rPr>
        <w:t>组织应控制临时性的和永久性的变更，以推动职业健康安全机遇，并确保其不会对职业健康安全绩效产生不利的影响。</w:t>
      </w:r>
    </w:p>
    <w:p>
      <w:pPr>
        <w:ind w:left="945" w:leftChars="250" w:hanging="420" w:hangingChars="200"/>
        <w:rPr>
          <w:kern w:val="0"/>
          <w:szCs w:val="21"/>
        </w:rPr>
      </w:pPr>
      <w:r>
        <w:rPr>
          <w:rFonts w:hint="eastAsia"/>
          <w:kern w:val="0"/>
          <w:szCs w:val="21"/>
        </w:rPr>
        <w:t>组织应对非预期性变更的后果予以评审，必要时，应采取措施降低任何不利影响，包括应对潜在的机遇（见条款6)。</w:t>
      </w:r>
    </w:p>
    <w:p>
      <w:pPr>
        <w:ind w:left="945" w:leftChars="250" w:hanging="420" w:hangingChars="200"/>
        <w:rPr>
          <w:kern w:val="0"/>
          <w:szCs w:val="21"/>
        </w:rPr>
      </w:pPr>
      <w:r>
        <w:rPr>
          <w:rFonts w:hint="eastAsia"/>
          <w:kern w:val="0"/>
          <w:szCs w:val="21"/>
        </w:rPr>
        <w:t>8</w:t>
      </w:r>
      <w:r>
        <w:rPr>
          <w:kern w:val="0"/>
          <w:szCs w:val="21"/>
        </w:rPr>
        <w:t>.1.4</w:t>
      </w:r>
      <w:r>
        <w:rPr>
          <w:rFonts w:hint="eastAsia"/>
          <w:kern w:val="0"/>
          <w:szCs w:val="21"/>
        </w:rPr>
        <w:t>采购</w:t>
      </w:r>
    </w:p>
    <w:p>
      <w:pPr>
        <w:ind w:left="945" w:leftChars="250" w:hanging="420" w:hangingChars="200"/>
        <w:rPr>
          <w:kern w:val="0"/>
          <w:szCs w:val="21"/>
        </w:rPr>
      </w:pPr>
      <w:r>
        <w:rPr>
          <w:kern w:val="0"/>
          <w:szCs w:val="21"/>
        </w:rPr>
        <w:t>8.1.4.1</w:t>
      </w:r>
      <w:r>
        <w:rPr>
          <w:rFonts w:hint="eastAsia"/>
          <w:kern w:val="0"/>
          <w:szCs w:val="21"/>
        </w:rPr>
        <w:t>总则</w:t>
      </w:r>
    </w:p>
    <w:p>
      <w:pPr>
        <w:ind w:left="945" w:leftChars="250" w:hanging="420" w:hangingChars="200"/>
        <w:rPr>
          <w:kern w:val="0"/>
          <w:szCs w:val="21"/>
        </w:rPr>
      </w:pPr>
      <w:r>
        <w:rPr>
          <w:rFonts w:hint="eastAsia"/>
          <w:kern w:val="0"/>
          <w:szCs w:val="21"/>
        </w:rPr>
        <w:t>组织应确保对影响其职业健康安全管理体系的外包过程实施控制。应在职业健康安全管理体系内规定对这些过程实施控制的类型和程度。</w:t>
      </w:r>
    </w:p>
    <w:p>
      <w:pPr>
        <w:ind w:left="945" w:leftChars="250" w:hanging="420" w:hangingChars="200"/>
        <w:rPr>
          <w:kern w:val="0"/>
          <w:szCs w:val="21"/>
        </w:rPr>
      </w:pPr>
      <w:r>
        <w:rPr>
          <w:rFonts w:hint="eastAsia"/>
          <w:kern w:val="0"/>
          <w:szCs w:val="21"/>
        </w:rPr>
        <w:t>8</w:t>
      </w:r>
      <w:r>
        <w:rPr>
          <w:kern w:val="0"/>
          <w:szCs w:val="21"/>
        </w:rPr>
        <w:t>.1.4.2</w:t>
      </w:r>
      <w:r>
        <w:rPr>
          <w:rFonts w:hint="eastAsia"/>
          <w:kern w:val="0"/>
          <w:szCs w:val="21"/>
        </w:rPr>
        <w:t>承包商</w:t>
      </w:r>
    </w:p>
    <w:p>
      <w:pPr>
        <w:ind w:left="945" w:leftChars="250" w:hanging="420" w:hangingChars="200"/>
        <w:rPr>
          <w:kern w:val="0"/>
          <w:szCs w:val="21"/>
        </w:rPr>
      </w:pPr>
      <w:r>
        <w:rPr>
          <w:rFonts w:hint="eastAsia"/>
          <w:kern w:val="0"/>
          <w:szCs w:val="21"/>
        </w:rPr>
        <w:t>组织应建立过程，用以识别和沟通因下述情况产生的危险源并评价和控制相应的职业健康安全风险：</w:t>
      </w:r>
    </w:p>
    <w:p>
      <w:pPr>
        <w:ind w:left="945" w:leftChars="250" w:hanging="420" w:hangingChars="200"/>
        <w:rPr>
          <w:kern w:val="0"/>
          <w:szCs w:val="21"/>
        </w:rPr>
      </w:pPr>
      <w:r>
        <w:rPr>
          <w:rFonts w:hint="eastAsia"/>
          <w:kern w:val="0"/>
          <w:szCs w:val="21"/>
        </w:rPr>
        <w:t>a) 承包商的活动和运行对组织的员工；</w:t>
      </w:r>
    </w:p>
    <w:p>
      <w:pPr>
        <w:ind w:left="945" w:leftChars="250" w:hanging="420" w:hangingChars="200"/>
        <w:rPr>
          <w:kern w:val="0"/>
          <w:szCs w:val="21"/>
        </w:rPr>
      </w:pPr>
      <w:r>
        <w:rPr>
          <w:rFonts w:hint="eastAsia"/>
          <w:kern w:val="0"/>
          <w:szCs w:val="21"/>
        </w:rPr>
        <w:t>b) 组织的活动和运行对承包商的员工；</w:t>
      </w:r>
    </w:p>
    <w:p>
      <w:pPr>
        <w:ind w:left="945" w:leftChars="250" w:hanging="420" w:hangingChars="200"/>
        <w:rPr>
          <w:kern w:val="0"/>
          <w:szCs w:val="21"/>
        </w:rPr>
      </w:pPr>
      <w:r>
        <w:rPr>
          <w:rFonts w:hint="eastAsia"/>
          <w:kern w:val="0"/>
          <w:szCs w:val="21"/>
        </w:rPr>
        <w:t>c) 承包商的活动和运行对工作场所的其它相关方；</w:t>
      </w:r>
    </w:p>
    <w:p>
      <w:pPr>
        <w:ind w:left="945" w:leftChars="250" w:hanging="420" w:hangingChars="200"/>
        <w:rPr>
          <w:kern w:val="0"/>
          <w:szCs w:val="21"/>
        </w:rPr>
      </w:pPr>
      <w:r>
        <w:rPr>
          <w:rFonts w:hint="eastAsia"/>
          <w:kern w:val="0"/>
          <w:szCs w:val="21"/>
        </w:rPr>
        <w:t>d) 承包商的活动和运行对承包商自身员工。</w:t>
      </w:r>
    </w:p>
    <w:p>
      <w:pPr>
        <w:ind w:left="945" w:leftChars="250" w:hanging="420" w:hangingChars="200"/>
        <w:rPr>
          <w:kern w:val="0"/>
          <w:szCs w:val="21"/>
        </w:rPr>
      </w:pPr>
      <w:r>
        <w:rPr>
          <w:rFonts w:hint="eastAsia"/>
          <w:kern w:val="0"/>
          <w:szCs w:val="21"/>
        </w:rPr>
        <w:t>组织应建立和保持过程以确保承包商及其员工符合组织的职业健康安全管理体系要求。这些过程应包括选择承包商的职业健康安全准则。</w:t>
      </w:r>
    </w:p>
    <w:p>
      <w:pPr>
        <w:ind w:left="945" w:leftChars="250" w:hanging="420" w:hangingChars="200"/>
        <w:rPr>
          <w:kern w:val="0"/>
          <w:szCs w:val="21"/>
        </w:rPr>
      </w:pPr>
      <w:r>
        <w:rPr>
          <w:rFonts w:hint="eastAsia"/>
          <w:kern w:val="0"/>
          <w:szCs w:val="21"/>
        </w:rPr>
        <w:t>8.1.4.3 外包</w:t>
      </w:r>
    </w:p>
    <w:p>
      <w:pPr>
        <w:ind w:left="945" w:leftChars="250" w:hanging="420" w:hangingChars="200"/>
        <w:rPr>
          <w:kern w:val="0"/>
          <w:szCs w:val="21"/>
        </w:rPr>
      </w:pPr>
      <w:r>
        <w:rPr>
          <w:rFonts w:hint="eastAsia"/>
          <w:kern w:val="0"/>
          <w:szCs w:val="21"/>
        </w:rPr>
        <w:t>组织应确保外包的职能和过程受到控制</w:t>
      </w:r>
    </w:p>
    <w:p>
      <w:pPr>
        <w:ind w:left="945" w:leftChars="250" w:hanging="420" w:hangingChars="200"/>
        <w:rPr>
          <w:kern w:val="0"/>
          <w:szCs w:val="21"/>
        </w:rPr>
      </w:pPr>
      <w:r>
        <w:rPr>
          <w:rFonts w:hint="eastAsia"/>
          <w:kern w:val="0"/>
          <w:szCs w:val="21"/>
        </w:rPr>
        <w:t>组织应确保其外包安排符合法律法规和其他要求，并实现职业健康安全管理体系的预期结果</w:t>
      </w:r>
    </w:p>
    <w:p>
      <w:pPr>
        <w:ind w:left="945" w:leftChars="250" w:hanging="420" w:hangingChars="200"/>
        <w:rPr>
          <w:kern w:val="0"/>
          <w:szCs w:val="21"/>
        </w:rPr>
      </w:pPr>
      <w:r>
        <w:rPr>
          <w:rFonts w:hint="eastAsia"/>
          <w:kern w:val="0"/>
          <w:szCs w:val="21"/>
        </w:rPr>
        <w:t>职业健康安全体系应定义于这些职能和过程的管控类型和程度</w:t>
      </w:r>
    </w:p>
    <w:p>
      <w:pPr>
        <w:ind w:left="479" w:leftChars="228"/>
        <w:rPr>
          <w:rFonts w:ascii="宋体" w:hAnsi="宋体"/>
          <w:sz w:val="24"/>
          <w:szCs w:val="20"/>
        </w:rPr>
      </w:pPr>
      <w:r>
        <w:rPr>
          <w:rFonts w:hint="eastAsia" w:asciiTheme="minorEastAsia" w:hAnsiTheme="minorEastAsia" w:eastAsiaTheme="minorEastAsia"/>
          <w:szCs w:val="21"/>
        </w:rPr>
        <w:t>根据管理方针、目标和指标，确定了与重要环境因素/危险源有关的运行与活动，并对这些活动进行了策划，编制《环境和职业健康安全运行管理制度》，</w:t>
      </w:r>
    </w:p>
    <w:p>
      <w:pPr>
        <w:ind w:left="654" w:leftChars="270" w:hanging="87"/>
        <w:rPr>
          <w:szCs w:val="21"/>
        </w:rPr>
      </w:pPr>
      <w:r>
        <w:rPr>
          <w:rFonts w:hint="eastAsia"/>
          <w:szCs w:val="21"/>
        </w:rPr>
        <w:t>为符合合规义务，</w:t>
      </w:r>
      <w:r>
        <w:rPr>
          <w:szCs w:val="21"/>
        </w:rPr>
        <w:t>公司要实施过程以确定以下内容，适用时包括：</w:t>
      </w:r>
    </w:p>
    <w:p>
      <w:pPr>
        <w:ind w:left="567" w:leftChars="270"/>
        <w:rPr>
          <w:szCs w:val="21"/>
        </w:rPr>
      </w:pPr>
      <w:r>
        <w:rPr>
          <w:szCs w:val="21"/>
        </w:rPr>
        <w:t>a)</w:t>
      </w:r>
      <w:r>
        <w:rPr>
          <w:rFonts w:hint="eastAsia"/>
          <w:szCs w:val="21"/>
        </w:rPr>
        <w:t>制订了《环境和职业健康安全运行管理制度》以及各种污染物、危险源的控制管理程序（规定），控制与重要环境因素/危险源有关的活动、产品或服务有关的活动，并对其运行标准进行控制。</w:t>
      </w:r>
    </w:p>
    <w:p>
      <w:pPr>
        <w:ind w:left="567" w:leftChars="270"/>
        <w:rPr>
          <w:szCs w:val="21"/>
        </w:rPr>
      </w:pPr>
      <w:r>
        <w:rPr>
          <w:szCs w:val="21"/>
        </w:rPr>
        <w:t>b)</w:t>
      </w:r>
      <w:r>
        <w:rPr>
          <w:rFonts w:hint="eastAsia"/>
          <w:szCs w:val="21"/>
        </w:rPr>
        <w:t>与重要环境因素/危险源有关的活动相关的岗位，应严格执行程序和相关支持性文件。</w:t>
      </w:r>
    </w:p>
    <w:p>
      <w:pPr>
        <w:ind w:left="567" w:leftChars="270"/>
        <w:rPr>
          <w:szCs w:val="21"/>
        </w:rPr>
      </w:pPr>
      <w:r>
        <w:rPr>
          <w:szCs w:val="21"/>
        </w:rPr>
        <w:t>c)</w:t>
      </w:r>
      <w:r>
        <w:rPr>
          <w:rFonts w:hint="eastAsia"/>
          <w:szCs w:val="21"/>
        </w:rPr>
        <w:t>对于所提供的产品或服务中涉及重要环境因素/危险源的相关方，公司依据环境的污染程度对其施加影响，使他们的行为符合程序和有关要求。</w:t>
      </w:r>
    </w:p>
    <w:p>
      <w:pPr>
        <w:ind w:left="567" w:leftChars="270"/>
        <w:rPr>
          <w:szCs w:val="21"/>
        </w:rPr>
      </w:pPr>
      <w:r>
        <w:rPr>
          <w:szCs w:val="21"/>
        </w:rPr>
        <w:t>d)</w:t>
      </w:r>
      <w:r>
        <w:rPr>
          <w:rFonts w:hint="eastAsia"/>
          <w:szCs w:val="21"/>
        </w:rPr>
        <w:t>搞好环保，安全设备的维护保养，及时检修，保证环保设备的正常运行。</w:t>
      </w:r>
    </w:p>
    <w:p>
      <w:pPr>
        <w:ind w:left="567" w:leftChars="270"/>
        <w:rPr>
          <w:rFonts w:ascii="宋体" w:hAnsi="宋体"/>
        </w:rPr>
      </w:pPr>
      <w:r>
        <w:rPr>
          <w:rFonts w:hint="eastAsia"/>
          <w:szCs w:val="21"/>
        </w:rPr>
        <w:t>e)</w:t>
      </w:r>
      <w:r>
        <w:rPr>
          <w:rFonts w:hint="eastAsia" w:ascii="宋体" w:hAnsi="宋体"/>
        </w:rPr>
        <w:t xml:space="preserve"> 与外部供方（包括合同方）沟通其相关环境安全的要求。</w:t>
      </w:r>
    </w:p>
    <w:p>
      <w:pPr>
        <w:ind w:left="567" w:leftChars="270"/>
        <w:rPr>
          <w:rFonts w:ascii="宋体" w:hAnsi="宋体"/>
        </w:rPr>
      </w:pPr>
      <w:r>
        <w:rPr>
          <w:rFonts w:hint="eastAsia"/>
          <w:szCs w:val="21"/>
        </w:rPr>
        <w:t>f)</w:t>
      </w:r>
      <w:r>
        <w:rPr>
          <w:rFonts w:hint="eastAsia" w:ascii="宋体" w:hAnsi="宋体"/>
        </w:rPr>
        <w:t>考虑提供与产品或服务的运输或交付、使用、寿命结束后处理和最终处置相关的潜在重大环境影响的信息的需求。</w:t>
      </w:r>
    </w:p>
    <w:p>
      <w:pPr>
        <w:ind w:firstLine="560"/>
        <w:rPr>
          <w:b/>
          <w:szCs w:val="21"/>
        </w:rPr>
      </w:pPr>
      <w:r>
        <w:rPr>
          <w:b/>
          <w:szCs w:val="21"/>
        </w:rPr>
        <w:t>8.2产品和服务的要求（C1）</w:t>
      </w:r>
    </w:p>
    <w:p>
      <w:pPr>
        <w:ind w:firstLine="560"/>
        <w:rPr>
          <w:b/>
          <w:szCs w:val="21"/>
        </w:rPr>
      </w:pPr>
      <w:r>
        <w:rPr>
          <w:b/>
          <w:szCs w:val="21"/>
        </w:rPr>
        <w:t>8.</w:t>
      </w:r>
      <w:r>
        <w:rPr>
          <w:rFonts w:hint="eastAsia"/>
          <w:b/>
          <w:szCs w:val="21"/>
          <w:lang w:val="en-US" w:eastAsia="zh-CN"/>
        </w:rPr>
        <w:t>2</w:t>
      </w:r>
      <w:r>
        <w:rPr>
          <w:b/>
          <w:szCs w:val="21"/>
        </w:rPr>
        <w:t>.1顾客沟通</w:t>
      </w:r>
    </w:p>
    <w:p>
      <w:pPr>
        <w:ind w:firstLine="560"/>
        <w:rPr>
          <w:szCs w:val="21"/>
        </w:rPr>
      </w:pPr>
      <w:r>
        <w:rPr>
          <w:szCs w:val="21"/>
        </w:rPr>
        <w:t>公司要对以下有关方面确定并实施与顾客沟通的安排：</w:t>
      </w:r>
    </w:p>
    <w:p>
      <w:pPr>
        <w:ind w:firstLine="560"/>
        <w:rPr>
          <w:szCs w:val="21"/>
        </w:rPr>
      </w:pPr>
      <w:r>
        <w:rPr>
          <w:szCs w:val="21"/>
        </w:rPr>
        <w:t>a) 产品和服务信息；</w:t>
      </w:r>
    </w:p>
    <w:p>
      <w:pPr>
        <w:ind w:firstLine="560"/>
        <w:rPr>
          <w:szCs w:val="21"/>
        </w:rPr>
      </w:pPr>
      <w:r>
        <w:rPr>
          <w:szCs w:val="21"/>
        </w:rPr>
        <w:t>b)问询、合同或订单的处理，包括对其修改；</w:t>
      </w:r>
    </w:p>
    <w:p>
      <w:pPr>
        <w:ind w:firstLine="560"/>
        <w:rPr>
          <w:szCs w:val="21"/>
        </w:rPr>
      </w:pPr>
      <w:r>
        <w:rPr>
          <w:szCs w:val="21"/>
        </w:rPr>
        <w:t>c)顾客反馈，包括顾客抱怨（见 9.1)；</w:t>
      </w:r>
    </w:p>
    <w:p>
      <w:pPr>
        <w:ind w:firstLine="560"/>
        <w:rPr>
          <w:szCs w:val="21"/>
        </w:rPr>
      </w:pPr>
      <w:r>
        <w:rPr>
          <w:szCs w:val="21"/>
        </w:rPr>
        <w:t>d)适用时，对顾客财产的处理；</w:t>
      </w:r>
    </w:p>
    <w:p>
      <w:pPr>
        <w:ind w:firstLine="560"/>
        <w:rPr>
          <w:szCs w:val="21"/>
        </w:rPr>
      </w:pPr>
      <w:r>
        <w:rPr>
          <w:szCs w:val="21"/>
        </w:rPr>
        <w:t>e) 相关时，应急措施的特定要求。</w:t>
      </w:r>
    </w:p>
    <w:p>
      <w:pPr>
        <w:ind w:firstLine="560"/>
        <w:rPr>
          <w:b/>
          <w:szCs w:val="21"/>
        </w:rPr>
      </w:pPr>
      <w:r>
        <w:rPr>
          <w:b/>
          <w:szCs w:val="21"/>
        </w:rPr>
        <w:t>8.2.2与产品和服务有关要求的确定</w:t>
      </w:r>
    </w:p>
    <w:p>
      <w:pPr>
        <w:ind w:firstLine="560"/>
        <w:rPr>
          <w:szCs w:val="21"/>
        </w:rPr>
      </w:pPr>
      <w:r>
        <w:rPr>
          <w:szCs w:val="21"/>
        </w:rPr>
        <w:t>公司建立《</w:t>
      </w:r>
      <w:r>
        <w:t>合同订单评审管理制度</w:t>
      </w:r>
      <w:r>
        <w:rPr>
          <w:szCs w:val="21"/>
        </w:rPr>
        <w:t>》，确定与产品和服务有关要求。</w:t>
      </w:r>
    </w:p>
    <w:p>
      <w:pPr>
        <w:ind w:firstLine="560"/>
        <w:rPr>
          <w:szCs w:val="21"/>
        </w:rPr>
      </w:pPr>
      <w:r>
        <w:rPr>
          <w:szCs w:val="21"/>
        </w:rPr>
        <w:t>a)顾客规定的要求，包括对交付及交付后活动的要求；</w:t>
      </w:r>
    </w:p>
    <w:p>
      <w:pPr>
        <w:ind w:firstLine="560"/>
        <w:rPr>
          <w:szCs w:val="21"/>
        </w:rPr>
      </w:pPr>
      <w:r>
        <w:rPr>
          <w:szCs w:val="21"/>
        </w:rPr>
        <w:t>b)顾客虽然没有明示，但规定的用途或已知的预期用途所必需的要求；</w:t>
      </w:r>
    </w:p>
    <w:p>
      <w:pPr>
        <w:ind w:firstLine="560"/>
        <w:rPr>
          <w:szCs w:val="21"/>
        </w:rPr>
      </w:pPr>
      <w:r>
        <w:rPr>
          <w:szCs w:val="21"/>
        </w:rPr>
        <w:t>c)适用于产品和服务的法律法规要求；</w:t>
      </w:r>
    </w:p>
    <w:p>
      <w:pPr>
        <w:ind w:firstLine="560"/>
        <w:rPr>
          <w:szCs w:val="21"/>
        </w:rPr>
      </w:pPr>
      <w:r>
        <w:rPr>
          <w:szCs w:val="21"/>
        </w:rPr>
        <w:t>d)公司认为必要的任何附加要求。</w:t>
      </w:r>
    </w:p>
    <w:p>
      <w:pPr>
        <w:ind w:firstLine="560"/>
        <w:rPr>
          <w:szCs w:val="21"/>
        </w:rPr>
      </w:pPr>
      <w:r>
        <w:rPr>
          <w:szCs w:val="21"/>
        </w:rPr>
        <w:t>注：附加要求可包含由有关的相关方提出的要求。</w:t>
      </w:r>
    </w:p>
    <w:p>
      <w:pPr>
        <w:ind w:firstLine="560"/>
        <w:rPr>
          <w:b/>
          <w:szCs w:val="21"/>
        </w:rPr>
      </w:pPr>
      <w:r>
        <w:rPr>
          <w:b/>
          <w:szCs w:val="21"/>
        </w:rPr>
        <w:t>8.2.3与产品和服务有关要求的评审</w:t>
      </w:r>
    </w:p>
    <w:p>
      <w:pPr>
        <w:ind w:left="525" w:leftChars="250" w:firstLine="33" w:firstLineChars="16"/>
        <w:rPr>
          <w:szCs w:val="21"/>
        </w:rPr>
      </w:pPr>
      <w:r>
        <w:rPr>
          <w:szCs w:val="21"/>
        </w:rPr>
        <w:t>公司要评审与产品和服务有关的要求。评审应在公司向顾客做出提供产品的承诺（如：提交标书、接受合同或订单及接受合同或订单的更改）之前进行，并应确保：</w:t>
      </w:r>
    </w:p>
    <w:p>
      <w:pPr>
        <w:ind w:firstLine="560"/>
        <w:rPr>
          <w:szCs w:val="21"/>
        </w:rPr>
      </w:pPr>
      <w:r>
        <w:rPr>
          <w:szCs w:val="21"/>
        </w:rPr>
        <w:t>a)产品和服务要求已得到规定并达成一致；</w:t>
      </w:r>
    </w:p>
    <w:p>
      <w:pPr>
        <w:ind w:firstLine="560"/>
        <w:rPr>
          <w:szCs w:val="21"/>
        </w:rPr>
      </w:pPr>
      <w:r>
        <w:rPr>
          <w:szCs w:val="21"/>
        </w:rPr>
        <w:t>b)与以前表述不一致的合同或订单的要求已予解决；</w:t>
      </w:r>
    </w:p>
    <w:p>
      <w:pPr>
        <w:ind w:firstLine="560"/>
        <w:rPr>
          <w:szCs w:val="21"/>
        </w:rPr>
      </w:pPr>
      <w:r>
        <w:rPr>
          <w:szCs w:val="21"/>
        </w:rPr>
        <w:t>c)公司有能力满足规定的要求。</w:t>
      </w:r>
    </w:p>
    <w:p>
      <w:pPr>
        <w:ind w:firstLine="560"/>
        <w:rPr>
          <w:szCs w:val="21"/>
        </w:rPr>
      </w:pPr>
      <w:r>
        <w:rPr>
          <w:szCs w:val="21"/>
        </w:rPr>
        <w:t>d)适用于产品和服务的法律法规要求；</w:t>
      </w:r>
    </w:p>
    <w:p>
      <w:pPr>
        <w:ind w:firstLine="560"/>
        <w:rPr>
          <w:szCs w:val="21"/>
        </w:rPr>
      </w:pPr>
      <w:r>
        <w:rPr>
          <w:szCs w:val="21"/>
        </w:rPr>
        <w:t>e)公司规定的要求；</w:t>
      </w:r>
    </w:p>
    <w:p>
      <w:pPr>
        <w:ind w:firstLine="560"/>
        <w:rPr>
          <w:szCs w:val="21"/>
        </w:rPr>
      </w:pPr>
      <w:r>
        <w:rPr>
          <w:szCs w:val="21"/>
        </w:rPr>
        <w:t>g)顾客虽然没有明示，但规定的用途或已知的预期用途所必需的要求；</w:t>
      </w:r>
    </w:p>
    <w:p>
      <w:pPr>
        <w:ind w:firstLine="560"/>
        <w:rPr>
          <w:szCs w:val="21"/>
        </w:rPr>
      </w:pPr>
      <w:r>
        <w:rPr>
          <w:szCs w:val="21"/>
        </w:rPr>
        <w:t>评审结果的信息应形成文件。</w:t>
      </w:r>
    </w:p>
    <w:p>
      <w:pPr>
        <w:ind w:firstLine="560"/>
        <w:rPr>
          <w:szCs w:val="21"/>
        </w:rPr>
      </w:pPr>
      <w:r>
        <w:rPr>
          <w:szCs w:val="21"/>
        </w:rPr>
        <w:t>若顾客没有提供形成文件的要求，公司在接受顾客要求前应对顾客要求进行确认。</w:t>
      </w:r>
    </w:p>
    <w:p>
      <w:pPr>
        <w:ind w:left="525" w:leftChars="250" w:firstLine="33" w:firstLineChars="16"/>
        <w:rPr>
          <w:szCs w:val="21"/>
        </w:rPr>
      </w:pPr>
      <w:r>
        <w:rPr>
          <w:szCs w:val="21"/>
        </w:rPr>
        <w:t>若产品和服务要求发生变更，公司要确保相关文件信息得到修改，并确保相关人员知道已变更的要求。</w:t>
      </w:r>
    </w:p>
    <w:p>
      <w:pPr>
        <w:ind w:left="525" w:leftChars="250" w:firstLine="33" w:firstLineChars="16"/>
        <w:rPr>
          <w:szCs w:val="21"/>
        </w:rPr>
      </w:pPr>
      <w:r>
        <w:rPr>
          <w:szCs w:val="21"/>
        </w:rPr>
        <w:t>在某些情况下，对每一个订单进行正式的评审可能是不实际的，作为替代方法，可对提供给顾客的的产品信息进行评审。</w:t>
      </w:r>
    </w:p>
    <w:p>
      <w:pPr>
        <w:ind w:firstLine="560"/>
        <w:rPr>
          <w:b/>
          <w:szCs w:val="21"/>
        </w:rPr>
      </w:pPr>
      <w:r>
        <w:rPr>
          <w:b/>
          <w:szCs w:val="21"/>
        </w:rPr>
        <w:t>8.2.4产品和服务要求的更改</w:t>
      </w:r>
    </w:p>
    <w:p>
      <w:pPr>
        <w:ind w:left="525" w:leftChars="250" w:firstLine="33" w:firstLineChars="16"/>
        <w:rPr>
          <w:szCs w:val="21"/>
        </w:rPr>
      </w:pPr>
      <w:r>
        <w:rPr>
          <w:szCs w:val="21"/>
        </w:rPr>
        <w:t>若产品和服务要求发生更改时，公司要确保相关的形成文件信息得到修改主，并确保相关人员知道已变更的要求。</w:t>
      </w:r>
    </w:p>
    <w:p>
      <w:pPr>
        <w:ind w:firstLine="514" w:firstLineChars="244"/>
        <w:rPr>
          <w:rFonts w:hint="eastAsia" w:eastAsia="宋体"/>
          <w:b/>
          <w:bCs/>
          <w:lang w:eastAsia="zh-CN"/>
        </w:rPr>
      </w:pPr>
      <w:r>
        <w:rPr>
          <w:b/>
          <w:bCs/>
        </w:rPr>
        <w:t>8.3产品和服务的设计和开发</w:t>
      </w:r>
      <w:r>
        <w:rPr>
          <w:rFonts w:hint="eastAsia"/>
          <w:b/>
          <w:bCs/>
          <w:lang w:eastAsia="zh-CN"/>
        </w:rPr>
        <w:t>（不适用）</w:t>
      </w:r>
    </w:p>
    <w:p>
      <w:pPr>
        <w:ind w:firstLine="560"/>
        <w:rPr>
          <w:rFonts w:hint="eastAsia"/>
          <w:b w:val="0"/>
          <w:bCs/>
          <w:szCs w:val="21"/>
        </w:rPr>
      </w:pPr>
      <w:r>
        <w:rPr>
          <w:rFonts w:hint="eastAsia"/>
          <w:b w:val="0"/>
          <w:bCs/>
          <w:szCs w:val="21"/>
        </w:rPr>
        <w:t>公司按相应国家行业标准进行物业服务，不涉及设计与开发，故8.3不适用。删减不影响公司提供满足顾客要求和相关法律法规要求的能力。</w:t>
      </w:r>
    </w:p>
    <w:p>
      <w:pPr>
        <w:ind w:firstLine="560"/>
        <w:rPr>
          <w:b/>
          <w:szCs w:val="21"/>
        </w:rPr>
      </w:pPr>
      <w:r>
        <w:rPr>
          <w:b/>
          <w:szCs w:val="21"/>
        </w:rPr>
        <w:t>8.4外部提供过程、产品和服务的控制（S10）</w:t>
      </w:r>
    </w:p>
    <w:p>
      <w:pPr>
        <w:ind w:firstLine="560"/>
        <w:rPr>
          <w:b/>
          <w:szCs w:val="21"/>
        </w:rPr>
      </w:pPr>
      <w:r>
        <w:rPr>
          <w:b/>
          <w:szCs w:val="21"/>
        </w:rPr>
        <w:t>8.4.1总则</w:t>
      </w:r>
    </w:p>
    <w:p>
      <w:pPr>
        <w:ind w:left="525" w:leftChars="250" w:firstLine="33" w:firstLineChars="16"/>
        <w:rPr>
          <w:szCs w:val="21"/>
        </w:rPr>
      </w:pPr>
      <w:r>
        <w:rPr>
          <w:szCs w:val="21"/>
        </w:rPr>
        <w:t>公司建立《</w:t>
      </w:r>
      <w:r>
        <w:t>外部供方管理制度</w:t>
      </w:r>
      <w:r>
        <w:rPr>
          <w:szCs w:val="21"/>
        </w:rPr>
        <w:t>》，通过实施</w:t>
      </w:r>
      <w:r>
        <w:t>外部供方管理制度，</w:t>
      </w:r>
      <w:r>
        <w:rPr>
          <w:szCs w:val="21"/>
        </w:rPr>
        <w:t>确保外部提供的过程、产品和服务满能足规定的要求。</w:t>
      </w:r>
    </w:p>
    <w:p>
      <w:pPr>
        <w:ind w:firstLine="560"/>
        <w:rPr>
          <w:szCs w:val="21"/>
        </w:rPr>
      </w:pPr>
      <w:r>
        <w:rPr>
          <w:szCs w:val="21"/>
        </w:rPr>
        <w:t>公司对外部提供的相关过程、产品和服务进行定期识别，包括：</w:t>
      </w:r>
    </w:p>
    <w:p>
      <w:pPr>
        <w:ind w:firstLine="560"/>
        <w:rPr>
          <w:szCs w:val="21"/>
        </w:rPr>
      </w:pPr>
      <w:r>
        <w:rPr>
          <w:szCs w:val="21"/>
        </w:rPr>
        <w:t>a)外部供方的过程、产品和服务是组成公司自身的产品和服务的一部分；</w:t>
      </w:r>
    </w:p>
    <w:p>
      <w:pPr>
        <w:ind w:firstLine="560"/>
        <w:rPr>
          <w:szCs w:val="21"/>
        </w:rPr>
      </w:pPr>
      <w:r>
        <w:rPr>
          <w:szCs w:val="21"/>
        </w:rPr>
        <w:t>b)外部供方代表公司直接将产品和服务提供给顾客；</w:t>
      </w:r>
    </w:p>
    <w:p>
      <w:pPr>
        <w:ind w:firstLine="560"/>
        <w:rPr>
          <w:szCs w:val="21"/>
        </w:rPr>
      </w:pPr>
      <w:r>
        <w:rPr>
          <w:szCs w:val="21"/>
        </w:rPr>
        <w:t>c)公司决定将过程或过程的一部分外包。</w:t>
      </w:r>
    </w:p>
    <w:p>
      <w:pPr>
        <w:ind w:firstLine="560"/>
        <w:rPr>
          <w:szCs w:val="21"/>
        </w:rPr>
      </w:pPr>
      <w:r>
        <w:rPr>
          <w:rFonts w:hint="eastAsia"/>
          <w:b/>
          <w:bCs/>
          <w:szCs w:val="21"/>
          <w:u w:val="single"/>
        </w:rPr>
        <w:t>公司目前识别无外包过程</w:t>
      </w:r>
      <w:r>
        <w:rPr>
          <w:rFonts w:hint="eastAsia"/>
          <w:b/>
          <w:bCs/>
          <w:szCs w:val="21"/>
        </w:rPr>
        <w:t>。</w:t>
      </w:r>
    </w:p>
    <w:p>
      <w:pPr>
        <w:ind w:left="525" w:leftChars="250" w:firstLine="33" w:firstLineChars="16"/>
        <w:rPr>
          <w:szCs w:val="21"/>
        </w:rPr>
      </w:pPr>
      <w:r>
        <w:rPr>
          <w:szCs w:val="21"/>
        </w:rPr>
        <w:t>公司要基于外部供方提供所要求的过程、产品或服务的能力，确定外部供方的评价、选择、绩效监</w:t>
      </w:r>
      <w:r>
        <w:rPr>
          <w:b/>
          <w:szCs w:val="21"/>
        </w:rPr>
        <w:t>8.4.2控制类型和程度</w:t>
      </w:r>
    </w:p>
    <w:p>
      <w:pPr>
        <w:ind w:firstLine="560"/>
        <w:rPr>
          <w:szCs w:val="21"/>
        </w:rPr>
      </w:pPr>
      <w:r>
        <w:rPr>
          <w:szCs w:val="21"/>
        </w:rPr>
        <w:t>对外部供方及其供应的过程、产品和服务的控制类型和程度取决于：</w:t>
      </w:r>
    </w:p>
    <w:p>
      <w:pPr>
        <w:ind w:firstLine="560"/>
        <w:rPr>
          <w:szCs w:val="21"/>
        </w:rPr>
      </w:pPr>
      <w:r>
        <w:rPr>
          <w:szCs w:val="21"/>
        </w:rPr>
        <w:t>a)识别的风险及其潜在影响</w:t>
      </w:r>
    </w:p>
    <w:p>
      <w:pPr>
        <w:ind w:firstLine="560"/>
        <w:rPr>
          <w:szCs w:val="21"/>
        </w:rPr>
      </w:pPr>
      <w:r>
        <w:rPr>
          <w:szCs w:val="21"/>
        </w:rPr>
        <w:t>b)公司与外部供方对外部供应过程控制的分担程度</w:t>
      </w:r>
    </w:p>
    <w:p>
      <w:pPr>
        <w:ind w:firstLine="560"/>
        <w:rPr>
          <w:szCs w:val="21"/>
        </w:rPr>
      </w:pPr>
      <w:r>
        <w:rPr>
          <w:szCs w:val="21"/>
        </w:rPr>
        <w:t>c)潜在的控制能力</w:t>
      </w:r>
    </w:p>
    <w:p>
      <w:pPr>
        <w:ind w:left="525" w:leftChars="250" w:firstLine="33" w:firstLineChars="16"/>
        <w:rPr>
          <w:szCs w:val="21"/>
        </w:rPr>
      </w:pPr>
      <w:r>
        <w:rPr>
          <w:szCs w:val="21"/>
        </w:rPr>
        <w:t>公司要根据外部供方按公司的要求提供产品的能力，建立和实施对外部供方的评价、选择和重新评价的准则。评价结果的信息应形成文件。</w:t>
      </w:r>
    </w:p>
    <w:p>
      <w:pPr>
        <w:ind w:firstLine="560"/>
        <w:rPr>
          <w:b/>
          <w:szCs w:val="21"/>
        </w:rPr>
      </w:pPr>
      <w:r>
        <w:rPr>
          <w:b/>
          <w:szCs w:val="21"/>
        </w:rPr>
        <w:t>8.4.3外部供方的信息</w:t>
      </w:r>
    </w:p>
    <w:p>
      <w:pPr>
        <w:ind w:firstLine="560"/>
        <w:rPr>
          <w:szCs w:val="21"/>
        </w:rPr>
      </w:pPr>
      <w:r>
        <w:rPr>
          <w:szCs w:val="21"/>
        </w:rPr>
        <w:t>适用时，提供给外部供方的形成文件的信息应阐述：</w:t>
      </w:r>
    </w:p>
    <w:p>
      <w:pPr>
        <w:ind w:firstLine="560"/>
        <w:rPr>
          <w:szCs w:val="21"/>
        </w:rPr>
      </w:pPr>
      <w:r>
        <w:rPr>
          <w:szCs w:val="21"/>
        </w:rPr>
        <w:t>a)供应的产品和服务，以及实施的过程；</w:t>
      </w:r>
    </w:p>
    <w:p>
      <w:pPr>
        <w:ind w:firstLine="560"/>
        <w:rPr>
          <w:szCs w:val="21"/>
        </w:rPr>
      </w:pPr>
      <w:r>
        <w:rPr>
          <w:szCs w:val="21"/>
        </w:rPr>
        <w:t>b)产品、服务、程序、过程和设备的放行或批准要求；</w:t>
      </w:r>
    </w:p>
    <w:p>
      <w:pPr>
        <w:ind w:firstLine="560"/>
        <w:rPr>
          <w:szCs w:val="21"/>
        </w:rPr>
      </w:pPr>
      <w:r>
        <w:rPr>
          <w:szCs w:val="21"/>
        </w:rPr>
        <w:t>c)人员能力的要求，包含必要的资格；</w:t>
      </w:r>
    </w:p>
    <w:p>
      <w:pPr>
        <w:ind w:firstLine="560"/>
        <w:rPr>
          <w:szCs w:val="21"/>
        </w:rPr>
      </w:pPr>
      <w:r>
        <w:rPr>
          <w:szCs w:val="21"/>
        </w:rPr>
        <w:t>d)质量/环境/安全管理体系的要求；</w:t>
      </w:r>
    </w:p>
    <w:p>
      <w:pPr>
        <w:ind w:firstLine="560"/>
        <w:rPr>
          <w:szCs w:val="21"/>
        </w:rPr>
      </w:pPr>
      <w:r>
        <w:rPr>
          <w:szCs w:val="21"/>
        </w:rPr>
        <w:t>e)公司对外部供方业绩的控制和监视；</w:t>
      </w:r>
    </w:p>
    <w:p>
      <w:pPr>
        <w:ind w:firstLine="560"/>
        <w:rPr>
          <w:szCs w:val="21"/>
        </w:rPr>
      </w:pPr>
      <w:r>
        <w:rPr>
          <w:szCs w:val="21"/>
        </w:rPr>
        <w:t>f)公司或其顾客拟在供方现场实施的验证活动；</w:t>
      </w:r>
    </w:p>
    <w:p>
      <w:pPr>
        <w:ind w:firstLine="560"/>
        <w:rPr>
          <w:szCs w:val="21"/>
        </w:rPr>
      </w:pPr>
      <w:r>
        <w:rPr>
          <w:szCs w:val="21"/>
        </w:rPr>
        <w:t>g)将产品从外部供方到公司现场的搬运要求；</w:t>
      </w:r>
    </w:p>
    <w:p>
      <w:pPr>
        <w:ind w:firstLine="560"/>
        <w:rPr>
          <w:szCs w:val="21"/>
        </w:rPr>
      </w:pPr>
      <w:r>
        <w:rPr>
          <w:szCs w:val="21"/>
        </w:rPr>
        <w:t>在与外部供方沟通前，公司要确保所规定的要求是充分与适宜的。</w:t>
      </w:r>
    </w:p>
    <w:p>
      <w:pPr>
        <w:ind w:firstLine="560"/>
        <w:rPr>
          <w:szCs w:val="21"/>
        </w:rPr>
      </w:pPr>
      <w:r>
        <w:rPr>
          <w:szCs w:val="21"/>
        </w:rPr>
        <w:t>公司要对外部供方的业绩进行监视。应将监视结果的信息形成文件。</w:t>
      </w:r>
    </w:p>
    <w:p>
      <w:pPr>
        <w:ind w:firstLine="560"/>
        <w:rPr>
          <w:b/>
          <w:szCs w:val="21"/>
        </w:rPr>
      </w:pPr>
      <w:r>
        <w:rPr>
          <w:b/>
          <w:szCs w:val="21"/>
        </w:rPr>
        <w:t>8.5生产和服务提供</w:t>
      </w:r>
    </w:p>
    <w:p>
      <w:pPr>
        <w:ind w:firstLine="560"/>
        <w:rPr>
          <w:b/>
          <w:szCs w:val="21"/>
        </w:rPr>
      </w:pPr>
      <w:r>
        <w:rPr>
          <w:b/>
          <w:szCs w:val="21"/>
        </w:rPr>
        <w:t>8.5.1生产和服务提供的控制（C2）</w:t>
      </w:r>
    </w:p>
    <w:p>
      <w:pPr>
        <w:ind w:firstLine="560"/>
        <w:rPr>
          <w:szCs w:val="21"/>
        </w:rPr>
      </w:pPr>
      <w:r>
        <w:rPr>
          <w:szCs w:val="21"/>
        </w:rPr>
        <w:t>公司要在受控条件下进行产品销售服务提供。适用时，受控条件应包括：</w:t>
      </w:r>
    </w:p>
    <w:p>
      <w:pPr>
        <w:ind w:firstLine="560"/>
        <w:rPr>
          <w:szCs w:val="21"/>
        </w:rPr>
      </w:pPr>
      <w:r>
        <w:rPr>
          <w:szCs w:val="21"/>
        </w:rPr>
        <w:t>a)获得表述产品和服务特性的文件信息；</w:t>
      </w:r>
    </w:p>
    <w:p>
      <w:pPr>
        <w:ind w:firstLine="560"/>
        <w:rPr>
          <w:szCs w:val="21"/>
        </w:rPr>
      </w:pPr>
      <w:r>
        <w:rPr>
          <w:szCs w:val="21"/>
        </w:rPr>
        <w:t>b)控制的实施；</w:t>
      </w:r>
    </w:p>
    <w:p>
      <w:pPr>
        <w:ind w:firstLine="560"/>
        <w:rPr>
          <w:szCs w:val="21"/>
        </w:rPr>
      </w:pPr>
      <w:r>
        <w:rPr>
          <w:szCs w:val="21"/>
        </w:rPr>
        <w:t>c)必要时，获得表述活动的实施及其结果的文件信息；</w:t>
      </w:r>
    </w:p>
    <w:p>
      <w:pPr>
        <w:ind w:firstLine="560"/>
        <w:rPr>
          <w:szCs w:val="21"/>
        </w:rPr>
      </w:pPr>
      <w:r>
        <w:rPr>
          <w:szCs w:val="21"/>
        </w:rPr>
        <w:t>d)使用适宜的设备；</w:t>
      </w:r>
    </w:p>
    <w:p>
      <w:pPr>
        <w:ind w:firstLine="560"/>
        <w:rPr>
          <w:szCs w:val="21"/>
        </w:rPr>
      </w:pPr>
      <w:r>
        <w:rPr>
          <w:szCs w:val="21"/>
        </w:rPr>
        <w:t>e)获得、实施和使用监测和测量设备；</w:t>
      </w:r>
    </w:p>
    <w:p>
      <w:pPr>
        <w:ind w:firstLine="560"/>
        <w:rPr>
          <w:szCs w:val="21"/>
        </w:rPr>
      </w:pPr>
      <w:r>
        <w:rPr>
          <w:szCs w:val="21"/>
        </w:rPr>
        <w:t>f)人员的能力或资格；</w:t>
      </w:r>
    </w:p>
    <w:p>
      <w:pPr>
        <w:ind w:left="525" w:leftChars="250" w:firstLine="33" w:firstLineChars="16"/>
        <w:rPr>
          <w:szCs w:val="21"/>
        </w:rPr>
      </w:pPr>
      <w:r>
        <w:rPr>
          <w:szCs w:val="21"/>
        </w:rPr>
        <w:t>g)当过程的输出不能由后续的监测和测量加以验证时，对任何这样的产品销售服务提供过程进行确认、批准和再次确认；</w:t>
      </w:r>
    </w:p>
    <w:p>
      <w:pPr>
        <w:ind w:left="525" w:leftChars="250" w:firstLine="34" w:firstLineChars="16"/>
        <w:rPr>
          <w:rFonts w:hint="default" w:eastAsia="宋体"/>
          <w:szCs w:val="21"/>
          <w:lang w:val="en-US" w:eastAsia="zh-CN"/>
        </w:rPr>
      </w:pPr>
      <w:r>
        <w:rPr>
          <w:rFonts w:hint="eastAsia"/>
          <w:b/>
          <w:bCs/>
          <w:szCs w:val="21"/>
          <w:u w:val="single"/>
        </w:rPr>
        <w:t>公司目前识别</w:t>
      </w:r>
      <w:r>
        <w:rPr>
          <w:rFonts w:hint="eastAsia"/>
          <w:b/>
          <w:bCs/>
          <w:szCs w:val="21"/>
          <w:u w:val="single"/>
          <w:lang w:val="en-US" w:eastAsia="zh-CN"/>
        </w:rPr>
        <w:t>的特殊</w:t>
      </w:r>
      <w:r>
        <w:rPr>
          <w:rFonts w:hint="eastAsia"/>
          <w:b/>
          <w:bCs/>
          <w:szCs w:val="21"/>
          <w:u w:val="single"/>
        </w:rPr>
        <w:t>过程</w:t>
      </w:r>
      <w:r>
        <w:rPr>
          <w:rFonts w:hint="eastAsia"/>
          <w:b/>
          <w:bCs/>
          <w:szCs w:val="21"/>
          <w:u w:val="single"/>
          <w:lang w:val="en-US" w:eastAsia="zh-CN"/>
        </w:rPr>
        <w:t>为：服务过程。</w:t>
      </w:r>
    </w:p>
    <w:p>
      <w:pPr>
        <w:ind w:firstLine="560"/>
        <w:rPr>
          <w:szCs w:val="21"/>
        </w:rPr>
      </w:pPr>
      <w:r>
        <w:rPr>
          <w:szCs w:val="21"/>
        </w:rPr>
        <w:t>h)产品和服务的放行、交付和交付后活动的实施；</w:t>
      </w:r>
    </w:p>
    <w:p>
      <w:pPr>
        <w:ind w:firstLine="560"/>
        <w:rPr>
          <w:szCs w:val="21"/>
        </w:rPr>
      </w:pPr>
      <w:r>
        <w:rPr>
          <w:szCs w:val="21"/>
        </w:rPr>
        <w:t>i)人为错误（如失误、违章）导致的不符合的预防。</w:t>
      </w:r>
    </w:p>
    <w:p>
      <w:pPr>
        <w:ind w:firstLine="560"/>
        <w:rPr>
          <w:szCs w:val="21"/>
        </w:rPr>
      </w:pPr>
      <w:r>
        <w:rPr>
          <w:szCs w:val="21"/>
        </w:rPr>
        <w:t>注：通过以下确认活动证实这些过程实现所策划的结果的能力：</w:t>
      </w:r>
    </w:p>
    <w:p>
      <w:pPr>
        <w:ind w:firstLine="560"/>
        <w:rPr>
          <w:szCs w:val="21"/>
        </w:rPr>
      </w:pPr>
      <w:r>
        <w:rPr>
          <w:szCs w:val="21"/>
        </w:rPr>
        <w:t>a)过程评审和批准的准则的确定</w:t>
      </w:r>
    </w:p>
    <w:p>
      <w:pPr>
        <w:ind w:firstLine="560"/>
        <w:rPr>
          <w:szCs w:val="21"/>
        </w:rPr>
      </w:pPr>
      <w:r>
        <w:rPr>
          <w:szCs w:val="21"/>
        </w:rPr>
        <w:t>b)设备的认可和人员资格的鉴定</w:t>
      </w:r>
    </w:p>
    <w:p>
      <w:pPr>
        <w:ind w:firstLine="560"/>
        <w:rPr>
          <w:szCs w:val="21"/>
        </w:rPr>
      </w:pPr>
      <w:r>
        <w:rPr>
          <w:szCs w:val="21"/>
        </w:rPr>
        <w:t>c)特定的方法和程序的使用</w:t>
      </w:r>
    </w:p>
    <w:p>
      <w:pPr>
        <w:ind w:firstLine="560"/>
        <w:rPr>
          <w:szCs w:val="21"/>
        </w:rPr>
      </w:pPr>
      <w:r>
        <w:rPr>
          <w:szCs w:val="21"/>
        </w:rPr>
        <w:t>d)文件化信息的需求的确定</w:t>
      </w:r>
    </w:p>
    <w:p>
      <w:pPr>
        <w:ind w:firstLine="560"/>
        <w:rPr>
          <w:b/>
          <w:szCs w:val="21"/>
        </w:rPr>
      </w:pPr>
      <w:r>
        <w:rPr>
          <w:b/>
          <w:szCs w:val="21"/>
        </w:rPr>
        <w:t>8.5.2标识和可追溯性（S11）</w:t>
      </w:r>
    </w:p>
    <w:p>
      <w:pPr>
        <w:ind w:left="525" w:leftChars="250" w:firstLine="33" w:firstLineChars="16"/>
        <w:rPr>
          <w:szCs w:val="21"/>
        </w:rPr>
      </w:pPr>
      <w:r>
        <w:rPr>
          <w:szCs w:val="21"/>
        </w:rPr>
        <w:t>公司建立《标识和可追溯性管理制度》，使用适宜的方法识别过程输出。过程输出包括产品、服务、中间件、部件等。</w:t>
      </w:r>
    </w:p>
    <w:p>
      <w:pPr>
        <w:ind w:firstLine="560"/>
        <w:rPr>
          <w:szCs w:val="21"/>
        </w:rPr>
      </w:pPr>
      <w:r>
        <w:rPr>
          <w:szCs w:val="21"/>
        </w:rPr>
        <w:t>公司要在产品实现的全过程中，针对监视和测量要求识别过程输出的状态。</w:t>
      </w:r>
    </w:p>
    <w:p>
      <w:pPr>
        <w:ind w:firstLine="560"/>
        <w:rPr>
          <w:szCs w:val="21"/>
        </w:rPr>
      </w:pPr>
      <w:r>
        <w:rPr>
          <w:szCs w:val="21"/>
        </w:rPr>
        <w:t>在有可追溯性要求的场合，公司要控制产品的唯一性标识，并保持形成文件的信息。</w:t>
      </w:r>
    </w:p>
    <w:p>
      <w:pPr>
        <w:ind w:firstLine="560"/>
        <w:rPr>
          <w:b/>
          <w:szCs w:val="21"/>
        </w:rPr>
      </w:pPr>
      <w:r>
        <w:rPr>
          <w:b/>
          <w:szCs w:val="21"/>
        </w:rPr>
        <w:t>8.5.3顾客或外部供方的财产（S12）</w:t>
      </w:r>
    </w:p>
    <w:p>
      <w:pPr>
        <w:ind w:left="525" w:leftChars="250" w:firstLine="33" w:firstLineChars="16"/>
        <w:rPr>
          <w:rFonts w:hint="eastAsia"/>
          <w:szCs w:val="21"/>
        </w:rPr>
      </w:pPr>
      <w:r>
        <w:rPr>
          <w:rFonts w:hint="eastAsia"/>
          <w:szCs w:val="21"/>
        </w:rPr>
        <w:t xml:space="preserve">业务拓展部在签订合同时应明确顾客提供财产（物资、图纸），由管理处负责接收、使用和管理,顾客提供的材料和设备是指与顾客订立的合同中所确定的由顾客提供的材料和设备。 </w:t>
      </w:r>
    </w:p>
    <w:p>
      <w:pPr>
        <w:ind w:left="525" w:leftChars="250" w:firstLine="33" w:firstLineChars="16"/>
        <w:rPr>
          <w:szCs w:val="21"/>
        </w:rPr>
      </w:pPr>
      <w:r>
        <w:rPr>
          <w:rFonts w:hint="eastAsia"/>
          <w:szCs w:val="21"/>
        </w:rPr>
        <w:t>在对顾客提供的材料和设备验证时发现问题应及时和顾客沟通，同时来取标识、隔离等措施，按照与顾客协商的结果进行处理，并做好记录。当顾客财产发生丢失、损坏或不适用时，应予以记录，并向顾客报告，求得协商解决。</w:t>
      </w:r>
    </w:p>
    <w:p>
      <w:pPr>
        <w:ind w:firstLine="560"/>
        <w:rPr>
          <w:b/>
          <w:szCs w:val="21"/>
        </w:rPr>
      </w:pPr>
      <w:r>
        <w:rPr>
          <w:b/>
          <w:szCs w:val="21"/>
        </w:rPr>
        <w:t>8.5.4防护（C3）</w:t>
      </w:r>
    </w:p>
    <w:p>
      <w:pPr>
        <w:ind w:left="525" w:leftChars="250" w:firstLine="33" w:firstLineChars="16"/>
        <w:rPr>
          <w:szCs w:val="21"/>
        </w:rPr>
      </w:pPr>
      <w:r>
        <w:rPr>
          <w:rFonts w:hint="eastAsia"/>
          <w:szCs w:val="21"/>
        </w:rPr>
        <w:t>在服务执行过程中</w:t>
      </w:r>
      <w:r>
        <w:rPr>
          <w:szCs w:val="21"/>
        </w:rPr>
        <w:t>确保对产品和服务（包括任何过程的输出）提供防护，以保持符合要求。</w:t>
      </w:r>
    </w:p>
    <w:p>
      <w:pPr>
        <w:ind w:firstLine="560"/>
        <w:rPr>
          <w:szCs w:val="21"/>
        </w:rPr>
      </w:pPr>
      <w:r>
        <w:rPr>
          <w:szCs w:val="21"/>
        </w:rPr>
        <w:t>防护也应适用于产品的组成部分、服务提供所需的任何有形的过程输出。</w:t>
      </w:r>
    </w:p>
    <w:p>
      <w:pPr>
        <w:ind w:firstLine="560"/>
        <w:rPr>
          <w:szCs w:val="21"/>
        </w:rPr>
      </w:pPr>
      <w:r>
        <w:rPr>
          <w:szCs w:val="21"/>
        </w:rPr>
        <w:t>防护包括标识、搬运、包装、贮存、污染控制、传送或运输和保护。</w:t>
      </w:r>
    </w:p>
    <w:p>
      <w:pPr>
        <w:ind w:firstLine="560"/>
        <w:rPr>
          <w:b/>
          <w:szCs w:val="21"/>
        </w:rPr>
      </w:pPr>
      <w:r>
        <w:rPr>
          <w:b/>
          <w:szCs w:val="21"/>
        </w:rPr>
        <w:t>8.5.5交付后的活动（C4）</w:t>
      </w:r>
    </w:p>
    <w:p>
      <w:pPr>
        <w:ind w:firstLine="560"/>
        <w:rPr>
          <w:szCs w:val="21"/>
        </w:rPr>
      </w:pPr>
      <w:r>
        <w:rPr>
          <w:szCs w:val="21"/>
        </w:rPr>
        <w:t>适用时，公司要确定和满足与产品特性、生命周期相适应的交付后活动要求。</w:t>
      </w:r>
    </w:p>
    <w:p>
      <w:pPr>
        <w:ind w:firstLine="560"/>
        <w:rPr>
          <w:szCs w:val="21"/>
        </w:rPr>
      </w:pPr>
      <w:r>
        <w:rPr>
          <w:szCs w:val="21"/>
        </w:rPr>
        <w:t>产品交付后的活动应考虑：</w:t>
      </w:r>
    </w:p>
    <w:p>
      <w:pPr>
        <w:ind w:firstLine="560"/>
        <w:rPr>
          <w:szCs w:val="21"/>
        </w:rPr>
      </w:pPr>
      <w:r>
        <w:rPr>
          <w:szCs w:val="21"/>
        </w:rPr>
        <w:t>a)产品和服务相关的风险</w:t>
      </w:r>
    </w:p>
    <w:p>
      <w:pPr>
        <w:ind w:firstLine="560"/>
        <w:rPr>
          <w:szCs w:val="21"/>
        </w:rPr>
      </w:pPr>
      <w:r>
        <w:rPr>
          <w:szCs w:val="21"/>
        </w:rPr>
        <w:t>b)顾客反馈</w:t>
      </w:r>
    </w:p>
    <w:p>
      <w:pPr>
        <w:ind w:firstLine="560"/>
        <w:rPr>
          <w:szCs w:val="21"/>
        </w:rPr>
      </w:pPr>
      <w:r>
        <w:rPr>
          <w:szCs w:val="21"/>
        </w:rPr>
        <w:t>c)法律和法规要求</w:t>
      </w:r>
    </w:p>
    <w:p>
      <w:pPr>
        <w:ind w:left="525" w:leftChars="250" w:firstLine="33" w:firstLineChars="16"/>
        <w:rPr>
          <w:szCs w:val="21"/>
        </w:rPr>
      </w:pPr>
      <w:r>
        <w:rPr>
          <w:szCs w:val="21"/>
        </w:rPr>
        <w:t>注：交付后活动可包括诸如担保条件下的措施、合同规定的维护服务、附加服务（回收或最终处置）等。</w:t>
      </w:r>
    </w:p>
    <w:p>
      <w:pPr>
        <w:ind w:firstLine="560"/>
        <w:rPr>
          <w:b/>
          <w:szCs w:val="21"/>
        </w:rPr>
      </w:pPr>
      <w:r>
        <w:rPr>
          <w:b/>
          <w:szCs w:val="21"/>
        </w:rPr>
        <w:t>8.5.6更改控制</w:t>
      </w:r>
    </w:p>
    <w:p>
      <w:pPr>
        <w:ind w:left="525" w:leftChars="250" w:firstLine="33" w:firstLineChars="16"/>
        <w:rPr>
          <w:szCs w:val="21"/>
        </w:rPr>
      </w:pPr>
      <w:r>
        <w:rPr>
          <w:szCs w:val="21"/>
        </w:rPr>
        <w:t>公司要有计划地和系统地进行变更，考虑对变更的潜在后果进行评价，采取必要的措施，以确保产品和服务完整性。</w:t>
      </w:r>
    </w:p>
    <w:p>
      <w:pPr>
        <w:ind w:firstLine="560"/>
        <w:rPr>
          <w:szCs w:val="21"/>
        </w:rPr>
      </w:pPr>
      <w:r>
        <w:rPr>
          <w:szCs w:val="21"/>
        </w:rPr>
        <w:t>应将变更的评价结果、变更的批准和必要的措施的信息形成文件。</w:t>
      </w:r>
    </w:p>
    <w:p>
      <w:pPr>
        <w:ind w:firstLine="560"/>
        <w:rPr>
          <w:b/>
          <w:szCs w:val="21"/>
        </w:rPr>
      </w:pPr>
      <w:r>
        <w:rPr>
          <w:b/>
          <w:szCs w:val="21"/>
        </w:rPr>
        <w:t>8.6产品和服务的放行（S13）</w:t>
      </w:r>
    </w:p>
    <w:p>
      <w:pPr>
        <w:spacing w:line="360" w:lineRule="auto"/>
        <w:ind w:firstLine="525" w:firstLineChars="250"/>
        <w:rPr>
          <w:bCs/>
        </w:rPr>
      </w:pPr>
      <w:r>
        <w:rPr>
          <w:szCs w:val="21"/>
        </w:rPr>
        <w:t>公司建立</w:t>
      </w:r>
      <w:r>
        <w:rPr>
          <w:rFonts w:hint="eastAsia"/>
          <w:szCs w:val="21"/>
        </w:rPr>
        <w:t>相关制度</w:t>
      </w:r>
      <w:r>
        <w:rPr>
          <w:szCs w:val="21"/>
        </w:rPr>
        <w:t>并按策划的安排，在适当的阶段验证产品和服务是否满足要求。</w:t>
      </w:r>
    </w:p>
    <w:p>
      <w:pPr>
        <w:ind w:left="525" w:leftChars="250" w:firstLine="33" w:firstLineChars="16"/>
        <w:rPr>
          <w:szCs w:val="21"/>
        </w:rPr>
      </w:pPr>
      <w:r>
        <w:rPr>
          <w:szCs w:val="21"/>
        </w:rPr>
        <w:t>除非得到有关授权人员的批准，适用时得到顾客的批准，否则在策划的符合性验证已圆满完成之前，不应向顾客放行产品和交付服务。应在形成文件的信息中指明有权放行产品以交付给顾客的人员。</w:t>
      </w:r>
    </w:p>
    <w:p>
      <w:pPr>
        <w:ind w:firstLine="560"/>
        <w:rPr>
          <w:b/>
          <w:szCs w:val="21"/>
        </w:rPr>
      </w:pPr>
      <w:r>
        <w:rPr>
          <w:b/>
          <w:szCs w:val="21"/>
        </w:rPr>
        <w:t>8.7不合格输出的控制（S14）</w:t>
      </w:r>
    </w:p>
    <w:p>
      <w:pPr>
        <w:ind w:left="525" w:leftChars="250" w:firstLine="33" w:firstLineChars="16"/>
        <w:rPr>
          <w:szCs w:val="21"/>
        </w:rPr>
      </w:pPr>
      <w:r>
        <w:rPr>
          <w:szCs w:val="21"/>
        </w:rPr>
        <w:t>8.7.1公司要确保对不符合要求的产品和服务得到识别和控制，以防止其非预期的使用和交付对顾客造成不良影响。</w:t>
      </w:r>
    </w:p>
    <w:p>
      <w:pPr>
        <w:ind w:left="525" w:leftChars="250" w:firstLine="33" w:firstLineChars="16"/>
        <w:rPr>
          <w:szCs w:val="21"/>
        </w:rPr>
      </w:pPr>
      <w:r>
        <w:rPr>
          <w:szCs w:val="21"/>
        </w:rPr>
        <w:t>公司要采取与不合格品的性质及其影响相适应的措施，需要时进行纠正。这也适用于在产品交付后和服务</w:t>
      </w:r>
    </w:p>
    <w:p>
      <w:pPr>
        <w:ind w:firstLine="560"/>
        <w:rPr>
          <w:szCs w:val="21"/>
        </w:rPr>
      </w:pPr>
      <w:r>
        <w:rPr>
          <w:szCs w:val="21"/>
        </w:rPr>
        <w:t>提供过程中发现的不合格的处置。</w:t>
      </w:r>
    </w:p>
    <w:p>
      <w:pPr>
        <w:ind w:firstLine="560"/>
        <w:rPr>
          <w:szCs w:val="21"/>
        </w:rPr>
      </w:pPr>
      <w:r>
        <w:rPr>
          <w:szCs w:val="21"/>
        </w:rPr>
        <w:t>当不合格产品和服务已交付给顾客，公司也应采取适当的纠正以确保实现顾客满意。</w:t>
      </w:r>
    </w:p>
    <w:p>
      <w:pPr>
        <w:ind w:firstLine="560"/>
        <w:rPr>
          <w:szCs w:val="21"/>
        </w:rPr>
      </w:pPr>
      <w:r>
        <w:rPr>
          <w:szCs w:val="21"/>
        </w:rPr>
        <w:t>应实施适当的纠正措施。</w:t>
      </w:r>
    </w:p>
    <w:p>
      <w:pPr>
        <w:ind w:firstLine="560"/>
        <w:rPr>
          <w:szCs w:val="21"/>
        </w:rPr>
      </w:pPr>
      <w:r>
        <w:rPr>
          <w:szCs w:val="21"/>
        </w:rPr>
        <w:t>注：适当的措施可包括：</w:t>
      </w:r>
    </w:p>
    <w:p>
      <w:pPr>
        <w:ind w:firstLine="560"/>
        <w:rPr>
          <w:szCs w:val="21"/>
        </w:rPr>
      </w:pPr>
      <w:r>
        <w:rPr>
          <w:szCs w:val="21"/>
        </w:rPr>
        <w:t>a)隔离、制止、召回和停止供应产品和提供服务；</w:t>
      </w:r>
    </w:p>
    <w:p>
      <w:pPr>
        <w:ind w:firstLine="560"/>
        <w:rPr>
          <w:szCs w:val="21"/>
        </w:rPr>
      </w:pPr>
      <w:r>
        <w:rPr>
          <w:szCs w:val="21"/>
        </w:rPr>
        <w:t>b)适当时，通知顾客；</w:t>
      </w:r>
    </w:p>
    <w:p>
      <w:pPr>
        <w:ind w:firstLine="560"/>
        <w:rPr>
          <w:szCs w:val="21"/>
        </w:rPr>
      </w:pPr>
      <w:r>
        <w:rPr>
          <w:szCs w:val="21"/>
        </w:rPr>
        <w:t>c)经授权进行返修、降级、继续使用、放行、延长服务时间或重新提供服务、让步接收。</w:t>
      </w:r>
    </w:p>
    <w:p>
      <w:pPr>
        <w:ind w:firstLine="560"/>
        <w:rPr>
          <w:szCs w:val="21"/>
        </w:rPr>
      </w:pPr>
      <w:r>
        <w:rPr>
          <w:szCs w:val="21"/>
        </w:rPr>
        <w:t>在不合格品得到纠正之后应对其再次进行验证，以证实符合要求。</w:t>
      </w:r>
    </w:p>
    <w:p>
      <w:pPr>
        <w:ind w:firstLine="560"/>
        <w:rPr>
          <w:szCs w:val="21"/>
        </w:rPr>
      </w:pPr>
      <w:r>
        <w:rPr>
          <w:szCs w:val="21"/>
        </w:rPr>
        <w:t>8.7.2不合格品的性质以及随后所采取的任何措施的信息应形成文件并保留，包括所批准的让步。</w:t>
      </w:r>
    </w:p>
    <w:p>
      <w:pPr>
        <w:ind w:firstLine="560"/>
        <w:rPr>
          <w:rFonts w:asciiTheme="minorEastAsia" w:hAnsiTheme="minorEastAsia" w:eastAsiaTheme="minorEastAsia"/>
          <w:b/>
          <w:szCs w:val="21"/>
        </w:rPr>
      </w:pPr>
      <w:r>
        <w:rPr>
          <w:rFonts w:hint="eastAsia" w:asciiTheme="minorEastAsia" w:hAnsiTheme="minorEastAsia" w:eastAsiaTheme="minorEastAsia"/>
          <w:b/>
          <w:szCs w:val="21"/>
        </w:rPr>
        <w:t>8.8</w:t>
      </w:r>
      <w:r>
        <w:rPr>
          <w:rFonts w:asciiTheme="minorEastAsia" w:hAnsiTheme="minorEastAsia" w:eastAsiaTheme="minorEastAsia"/>
          <w:b/>
          <w:szCs w:val="21"/>
        </w:rPr>
        <w:t>应急准备和响应</w:t>
      </w:r>
    </w:p>
    <w:p>
      <w:pPr>
        <w:ind w:left="559" w:leftChars="266"/>
        <w:rPr>
          <w:b/>
          <w:szCs w:val="21"/>
        </w:rPr>
      </w:pPr>
      <w:r>
        <w:rPr>
          <w:rFonts w:asciiTheme="minorEastAsia" w:hAnsiTheme="minorEastAsia" w:eastAsiaTheme="minorEastAsia"/>
          <w:color w:val="000000"/>
          <w:kern w:val="0"/>
          <w:szCs w:val="21"/>
        </w:rPr>
        <w:t>公司应建立、实施并保持《应急准备和响应管理制度》对识别的潜在紧急情况进行应急准备并做出响应所需的过</w:t>
      </w:r>
      <w:r>
        <w:rPr>
          <w:color w:val="000000"/>
          <w:kern w:val="0"/>
          <w:szCs w:val="21"/>
        </w:rPr>
        <w:t>程。</w:t>
      </w:r>
    </w:p>
    <w:p>
      <w:pPr>
        <w:ind w:firstLine="560"/>
        <w:rPr>
          <w:b/>
          <w:szCs w:val="21"/>
        </w:rPr>
      </w:pPr>
      <w:r>
        <w:rPr>
          <w:color w:val="000000"/>
          <w:kern w:val="0"/>
          <w:szCs w:val="21"/>
        </w:rPr>
        <w:t>公司应：</w:t>
      </w:r>
    </w:p>
    <w:p>
      <w:pPr>
        <w:autoSpaceDE w:val="0"/>
        <w:autoSpaceDN w:val="0"/>
        <w:adjustRightInd w:val="0"/>
        <w:ind w:firstLine="525" w:firstLineChars="250"/>
        <w:jc w:val="left"/>
        <w:rPr>
          <w:color w:val="000000"/>
          <w:kern w:val="0"/>
          <w:szCs w:val="21"/>
        </w:rPr>
      </w:pPr>
      <w:r>
        <w:rPr>
          <w:color w:val="000000"/>
          <w:kern w:val="0"/>
          <w:szCs w:val="21"/>
        </w:rPr>
        <w:t>a）通过策划措施做好响应紧急情况的准备，以预防或减轻它所带来的有害环境</w:t>
      </w:r>
      <w:r>
        <w:rPr>
          <w:rFonts w:hint="eastAsia"/>
          <w:color w:val="000000"/>
          <w:kern w:val="0"/>
          <w:szCs w:val="21"/>
        </w:rPr>
        <w:t>与安全</w:t>
      </w:r>
      <w:r>
        <w:rPr>
          <w:color w:val="000000"/>
          <w:kern w:val="0"/>
          <w:szCs w:val="21"/>
        </w:rPr>
        <w:t>影响；</w:t>
      </w:r>
    </w:p>
    <w:p>
      <w:pPr>
        <w:autoSpaceDE w:val="0"/>
        <w:autoSpaceDN w:val="0"/>
        <w:adjustRightInd w:val="0"/>
        <w:ind w:firstLine="525" w:firstLineChars="250"/>
        <w:jc w:val="left"/>
        <w:rPr>
          <w:color w:val="000000"/>
          <w:kern w:val="0"/>
          <w:szCs w:val="21"/>
        </w:rPr>
      </w:pPr>
      <w:r>
        <w:rPr>
          <w:color w:val="000000"/>
          <w:kern w:val="0"/>
          <w:szCs w:val="21"/>
        </w:rPr>
        <w:t>b）对实际发生的紧急情况做出响应；</w:t>
      </w:r>
    </w:p>
    <w:p>
      <w:pPr>
        <w:autoSpaceDE w:val="0"/>
        <w:autoSpaceDN w:val="0"/>
        <w:adjustRightInd w:val="0"/>
        <w:ind w:left="840" w:leftChars="250" w:hanging="315" w:hangingChars="150"/>
        <w:jc w:val="left"/>
        <w:rPr>
          <w:color w:val="000000"/>
          <w:kern w:val="0"/>
          <w:szCs w:val="21"/>
        </w:rPr>
      </w:pPr>
      <w:r>
        <w:rPr>
          <w:color w:val="000000"/>
          <w:kern w:val="0"/>
          <w:szCs w:val="21"/>
        </w:rPr>
        <w:t>c）根据紧急情况和潜在环境</w:t>
      </w:r>
      <w:r>
        <w:rPr>
          <w:rFonts w:hint="eastAsia"/>
          <w:color w:val="000000"/>
          <w:kern w:val="0"/>
          <w:szCs w:val="21"/>
        </w:rPr>
        <w:t>以及安全</w:t>
      </w:r>
      <w:r>
        <w:rPr>
          <w:color w:val="000000"/>
          <w:kern w:val="0"/>
          <w:szCs w:val="21"/>
        </w:rPr>
        <w:t>影响的程度，采取相适应的措施预防或减轻紧急情况带来的后果；</w:t>
      </w:r>
    </w:p>
    <w:p>
      <w:pPr>
        <w:autoSpaceDE w:val="0"/>
        <w:autoSpaceDN w:val="0"/>
        <w:adjustRightInd w:val="0"/>
        <w:ind w:firstLine="525" w:firstLineChars="250"/>
        <w:jc w:val="left"/>
        <w:rPr>
          <w:color w:val="000000"/>
          <w:kern w:val="0"/>
          <w:szCs w:val="21"/>
        </w:rPr>
      </w:pPr>
      <w:r>
        <w:rPr>
          <w:color w:val="000000"/>
          <w:kern w:val="0"/>
          <w:szCs w:val="21"/>
        </w:rPr>
        <w:t>d）可行时，定期试验所策划的响应措施；</w:t>
      </w:r>
    </w:p>
    <w:p>
      <w:pPr>
        <w:autoSpaceDE w:val="0"/>
        <w:autoSpaceDN w:val="0"/>
        <w:adjustRightInd w:val="0"/>
        <w:ind w:firstLine="525" w:firstLineChars="250"/>
        <w:jc w:val="left"/>
        <w:rPr>
          <w:color w:val="000000"/>
          <w:kern w:val="0"/>
          <w:szCs w:val="21"/>
        </w:rPr>
      </w:pPr>
      <w:r>
        <w:rPr>
          <w:color w:val="000000"/>
          <w:kern w:val="0"/>
          <w:szCs w:val="21"/>
        </w:rPr>
        <w:t>e）定期评审并修订过程和策划的响应措施，特别是发生紧急情况后或进行试验后；</w:t>
      </w:r>
    </w:p>
    <w:p>
      <w:pPr>
        <w:ind w:left="840" w:leftChars="250" w:hanging="315" w:hangingChars="150"/>
        <w:rPr>
          <w:color w:val="000000"/>
          <w:kern w:val="0"/>
          <w:szCs w:val="21"/>
        </w:rPr>
      </w:pPr>
      <w:r>
        <w:rPr>
          <w:color w:val="000000"/>
          <w:kern w:val="0"/>
          <w:szCs w:val="21"/>
        </w:rPr>
        <w:t>f）适用时，向有关的相关方，包括在公司控制下工作的人员提供应急准备和响应相关的信息和培训。</w:t>
      </w:r>
    </w:p>
    <w:p>
      <w:pPr>
        <w:ind w:firstLine="525" w:firstLineChars="250"/>
        <w:rPr>
          <w:color w:val="000000"/>
          <w:kern w:val="0"/>
          <w:szCs w:val="21"/>
        </w:rPr>
      </w:pPr>
      <w:r>
        <w:rPr>
          <w:szCs w:val="21"/>
        </w:rPr>
        <w:t>公司应保持必要的文件化信息，以确信过程按策划予以实施。</w:t>
      </w:r>
    </w:p>
    <w:p>
      <w:pPr>
        <w:ind w:firstLine="560"/>
        <w:rPr>
          <w:b/>
          <w:szCs w:val="21"/>
        </w:rPr>
      </w:pPr>
      <w:r>
        <w:rPr>
          <w:b/>
          <w:szCs w:val="21"/>
        </w:rPr>
        <w:t>9绩效评价</w:t>
      </w:r>
    </w:p>
    <w:p>
      <w:pPr>
        <w:ind w:firstLine="560"/>
        <w:rPr>
          <w:b/>
          <w:szCs w:val="21"/>
        </w:rPr>
      </w:pPr>
      <w:r>
        <w:rPr>
          <w:b/>
          <w:szCs w:val="21"/>
        </w:rPr>
        <w:t>9.1监视、测量、分析和评价</w:t>
      </w:r>
    </w:p>
    <w:p>
      <w:pPr>
        <w:ind w:firstLine="560"/>
        <w:rPr>
          <w:szCs w:val="21"/>
        </w:rPr>
      </w:pPr>
      <w:r>
        <w:rPr>
          <w:szCs w:val="21"/>
        </w:rPr>
        <w:t>9.1.1总则</w:t>
      </w:r>
    </w:p>
    <w:p>
      <w:pPr>
        <w:ind w:firstLine="560"/>
        <w:rPr>
          <w:szCs w:val="21"/>
        </w:rPr>
      </w:pPr>
      <w:r>
        <w:rPr>
          <w:szCs w:val="21"/>
        </w:rPr>
        <w:t>公司要考虑已确定的风险和机遇，应：</w:t>
      </w:r>
    </w:p>
    <w:p>
      <w:pPr>
        <w:ind w:firstLine="560"/>
        <w:rPr>
          <w:szCs w:val="21"/>
        </w:rPr>
      </w:pPr>
      <w:r>
        <w:rPr>
          <w:szCs w:val="21"/>
        </w:rPr>
        <w:t>a)确定监视和测量的对象，以便：</w:t>
      </w:r>
    </w:p>
    <w:p>
      <w:pPr>
        <w:ind w:firstLine="560"/>
        <w:rPr>
          <w:szCs w:val="21"/>
        </w:rPr>
      </w:pPr>
      <w:r>
        <w:rPr>
          <w:szCs w:val="21"/>
        </w:rPr>
        <w:t>——证实产品和服务的符合性；</w:t>
      </w:r>
    </w:p>
    <w:p>
      <w:pPr>
        <w:ind w:firstLine="560"/>
        <w:rPr>
          <w:szCs w:val="21"/>
        </w:rPr>
      </w:pPr>
      <w:r>
        <w:rPr>
          <w:szCs w:val="21"/>
        </w:rPr>
        <w:t>——评价过程绩效；</w:t>
      </w:r>
    </w:p>
    <w:p>
      <w:pPr>
        <w:ind w:firstLine="560"/>
        <w:rPr>
          <w:szCs w:val="21"/>
        </w:rPr>
      </w:pPr>
      <w:r>
        <w:rPr>
          <w:szCs w:val="21"/>
        </w:rPr>
        <w:t>——确保质量/环境/安全管理体系的符合性和有效性；</w:t>
      </w:r>
    </w:p>
    <w:p>
      <w:pPr>
        <w:ind w:firstLine="560"/>
        <w:rPr>
          <w:szCs w:val="21"/>
        </w:rPr>
      </w:pPr>
      <w:r>
        <w:rPr>
          <w:szCs w:val="21"/>
        </w:rPr>
        <w:t>——评价顾客满意度；</w:t>
      </w:r>
    </w:p>
    <w:p>
      <w:pPr>
        <w:ind w:firstLine="560"/>
        <w:rPr>
          <w:szCs w:val="21"/>
        </w:rPr>
      </w:pPr>
      <w:r>
        <w:rPr>
          <w:szCs w:val="21"/>
        </w:rPr>
        <w:t>b)评价外部供方的业绩；</w:t>
      </w:r>
    </w:p>
    <w:p>
      <w:pPr>
        <w:ind w:firstLine="560"/>
        <w:rPr>
          <w:szCs w:val="21"/>
        </w:rPr>
      </w:pPr>
      <w:r>
        <w:rPr>
          <w:szCs w:val="21"/>
        </w:rPr>
        <w:t>c)确定监视、测量（适用时)、分析和评价的方法，以确保结果可行；</w:t>
      </w:r>
    </w:p>
    <w:p>
      <w:pPr>
        <w:ind w:firstLine="560"/>
        <w:rPr>
          <w:szCs w:val="21"/>
        </w:rPr>
      </w:pPr>
      <w:r>
        <w:rPr>
          <w:szCs w:val="21"/>
        </w:rPr>
        <w:t>d)确定监测和测量的时机；</w:t>
      </w:r>
    </w:p>
    <w:p>
      <w:pPr>
        <w:ind w:firstLine="560"/>
        <w:rPr>
          <w:szCs w:val="21"/>
        </w:rPr>
      </w:pPr>
      <w:r>
        <w:rPr>
          <w:szCs w:val="21"/>
        </w:rPr>
        <w:t>e)确定对监测和测量结果进行分析和评价的时机；</w:t>
      </w:r>
    </w:p>
    <w:p>
      <w:pPr>
        <w:ind w:firstLine="560"/>
        <w:rPr>
          <w:szCs w:val="21"/>
        </w:rPr>
      </w:pPr>
      <w:r>
        <w:rPr>
          <w:szCs w:val="21"/>
        </w:rPr>
        <w:t>f)确定所需的质量/环境/安全管理体系绩效指标。</w:t>
      </w:r>
    </w:p>
    <w:p>
      <w:pPr>
        <w:ind w:firstLine="560"/>
        <w:rPr>
          <w:szCs w:val="21"/>
        </w:rPr>
      </w:pPr>
      <w:r>
        <w:rPr>
          <w:szCs w:val="21"/>
        </w:rPr>
        <w:t>公司要建立过程，以确保监视和测量活动与监视和测量的要求相一致的方式实施。</w:t>
      </w:r>
    </w:p>
    <w:p>
      <w:pPr>
        <w:ind w:firstLine="560"/>
        <w:rPr>
          <w:szCs w:val="21"/>
        </w:rPr>
      </w:pPr>
      <w:r>
        <w:rPr>
          <w:szCs w:val="21"/>
        </w:rPr>
        <w:t>公司要保持适当的文件信息，以提供“结果”的证据。</w:t>
      </w:r>
    </w:p>
    <w:p>
      <w:pPr>
        <w:ind w:firstLine="560"/>
        <w:rPr>
          <w:szCs w:val="21"/>
        </w:rPr>
      </w:pPr>
      <w:r>
        <w:rPr>
          <w:szCs w:val="21"/>
        </w:rPr>
        <w:t>公司要评价质量/环境/安全绩效和质量/环境/安全管理体系的有效性。</w:t>
      </w:r>
    </w:p>
    <w:p>
      <w:pPr>
        <w:ind w:firstLine="560"/>
        <w:rPr>
          <w:szCs w:val="21"/>
        </w:rPr>
      </w:pPr>
      <w:r>
        <w:rPr>
          <w:szCs w:val="21"/>
        </w:rPr>
        <w:t>9.1.2顾客满意（M3）</w:t>
      </w:r>
    </w:p>
    <w:p>
      <w:pPr>
        <w:ind w:left="525" w:leftChars="250" w:firstLine="33" w:firstLineChars="16"/>
        <w:rPr>
          <w:szCs w:val="21"/>
        </w:rPr>
      </w:pPr>
      <w:r>
        <w:rPr>
          <w:szCs w:val="21"/>
        </w:rPr>
        <w:t>公司建立《</w:t>
      </w:r>
      <w:r>
        <w:t>顾客满意管理制度</w:t>
      </w:r>
      <w:r>
        <w:rPr>
          <w:szCs w:val="21"/>
        </w:rPr>
        <w:t>》，监视顾客对其要求满足程度的数据及确定获取和利用这些数据的方法。</w:t>
      </w:r>
    </w:p>
    <w:p>
      <w:pPr>
        <w:ind w:firstLine="560"/>
        <w:rPr>
          <w:szCs w:val="21"/>
        </w:rPr>
      </w:pPr>
      <w:r>
        <w:rPr>
          <w:szCs w:val="21"/>
        </w:rPr>
        <w:t>这些数据可包括：顾客反馈；顾客对公司及其产品、产品和服务的意见和感受。</w:t>
      </w:r>
    </w:p>
    <w:p>
      <w:pPr>
        <w:ind w:firstLine="560"/>
        <w:rPr>
          <w:szCs w:val="21"/>
        </w:rPr>
      </w:pPr>
      <w:r>
        <w:rPr>
          <w:szCs w:val="21"/>
        </w:rPr>
        <w:t>公司要评价获取的数据，以确定增强顾客满意的机会。</w:t>
      </w:r>
    </w:p>
    <w:p>
      <w:pPr>
        <w:ind w:firstLine="560"/>
        <w:rPr>
          <w:szCs w:val="21"/>
        </w:rPr>
      </w:pPr>
      <w:r>
        <w:rPr>
          <w:szCs w:val="21"/>
        </w:rPr>
        <w:t>9.1.3分析与评价（M4）</w:t>
      </w:r>
    </w:p>
    <w:p>
      <w:pPr>
        <w:ind w:left="525" w:leftChars="250" w:firstLine="33" w:firstLineChars="16"/>
        <w:rPr>
          <w:szCs w:val="21"/>
        </w:rPr>
      </w:pPr>
      <w:r>
        <w:rPr>
          <w:szCs w:val="21"/>
        </w:rPr>
        <w:t>公司要分析、评价来自监视和测量（见 9.1.1 和 9.1.2)以及其他相关来源的适当数据。这应包括适用方法的确定。</w:t>
      </w:r>
    </w:p>
    <w:p>
      <w:pPr>
        <w:ind w:firstLine="560"/>
        <w:rPr>
          <w:szCs w:val="21"/>
        </w:rPr>
      </w:pPr>
      <w:r>
        <w:rPr>
          <w:szCs w:val="21"/>
        </w:rPr>
        <w:t>数据分析和评价的结果应用于：</w:t>
      </w:r>
    </w:p>
    <w:p>
      <w:pPr>
        <w:ind w:firstLine="560"/>
        <w:rPr>
          <w:szCs w:val="21"/>
        </w:rPr>
      </w:pPr>
      <w:r>
        <w:rPr>
          <w:szCs w:val="21"/>
        </w:rPr>
        <w:t>a)确定质量/环境/安全管理体系的适宜性、充分性、有效性以及质量/环境/安全管理体系的绩效状况；</w:t>
      </w:r>
    </w:p>
    <w:p>
      <w:pPr>
        <w:ind w:firstLine="560"/>
        <w:rPr>
          <w:szCs w:val="21"/>
        </w:rPr>
      </w:pPr>
      <w:r>
        <w:rPr>
          <w:szCs w:val="21"/>
        </w:rPr>
        <w:t>b)确保产品和服务能持续满足顾客要求；</w:t>
      </w:r>
    </w:p>
    <w:p>
      <w:pPr>
        <w:ind w:firstLine="560"/>
        <w:rPr>
          <w:szCs w:val="21"/>
        </w:rPr>
      </w:pPr>
      <w:r>
        <w:rPr>
          <w:szCs w:val="21"/>
        </w:rPr>
        <w:t>c) 策划是否有效实施，确保过程的有效运行和控制；</w:t>
      </w:r>
    </w:p>
    <w:p>
      <w:pPr>
        <w:ind w:firstLine="560"/>
        <w:rPr>
          <w:szCs w:val="21"/>
        </w:rPr>
      </w:pPr>
      <w:r>
        <w:rPr>
          <w:szCs w:val="21"/>
        </w:rPr>
        <w:t>d)识别质量/环境/安全管理体系的改进机会；</w:t>
      </w:r>
    </w:p>
    <w:p>
      <w:pPr>
        <w:ind w:firstLine="560"/>
        <w:rPr>
          <w:szCs w:val="21"/>
        </w:rPr>
      </w:pPr>
      <w:r>
        <w:rPr>
          <w:szCs w:val="21"/>
        </w:rPr>
        <w:t>e)外部供方的绩效；</w:t>
      </w:r>
    </w:p>
    <w:p>
      <w:pPr>
        <w:ind w:firstLine="560"/>
        <w:rPr>
          <w:szCs w:val="21"/>
        </w:rPr>
      </w:pPr>
      <w:r>
        <w:rPr>
          <w:szCs w:val="21"/>
        </w:rPr>
        <w:t>f)风险和机遇所采取措施的有效性</w:t>
      </w:r>
    </w:p>
    <w:p>
      <w:pPr>
        <w:ind w:firstLine="560"/>
        <w:rPr>
          <w:szCs w:val="21"/>
        </w:rPr>
      </w:pPr>
      <w:r>
        <w:rPr>
          <w:szCs w:val="21"/>
        </w:rPr>
        <w:t>g)顾客满意程度。</w:t>
      </w:r>
    </w:p>
    <w:p>
      <w:pPr>
        <w:ind w:firstLine="560"/>
        <w:rPr>
          <w:szCs w:val="21"/>
        </w:rPr>
      </w:pPr>
      <w:r>
        <w:rPr>
          <w:szCs w:val="21"/>
        </w:rPr>
        <w:t>数据分析和评价的结果应作为管理评审的输入。</w:t>
      </w:r>
    </w:p>
    <w:p>
      <w:pPr>
        <w:ind w:firstLine="525" w:firstLineChars="249"/>
        <w:rPr>
          <w:rFonts w:ascii="宋体"/>
          <w:szCs w:val="21"/>
        </w:rPr>
      </w:pPr>
      <w:r>
        <w:rPr>
          <w:rFonts w:hint="eastAsia" w:ascii="宋体"/>
          <w:b/>
          <w:bCs/>
          <w:szCs w:val="21"/>
        </w:rPr>
        <w:t>9.1.4环境、职业健康安全的监视和测量</w:t>
      </w:r>
    </w:p>
    <w:p>
      <w:pPr>
        <w:ind w:firstLine="525" w:firstLineChars="250"/>
        <w:rPr>
          <w:rFonts w:ascii="宋体"/>
          <w:szCs w:val="21"/>
        </w:rPr>
      </w:pPr>
      <w:r>
        <w:rPr>
          <w:rFonts w:hint="eastAsia" w:ascii="宋体"/>
          <w:szCs w:val="21"/>
        </w:rPr>
        <w:t>制订《监测和测量管理制度》，</w:t>
      </w:r>
    </w:p>
    <w:p>
      <w:pPr>
        <w:ind w:firstLine="525" w:firstLineChars="250"/>
        <w:rPr>
          <w:rFonts w:ascii="宋体"/>
          <w:szCs w:val="21"/>
        </w:rPr>
      </w:pPr>
      <w:r>
        <w:rPr>
          <w:rFonts w:hint="eastAsia" w:ascii="宋体"/>
          <w:szCs w:val="21"/>
        </w:rPr>
        <w:t>环境绩效：组织应确定</w:t>
      </w:r>
    </w:p>
    <w:p>
      <w:pPr>
        <w:ind w:firstLine="525" w:firstLineChars="250"/>
        <w:rPr>
          <w:rFonts w:ascii="宋体"/>
          <w:szCs w:val="21"/>
        </w:rPr>
      </w:pPr>
      <w:r>
        <w:rPr>
          <w:rFonts w:hint="eastAsia" w:ascii="宋体"/>
          <w:szCs w:val="21"/>
        </w:rPr>
        <w:t>a) 什么需要被监视和测量，</w:t>
      </w:r>
    </w:p>
    <w:p>
      <w:pPr>
        <w:ind w:firstLine="525" w:firstLineChars="250"/>
        <w:rPr>
          <w:rFonts w:ascii="宋体"/>
          <w:szCs w:val="21"/>
        </w:rPr>
      </w:pPr>
      <w:r>
        <w:rPr>
          <w:rFonts w:hint="eastAsia" w:ascii="宋体"/>
          <w:szCs w:val="21"/>
        </w:rPr>
        <w:t>b) 监视、测量、分析和评的方法，适用时，确保有效结果</w:t>
      </w:r>
    </w:p>
    <w:p>
      <w:pPr>
        <w:ind w:firstLine="525" w:firstLineChars="250"/>
        <w:rPr>
          <w:rFonts w:ascii="宋体"/>
          <w:szCs w:val="21"/>
        </w:rPr>
      </w:pPr>
      <w:r>
        <w:rPr>
          <w:rFonts w:hint="eastAsia" w:ascii="宋体"/>
          <w:szCs w:val="21"/>
        </w:rPr>
        <w:t>c) 使用适宜的指标作为组织用来评估环境绩效的准则</w:t>
      </w:r>
    </w:p>
    <w:p>
      <w:pPr>
        <w:ind w:firstLine="525" w:firstLineChars="250"/>
        <w:rPr>
          <w:rFonts w:ascii="宋体"/>
          <w:szCs w:val="21"/>
        </w:rPr>
      </w:pPr>
      <w:r>
        <w:rPr>
          <w:rFonts w:hint="eastAsia" w:ascii="宋体"/>
          <w:szCs w:val="21"/>
        </w:rPr>
        <w:t>d) 什么时候监事和测量应被实施</w:t>
      </w:r>
    </w:p>
    <w:p>
      <w:pPr>
        <w:ind w:firstLine="525" w:firstLineChars="250"/>
        <w:rPr>
          <w:rFonts w:ascii="宋体"/>
          <w:szCs w:val="21"/>
        </w:rPr>
      </w:pPr>
      <w:r>
        <w:rPr>
          <w:rFonts w:hint="eastAsia" w:ascii="宋体"/>
          <w:szCs w:val="21"/>
        </w:rPr>
        <w:t>e) 什么时候监事和测量的结果应被分析和评估。</w:t>
      </w:r>
    </w:p>
    <w:p>
      <w:pPr>
        <w:ind w:firstLine="525" w:firstLineChars="250"/>
        <w:rPr>
          <w:rFonts w:ascii="宋体"/>
          <w:szCs w:val="21"/>
        </w:rPr>
      </w:pPr>
      <w:r>
        <w:rPr>
          <w:rFonts w:hint="eastAsia" w:ascii="宋体"/>
          <w:szCs w:val="21"/>
        </w:rPr>
        <w:t>适用时，组织应保证经过校验的或验证的监视和测量设备被使用和保持。</w:t>
      </w:r>
    </w:p>
    <w:p>
      <w:pPr>
        <w:ind w:firstLine="525" w:firstLineChars="250"/>
        <w:rPr>
          <w:rFonts w:ascii="宋体"/>
          <w:szCs w:val="21"/>
        </w:rPr>
      </w:pPr>
      <w:r>
        <w:rPr>
          <w:rFonts w:hint="eastAsia" w:ascii="宋体"/>
          <w:szCs w:val="21"/>
        </w:rPr>
        <w:t>组织应评估其环境绩效和环境管理体系的有效性。</w:t>
      </w:r>
    </w:p>
    <w:p>
      <w:pPr>
        <w:ind w:firstLine="525" w:firstLineChars="250"/>
        <w:rPr>
          <w:rFonts w:ascii="宋体"/>
          <w:szCs w:val="21"/>
        </w:rPr>
      </w:pPr>
      <w:r>
        <w:rPr>
          <w:rFonts w:hint="eastAsia" w:ascii="宋体"/>
          <w:szCs w:val="21"/>
        </w:rPr>
        <w:t>组织应按照沟通程序和合规性义务所确定的， 将与它的环境绩效相关的信息进行沟通，</w:t>
      </w:r>
    </w:p>
    <w:p>
      <w:pPr>
        <w:ind w:firstLine="525" w:firstLineChars="250"/>
        <w:rPr>
          <w:rFonts w:ascii="宋体"/>
          <w:szCs w:val="21"/>
        </w:rPr>
      </w:pPr>
      <w:r>
        <w:rPr>
          <w:rFonts w:hint="eastAsia" w:ascii="宋体"/>
          <w:szCs w:val="21"/>
        </w:rPr>
        <w:t>包括内部的和外部的。</w:t>
      </w:r>
    </w:p>
    <w:p>
      <w:pPr>
        <w:ind w:firstLine="525" w:firstLineChars="250"/>
        <w:rPr>
          <w:rFonts w:ascii="宋体"/>
          <w:szCs w:val="21"/>
        </w:rPr>
      </w:pPr>
      <w:r>
        <w:rPr>
          <w:rFonts w:hint="eastAsia" w:ascii="宋体"/>
          <w:szCs w:val="21"/>
        </w:rPr>
        <w:t>组织应保持适当地文件化的信息作为监视，测量，分析与评估结果的证据。</w:t>
      </w:r>
    </w:p>
    <w:p>
      <w:pPr>
        <w:ind w:firstLine="525" w:firstLineChars="250"/>
        <w:rPr>
          <w:rFonts w:ascii="宋体"/>
          <w:szCs w:val="21"/>
        </w:rPr>
      </w:pPr>
      <w:r>
        <w:rPr>
          <w:rFonts w:hint="eastAsia" w:ascii="宋体"/>
          <w:szCs w:val="21"/>
        </w:rPr>
        <w:t>安全绩效：</w:t>
      </w:r>
    </w:p>
    <w:p>
      <w:pPr>
        <w:ind w:firstLine="525" w:firstLineChars="250"/>
        <w:rPr>
          <w:rFonts w:ascii="宋体"/>
          <w:szCs w:val="21"/>
        </w:rPr>
      </w:pPr>
      <w:r>
        <w:rPr>
          <w:rFonts w:hint="eastAsia" w:ascii="宋体"/>
          <w:szCs w:val="21"/>
        </w:rPr>
        <w:t>应规定：</w:t>
      </w:r>
    </w:p>
    <w:p>
      <w:pPr>
        <w:ind w:firstLine="525" w:firstLineChars="250"/>
        <w:rPr>
          <w:rFonts w:ascii="宋体"/>
          <w:szCs w:val="21"/>
        </w:rPr>
      </w:pPr>
      <w:r>
        <w:rPr>
          <w:rFonts w:hint="eastAsia" w:ascii="宋体"/>
          <w:szCs w:val="21"/>
        </w:rPr>
        <w:t>——适用于组织需要的定性和定量测量；</w:t>
      </w:r>
    </w:p>
    <w:p>
      <w:pPr>
        <w:ind w:firstLine="525" w:firstLineChars="250"/>
        <w:rPr>
          <w:rFonts w:ascii="宋体"/>
          <w:szCs w:val="21"/>
        </w:rPr>
      </w:pPr>
      <w:r>
        <w:rPr>
          <w:rFonts w:hint="eastAsia" w:ascii="宋体"/>
          <w:szCs w:val="21"/>
        </w:rPr>
        <w:t>——对组织的职业健康安全目标的满足程度的监视；</w:t>
      </w:r>
    </w:p>
    <w:p>
      <w:pPr>
        <w:ind w:firstLine="525" w:firstLineChars="250"/>
        <w:rPr>
          <w:rFonts w:ascii="宋体"/>
          <w:szCs w:val="21"/>
        </w:rPr>
      </w:pPr>
      <w:r>
        <w:rPr>
          <w:rFonts w:hint="eastAsia" w:ascii="宋体"/>
          <w:szCs w:val="21"/>
        </w:rPr>
        <w:t>——监视控制的有效性（包括健康和安全）；</w:t>
      </w:r>
    </w:p>
    <w:p>
      <w:pPr>
        <w:ind w:firstLine="525" w:firstLineChars="250"/>
        <w:rPr>
          <w:rFonts w:ascii="宋体"/>
          <w:szCs w:val="21"/>
        </w:rPr>
      </w:pPr>
      <w:r>
        <w:rPr>
          <w:rFonts w:hint="eastAsia" w:ascii="宋体"/>
          <w:szCs w:val="21"/>
        </w:rPr>
        <w:t>——主动性的绩效测量，即监视是否符合职业健康安全管理方案、运行准则和适用的法规要求；</w:t>
      </w:r>
    </w:p>
    <w:p>
      <w:pPr>
        <w:ind w:firstLine="525" w:firstLineChars="250"/>
        <w:rPr>
          <w:rFonts w:ascii="宋体"/>
          <w:szCs w:val="21"/>
        </w:rPr>
      </w:pPr>
      <w:r>
        <w:rPr>
          <w:rFonts w:hint="eastAsia" w:ascii="宋体"/>
          <w:szCs w:val="21"/>
        </w:rPr>
        <w:t>——被动性的绩效测量，即监视事故、疾病、事件和其它不良职业健康安全绩效的历史证据；</w:t>
      </w:r>
    </w:p>
    <w:p>
      <w:pPr>
        <w:ind w:firstLine="525" w:firstLineChars="250"/>
        <w:rPr>
          <w:rFonts w:ascii="宋体"/>
          <w:szCs w:val="21"/>
        </w:rPr>
      </w:pPr>
      <w:r>
        <w:rPr>
          <w:rFonts w:hint="eastAsia" w:ascii="宋体"/>
          <w:szCs w:val="21"/>
        </w:rPr>
        <w:t>——记录充分的监视和测量的数据和结果，以便于后面的纠正和预防措施的分析。</w:t>
      </w:r>
    </w:p>
    <w:p>
      <w:pPr>
        <w:ind w:left="525" w:leftChars="250"/>
        <w:rPr>
          <w:rFonts w:ascii="宋体"/>
          <w:szCs w:val="21"/>
        </w:rPr>
      </w:pPr>
      <w:r>
        <w:rPr>
          <w:rFonts w:hint="eastAsia" w:ascii="宋体"/>
          <w:szCs w:val="21"/>
        </w:rPr>
        <w:t>如果绩效测量和监视需要设备，组织应建立并保持程序，对此类设备进行校准和维护，并保存校准和维护活动及其结果予的记录。</w:t>
      </w:r>
    </w:p>
    <w:p>
      <w:pPr>
        <w:ind w:firstLine="525" w:firstLineChars="250"/>
        <w:rPr>
          <w:szCs w:val="21"/>
        </w:rPr>
      </w:pPr>
      <w:r>
        <w:rPr>
          <w:szCs w:val="21"/>
        </w:rPr>
        <w:t>9.1.4合规性评价</w:t>
      </w:r>
    </w:p>
    <w:p>
      <w:pPr>
        <w:ind w:firstLine="525" w:firstLineChars="250"/>
        <w:rPr>
          <w:color w:val="000000"/>
          <w:kern w:val="0"/>
          <w:szCs w:val="21"/>
        </w:rPr>
      </w:pPr>
      <w:r>
        <w:rPr>
          <w:color w:val="000000"/>
          <w:kern w:val="0"/>
          <w:szCs w:val="21"/>
        </w:rPr>
        <w:t>公司应建立、实施并保持制《合规义务管理制度》评价其合规义务履行情况所需的过程。</w:t>
      </w:r>
    </w:p>
    <w:p>
      <w:pPr>
        <w:ind w:firstLine="525" w:firstLineChars="250"/>
        <w:rPr>
          <w:color w:val="000000"/>
          <w:kern w:val="0"/>
          <w:szCs w:val="21"/>
        </w:rPr>
      </w:pPr>
      <w:r>
        <w:rPr>
          <w:color w:val="000000"/>
          <w:kern w:val="0"/>
          <w:szCs w:val="21"/>
        </w:rPr>
        <w:t>公司应：</w:t>
      </w:r>
    </w:p>
    <w:p>
      <w:pPr>
        <w:ind w:firstLine="560"/>
        <w:rPr>
          <w:color w:val="000000"/>
          <w:kern w:val="0"/>
          <w:szCs w:val="21"/>
        </w:rPr>
      </w:pPr>
      <w:r>
        <w:rPr>
          <w:color w:val="000000"/>
          <w:kern w:val="0"/>
          <w:szCs w:val="21"/>
        </w:rPr>
        <w:t>a）确定实施合规性评价的频次；</w:t>
      </w:r>
    </w:p>
    <w:p>
      <w:pPr>
        <w:ind w:firstLine="560"/>
        <w:rPr>
          <w:color w:val="000000"/>
          <w:kern w:val="0"/>
          <w:szCs w:val="21"/>
        </w:rPr>
      </w:pPr>
      <w:r>
        <w:rPr>
          <w:color w:val="000000"/>
          <w:kern w:val="0"/>
          <w:szCs w:val="21"/>
        </w:rPr>
        <w:t>b）评价合规性，必要时采取措施；</w:t>
      </w:r>
    </w:p>
    <w:p>
      <w:pPr>
        <w:ind w:firstLine="560"/>
        <w:rPr>
          <w:color w:val="000000"/>
          <w:kern w:val="0"/>
          <w:szCs w:val="21"/>
        </w:rPr>
      </w:pPr>
      <w:r>
        <w:rPr>
          <w:color w:val="000000"/>
          <w:kern w:val="0"/>
          <w:szCs w:val="21"/>
        </w:rPr>
        <w:t>c）保持其合规情况的知识和对其合规情况的理解。</w:t>
      </w:r>
    </w:p>
    <w:p>
      <w:pPr>
        <w:ind w:left="525" w:leftChars="250" w:firstLine="33" w:firstLineChars="16"/>
        <w:rPr>
          <w:color w:val="000000"/>
          <w:kern w:val="0"/>
          <w:szCs w:val="21"/>
        </w:rPr>
      </w:pPr>
      <w:r>
        <w:rPr>
          <w:color w:val="000000"/>
          <w:kern w:val="0"/>
          <w:szCs w:val="21"/>
        </w:rPr>
        <w:t>公司</w:t>
      </w:r>
      <w:r>
        <w:rPr>
          <w:szCs w:val="21"/>
        </w:rPr>
        <w:t>对环境</w:t>
      </w:r>
      <w:r>
        <w:rPr>
          <w:rFonts w:hint="eastAsia"/>
          <w:szCs w:val="21"/>
        </w:rPr>
        <w:t>安全</w:t>
      </w:r>
      <w:r>
        <w:rPr>
          <w:szCs w:val="21"/>
        </w:rPr>
        <w:t>管理体系运行情况是否符合法律法规及其他要求进行评价，使公司的环境</w:t>
      </w:r>
      <w:r>
        <w:rPr>
          <w:rFonts w:hint="eastAsia"/>
          <w:szCs w:val="21"/>
        </w:rPr>
        <w:t>安全</w:t>
      </w:r>
      <w:r>
        <w:rPr>
          <w:szCs w:val="21"/>
        </w:rPr>
        <w:t>管理体系的运行不偏离法律法规及其他要求。</w:t>
      </w:r>
    </w:p>
    <w:p>
      <w:pPr>
        <w:ind w:firstLine="560"/>
        <w:rPr>
          <w:szCs w:val="21"/>
        </w:rPr>
      </w:pPr>
      <w:r>
        <w:rPr>
          <w:color w:val="000000"/>
          <w:kern w:val="0"/>
          <w:szCs w:val="21"/>
        </w:rPr>
        <w:t>公司应保留文件化信息，作为合规性评价结果的证据。</w:t>
      </w:r>
    </w:p>
    <w:p>
      <w:pPr>
        <w:ind w:firstLine="560"/>
        <w:rPr>
          <w:b/>
          <w:szCs w:val="21"/>
        </w:rPr>
      </w:pPr>
      <w:r>
        <w:rPr>
          <w:b/>
          <w:szCs w:val="21"/>
        </w:rPr>
        <w:t>9.2内部审核（M5）</w:t>
      </w:r>
    </w:p>
    <w:p>
      <w:pPr>
        <w:ind w:left="525" w:leftChars="250" w:firstLine="33" w:firstLineChars="16"/>
        <w:rPr>
          <w:szCs w:val="21"/>
        </w:rPr>
      </w:pPr>
      <w:r>
        <w:rPr>
          <w:szCs w:val="21"/>
        </w:rPr>
        <w:t>9.7.1公司建立《</w:t>
      </w:r>
      <w:r>
        <w:t>内部审核管理制度</w:t>
      </w:r>
      <w:r>
        <w:rPr>
          <w:szCs w:val="21"/>
        </w:rPr>
        <w:t>》，按照计划的时间间隔进行内部审核，以确定质量/环境/安全管理是否：</w:t>
      </w:r>
    </w:p>
    <w:p>
      <w:pPr>
        <w:ind w:firstLine="560"/>
        <w:rPr>
          <w:szCs w:val="21"/>
        </w:rPr>
      </w:pPr>
      <w:r>
        <w:rPr>
          <w:szCs w:val="21"/>
        </w:rPr>
        <w:t>a)符合公司对质量/环境/安全管理体系的要求及ISO标准的要求。</w:t>
      </w:r>
    </w:p>
    <w:p>
      <w:pPr>
        <w:ind w:firstLine="560"/>
        <w:rPr>
          <w:szCs w:val="21"/>
        </w:rPr>
      </w:pPr>
      <w:r>
        <w:rPr>
          <w:szCs w:val="21"/>
        </w:rPr>
        <w:t>b) 得到有效的实施和保持</w:t>
      </w:r>
    </w:p>
    <w:p>
      <w:pPr>
        <w:ind w:firstLine="560"/>
        <w:rPr>
          <w:szCs w:val="21"/>
        </w:rPr>
      </w:pPr>
      <w:r>
        <w:rPr>
          <w:szCs w:val="21"/>
        </w:rPr>
        <w:t>9.2.2公司要：</w:t>
      </w:r>
    </w:p>
    <w:p>
      <w:pPr>
        <w:ind w:left="525" w:leftChars="250" w:firstLine="33" w:firstLineChars="16"/>
        <w:rPr>
          <w:szCs w:val="21"/>
        </w:rPr>
      </w:pPr>
      <w:r>
        <w:rPr>
          <w:szCs w:val="21"/>
        </w:rPr>
        <w:t>a)策划、建立、实施和保持一个或多个审核方案，包括审核的频次、方法、职责、策划审核的要求和报告审核结果。审核方案应考虑质量/环境/安全目标、相关过程的重要性、关联风险和以往审核的结果；</w:t>
      </w:r>
    </w:p>
    <w:p>
      <w:pPr>
        <w:ind w:firstLine="560"/>
        <w:rPr>
          <w:szCs w:val="21"/>
        </w:rPr>
      </w:pPr>
      <w:r>
        <w:rPr>
          <w:szCs w:val="21"/>
        </w:rPr>
        <w:t>b)确定每次审核的准则和范围；</w:t>
      </w:r>
    </w:p>
    <w:p>
      <w:pPr>
        <w:ind w:firstLine="560"/>
        <w:rPr>
          <w:szCs w:val="21"/>
        </w:rPr>
      </w:pPr>
      <w:r>
        <w:rPr>
          <w:szCs w:val="21"/>
        </w:rPr>
        <w:t>c)审核员的选择和审核的实施应确保审核过程的客观性和公正性；</w:t>
      </w:r>
    </w:p>
    <w:p>
      <w:pPr>
        <w:ind w:firstLine="560"/>
        <w:rPr>
          <w:szCs w:val="21"/>
        </w:rPr>
      </w:pPr>
      <w:r>
        <w:rPr>
          <w:szCs w:val="21"/>
        </w:rPr>
        <w:t>d)确保审核结果提交给管理者以供评审；</w:t>
      </w:r>
    </w:p>
    <w:p>
      <w:pPr>
        <w:ind w:firstLine="560"/>
        <w:rPr>
          <w:szCs w:val="21"/>
        </w:rPr>
      </w:pPr>
      <w:r>
        <w:rPr>
          <w:szCs w:val="21"/>
        </w:rPr>
        <w:t>e)及时采取适当的措施</w:t>
      </w:r>
    </w:p>
    <w:p>
      <w:pPr>
        <w:ind w:firstLine="560"/>
        <w:rPr>
          <w:szCs w:val="21"/>
        </w:rPr>
      </w:pPr>
      <w:r>
        <w:rPr>
          <w:szCs w:val="21"/>
        </w:rPr>
        <w:t>f)保持形成文件的信息，以提供审核方案实施和审核结果的证据。</w:t>
      </w:r>
    </w:p>
    <w:p>
      <w:pPr>
        <w:ind w:firstLine="560"/>
        <w:rPr>
          <w:b/>
          <w:szCs w:val="21"/>
        </w:rPr>
      </w:pPr>
      <w:r>
        <w:rPr>
          <w:b/>
          <w:szCs w:val="21"/>
        </w:rPr>
        <w:t>9.3管理评审（M6）</w:t>
      </w:r>
    </w:p>
    <w:p>
      <w:pPr>
        <w:ind w:firstLine="560"/>
        <w:rPr>
          <w:szCs w:val="21"/>
        </w:rPr>
      </w:pPr>
      <w:r>
        <w:rPr>
          <w:szCs w:val="21"/>
        </w:rPr>
        <w:t>9.3.1总则</w:t>
      </w:r>
    </w:p>
    <w:p>
      <w:pPr>
        <w:ind w:firstLine="560"/>
      </w:pPr>
      <w:r>
        <w:t>公司建立《管理评审制度》，持续评价体系的符合性、适宜性及业绩。</w:t>
      </w:r>
    </w:p>
    <w:p>
      <w:pPr>
        <w:ind w:left="559" w:leftChars="266"/>
        <w:rPr>
          <w:szCs w:val="21"/>
        </w:rPr>
      </w:pPr>
      <w:r>
        <w:rPr>
          <w:szCs w:val="21"/>
        </w:rPr>
        <w:t>总经理应按策划的时间间隔评审质量/环境/安全管理体系，以确保其持续的适宜性、充分性和有效性。</w:t>
      </w:r>
    </w:p>
    <w:p>
      <w:pPr>
        <w:ind w:firstLine="560"/>
        <w:rPr>
          <w:szCs w:val="21"/>
        </w:rPr>
      </w:pPr>
      <w:r>
        <w:rPr>
          <w:szCs w:val="21"/>
        </w:rPr>
        <w:t>管理评审策划和实施时，应考虑变化的商业环境，并与公司的战略方向保持一致。</w:t>
      </w:r>
    </w:p>
    <w:p>
      <w:pPr>
        <w:ind w:firstLine="560"/>
        <w:rPr>
          <w:szCs w:val="21"/>
        </w:rPr>
      </w:pPr>
      <w:r>
        <w:rPr>
          <w:szCs w:val="21"/>
        </w:rPr>
        <w:t>9.3.2管理评审输入</w:t>
      </w:r>
    </w:p>
    <w:p>
      <w:pPr>
        <w:ind w:firstLine="560"/>
        <w:rPr>
          <w:szCs w:val="21"/>
        </w:rPr>
      </w:pPr>
      <w:r>
        <w:rPr>
          <w:szCs w:val="21"/>
        </w:rPr>
        <w:t>管理评审应考虑以下方面：</w:t>
      </w:r>
    </w:p>
    <w:p>
      <w:pPr>
        <w:ind w:firstLine="560"/>
        <w:rPr>
          <w:szCs w:val="21"/>
        </w:rPr>
      </w:pPr>
      <w:r>
        <w:rPr>
          <w:szCs w:val="21"/>
        </w:rPr>
        <w:t>a)以往管理评审的跟踪措施；</w:t>
      </w:r>
    </w:p>
    <w:p>
      <w:pPr>
        <w:ind w:firstLine="560"/>
        <w:rPr>
          <w:szCs w:val="21"/>
        </w:rPr>
      </w:pPr>
      <w:r>
        <w:rPr>
          <w:szCs w:val="21"/>
        </w:rPr>
        <w:t>b)与质量/环境/安全管理体系有关的外部或内部因素的变化；</w:t>
      </w:r>
    </w:p>
    <w:p>
      <w:pPr>
        <w:ind w:firstLine="560"/>
        <w:rPr>
          <w:szCs w:val="21"/>
        </w:rPr>
      </w:pPr>
      <w:r>
        <w:rPr>
          <w:szCs w:val="21"/>
        </w:rPr>
        <w:t>c)质量/环境/安全管理体系绩效和有效性的信息，包括以下方面的趋势和指标：</w:t>
      </w:r>
    </w:p>
    <w:p>
      <w:pPr>
        <w:ind w:firstLine="560"/>
        <w:rPr>
          <w:szCs w:val="21"/>
        </w:rPr>
      </w:pPr>
      <w:r>
        <w:rPr>
          <w:szCs w:val="21"/>
        </w:rPr>
        <w:t>1)不符合与纠正措施；</w:t>
      </w:r>
    </w:p>
    <w:p>
      <w:pPr>
        <w:ind w:firstLine="560"/>
        <w:rPr>
          <w:szCs w:val="21"/>
        </w:rPr>
      </w:pPr>
      <w:r>
        <w:rPr>
          <w:szCs w:val="21"/>
        </w:rPr>
        <w:t>2)监视和测量结果；</w:t>
      </w:r>
    </w:p>
    <w:p>
      <w:pPr>
        <w:ind w:firstLine="560"/>
        <w:rPr>
          <w:szCs w:val="21"/>
        </w:rPr>
      </w:pPr>
      <w:r>
        <w:rPr>
          <w:szCs w:val="21"/>
        </w:rPr>
        <w:t>3)审核结果；</w:t>
      </w:r>
    </w:p>
    <w:p>
      <w:pPr>
        <w:ind w:firstLine="560"/>
        <w:rPr>
          <w:szCs w:val="21"/>
        </w:rPr>
      </w:pPr>
      <w:r>
        <w:rPr>
          <w:szCs w:val="21"/>
        </w:rPr>
        <w:t>4)顾客满意和相关方的反馈；</w:t>
      </w:r>
    </w:p>
    <w:p>
      <w:pPr>
        <w:ind w:firstLine="560"/>
        <w:rPr>
          <w:szCs w:val="21"/>
        </w:rPr>
      </w:pPr>
      <w:r>
        <w:rPr>
          <w:szCs w:val="21"/>
        </w:rPr>
        <w:t>5)外部供方的绩效；</w:t>
      </w:r>
    </w:p>
    <w:p>
      <w:pPr>
        <w:ind w:firstLine="560"/>
        <w:rPr>
          <w:szCs w:val="21"/>
        </w:rPr>
      </w:pPr>
      <w:r>
        <w:rPr>
          <w:szCs w:val="21"/>
        </w:rPr>
        <w:t>6)过程绩效以及产品和服务的符合性；</w:t>
      </w:r>
    </w:p>
    <w:p>
      <w:pPr>
        <w:ind w:firstLine="560"/>
        <w:rPr>
          <w:szCs w:val="21"/>
        </w:rPr>
      </w:pPr>
      <w:r>
        <w:rPr>
          <w:szCs w:val="21"/>
        </w:rPr>
        <w:t>7)质量/环境/安全目标的实现的程度；</w:t>
      </w:r>
    </w:p>
    <w:p>
      <w:pPr>
        <w:ind w:firstLine="560"/>
        <w:rPr>
          <w:szCs w:val="21"/>
        </w:rPr>
      </w:pPr>
      <w:r>
        <w:rPr>
          <w:szCs w:val="21"/>
        </w:rPr>
        <w:t>d)持续改进的机会；</w:t>
      </w:r>
    </w:p>
    <w:p>
      <w:pPr>
        <w:ind w:firstLine="560"/>
        <w:rPr>
          <w:szCs w:val="21"/>
        </w:rPr>
      </w:pPr>
      <w:r>
        <w:rPr>
          <w:szCs w:val="21"/>
        </w:rPr>
        <w:t>e)资源的充分性；</w:t>
      </w:r>
    </w:p>
    <w:p>
      <w:pPr>
        <w:ind w:firstLine="560"/>
        <w:rPr>
          <w:szCs w:val="21"/>
        </w:rPr>
      </w:pPr>
      <w:r>
        <w:rPr>
          <w:szCs w:val="21"/>
        </w:rPr>
        <w:t>f)</w:t>
      </w:r>
      <w:r>
        <w:rPr>
          <w:rFonts w:hint="eastAsia"/>
          <w:szCs w:val="21"/>
        </w:rPr>
        <w:t>重要因素的运行情况；</w:t>
      </w:r>
    </w:p>
    <w:p>
      <w:pPr>
        <w:ind w:firstLine="560"/>
        <w:rPr>
          <w:szCs w:val="21"/>
        </w:rPr>
      </w:pPr>
      <w:r>
        <w:rPr>
          <w:rFonts w:hint="eastAsia"/>
          <w:szCs w:val="21"/>
        </w:rPr>
        <w:t>g)合规性义务的识别、评价以及履行情况；</w:t>
      </w:r>
    </w:p>
    <w:p>
      <w:pPr>
        <w:ind w:firstLine="560"/>
        <w:rPr>
          <w:szCs w:val="21"/>
        </w:rPr>
      </w:pPr>
      <w:r>
        <w:rPr>
          <w:rFonts w:hint="eastAsia"/>
          <w:szCs w:val="21"/>
        </w:rPr>
        <w:t>h)环境安全监测结果；</w:t>
      </w:r>
    </w:p>
    <w:p>
      <w:pPr>
        <w:ind w:firstLine="560"/>
        <w:rPr>
          <w:szCs w:val="21"/>
        </w:rPr>
      </w:pPr>
      <w:r>
        <w:rPr>
          <w:rFonts w:hint="eastAsia"/>
          <w:szCs w:val="21"/>
        </w:rPr>
        <w:t>i)</w:t>
      </w:r>
      <w:r>
        <w:rPr>
          <w:szCs w:val="21"/>
        </w:rPr>
        <w:t>应对风险和机遇所采取措施的有效性。</w:t>
      </w:r>
    </w:p>
    <w:p>
      <w:pPr>
        <w:ind w:firstLine="560"/>
        <w:rPr>
          <w:szCs w:val="21"/>
        </w:rPr>
      </w:pPr>
      <w:r>
        <w:rPr>
          <w:szCs w:val="21"/>
        </w:rPr>
        <w:t>9.3.3管理评审输出</w:t>
      </w:r>
    </w:p>
    <w:p>
      <w:pPr>
        <w:ind w:firstLine="560"/>
        <w:rPr>
          <w:szCs w:val="21"/>
        </w:rPr>
      </w:pPr>
      <w:r>
        <w:rPr>
          <w:szCs w:val="21"/>
        </w:rPr>
        <w:t>管理评审的输出应包括以下相关的决定：</w:t>
      </w:r>
    </w:p>
    <w:p>
      <w:pPr>
        <w:ind w:firstLine="560"/>
        <w:rPr>
          <w:szCs w:val="21"/>
        </w:rPr>
      </w:pPr>
      <w:r>
        <w:rPr>
          <w:szCs w:val="21"/>
        </w:rPr>
        <w:t>a)持续改进的机会；</w:t>
      </w:r>
    </w:p>
    <w:p>
      <w:pPr>
        <w:ind w:firstLine="560"/>
        <w:rPr>
          <w:szCs w:val="21"/>
        </w:rPr>
      </w:pPr>
      <w:r>
        <w:rPr>
          <w:szCs w:val="21"/>
        </w:rPr>
        <w:t>b)对质量/环境/安全管理体系变更的需求；</w:t>
      </w:r>
    </w:p>
    <w:p>
      <w:pPr>
        <w:ind w:firstLine="560"/>
        <w:rPr>
          <w:szCs w:val="21"/>
        </w:rPr>
      </w:pPr>
      <w:r>
        <w:rPr>
          <w:szCs w:val="21"/>
        </w:rPr>
        <w:t>c)资源需要。</w:t>
      </w:r>
    </w:p>
    <w:p>
      <w:pPr>
        <w:ind w:firstLine="560"/>
        <w:rPr>
          <w:szCs w:val="21"/>
        </w:rPr>
      </w:pPr>
      <w:r>
        <w:rPr>
          <w:szCs w:val="21"/>
        </w:rPr>
        <w:t>公司要保持形成文件的信息，以提供管理评审的结果及采取措施的证据。</w:t>
      </w:r>
    </w:p>
    <w:p>
      <w:pPr>
        <w:ind w:firstLine="560"/>
        <w:rPr>
          <w:b/>
          <w:szCs w:val="21"/>
        </w:rPr>
      </w:pPr>
      <w:r>
        <w:rPr>
          <w:b/>
          <w:szCs w:val="21"/>
        </w:rPr>
        <w:t>10改进</w:t>
      </w:r>
    </w:p>
    <w:p>
      <w:pPr>
        <w:ind w:firstLine="560"/>
        <w:rPr>
          <w:b/>
          <w:szCs w:val="21"/>
        </w:rPr>
      </w:pPr>
      <w:r>
        <w:rPr>
          <w:b/>
          <w:szCs w:val="21"/>
        </w:rPr>
        <w:t>10.1总则</w:t>
      </w:r>
    </w:p>
    <w:p>
      <w:pPr>
        <w:ind w:left="525" w:leftChars="250" w:firstLine="33" w:firstLineChars="16"/>
        <w:rPr>
          <w:szCs w:val="21"/>
        </w:rPr>
      </w:pPr>
      <w:r>
        <w:rPr>
          <w:szCs w:val="21"/>
        </w:rPr>
        <w:t>公司要确定并选择改进机会，采取必要措施，满足顾客要求和增强顾客满意。</w:t>
      </w:r>
      <w:r>
        <w:rPr>
          <w:rFonts w:hint="eastAsia"/>
          <w:szCs w:val="21"/>
        </w:rPr>
        <w:t>实现预期的环境与安全体系绩效。</w:t>
      </w:r>
      <w:r>
        <w:rPr>
          <w:szCs w:val="21"/>
        </w:rPr>
        <w:t>并建立《</w:t>
      </w:r>
      <w:r>
        <w:t>纠正措施管理制度</w:t>
      </w:r>
      <w:r>
        <w:rPr>
          <w:szCs w:val="21"/>
        </w:rPr>
        <w:t>》进行控制。</w:t>
      </w:r>
      <w:r>
        <w:rPr>
          <w:rFonts w:hint="eastAsia"/>
          <w:szCs w:val="21"/>
        </w:rPr>
        <w:t>,</w:t>
      </w:r>
    </w:p>
    <w:p>
      <w:pPr>
        <w:ind w:firstLine="560"/>
        <w:rPr>
          <w:szCs w:val="21"/>
        </w:rPr>
      </w:pPr>
      <w:r>
        <w:rPr>
          <w:szCs w:val="21"/>
        </w:rPr>
        <w:t>这应包括：</w:t>
      </w:r>
    </w:p>
    <w:p>
      <w:pPr>
        <w:ind w:firstLine="560"/>
        <w:rPr>
          <w:szCs w:val="21"/>
        </w:rPr>
      </w:pPr>
      <w:r>
        <w:rPr>
          <w:szCs w:val="21"/>
        </w:rPr>
        <w:t>a改进产品和服务以满足要求并关注未来的需求和期望；</w:t>
      </w:r>
    </w:p>
    <w:p>
      <w:pPr>
        <w:ind w:firstLine="560"/>
        <w:rPr>
          <w:szCs w:val="21"/>
        </w:rPr>
      </w:pPr>
      <w:r>
        <w:rPr>
          <w:szCs w:val="21"/>
        </w:rPr>
        <w:t>b纠正、预防或减少不利影响；</w:t>
      </w:r>
    </w:p>
    <w:p>
      <w:pPr>
        <w:ind w:firstLine="560"/>
        <w:rPr>
          <w:szCs w:val="21"/>
        </w:rPr>
      </w:pPr>
      <w:r>
        <w:rPr>
          <w:szCs w:val="21"/>
        </w:rPr>
        <w:t>c改进质量/环境/安全管理体系的绩效和有效性。</w:t>
      </w:r>
    </w:p>
    <w:p>
      <w:pPr>
        <w:ind w:firstLine="560"/>
        <w:rPr>
          <w:szCs w:val="21"/>
        </w:rPr>
      </w:pPr>
      <w:r>
        <w:rPr>
          <w:rFonts w:hint="eastAsia"/>
          <w:szCs w:val="21"/>
        </w:rPr>
        <w:t>e识别纠正措施的需求；</w:t>
      </w:r>
    </w:p>
    <w:p>
      <w:pPr>
        <w:ind w:firstLine="560"/>
        <w:rPr>
          <w:szCs w:val="21"/>
        </w:rPr>
      </w:pPr>
      <w:r>
        <w:rPr>
          <w:rFonts w:hint="eastAsia"/>
          <w:szCs w:val="21"/>
        </w:rPr>
        <w:t>g识别持续改进的机会；。</w:t>
      </w:r>
    </w:p>
    <w:p>
      <w:pPr>
        <w:ind w:left="769" w:leftChars="266" w:hanging="210" w:hangingChars="100"/>
        <w:rPr>
          <w:szCs w:val="21"/>
        </w:rPr>
      </w:pPr>
      <w:r>
        <w:rPr>
          <w:rFonts w:hint="eastAsia"/>
          <w:szCs w:val="21"/>
        </w:rPr>
        <w:t>d确定会导致或对事件的出现起作用的职业健康安全系和环境体体潜在的不足和其他因素并对其进行沟通；</w:t>
      </w:r>
    </w:p>
    <w:p>
      <w:pPr>
        <w:ind w:firstLine="560"/>
        <w:rPr>
          <w:szCs w:val="21"/>
        </w:rPr>
      </w:pPr>
      <w:r>
        <w:rPr>
          <w:szCs w:val="21"/>
        </w:rPr>
        <w:t>注：改进的例子可包括纠正、纠正措施、持续改进、突变、创新和重组。</w:t>
      </w:r>
    </w:p>
    <w:p>
      <w:pPr>
        <w:ind w:firstLine="560"/>
        <w:rPr>
          <w:b/>
          <w:szCs w:val="21"/>
        </w:rPr>
      </w:pPr>
      <w:r>
        <w:rPr>
          <w:b/>
          <w:szCs w:val="21"/>
        </w:rPr>
        <w:t>10.2不符合和纠正措施（M7）</w:t>
      </w:r>
    </w:p>
    <w:p>
      <w:pPr>
        <w:ind w:firstLine="560"/>
        <w:rPr>
          <w:szCs w:val="21"/>
        </w:rPr>
      </w:pPr>
      <w:r>
        <w:rPr>
          <w:szCs w:val="21"/>
        </w:rPr>
        <w:t>10.7.1发生不符合时，公司要：</w:t>
      </w:r>
    </w:p>
    <w:p>
      <w:pPr>
        <w:ind w:firstLine="560"/>
        <w:rPr>
          <w:szCs w:val="21"/>
        </w:rPr>
      </w:pPr>
      <w:r>
        <w:rPr>
          <w:szCs w:val="21"/>
        </w:rPr>
        <w:t>a)作出响应，适当时：</w:t>
      </w:r>
    </w:p>
    <w:p>
      <w:pPr>
        <w:ind w:firstLine="560"/>
        <w:rPr>
          <w:szCs w:val="21"/>
        </w:rPr>
      </w:pPr>
      <w:r>
        <w:rPr>
          <w:szCs w:val="21"/>
        </w:rPr>
        <w:t>1)采取措施控制和纠正不符合</w:t>
      </w:r>
    </w:p>
    <w:p>
      <w:pPr>
        <w:ind w:firstLine="560"/>
        <w:rPr>
          <w:szCs w:val="21"/>
        </w:rPr>
      </w:pPr>
      <w:r>
        <w:rPr>
          <w:szCs w:val="21"/>
        </w:rPr>
        <w:t>2)处理不符合造成的后果</w:t>
      </w:r>
    </w:p>
    <w:p>
      <w:pPr>
        <w:ind w:firstLine="560"/>
        <w:rPr>
          <w:szCs w:val="21"/>
        </w:rPr>
      </w:pPr>
      <w:r>
        <w:rPr>
          <w:szCs w:val="21"/>
        </w:rPr>
        <w:t>b)评价消除不符合原因的措施的需求，通过采取以下措施防止不符合再次发生或在其他区域发生：</w:t>
      </w:r>
    </w:p>
    <w:p>
      <w:pPr>
        <w:ind w:firstLine="560"/>
        <w:rPr>
          <w:szCs w:val="21"/>
        </w:rPr>
      </w:pPr>
      <w:r>
        <w:rPr>
          <w:szCs w:val="21"/>
        </w:rPr>
        <w:t>1)评审不符合；</w:t>
      </w:r>
    </w:p>
    <w:p>
      <w:pPr>
        <w:ind w:firstLine="560"/>
        <w:rPr>
          <w:szCs w:val="21"/>
        </w:rPr>
      </w:pPr>
      <w:r>
        <w:rPr>
          <w:szCs w:val="21"/>
        </w:rPr>
        <w:t>2)确定不符合的原因；</w:t>
      </w:r>
    </w:p>
    <w:p>
      <w:pPr>
        <w:ind w:firstLine="560"/>
        <w:rPr>
          <w:szCs w:val="21"/>
        </w:rPr>
      </w:pPr>
      <w:r>
        <w:rPr>
          <w:szCs w:val="21"/>
        </w:rPr>
        <w:t>3)确定类似不符合是否存在，或可能潜在发生；</w:t>
      </w:r>
    </w:p>
    <w:p>
      <w:pPr>
        <w:ind w:firstLine="560"/>
        <w:rPr>
          <w:szCs w:val="21"/>
        </w:rPr>
      </w:pPr>
      <w:r>
        <w:rPr>
          <w:szCs w:val="21"/>
        </w:rPr>
        <w:t>c)实施所需的措施；</w:t>
      </w:r>
    </w:p>
    <w:p>
      <w:pPr>
        <w:ind w:firstLine="560"/>
        <w:rPr>
          <w:szCs w:val="21"/>
        </w:rPr>
      </w:pPr>
      <w:r>
        <w:rPr>
          <w:szCs w:val="21"/>
        </w:rPr>
        <w:t>d)评审所采取纠正措施的有效性；</w:t>
      </w:r>
    </w:p>
    <w:p>
      <w:pPr>
        <w:ind w:firstLine="560"/>
        <w:rPr>
          <w:szCs w:val="21"/>
        </w:rPr>
      </w:pPr>
      <w:r>
        <w:rPr>
          <w:szCs w:val="21"/>
        </w:rPr>
        <w:t>e)对质量/环境/安全管理体系进行必要的修改；</w:t>
      </w:r>
    </w:p>
    <w:p>
      <w:pPr>
        <w:ind w:firstLine="560"/>
        <w:rPr>
          <w:szCs w:val="21"/>
        </w:rPr>
      </w:pPr>
      <w:r>
        <w:rPr>
          <w:szCs w:val="21"/>
        </w:rPr>
        <w:t>f)需要时，更新策划期间确定的风险和机遇。</w:t>
      </w:r>
    </w:p>
    <w:p>
      <w:pPr>
        <w:ind w:firstLine="560"/>
        <w:rPr>
          <w:szCs w:val="21"/>
        </w:rPr>
      </w:pPr>
      <w:r>
        <w:rPr>
          <w:szCs w:val="21"/>
        </w:rPr>
        <w:t>纠正措施应与所遇到的不符合的影响程度相适应。</w:t>
      </w:r>
    </w:p>
    <w:p>
      <w:pPr>
        <w:ind w:firstLine="560"/>
        <w:rPr>
          <w:szCs w:val="21"/>
        </w:rPr>
      </w:pPr>
      <w:r>
        <w:rPr>
          <w:szCs w:val="21"/>
        </w:rPr>
        <w:t>10.2.2公司要将以下信息形成文件：</w:t>
      </w:r>
    </w:p>
    <w:p>
      <w:pPr>
        <w:ind w:firstLine="560"/>
        <w:rPr>
          <w:szCs w:val="21"/>
        </w:rPr>
      </w:pPr>
      <w:r>
        <w:rPr>
          <w:szCs w:val="21"/>
        </w:rPr>
        <w:t>a)不符合的性质及随后采取的措施</w:t>
      </w:r>
    </w:p>
    <w:p>
      <w:pPr>
        <w:ind w:firstLine="560"/>
        <w:rPr>
          <w:szCs w:val="21"/>
        </w:rPr>
      </w:pPr>
      <w:r>
        <w:rPr>
          <w:szCs w:val="21"/>
        </w:rPr>
        <w:t>b)纠正措施的结果</w:t>
      </w:r>
    </w:p>
    <w:p>
      <w:pPr>
        <w:ind w:firstLine="560"/>
        <w:rPr>
          <w:b/>
          <w:szCs w:val="21"/>
        </w:rPr>
      </w:pPr>
      <w:r>
        <w:rPr>
          <w:b/>
          <w:szCs w:val="21"/>
        </w:rPr>
        <w:t>10.3持续改进（M8）</w:t>
      </w:r>
    </w:p>
    <w:p>
      <w:pPr>
        <w:ind w:firstLine="560"/>
        <w:rPr>
          <w:szCs w:val="21"/>
        </w:rPr>
      </w:pPr>
      <w:r>
        <w:rPr>
          <w:szCs w:val="21"/>
        </w:rPr>
        <w:t>公司要持续改进质量/环境/安全管理体系的适宜性、充分性和有效性。</w:t>
      </w:r>
    </w:p>
    <w:p>
      <w:pPr>
        <w:ind w:left="525" w:leftChars="250" w:firstLine="33" w:firstLineChars="16"/>
        <w:rPr>
          <w:szCs w:val="21"/>
        </w:rPr>
      </w:pPr>
      <w:r>
        <w:rPr>
          <w:szCs w:val="21"/>
        </w:rPr>
        <w:t>公司要考虑管理评审的分析、评价结果，以及管理评审的输出，确定是否存在持续改进的需求或机会。</w:t>
      </w:r>
    </w:p>
    <w:p>
      <w:pPr>
        <w:ind w:firstLine="560"/>
        <w:rPr>
          <w:szCs w:val="21"/>
        </w:rPr>
      </w:pPr>
      <w:r>
        <w:rPr>
          <w:szCs w:val="21"/>
        </w:rPr>
        <w:t>适当时，公司要通过以下方面改进其质量/环境/安全管理体系、过程、产品</w:t>
      </w:r>
      <w:r>
        <w:rPr>
          <w:rFonts w:hint="eastAsia"/>
          <w:szCs w:val="21"/>
        </w:rPr>
        <w:t>、</w:t>
      </w:r>
      <w:r>
        <w:rPr>
          <w:szCs w:val="21"/>
        </w:rPr>
        <w:t>服务</w:t>
      </w:r>
      <w:r>
        <w:rPr>
          <w:rFonts w:hint="eastAsia"/>
          <w:szCs w:val="21"/>
        </w:rPr>
        <w:t>以及环境绩效</w:t>
      </w:r>
      <w:r>
        <w:rPr>
          <w:szCs w:val="21"/>
        </w:rPr>
        <w:t>：</w:t>
      </w:r>
    </w:p>
    <w:p>
      <w:pPr>
        <w:ind w:firstLine="560"/>
        <w:rPr>
          <w:szCs w:val="21"/>
        </w:rPr>
      </w:pPr>
      <w:r>
        <w:rPr>
          <w:szCs w:val="21"/>
        </w:rPr>
        <w:t>a)数据分析的结果；</w:t>
      </w:r>
    </w:p>
    <w:p>
      <w:pPr>
        <w:ind w:firstLine="560"/>
        <w:rPr>
          <w:szCs w:val="21"/>
        </w:rPr>
      </w:pPr>
      <w:r>
        <w:rPr>
          <w:szCs w:val="21"/>
        </w:rPr>
        <w:t>b)公司的改变；</w:t>
      </w:r>
    </w:p>
    <w:p>
      <w:pPr>
        <w:ind w:firstLine="560"/>
        <w:rPr>
          <w:szCs w:val="21"/>
        </w:rPr>
      </w:pPr>
      <w:r>
        <w:rPr>
          <w:szCs w:val="21"/>
        </w:rPr>
        <w:t>c)识别的风险的变更；</w:t>
      </w:r>
    </w:p>
    <w:p>
      <w:pPr>
        <w:ind w:firstLine="560"/>
        <w:rPr>
          <w:szCs w:val="21"/>
        </w:rPr>
      </w:pPr>
      <w:r>
        <w:rPr>
          <w:szCs w:val="21"/>
        </w:rPr>
        <w:t>d)新的机遇；</w:t>
      </w:r>
    </w:p>
    <w:p>
      <w:pPr>
        <w:ind w:firstLine="560"/>
        <w:rPr>
          <w:szCs w:val="21"/>
        </w:rPr>
      </w:pPr>
      <w:r>
        <w:rPr>
          <w:szCs w:val="21"/>
        </w:rPr>
        <w:t>公司要评价、确定优先次序及决定需实施的改进。</w:t>
      </w: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p>
    <w:p>
      <w:pPr>
        <w:ind w:firstLine="525" w:firstLineChars="250"/>
        <w:rPr>
          <w:color w:val="FF0000"/>
          <w:szCs w:val="21"/>
        </w:rPr>
      </w:pPr>
      <w:r>
        <w:rPr>
          <w:color w:val="FF0000"/>
          <w:szCs w:val="21"/>
        </w:rPr>
        <w:t>附录A：公司架构图</w:t>
      </w:r>
    </w:p>
    <w:p>
      <w:pPr>
        <w:ind w:firstLine="560"/>
        <w:rPr>
          <w:rFonts w:ascii="宋体" w:hAnsi="宋体"/>
          <w:szCs w:val="21"/>
        </w:rPr>
      </w:pPr>
      <w:r>
        <w:rPr>
          <w:rFonts w:ascii="宋体" w:hAnsi="宋体"/>
          <w:szCs w:val="21"/>
        </w:rPr>
        <w:drawing>
          <wp:inline distT="0" distB="0" distL="0" distR="0">
            <wp:extent cx="5486400" cy="3200400"/>
            <wp:effectExtent l="0" t="0" r="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color w:val="FF0000"/>
          <w:szCs w:val="21"/>
        </w:rPr>
      </w:pPr>
      <w:r>
        <w:rPr>
          <w:rFonts w:hint="eastAsia"/>
          <w:color w:val="FF0000"/>
          <w:szCs w:val="21"/>
        </w:rPr>
        <w:t>附录B</w:t>
      </w:r>
      <w:r>
        <w:rPr>
          <w:szCs w:val="21"/>
        </w:rPr>
        <w:t>主要过程识别</w:t>
      </w:r>
    </w:p>
    <w:tbl>
      <w:tblPr>
        <w:tblStyle w:val="22"/>
        <w:tblW w:w="9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597"/>
        <w:gridCol w:w="656"/>
        <w:gridCol w:w="2505"/>
        <w:gridCol w:w="699"/>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gridSpan w:val="2"/>
            <w:tcBorders>
              <w:top w:val="single" w:color="auto" w:sz="12" w:space="0"/>
              <w:left w:val="single" w:color="auto" w:sz="12" w:space="0"/>
              <w:bottom w:val="single" w:color="auto" w:sz="4" w:space="0"/>
              <w:right w:val="single" w:color="auto" w:sz="12" w:space="0"/>
            </w:tcBorders>
            <w:shd w:val="clear" w:color="auto" w:fill="auto"/>
            <w:vAlign w:val="center"/>
          </w:tcPr>
          <w:p>
            <w:pPr>
              <w:jc w:val="center"/>
              <w:rPr>
                <w:sz w:val="18"/>
                <w:szCs w:val="18"/>
              </w:rPr>
            </w:pPr>
            <w:r>
              <w:rPr>
                <w:sz w:val="18"/>
                <w:szCs w:val="18"/>
              </w:rPr>
              <w:t>顾客导向过程</w:t>
            </w:r>
          </w:p>
        </w:tc>
        <w:tc>
          <w:tcPr>
            <w:tcW w:w="3161" w:type="dxa"/>
            <w:gridSpan w:val="2"/>
            <w:tcBorders>
              <w:top w:val="single" w:color="auto" w:sz="12" w:space="0"/>
              <w:left w:val="single" w:color="auto" w:sz="12" w:space="0"/>
              <w:bottom w:val="single" w:color="auto" w:sz="4" w:space="0"/>
              <w:right w:val="single" w:color="auto" w:sz="12" w:space="0"/>
            </w:tcBorders>
            <w:shd w:val="clear" w:color="auto" w:fill="auto"/>
            <w:vAlign w:val="center"/>
          </w:tcPr>
          <w:p>
            <w:pPr>
              <w:jc w:val="center"/>
              <w:rPr>
                <w:sz w:val="18"/>
                <w:szCs w:val="18"/>
              </w:rPr>
            </w:pPr>
            <w:r>
              <w:rPr>
                <w:sz w:val="18"/>
                <w:szCs w:val="18"/>
              </w:rPr>
              <w:t>支持过程</w:t>
            </w:r>
          </w:p>
        </w:tc>
        <w:tc>
          <w:tcPr>
            <w:tcW w:w="3296" w:type="dxa"/>
            <w:gridSpan w:val="2"/>
            <w:tcBorders>
              <w:top w:val="single" w:color="auto" w:sz="12" w:space="0"/>
              <w:left w:val="single" w:color="auto" w:sz="12" w:space="0"/>
              <w:bottom w:val="single" w:color="auto" w:sz="4" w:space="0"/>
              <w:right w:val="single" w:color="auto" w:sz="12" w:space="0"/>
            </w:tcBorders>
            <w:shd w:val="clear" w:color="auto" w:fill="auto"/>
            <w:vAlign w:val="center"/>
          </w:tcPr>
          <w:p>
            <w:pPr>
              <w:jc w:val="center"/>
              <w:rPr>
                <w:sz w:val="18"/>
                <w:szCs w:val="18"/>
              </w:rPr>
            </w:pPr>
            <w:r>
              <w:rPr>
                <w:sz w:val="18"/>
                <w:szCs w:val="18"/>
              </w:rPr>
              <w:t>管理过程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bottom w:val="single" w:color="auto" w:sz="12" w:space="0"/>
            </w:tcBorders>
            <w:shd w:val="clear" w:color="auto" w:fill="auto"/>
            <w:vAlign w:val="center"/>
          </w:tcPr>
          <w:p>
            <w:pPr>
              <w:jc w:val="center"/>
              <w:rPr>
                <w:sz w:val="18"/>
                <w:szCs w:val="18"/>
              </w:rPr>
            </w:pPr>
            <w:r>
              <w:rPr>
                <w:sz w:val="18"/>
                <w:szCs w:val="18"/>
              </w:rPr>
              <w:t>过程编号</w:t>
            </w:r>
          </w:p>
        </w:tc>
        <w:tc>
          <w:tcPr>
            <w:tcW w:w="2597" w:type="dxa"/>
            <w:tcBorders>
              <w:bottom w:val="single" w:color="auto" w:sz="12" w:space="0"/>
              <w:right w:val="single" w:color="auto" w:sz="12" w:space="0"/>
            </w:tcBorders>
            <w:shd w:val="clear" w:color="auto" w:fill="auto"/>
            <w:vAlign w:val="center"/>
          </w:tcPr>
          <w:p>
            <w:pPr>
              <w:jc w:val="center"/>
              <w:rPr>
                <w:sz w:val="18"/>
                <w:szCs w:val="18"/>
              </w:rPr>
            </w:pPr>
            <w:r>
              <w:rPr>
                <w:sz w:val="18"/>
                <w:szCs w:val="18"/>
              </w:rPr>
              <w:t>过程名称</w:t>
            </w:r>
          </w:p>
        </w:tc>
        <w:tc>
          <w:tcPr>
            <w:tcW w:w="656" w:type="dxa"/>
            <w:tcBorders>
              <w:left w:val="single" w:color="auto" w:sz="12" w:space="0"/>
              <w:bottom w:val="single" w:color="auto" w:sz="12" w:space="0"/>
            </w:tcBorders>
            <w:shd w:val="clear" w:color="auto" w:fill="auto"/>
            <w:vAlign w:val="center"/>
          </w:tcPr>
          <w:p>
            <w:pPr>
              <w:jc w:val="center"/>
              <w:rPr>
                <w:sz w:val="18"/>
                <w:szCs w:val="18"/>
              </w:rPr>
            </w:pPr>
            <w:r>
              <w:rPr>
                <w:sz w:val="18"/>
                <w:szCs w:val="18"/>
              </w:rPr>
              <w:t>过程编号</w:t>
            </w:r>
          </w:p>
        </w:tc>
        <w:tc>
          <w:tcPr>
            <w:tcW w:w="2505" w:type="dxa"/>
            <w:tcBorders>
              <w:bottom w:val="single" w:color="auto" w:sz="12" w:space="0"/>
              <w:right w:val="single" w:color="auto" w:sz="12" w:space="0"/>
            </w:tcBorders>
            <w:shd w:val="clear" w:color="auto" w:fill="auto"/>
            <w:vAlign w:val="center"/>
          </w:tcPr>
          <w:p>
            <w:pPr>
              <w:jc w:val="center"/>
              <w:rPr>
                <w:sz w:val="18"/>
                <w:szCs w:val="18"/>
              </w:rPr>
            </w:pPr>
            <w:r>
              <w:rPr>
                <w:sz w:val="18"/>
                <w:szCs w:val="18"/>
              </w:rPr>
              <w:t>过程名称</w:t>
            </w:r>
          </w:p>
        </w:tc>
        <w:tc>
          <w:tcPr>
            <w:tcW w:w="699" w:type="dxa"/>
            <w:tcBorders>
              <w:left w:val="single" w:color="auto" w:sz="12" w:space="0"/>
              <w:bottom w:val="single" w:color="auto" w:sz="12" w:space="0"/>
            </w:tcBorders>
            <w:shd w:val="clear" w:color="auto" w:fill="auto"/>
            <w:vAlign w:val="center"/>
          </w:tcPr>
          <w:p>
            <w:pPr>
              <w:jc w:val="center"/>
              <w:rPr>
                <w:sz w:val="18"/>
                <w:szCs w:val="18"/>
              </w:rPr>
            </w:pPr>
            <w:r>
              <w:rPr>
                <w:sz w:val="18"/>
                <w:szCs w:val="18"/>
              </w:rPr>
              <w:t>过程编号</w:t>
            </w:r>
          </w:p>
        </w:tc>
        <w:tc>
          <w:tcPr>
            <w:tcW w:w="2597" w:type="dxa"/>
            <w:tcBorders>
              <w:bottom w:val="single" w:color="auto" w:sz="12" w:space="0"/>
              <w:right w:val="single" w:color="auto" w:sz="12" w:space="0"/>
            </w:tcBorders>
            <w:shd w:val="clear" w:color="auto" w:fill="auto"/>
            <w:vAlign w:val="center"/>
          </w:tcPr>
          <w:p>
            <w:pPr>
              <w:jc w:val="center"/>
              <w:rPr>
                <w:sz w:val="18"/>
                <w:szCs w:val="18"/>
              </w:rPr>
            </w:pPr>
            <w:r>
              <w:rPr>
                <w:sz w:val="18"/>
                <w:szCs w:val="18"/>
              </w:rPr>
              <w:t>过程名称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top w:val="single" w:color="auto" w:sz="12" w:space="0"/>
              <w:left w:val="single" w:color="auto" w:sz="12" w:space="0"/>
            </w:tcBorders>
            <w:shd w:val="clear" w:color="auto" w:fill="auto"/>
            <w:vAlign w:val="center"/>
          </w:tcPr>
          <w:p>
            <w:pPr>
              <w:rPr>
                <w:sz w:val="18"/>
                <w:szCs w:val="18"/>
              </w:rPr>
            </w:pPr>
            <w:r>
              <w:rPr>
                <w:sz w:val="18"/>
                <w:szCs w:val="18"/>
              </w:rPr>
              <w:t>C1</w:t>
            </w:r>
          </w:p>
        </w:tc>
        <w:tc>
          <w:tcPr>
            <w:tcW w:w="2597" w:type="dxa"/>
            <w:tcBorders>
              <w:top w:val="single" w:color="auto" w:sz="12" w:space="0"/>
              <w:right w:val="single" w:color="auto" w:sz="12" w:space="0"/>
            </w:tcBorders>
            <w:shd w:val="clear" w:color="auto" w:fill="auto"/>
            <w:vAlign w:val="center"/>
          </w:tcPr>
          <w:p>
            <w:pPr>
              <w:jc w:val="left"/>
              <w:rPr>
                <w:sz w:val="18"/>
                <w:szCs w:val="18"/>
              </w:rPr>
            </w:pPr>
            <w:r>
              <w:rPr>
                <w:sz w:val="18"/>
                <w:szCs w:val="18"/>
              </w:rPr>
              <w:t>市场需求的确定</w:t>
            </w:r>
          </w:p>
        </w:tc>
        <w:tc>
          <w:tcPr>
            <w:tcW w:w="656" w:type="dxa"/>
            <w:tcBorders>
              <w:top w:val="single" w:color="auto" w:sz="12" w:space="0"/>
              <w:left w:val="single" w:color="auto" w:sz="12" w:space="0"/>
            </w:tcBorders>
            <w:shd w:val="clear" w:color="auto" w:fill="auto"/>
            <w:vAlign w:val="center"/>
          </w:tcPr>
          <w:p>
            <w:pPr>
              <w:rPr>
                <w:sz w:val="18"/>
                <w:szCs w:val="18"/>
              </w:rPr>
            </w:pPr>
            <w:r>
              <w:rPr>
                <w:sz w:val="18"/>
                <w:szCs w:val="18"/>
              </w:rPr>
              <w:t>S1</w:t>
            </w:r>
          </w:p>
        </w:tc>
        <w:tc>
          <w:tcPr>
            <w:tcW w:w="2505" w:type="dxa"/>
            <w:tcBorders>
              <w:top w:val="single" w:color="auto" w:sz="12" w:space="0"/>
              <w:right w:val="single" w:color="auto" w:sz="12" w:space="0"/>
            </w:tcBorders>
            <w:shd w:val="clear" w:color="auto" w:fill="auto"/>
            <w:vAlign w:val="center"/>
          </w:tcPr>
          <w:p>
            <w:pPr>
              <w:jc w:val="left"/>
              <w:rPr>
                <w:sz w:val="18"/>
                <w:szCs w:val="18"/>
              </w:rPr>
            </w:pPr>
            <w:r>
              <w:rPr>
                <w:sz w:val="18"/>
                <w:szCs w:val="18"/>
              </w:rPr>
              <w:t>基础设施</w:t>
            </w:r>
          </w:p>
        </w:tc>
        <w:tc>
          <w:tcPr>
            <w:tcW w:w="699" w:type="dxa"/>
            <w:tcBorders>
              <w:top w:val="single" w:color="auto" w:sz="12" w:space="0"/>
              <w:left w:val="single" w:color="auto" w:sz="12" w:space="0"/>
            </w:tcBorders>
            <w:shd w:val="clear" w:color="auto" w:fill="auto"/>
            <w:vAlign w:val="center"/>
          </w:tcPr>
          <w:p>
            <w:pPr>
              <w:rPr>
                <w:sz w:val="18"/>
                <w:szCs w:val="18"/>
              </w:rPr>
            </w:pPr>
            <w:r>
              <w:rPr>
                <w:sz w:val="18"/>
                <w:szCs w:val="18"/>
              </w:rPr>
              <w:t>M1</w:t>
            </w:r>
          </w:p>
        </w:tc>
        <w:tc>
          <w:tcPr>
            <w:tcW w:w="2597" w:type="dxa"/>
            <w:tcBorders>
              <w:top w:val="single" w:color="auto" w:sz="12" w:space="0"/>
              <w:right w:val="single" w:color="auto" w:sz="12" w:space="0"/>
            </w:tcBorders>
            <w:shd w:val="clear" w:color="auto" w:fill="auto"/>
            <w:vAlign w:val="center"/>
          </w:tcPr>
          <w:p>
            <w:pPr>
              <w:jc w:val="left"/>
              <w:rPr>
                <w:bCs/>
                <w:sz w:val="18"/>
                <w:szCs w:val="18"/>
              </w:rPr>
            </w:pPr>
            <w:r>
              <w:rPr>
                <w:sz w:val="18"/>
                <w:szCs w:val="18"/>
              </w:rPr>
              <w:t>风险和机遇的应对措施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r>
              <w:rPr>
                <w:sz w:val="18"/>
                <w:szCs w:val="18"/>
              </w:rPr>
              <w:t>C2</w:t>
            </w:r>
          </w:p>
        </w:tc>
        <w:tc>
          <w:tcPr>
            <w:tcW w:w="2597" w:type="dxa"/>
            <w:tcBorders>
              <w:right w:val="single" w:color="auto" w:sz="12" w:space="0"/>
            </w:tcBorders>
            <w:shd w:val="clear" w:color="auto" w:fill="auto"/>
            <w:vAlign w:val="center"/>
          </w:tcPr>
          <w:p>
            <w:pPr>
              <w:jc w:val="left"/>
              <w:rPr>
                <w:sz w:val="18"/>
                <w:szCs w:val="18"/>
              </w:rPr>
            </w:pPr>
            <w:r>
              <w:rPr>
                <w:sz w:val="18"/>
                <w:szCs w:val="18"/>
              </w:rPr>
              <w:t>产品和服务开发</w:t>
            </w:r>
          </w:p>
        </w:tc>
        <w:tc>
          <w:tcPr>
            <w:tcW w:w="656" w:type="dxa"/>
            <w:tcBorders>
              <w:left w:val="single" w:color="auto" w:sz="12" w:space="0"/>
            </w:tcBorders>
            <w:shd w:val="clear" w:color="auto" w:fill="auto"/>
            <w:vAlign w:val="center"/>
          </w:tcPr>
          <w:p>
            <w:pPr>
              <w:rPr>
                <w:sz w:val="18"/>
                <w:szCs w:val="18"/>
              </w:rPr>
            </w:pPr>
            <w:r>
              <w:rPr>
                <w:sz w:val="18"/>
                <w:szCs w:val="18"/>
              </w:rPr>
              <w:t>S2</w:t>
            </w:r>
          </w:p>
        </w:tc>
        <w:tc>
          <w:tcPr>
            <w:tcW w:w="2505" w:type="dxa"/>
            <w:tcBorders>
              <w:right w:val="single" w:color="auto" w:sz="12" w:space="0"/>
            </w:tcBorders>
            <w:shd w:val="clear" w:color="auto" w:fill="auto"/>
            <w:vAlign w:val="center"/>
          </w:tcPr>
          <w:p>
            <w:pPr>
              <w:jc w:val="left"/>
              <w:rPr>
                <w:sz w:val="18"/>
                <w:szCs w:val="18"/>
              </w:rPr>
            </w:pPr>
            <w:r>
              <w:rPr>
                <w:sz w:val="18"/>
                <w:szCs w:val="18"/>
              </w:rPr>
              <w:t>过程环境</w:t>
            </w:r>
          </w:p>
        </w:tc>
        <w:tc>
          <w:tcPr>
            <w:tcW w:w="699" w:type="dxa"/>
            <w:tcBorders>
              <w:left w:val="single" w:color="auto" w:sz="12" w:space="0"/>
            </w:tcBorders>
            <w:shd w:val="clear" w:color="auto" w:fill="auto"/>
            <w:vAlign w:val="center"/>
          </w:tcPr>
          <w:p>
            <w:pPr>
              <w:rPr>
                <w:sz w:val="18"/>
                <w:szCs w:val="18"/>
              </w:rPr>
            </w:pPr>
            <w:r>
              <w:rPr>
                <w:sz w:val="18"/>
                <w:szCs w:val="18"/>
              </w:rPr>
              <w:t>M2</w:t>
            </w:r>
          </w:p>
        </w:tc>
        <w:tc>
          <w:tcPr>
            <w:tcW w:w="2597" w:type="dxa"/>
            <w:tcBorders>
              <w:right w:val="single" w:color="auto" w:sz="12" w:space="0"/>
            </w:tcBorders>
            <w:shd w:val="clear" w:color="auto" w:fill="auto"/>
            <w:vAlign w:val="center"/>
          </w:tcPr>
          <w:p>
            <w:pPr>
              <w:jc w:val="left"/>
              <w:rPr>
                <w:bCs/>
                <w:sz w:val="18"/>
                <w:szCs w:val="18"/>
              </w:rPr>
            </w:pPr>
            <w:r>
              <w:rPr>
                <w:sz w:val="18"/>
                <w:szCs w:val="18"/>
              </w:rPr>
              <w:t>质量目标及其实施的策划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r>
              <w:rPr>
                <w:sz w:val="18"/>
                <w:szCs w:val="18"/>
              </w:rPr>
              <w:t>C3</w:t>
            </w:r>
          </w:p>
        </w:tc>
        <w:tc>
          <w:tcPr>
            <w:tcW w:w="2597" w:type="dxa"/>
            <w:tcBorders>
              <w:right w:val="single" w:color="auto" w:sz="12" w:space="0"/>
            </w:tcBorders>
            <w:shd w:val="clear" w:color="auto" w:fill="auto"/>
            <w:vAlign w:val="center"/>
          </w:tcPr>
          <w:p>
            <w:pPr>
              <w:rPr>
                <w:sz w:val="18"/>
                <w:szCs w:val="18"/>
              </w:rPr>
            </w:pPr>
            <w:r>
              <w:rPr>
                <w:sz w:val="18"/>
                <w:szCs w:val="18"/>
              </w:rPr>
              <w:t>产品生产和服务提供的控制</w:t>
            </w:r>
          </w:p>
        </w:tc>
        <w:tc>
          <w:tcPr>
            <w:tcW w:w="656" w:type="dxa"/>
            <w:tcBorders>
              <w:left w:val="single" w:color="auto" w:sz="12" w:space="0"/>
            </w:tcBorders>
            <w:shd w:val="clear" w:color="auto" w:fill="auto"/>
            <w:vAlign w:val="center"/>
          </w:tcPr>
          <w:p>
            <w:pPr>
              <w:rPr>
                <w:sz w:val="18"/>
                <w:szCs w:val="18"/>
              </w:rPr>
            </w:pPr>
            <w:r>
              <w:rPr>
                <w:sz w:val="18"/>
                <w:szCs w:val="18"/>
              </w:rPr>
              <w:t>S3</w:t>
            </w:r>
          </w:p>
        </w:tc>
        <w:tc>
          <w:tcPr>
            <w:tcW w:w="2505" w:type="dxa"/>
            <w:tcBorders>
              <w:right w:val="single" w:color="auto" w:sz="12" w:space="0"/>
            </w:tcBorders>
            <w:shd w:val="clear" w:color="auto" w:fill="auto"/>
            <w:vAlign w:val="center"/>
          </w:tcPr>
          <w:p>
            <w:pPr>
              <w:jc w:val="left"/>
              <w:rPr>
                <w:sz w:val="18"/>
                <w:szCs w:val="18"/>
              </w:rPr>
            </w:pPr>
            <w:r>
              <w:rPr>
                <w:sz w:val="18"/>
                <w:szCs w:val="18"/>
              </w:rPr>
              <w:t>监视和测量设备</w:t>
            </w:r>
          </w:p>
        </w:tc>
        <w:tc>
          <w:tcPr>
            <w:tcW w:w="699" w:type="dxa"/>
            <w:tcBorders>
              <w:left w:val="single" w:color="auto" w:sz="12" w:space="0"/>
            </w:tcBorders>
            <w:shd w:val="clear" w:color="auto" w:fill="auto"/>
            <w:vAlign w:val="center"/>
          </w:tcPr>
          <w:p>
            <w:pPr>
              <w:rPr>
                <w:sz w:val="18"/>
                <w:szCs w:val="18"/>
              </w:rPr>
            </w:pPr>
            <w:r>
              <w:rPr>
                <w:sz w:val="18"/>
                <w:szCs w:val="18"/>
              </w:rPr>
              <w:t>M3</w:t>
            </w:r>
          </w:p>
        </w:tc>
        <w:tc>
          <w:tcPr>
            <w:tcW w:w="2597" w:type="dxa"/>
            <w:tcBorders>
              <w:right w:val="single" w:color="auto" w:sz="12" w:space="0"/>
            </w:tcBorders>
            <w:shd w:val="clear" w:color="auto" w:fill="auto"/>
            <w:vAlign w:val="center"/>
          </w:tcPr>
          <w:p>
            <w:pPr>
              <w:jc w:val="left"/>
              <w:rPr>
                <w:sz w:val="18"/>
                <w:szCs w:val="18"/>
              </w:rPr>
            </w:pPr>
            <w:r>
              <w:rPr>
                <w:sz w:val="18"/>
                <w:szCs w:val="18"/>
              </w:rPr>
              <w:t>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r>
              <w:rPr>
                <w:sz w:val="18"/>
                <w:szCs w:val="18"/>
              </w:rPr>
              <w:t>C4</w:t>
            </w:r>
          </w:p>
        </w:tc>
        <w:tc>
          <w:tcPr>
            <w:tcW w:w="2597" w:type="dxa"/>
            <w:tcBorders>
              <w:right w:val="single" w:color="auto" w:sz="12" w:space="0"/>
            </w:tcBorders>
            <w:shd w:val="clear" w:color="auto" w:fill="auto"/>
            <w:vAlign w:val="center"/>
          </w:tcPr>
          <w:p>
            <w:pPr>
              <w:jc w:val="left"/>
              <w:rPr>
                <w:sz w:val="18"/>
                <w:szCs w:val="18"/>
              </w:rPr>
            </w:pPr>
            <w:r>
              <w:rPr>
                <w:sz w:val="18"/>
                <w:szCs w:val="18"/>
              </w:rPr>
              <w:t>产品防护</w:t>
            </w:r>
          </w:p>
        </w:tc>
        <w:tc>
          <w:tcPr>
            <w:tcW w:w="656" w:type="dxa"/>
            <w:tcBorders>
              <w:left w:val="single" w:color="auto" w:sz="12" w:space="0"/>
            </w:tcBorders>
            <w:shd w:val="clear" w:color="auto" w:fill="auto"/>
            <w:vAlign w:val="center"/>
          </w:tcPr>
          <w:p>
            <w:pPr>
              <w:rPr>
                <w:sz w:val="18"/>
                <w:szCs w:val="18"/>
              </w:rPr>
            </w:pPr>
            <w:r>
              <w:rPr>
                <w:sz w:val="18"/>
                <w:szCs w:val="18"/>
              </w:rPr>
              <w:t>S4</w:t>
            </w:r>
          </w:p>
        </w:tc>
        <w:tc>
          <w:tcPr>
            <w:tcW w:w="2505" w:type="dxa"/>
            <w:tcBorders>
              <w:right w:val="single" w:color="auto" w:sz="12" w:space="0"/>
            </w:tcBorders>
            <w:shd w:val="clear" w:color="auto" w:fill="auto"/>
            <w:vAlign w:val="center"/>
          </w:tcPr>
          <w:p>
            <w:pPr>
              <w:jc w:val="left"/>
              <w:rPr>
                <w:sz w:val="18"/>
                <w:szCs w:val="18"/>
              </w:rPr>
            </w:pPr>
            <w:r>
              <w:rPr>
                <w:sz w:val="18"/>
                <w:szCs w:val="18"/>
              </w:rPr>
              <w:t>知识</w:t>
            </w:r>
          </w:p>
        </w:tc>
        <w:tc>
          <w:tcPr>
            <w:tcW w:w="699" w:type="dxa"/>
            <w:tcBorders>
              <w:left w:val="single" w:color="auto" w:sz="12" w:space="0"/>
            </w:tcBorders>
            <w:shd w:val="clear" w:color="auto" w:fill="auto"/>
            <w:vAlign w:val="center"/>
          </w:tcPr>
          <w:p>
            <w:pPr>
              <w:rPr>
                <w:sz w:val="18"/>
                <w:szCs w:val="18"/>
              </w:rPr>
            </w:pPr>
            <w:r>
              <w:rPr>
                <w:sz w:val="18"/>
                <w:szCs w:val="18"/>
              </w:rPr>
              <w:t>M4</w:t>
            </w:r>
          </w:p>
        </w:tc>
        <w:tc>
          <w:tcPr>
            <w:tcW w:w="2597" w:type="dxa"/>
            <w:tcBorders>
              <w:right w:val="single" w:color="auto" w:sz="12" w:space="0"/>
            </w:tcBorders>
            <w:shd w:val="clear" w:color="auto" w:fill="auto"/>
            <w:vAlign w:val="center"/>
          </w:tcPr>
          <w:p>
            <w:pPr>
              <w:jc w:val="left"/>
              <w:rPr>
                <w:sz w:val="18"/>
                <w:szCs w:val="18"/>
              </w:rPr>
            </w:pPr>
            <w:r>
              <w:rPr>
                <w:sz w:val="18"/>
                <w:szCs w:val="18"/>
              </w:rPr>
              <w:t>数据分析与评价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r>
              <w:rPr>
                <w:sz w:val="18"/>
                <w:szCs w:val="18"/>
              </w:rPr>
              <w:t>C5</w:t>
            </w:r>
          </w:p>
        </w:tc>
        <w:tc>
          <w:tcPr>
            <w:tcW w:w="2597" w:type="dxa"/>
            <w:tcBorders>
              <w:right w:val="single" w:color="auto" w:sz="12" w:space="0"/>
            </w:tcBorders>
            <w:shd w:val="clear" w:color="auto" w:fill="auto"/>
            <w:vAlign w:val="center"/>
          </w:tcPr>
          <w:p>
            <w:pPr>
              <w:jc w:val="left"/>
              <w:rPr>
                <w:sz w:val="18"/>
                <w:szCs w:val="18"/>
              </w:rPr>
            </w:pPr>
            <w:r>
              <w:rPr>
                <w:sz w:val="18"/>
                <w:szCs w:val="18"/>
              </w:rPr>
              <w:t>交付后的活动</w:t>
            </w:r>
          </w:p>
        </w:tc>
        <w:tc>
          <w:tcPr>
            <w:tcW w:w="656" w:type="dxa"/>
            <w:tcBorders>
              <w:left w:val="single" w:color="auto" w:sz="12" w:space="0"/>
            </w:tcBorders>
            <w:shd w:val="clear" w:color="auto" w:fill="auto"/>
            <w:vAlign w:val="center"/>
          </w:tcPr>
          <w:p>
            <w:pPr>
              <w:rPr>
                <w:sz w:val="18"/>
                <w:szCs w:val="18"/>
              </w:rPr>
            </w:pPr>
            <w:r>
              <w:rPr>
                <w:sz w:val="18"/>
                <w:szCs w:val="18"/>
              </w:rPr>
              <w:t>S5</w:t>
            </w:r>
          </w:p>
        </w:tc>
        <w:tc>
          <w:tcPr>
            <w:tcW w:w="2505" w:type="dxa"/>
            <w:tcBorders>
              <w:right w:val="single" w:color="auto" w:sz="12" w:space="0"/>
            </w:tcBorders>
            <w:shd w:val="clear" w:color="auto" w:fill="auto"/>
            <w:vAlign w:val="center"/>
          </w:tcPr>
          <w:p>
            <w:pPr>
              <w:jc w:val="left"/>
              <w:rPr>
                <w:bCs/>
                <w:sz w:val="18"/>
                <w:szCs w:val="18"/>
              </w:rPr>
            </w:pPr>
            <w:r>
              <w:rPr>
                <w:sz w:val="18"/>
                <w:szCs w:val="18"/>
              </w:rPr>
              <w:t>能力</w:t>
            </w:r>
          </w:p>
        </w:tc>
        <w:tc>
          <w:tcPr>
            <w:tcW w:w="699" w:type="dxa"/>
            <w:tcBorders>
              <w:left w:val="single" w:color="auto" w:sz="12" w:space="0"/>
            </w:tcBorders>
            <w:shd w:val="clear" w:color="auto" w:fill="auto"/>
            <w:vAlign w:val="center"/>
          </w:tcPr>
          <w:p>
            <w:pPr>
              <w:rPr>
                <w:sz w:val="18"/>
                <w:szCs w:val="18"/>
              </w:rPr>
            </w:pPr>
            <w:r>
              <w:rPr>
                <w:sz w:val="18"/>
                <w:szCs w:val="18"/>
              </w:rPr>
              <w:t>M5</w:t>
            </w:r>
          </w:p>
        </w:tc>
        <w:tc>
          <w:tcPr>
            <w:tcW w:w="2597" w:type="dxa"/>
            <w:tcBorders>
              <w:right w:val="single" w:color="auto" w:sz="12" w:space="0"/>
            </w:tcBorders>
            <w:shd w:val="clear" w:color="auto" w:fill="auto"/>
            <w:vAlign w:val="center"/>
          </w:tcPr>
          <w:p>
            <w:pPr>
              <w:jc w:val="left"/>
              <w:rPr>
                <w:sz w:val="18"/>
                <w:szCs w:val="18"/>
              </w:rPr>
            </w:pPr>
            <w:r>
              <w:rPr>
                <w:sz w:val="18"/>
                <w:szCs w:val="18"/>
              </w:rPr>
              <w:t>内部审核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S6</w:t>
            </w:r>
          </w:p>
        </w:tc>
        <w:tc>
          <w:tcPr>
            <w:tcW w:w="2505" w:type="dxa"/>
            <w:tcBorders>
              <w:right w:val="single" w:color="auto" w:sz="12" w:space="0"/>
            </w:tcBorders>
            <w:shd w:val="clear" w:color="auto" w:fill="auto"/>
            <w:vAlign w:val="center"/>
          </w:tcPr>
          <w:p>
            <w:pPr>
              <w:jc w:val="left"/>
              <w:rPr>
                <w:bCs/>
                <w:sz w:val="18"/>
                <w:szCs w:val="18"/>
              </w:rPr>
            </w:pPr>
            <w:r>
              <w:rPr>
                <w:sz w:val="18"/>
                <w:szCs w:val="18"/>
              </w:rPr>
              <w:t>意识</w:t>
            </w:r>
          </w:p>
        </w:tc>
        <w:tc>
          <w:tcPr>
            <w:tcW w:w="699" w:type="dxa"/>
            <w:tcBorders>
              <w:left w:val="single" w:color="auto" w:sz="12" w:space="0"/>
            </w:tcBorders>
            <w:shd w:val="clear" w:color="auto" w:fill="auto"/>
            <w:vAlign w:val="center"/>
          </w:tcPr>
          <w:p>
            <w:pPr>
              <w:rPr>
                <w:sz w:val="18"/>
                <w:szCs w:val="18"/>
              </w:rPr>
            </w:pPr>
            <w:r>
              <w:rPr>
                <w:sz w:val="18"/>
                <w:szCs w:val="18"/>
              </w:rPr>
              <w:t>M6</w:t>
            </w:r>
          </w:p>
        </w:tc>
        <w:tc>
          <w:tcPr>
            <w:tcW w:w="2597" w:type="dxa"/>
            <w:tcBorders>
              <w:right w:val="single" w:color="auto" w:sz="12" w:space="0"/>
            </w:tcBorders>
            <w:shd w:val="clear" w:color="auto" w:fill="auto"/>
            <w:vAlign w:val="center"/>
          </w:tcPr>
          <w:p>
            <w:pPr>
              <w:jc w:val="left"/>
              <w:rPr>
                <w:sz w:val="18"/>
                <w:szCs w:val="18"/>
              </w:rPr>
            </w:pPr>
            <w:r>
              <w:rPr>
                <w:sz w:val="18"/>
                <w:szCs w:val="18"/>
              </w:rPr>
              <w:t>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S7</w:t>
            </w:r>
          </w:p>
        </w:tc>
        <w:tc>
          <w:tcPr>
            <w:tcW w:w="2505" w:type="dxa"/>
            <w:tcBorders>
              <w:right w:val="single" w:color="auto" w:sz="12" w:space="0"/>
            </w:tcBorders>
            <w:shd w:val="clear" w:color="auto" w:fill="auto"/>
            <w:vAlign w:val="center"/>
          </w:tcPr>
          <w:p>
            <w:pPr>
              <w:rPr>
                <w:sz w:val="18"/>
                <w:szCs w:val="18"/>
              </w:rPr>
            </w:pPr>
            <w:r>
              <w:rPr>
                <w:sz w:val="18"/>
                <w:szCs w:val="18"/>
              </w:rPr>
              <w:t>沟通</w:t>
            </w:r>
          </w:p>
        </w:tc>
        <w:tc>
          <w:tcPr>
            <w:tcW w:w="699" w:type="dxa"/>
            <w:tcBorders>
              <w:left w:val="single" w:color="auto" w:sz="12" w:space="0"/>
            </w:tcBorders>
            <w:shd w:val="clear" w:color="auto" w:fill="auto"/>
            <w:vAlign w:val="center"/>
          </w:tcPr>
          <w:p>
            <w:pPr>
              <w:rPr>
                <w:sz w:val="18"/>
                <w:szCs w:val="18"/>
              </w:rPr>
            </w:pPr>
            <w:r>
              <w:rPr>
                <w:sz w:val="18"/>
                <w:szCs w:val="18"/>
              </w:rPr>
              <w:t>M7</w:t>
            </w:r>
          </w:p>
        </w:tc>
        <w:tc>
          <w:tcPr>
            <w:tcW w:w="2597" w:type="dxa"/>
            <w:tcBorders>
              <w:right w:val="single" w:color="auto" w:sz="12" w:space="0"/>
            </w:tcBorders>
            <w:shd w:val="clear" w:color="auto" w:fill="auto"/>
            <w:vAlign w:val="center"/>
          </w:tcPr>
          <w:p>
            <w:pPr>
              <w:jc w:val="left"/>
              <w:rPr>
                <w:sz w:val="18"/>
                <w:szCs w:val="18"/>
              </w:rPr>
            </w:pPr>
            <w:r>
              <w:rPr>
                <w:sz w:val="18"/>
                <w:szCs w:val="18"/>
              </w:rPr>
              <w:t>不符合和纠正措施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bottom w:val="single" w:color="auto" w:sz="4" w:space="0"/>
            </w:tcBorders>
            <w:shd w:val="clear" w:color="auto" w:fill="auto"/>
            <w:vAlign w:val="center"/>
          </w:tcPr>
          <w:p>
            <w:pPr>
              <w:rPr>
                <w:sz w:val="18"/>
                <w:szCs w:val="18"/>
              </w:rPr>
            </w:pPr>
          </w:p>
        </w:tc>
        <w:tc>
          <w:tcPr>
            <w:tcW w:w="2597" w:type="dxa"/>
            <w:tcBorders>
              <w:bottom w:val="single" w:color="auto" w:sz="4" w:space="0"/>
              <w:right w:val="single" w:color="auto" w:sz="12" w:space="0"/>
            </w:tcBorders>
            <w:shd w:val="clear" w:color="auto" w:fill="auto"/>
            <w:vAlign w:val="center"/>
          </w:tcPr>
          <w:p>
            <w:pPr>
              <w:rPr>
                <w:sz w:val="18"/>
                <w:szCs w:val="18"/>
              </w:rPr>
            </w:pPr>
          </w:p>
        </w:tc>
        <w:tc>
          <w:tcPr>
            <w:tcW w:w="656" w:type="dxa"/>
            <w:tcBorders>
              <w:left w:val="single" w:color="auto" w:sz="12" w:space="0"/>
              <w:bottom w:val="single" w:color="auto" w:sz="4" w:space="0"/>
            </w:tcBorders>
            <w:shd w:val="clear" w:color="auto" w:fill="auto"/>
            <w:vAlign w:val="center"/>
          </w:tcPr>
          <w:p>
            <w:pPr>
              <w:rPr>
                <w:sz w:val="18"/>
                <w:szCs w:val="18"/>
              </w:rPr>
            </w:pPr>
            <w:r>
              <w:rPr>
                <w:sz w:val="18"/>
                <w:szCs w:val="18"/>
              </w:rPr>
              <w:t>S8</w:t>
            </w:r>
          </w:p>
        </w:tc>
        <w:tc>
          <w:tcPr>
            <w:tcW w:w="2505" w:type="dxa"/>
            <w:tcBorders>
              <w:bottom w:val="single" w:color="auto" w:sz="4" w:space="0"/>
              <w:right w:val="single" w:color="auto" w:sz="12" w:space="0"/>
            </w:tcBorders>
            <w:shd w:val="clear" w:color="auto" w:fill="auto"/>
            <w:vAlign w:val="center"/>
          </w:tcPr>
          <w:p>
            <w:pPr>
              <w:rPr>
                <w:sz w:val="18"/>
                <w:szCs w:val="18"/>
              </w:rPr>
            </w:pPr>
            <w:r>
              <w:rPr>
                <w:sz w:val="18"/>
                <w:szCs w:val="18"/>
              </w:rPr>
              <w:t>形成文件的信息</w:t>
            </w:r>
          </w:p>
        </w:tc>
        <w:tc>
          <w:tcPr>
            <w:tcW w:w="699" w:type="dxa"/>
            <w:tcBorders>
              <w:left w:val="single" w:color="auto" w:sz="12" w:space="0"/>
              <w:bottom w:val="single" w:color="auto" w:sz="4" w:space="0"/>
            </w:tcBorders>
            <w:shd w:val="clear" w:color="auto" w:fill="auto"/>
            <w:vAlign w:val="center"/>
          </w:tcPr>
          <w:p>
            <w:pPr>
              <w:rPr>
                <w:sz w:val="18"/>
                <w:szCs w:val="18"/>
              </w:rPr>
            </w:pPr>
            <w:r>
              <w:rPr>
                <w:sz w:val="18"/>
                <w:szCs w:val="18"/>
              </w:rPr>
              <w:t>M8</w:t>
            </w:r>
          </w:p>
        </w:tc>
        <w:tc>
          <w:tcPr>
            <w:tcW w:w="2597" w:type="dxa"/>
            <w:tcBorders>
              <w:bottom w:val="single" w:color="auto" w:sz="4" w:space="0"/>
              <w:right w:val="single" w:color="auto" w:sz="12" w:space="0"/>
            </w:tcBorders>
            <w:shd w:val="clear" w:color="auto" w:fill="auto"/>
            <w:vAlign w:val="center"/>
          </w:tcPr>
          <w:p>
            <w:pPr>
              <w:jc w:val="left"/>
              <w:rPr>
                <w:sz w:val="18"/>
                <w:szCs w:val="18"/>
              </w:rPr>
            </w:pPr>
            <w:r>
              <w:rPr>
                <w:sz w:val="18"/>
                <w:szCs w:val="18"/>
              </w:rPr>
              <w:t>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S9</w:t>
            </w:r>
          </w:p>
        </w:tc>
        <w:tc>
          <w:tcPr>
            <w:tcW w:w="2505" w:type="dxa"/>
            <w:tcBorders>
              <w:right w:val="single" w:color="auto" w:sz="12" w:space="0"/>
            </w:tcBorders>
            <w:shd w:val="clear" w:color="auto" w:fill="auto"/>
            <w:vAlign w:val="center"/>
          </w:tcPr>
          <w:p>
            <w:pPr>
              <w:jc w:val="left"/>
              <w:rPr>
                <w:bCs/>
                <w:sz w:val="18"/>
                <w:szCs w:val="18"/>
              </w:rPr>
            </w:pPr>
            <w:r>
              <w:rPr>
                <w:sz w:val="18"/>
                <w:szCs w:val="18"/>
              </w:rPr>
              <w:t>运行策划过程</w:t>
            </w:r>
          </w:p>
        </w:tc>
        <w:tc>
          <w:tcPr>
            <w:tcW w:w="69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S10</w:t>
            </w:r>
          </w:p>
        </w:tc>
        <w:tc>
          <w:tcPr>
            <w:tcW w:w="2505" w:type="dxa"/>
            <w:tcBorders>
              <w:right w:val="single" w:color="auto" w:sz="12" w:space="0"/>
            </w:tcBorders>
            <w:shd w:val="clear" w:color="auto" w:fill="auto"/>
            <w:vAlign w:val="center"/>
          </w:tcPr>
          <w:p>
            <w:pPr>
              <w:jc w:val="left"/>
              <w:rPr>
                <w:bCs/>
                <w:sz w:val="18"/>
                <w:szCs w:val="18"/>
              </w:rPr>
            </w:pPr>
            <w:r>
              <w:rPr>
                <w:sz w:val="18"/>
                <w:szCs w:val="18"/>
              </w:rPr>
              <w:t>外部供应产品和服务的控制</w:t>
            </w:r>
          </w:p>
        </w:tc>
        <w:tc>
          <w:tcPr>
            <w:tcW w:w="69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S11</w:t>
            </w:r>
          </w:p>
        </w:tc>
        <w:tc>
          <w:tcPr>
            <w:tcW w:w="2505" w:type="dxa"/>
            <w:tcBorders>
              <w:right w:val="single" w:color="auto" w:sz="12" w:space="0"/>
            </w:tcBorders>
            <w:shd w:val="clear" w:color="auto" w:fill="auto"/>
            <w:vAlign w:val="center"/>
          </w:tcPr>
          <w:p>
            <w:pPr>
              <w:jc w:val="left"/>
              <w:rPr>
                <w:sz w:val="18"/>
                <w:szCs w:val="18"/>
              </w:rPr>
            </w:pPr>
            <w:r>
              <w:rPr>
                <w:sz w:val="18"/>
                <w:szCs w:val="18"/>
              </w:rPr>
              <w:t>标识和可追溯性</w:t>
            </w:r>
          </w:p>
        </w:tc>
        <w:tc>
          <w:tcPr>
            <w:tcW w:w="69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S12</w:t>
            </w:r>
          </w:p>
        </w:tc>
        <w:tc>
          <w:tcPr>
            <w:tcW w:w="2505" w:type="dxa"/>
            <w:tcBorders>
              <w:right w:val="single" w:color="auto" w:sz="12" w:space="0"/>
            </w:tcBorders>
            <w:shd w:val="clear" w:color="auto" w:fill="auto"/>
            <w:vAlign w:val="center"/>
          </w:tcPr>
          <w:p>
            <w:pPr>
              <w:jc w:val="left"/>
              <w:rPr>
                <w:sz w:val="18"/>
                <w:szCs w:val="18"/>
              </w:rPr>
            </w:pPr>
            <w:r>
              <w:rPr>
                <w:sz w:val="18"/>
                <w:szCs w:val="18"/>
              </w:rPr>
              <w:t>顾客或外部供方的财产</w:t>
            </w:r>
          </w:p>
        </w:tc>
        <w:tc>
          <w:tcPr>
            <w:tcW w:w="69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rPr>
                <w:sz w:val="18"/>
                <w:szCs w:val="18"/>
              </w:rPr>
            </w:pPr>
          </w:p>
        </w:tc>
        <w:tc>
          <w:tcPr>
            <w:tcW w:w="656" w:type="dxa"/>
            <w:tcBorders>
              <w:left w:val="single" w:color="auto" w:sz="12" w:space="0"/>
            </w:tcBorders>
            <w:shd w:val="clear" w:color="auto" w:fill="auto"/>
            <w:vAlign w:val="center"/>
          </w:tcPr>
          <w:p>
            <w:pPr>
              <w:rPr>
                <w:sz w:val="18"/>
                <w:szCs w:val="18"/>
              </w:rPr>
            </w:pPr>
            <w:r>
              <w:rPr>
                <w:sz w:val="18"/>
                <w:szCs w:val="18"/>
              </w:rPr>
              <w:t>S13</w:t>
            </w:r>
          </w:p>
        </w:tc>
        <w:tc>
          <w:tcPr>
            <w:tcW w:w="2505" w:type="dxa"/>
            <w:tcBorders>
              <w:right w:val="single" w:color="auto" w:sz="12" w:space="0"/>
            </w:tcBorders>
            <w:shd w:val="clear" w:color="auto" w:fill="auto"/>
            <w:vAlign w:val="center"/>
          </w:tcPr>
          <w:p>
            <w:pPr>
              <w:rPr>
                <w:sz w:val="18"/>
                <w:szCs w:val="18"/>
              </w:rPr>
            </w:pPr>
            <w:r>
              <w:rPr>
                <w:sz w:val="18"/>
                <w:szCs w:val="18"/>
              </w:rPr>
              <w:t>产品和服务放行</w:t>
            </w:r>
          </w:p>
        </w:tc>
        <w:tc>
          <w:tcPr>
            <w:tcW w:w="699" w:type="dxa"/>
            <w:tcBorders>
              <w:left w:val="single" w:color="auto" w:sz="12" w:space="0"/>
            </w:tcBorders>
            <w:shd w:val="clear" w:color="auto" w:fill="auto"/>
            <w:vAlign w:val="center"/>
          </w:tcPr>
          <w:p>
            <w:pPr>
              <w:rPr>
                <w:sz w:val="18"/>
                <w:szCs w:val="18"/>
              </w:rPr>
            </w:pPr>
          </w:p>
        </w:tc>
        <w:tc>
          <w:tcPr>
            <w:tcW w:w="2597" w:type="dxa"/>
            <w:tcBorders>
              <w:right w:val="single" w:color="auto" w:sz="12" w:space="0"/>
            </w:tcBorders>
            <w:shd w:val="clear" w:color="auto" w:fill="auto"/>
            <w:vAlign w:val="center"/>
          </w:tcPr>
          <w:p>
            <w:pPr>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659" w:type="dxa"/>
            <w:tcBorders>
              <w:left w:val="single" w:color="auto" w:sz="12" w:space="0"/>
              <w:bottom w:val="single" w:color="auto" w:sz="12" w:space="0"/>
            </w:tcBorders>
            <w:shd w:val="clear" w:color="auto" w:fill="auto"/>
            <w:vAlign w:val="center"/>
          </w:tcPr>
          <w:p>
            <w:pPr>
              <w:rPr>
                <w:sz w:val="18"/>
                <w:szCs w:val="18"/>
              </w:rPr>
            </w:pPr>
          </w:p>
        </w:tc>
        <w:tc>
          <w:tcPr>
            <w:tcW w:w="2597" w:type="dxa"/>
            <w:tcBorders>
              <w:bottom w:val="single" w:color="auto" w:sz="12" w:space="0"/>
              <w:right w:val="single" w:color="auto" w:sz="12" w:space="0"/>
            </w:tcBorders>
            <w:shd w:val="clear" w:color="auto" w:fill="auto"/>
            <w:vAlign w:val="center"/>
          </w:tcPr>
          <w:p>
            <w:pPr>
              <w:rPr>
                <w:sz w:val="18"/>
                <w:szCs w:val="18"/>
              </w:rPr>
            </w:pPr>
          </w:p>
        </w:tc>
        <w:tc>
          <w:tcPr>
            <w:tcW w:w="656" w:type="dxa"/>
            <w:tcBorders>
              <w:left w:val="single" w:color="auto" w:sz="12" w:space="0"/>
              <w:bottom w:val="single" w:color="auto" w:sz="12" w:space="0"/>
            </w:tcBorders>
            <w:shd w:val="clear" w:color="auto" w:fill="auto"/>
            <w:vAlign w:val="center"/>
          </w:tcPr>
          <w:p>
            <w:pPr>
              <w:rPr>
                <w:sz w:val="18"/>
                <w:szCs w:val="18"/>
              </w:rPr>
            </w:pPr>
            <w:r>
              <w:rPr>
                <w:sz w:val="18"/>
                <w:szCs w:val="18"/>
              </w:rPr>
              <w:t>S14</w:t>
            </w:r>
          </w:p>
        </w:tc>
        <w:tc>
          <w:tcPr>
            <w:tcW w:w="2505" w:type="dxa"/>
            <w:tcBorders>
              <w:bottom w:val="single" w:color="auto" w:sz="12" w:space="0"/>
              <w:right w:val="single" w:color="auto" w:sz="12" w:space="0"/>
            </w:tcBorders>
            <w:shd w:val="clear" w:color="auto" w:fill="auto"/>
            <w:vAlign w:val="center"/>
          </w:tcPr>
          <w:p>
            <w:pPr>
              <w:rPr>
                <w:sz w:val="18"/>
                <w:szCs w:val="18"/>
              </w:rPr>
            </w:pPr>
            <w:r>
              <w:rPr>
                <w:sz w:val="18"/>
                <w:szCs w:val="18"/>
              </w:rPr>
              <w:t>不合格产品和服务</w:t>
            </w:r>
          </w:p>
        </w:tc>
        <w:tc>
          <w:tcPr>
            <w:tcW w:w="699" w:type="dxa"/>
            <w:tcBorders>
              <w:left w:val="single" w:color="auto" w:sz="12" w:space="0"/>
              <w:bottom w:val="single" w:color="auto" w:sz="12" w:space="0"/>
            </w:tcBorders>
            <w:shd w:val="clear" w:color="auto" w:fill="auto"/>
            <w:vAlign w:val="center"/>
          </w:tcPr>
          <w:p>
            <w:pPr>
              <w:rPr>
                <w:sz w:val="18"/>
                <w:szCs w:val="18"/>
              </w:rPr>
            </w:pPr>
          </w:p>
        </w:tc>
        <w:tc>
          <w:tcPr>
            <w:tcW w:w="2597" w:type="dxa"/>
            <w:tcBorders>
              <w:bottom w:val="single" w:color="auto" w:sz="12" w:space="0"/>
              <w:right w:val="single" w:color="auto" w:sz="12" w:space="0"/>
            </w:tcBorders>
            <w:shd w:val="clear" w:color="auto" w:fill="auto"/>
            <w:vAlign w:val="center"/>
          </w:tcPr>
          <w:p>
            <w:pPr>
              <w:jc w:val="left"/>
              <w:rPr>
                <w:sz w:val="18"/>
                <w:szCs w:val="18"/>
              </w:rPr>
            </w:pPr>
          </w:p>
        </w:tc>
      </w:tr>
    </w:tbl>
    <w:p>
      <w:pPr>
        <w:rPr>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rFonts w:hint="eastAsia"/>
          <w:color w:val="FF0000"/>
          <w:szCs w:val="21"/>
        </w:rPr>
      </w:pPr>
    </w:p>
    <w:p>
      <w:pPr>
        <w:ind w:firstLine="420" w:firstLineChars="200"/>
        <w:rPr>
          <w:color w:val="FF0000"/>
          <w:szCs w:val="21"/>
        </w:rPr>
      </w:pPr>
      <w:r>
        <w:rPr>
          <w:rFonts w:hint="eastAsia"/>
          <w:color w:val="FF0000"/>
          <w:szCs w:val="21"/>
        </w:rPr>
        <w:t>附录C</w:t>
      </w:r>
      <w:r>
        <w:rPr>
          <w:szCs w:val="21"/>
        </w:rPr>
        <w:t>过程与过程之间的相互关系</w:t>
      </w:r>
    </w:p>
    <w:tbl>
      <w:tblPr>
        <w:tblStyle w:val="22"/>
        <w:tblW w:w="10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77"/>
        <w:gridCol w:w="1473"/>
        <w:gridCol w:w="1374"/>
        <w:gridCol w:w="1653"/>
        <w:gridCol w:w="1271"/>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7" w:type="dxa"/>
            <w:gridSpan w:val="2"/>
            <w:vMerge w:val="restart"/>
            <w:tcBorders>
              <w:top w:val="single" w:color="auto" w:sz="12" w:space="0"/>
              <w:left w:val="single" w:color="auto" w:sz="12" w:space="0"/>
              <w:bottom w:val="single" w:color="auto" w:sz="2" w:space="0"/>
              <w:right w:val="single" w:color="auto" w:sz="2" w:space="0"/>
            </w:tcBorders>
            <w:shd w:val="clear" w:color="auto" w:fill="auto"/>
            <w:vAlign w:val="center"/>
          </w:tcPr>
          <w:p>
            <w:pPr>
              <w:jc w:val="center"/>
              <w:rPr>
                <w:sz w:val="18"/>
                <w:szCs w:val="18"/>
              </w:rPr>
            </w:pPr>
            <w:r>
              <w:rPr>
                <w:sz w:val="18"/>
                <w:szCs w:val="18"/>
              </w:rPr>
              <w:t>项目</w:t>
            </w:r>
          </w:p>
        </w:tc>
        <w:tc>
          <w:tcPr>
            <w:tcW w:w="1473" w:type="dxa"/>
            <w:tcBorders>
              <w:top w:val="single" w:color="auto" w:sz="12" w:space="0"/>
              <w:left w:val="single" w:color="auto" w:sz="2" w:space="0"/>
              <w:bottom w:val="single" w:color="auto" w:sz="2" w:space="0"/>
              <w:right w:val="single" w:color="auto" w:sz="2" w:space="0"/>
            </w:tcBorders>
            <w:shd w:val="clear" w:color="auto" w:fill="auto"/>
            <w:vAlign w:val="center"/>
          </w:tcPr>
          <w:p>
            <w:pPr>
              <w:jc w:val="center"/>
              <w:rPr>
                <w:sz w:val="18"/>
                <w:szCs w:val="18"/>
              </w:rPr>
            </w:pPr>
            <w:r>
              <w:rPr>
                <w:sz w:val="18"/>
                <w:szCs w:val="18"/>
              </w:rPr>
              <w:t>C1</w:t>
            </w:r>
          </w:p>
        </w:tc>
        <w:tc>
          <w:tcPr>
            <w:tcW w:w="1374" w:type="dxa"/>
            <w:tcBorders>
              <w:top w:val="single" w:color="auto" w:sz="12" w:space="0"/>
              <w:left w:val="single" w:color="auto" w:sz="2" w:space="0"/>
              <w:bottom w:val="single" w:color="auto" w:sz="2" w:space="0"/>
              <w:right w:val="single" w:color="auto" w:sz="2" w:space="0"/>
            </w:tcBorders>
            <w:shd w:val="clear" w:color="auto" w:fill="auto"/>
            <w:vAlign w:val="center"/>
          </w:tcPr>
          <w:p>
            <w:pPr>
              <w:jc w:val="center"/>
              <w:rPr>
                <w:sz w:val="18"/>
                <w:szCs w:val="18"/>
              </w:rPr>
            </w:pPr>
            <w:r>
              <w:rPr>
                <w:sz w:val="18"/>
                <w:szCs w:val="18"/>
              </w:rPr>
              <w:t>C2</w:t>
            </w:r>
          </w:p>
        </w:tc>
        <w:tc>
          <w:tcPr>
            <w:tcW w:w="1653" w:type="dxa"/>
            <w:tcBorders>
              <w:top w:val="single" w:color="auto" w:sz="12" w:space="0"/>
              <w:left w:val="single" w:color="auto" w:sz="2" w:space="0"/>
              <w:bottom w:val="single" w:color="auto" w:sz="2" w:space="0"/>
              <w:right w:val="single" w:color="auto" w:sz="2" w:space="0"/>
            </w:tcBorders>
            <w:shd w:val="clear" w:color="auto" w:fill="auto"/>
            <w:vAlign w:val="center"/>
          </w:tcPr>
          <w:p>
            <w:pPr>
              <w:jc w:val="center"/>
              <w:rPr>
                <w:sz w:val="18"/>
                <w:szCs w:val="18"/>
              </w:rPr>
            </w:pPr>
            <w:r>
              <w:rPr>
                <w:sz w:val="18"/>
                <w:szCs w:val="18"/>
              </w:rPr>
              <w:t>C3</w:t>
            </w:r>
          </w:p>
        </w:tc>
        <w:tc>
          <w:tcPr>
            <w:tcW w:w="1271" w:type="dxa"/>
            <w:tcBorders>
              <w:top w:val="single" w:color="auto" w:sz="12" w:space="0"/>
              <w:left w:val="single" w:color="auto" w:sz="2" w:space="0"/>
              <w:bottom w:val="single" w:color="auto" w:sz="2" w:space="0"/>
              <w:right w:val="single" w:color="auto" w:sz="4" w:space="0"/>
            </w:tcBorders>
            <w:shd w:val="clear" w:color="auto" w:fill="auto"/>
            <w:vAlign w:val="center"/>
          </w:tcPr>
          <w:p>
            <w:pPr>
              <w:jc w:val="center"/>
              <w:rPr>
                <w:sz w:val="18"/>
                <w:szCs w:val="18"/>
              </w:rPr>
            </w:pPr>
            <w:r>
              <w:rPr>
                <w:sz w:val="18"/>
                <w:szCs w:val="18"/>
              </w:rPr>
              <w:t>C4</w:t>
            </w:r>
          </w:p>
        </w:tc>
        <w:tc>
          <w:tcPr>
            <w:tcW w:w="1208" w:type="dxa"/>
            <w:tcBorders>
              <w:top w:val="single" w:color="auto" w:sz="12" w:space="0"/>
              <w:left w:val="single" w:color="auto" w:sz="4" w:space="0"/>
              <w:bottom w:val="single" w:color="auto" w:sz="2" w:space="0"/>
              <w:right w:val="single" w:color="auto" w:sz="12" w:space="0"/>
            </w:tcBorders>
            <w:shd w:val="clear" w:color="auto" w:fill="auto"/>
            <w:vAlign w:val="center"/>
          </w:tcPr>
          <w:p>
            <w:pPr>
              <w:jc w:val="center"/>
              <w:rPr>
                <w:sz w:val="18"/>
                <w:szCs w:val="18"/>
              </w:rPr>
            </w:pPr>
            <w:r>
              <w:rPr>
                <w:sz w:val="18"/>
                <w:szCs w:val="18"/>
              </w:rPr>
              <w:t>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7" w:type="dxa"/>
            <w:gridSpan w:val="2"/>
            <w:vMerge w:val="continue"/>
            <w:tcBorders>
              <w:top w:val="single" w:color="auto" w:sz="2" w:space="0"/>
              <w:left w:val="single" w:color="auto" w:sz="12" w:space="0"/>
              <w:bottom w:val="single" w:color="auto" w:sz="12" w:space="0"/>
              <w:right w:val="single" w:color="auto" w:sz="2" w:space="0"/>
            </w:tcBorders>
            <w:shd w:val="clear" w:color="auto" w:fill="auto"/>
            <w:vAlign w:val="center"/>
          </w:tcPr>
          <w:p>
            <w:pPr>
              <w:jc w:val="center"/>
              <w:rPr>
                <w:sz w:val="18"/>
                <w:szCs w:val="18"/>
              </w:rPr>
            </w:pPr>
          </w:p>
        </w:tc>
        <w:tc>
          <w:tcPr>
            <w:tcW w:w="1473" w:type="dxa"/>
            <w:tcBorders>
              <w:top w:val="single" w:color="auto" w:sz="2" w:space="0"/>
              <w:left w:val="single" w:color="auto" w:sz="2" w:space="0"/>
              <w:bottom w:val="single" w:color="auto" w:sz="12" w:space="0"/>
              <w:right w:val="single" w:color="auto" w:sz="2" w:space="0"/>
            </w:tcBorders>
            <w:shd w:val="clear" w:color="auto" w:fill="auto"/>
            <w:vAlign w:val="center"/>
          </w:tcPr>
          <w:p>
            <w:pPr>
              <w:jc w:val="center"/>
              <w:rPr>
                <w:sz w:val="18"/>
                <w:szCs w:val="18"/>
              </w:rPr>
            </w:pPr>
            <w:r>
              <w:rPr>
                <w:sz w:val="18"/>
                <w:szCs w:val="18"/>
              </w:rPr>
              <w:t>市场需求的确定</w:t>
            </w:r>
          </w:p>
        </w:tc>
        <w:tc>
          <w:tcPr>
            <w:tcW w:w="1374" w:type="dxa"/>
            <w:tcBorders>
              <w:top w:val="single" w:color="auto" w:sz="2" w:space="0"/>
              <w:left w:val="single" w:color="auto" w:sz="2" w:space="0"/>
              <w:bottom w:val="single" w:color="auto" w:sz="12" w:space="0"/>
              <w:right w:val="single" w:color="auto" w:sz="2" w:space="0"/>
            </w:tcBorders>
            <w:shd w:val="clear" w:color="auto" w:fill="auto"/>
            <w:vAlign w:val="center"/>
          </w:tcPr>
          <w:p>
            <w:pPr>
              <w:jc w:val="center"/>
              <w:rPr>
                <w:sz w:val="18"/>
                <w:szCs w:val="18"/>
              </w:rPr>
            </w:pPr>
            <w:r>
              <w:rPr>
                <w:sz w:val="18"/>
                <w:szCs w:val="18"/>
              </w:rPr>
              <w:t>产品和服务开发</w:t>
            </w:r>
          </w:p>
        </w:tc>
        <w:tc>
          <w:tcPr>
            <w:tcW w:w="1653" w:type="dxa"/>
            <w:tcBorders>
              <w:top w:val="single" w:color="auto" w:sz="2" w:space="0"/>
              <w:left w:val="single" w:color="auto" w:sz="2" w:space="0"/>
              <w:bottom w:val="single" w:color="auto" w:sz="12" w:space="0"/>
              <w:right w:val="single" w:color="auto" w:sz="2" w:space="0"/>
            </w:tcBorders>
            <w:shd w:val="clear" w:color="auto" w:fill="auto"/>
            <w:vAlign w:val="center"/>
          </w:tcPr>
          <w:p>
            <w:pPr>
              <w:jc w:val="center"/>
              <w:rPr>
                <w:sz w:val="18"/>
                <w:szCs w:val="18"/>
              </w:rPr>
            </w:pPr>
            <w:r>
              <w:rPr>
                <w:sz w:val="18"/>
                <w:szCs w:val="18"/>
              </w:rPr>
              <w:t>产品生产和服务提供的控制</w:t>
            </w:r>
          </w:p>
        </w:tc>
        <w:tc>
          <w:tcPr>
            <w:tcW w:w="1271" w:type="dxa"/>
            <w:tcBorders>
              <w:top w:val="single" w:color="auto" w:sz="2" w:space="0"/>
              <w:left w:val="single" w:color="auto" w:sz="2" w:space="0"/>
              <w:bottom w:val="single" w:color="auto" w:sz="12" w:space="0"/>
              <w:right w:val="single" w:color="auto" w:sz="4" w:space="0"/>
            </w:tcBorders>
            <w:shd w:val="clear" w:color="auto" w:fill="auto"/>
            <w:vAlign w:val="center"/>
          </w:tcPr>
          <w:p>
            <w:pPr>
              <w:jc w:val="center"/>
              <w:rPr>
                <w:sz w:val="18"/>
                <w:szCs w:val="18"/>
              </w:rPr>
            </w:pPr>
            <w:r>
              <w:rPr>
                <w:sz w:val="18"/>
                <w:szCs w:val="18"/>
              </w:rPr>
              <w:t>产品防护</w:t>
            </w:r>
          </w:p>
        </w:tc>
        <w:tc>
          <w:tcPr>
            <w:tcW w:w="1208" w:type="dxa"/>
            <w:tcBorders>
              <w:top w:val="single" w:color="auto" w:sz="2" w:space="0"/>
              <w:left w:val="single" w:color="auto" w:sz="4" w:space="0"/>
              <w:bottom w:val="single" w:color="auto" w:sz="12" w:space="0"/>
              <w:right w:val="single" w:color="auto" w:sz="12" w:space="0"/>
            </w:tcBorders>
            <w:shd w:val="clear" w:color="auto" w:fill="auto"/>
            <w:vAlign w:val="center"/>
          </w:tcPr>
          <w:p>
            <w:pPr>
              <w:jc w:val="center"/>
              <w:rPr>
                <w:sz w:val="18"/>
                <w:szCs w:val="18"/>
              </w:rPr>
            </w:pPr>
            <w:r>
              <w:rPr>
                <w:sz w:val="18"/>
                <w:szCs w:val="18"/>
              </w:rPr>
              <w:t>交付后的活动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1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S1</w:t>
            </w:r>
          </w:p>
        </w:tc>
        <w:tc>
          <w:tcPr>
            <w:tcW w:w="2577" w:type="dxa"/>
            <w:tcBorders>
              <w:top w:val="single" w:color="auto" w:sz="12" w:space="0"/>
              <w:left w:val="single" w:color="auto" w:sz="2" w:space="0"/>
              <w:bottom w:val="single" w:color="auto" w:sz="2" w:space="0"/>
              <w:right w:val="single" w:color="auto" w:sz="2" w:space="0"/>
            </w:tcBorders>
            <w:shd w:val="clear" w:color="auto" w:fill="auto"/>
            <w:vAlign w:val="center"/>
          </w:tcPr>
          <w:p>
            <w:pPr>
              <w:jc w:val="left"/>
              <w:rPr>
                <w:sz w:val="18"/>
                <w:szCs w:val="18"/>
              </w:rPr>
            </w:pPr>
            <w:r>
              <w:rPr>
                <w:sz w:val="18"/>
                <w:szCs w:val="18"/>
              </w:rPr>
              <w:t>基础设施</w:t>
            </w:r>
          </w:p>
        </w:tc>
        <w:tc>
          <w:tcPr>
            <w:tcW w:w="1473" w:type="dxa"/>
            <w:tcBorders>
              <w:top w:val="single" w:color="auto" w:sz="1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1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12" w:space="0"/>
              <w:left w:val="single" w:color="auto" w:sz="2" w:space="0"/>
              <w:bottom w:val="single" w:color="auto" w:sz="2" w:space="0"/>
              <w:right w:val="single" w:color="auto" w:sz="2" w:space="0"/>
            </w:tcBorders>
            <w:shd w:val="clear" w:color="auto" w:fill="auto"/>
          </w:tcPr>
          <w:p>
            <w:pPr>
              <w:rPr>
                <w:sz w:val="18"/>
                <w:szCs w:val="18"/>
              </w:rPr>
            </w:pPr>
            <w:r>
              <w:rPr>
                <w:sz w:val="18"/>
                <w:szCs w:val="18"/>
              </w:rPr>
              <w:t>×</w:t>
            </w:r>
          </w:p>
        </w:tc>
        <w:tc>
          <w:tcPr>
            <w:tcW w:w="1271" w:type="dxa"/>
            <w:tcBorders>
              <w:top w:val="single" w:color="auto" w:sz="1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1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S2</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r>
              <w:rPr>
                <w:sz w:val="18"/>
                <w:szCs w:val="18"/>
              </w:rPr>
              <w:t>过程环境</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S3</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r>
              <w:rPr>
                <w:sz w:val="18"/>
                <w:szCs w:val="18"/>
              </w:rPr>
              <w:t>监视和测量设备</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S4</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r>
              <w:rPr>
                <w:sz w:val="18"/>
                <w:szCs w:val="18"/>
              </w:rPr>
              <w:t>知识</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S5</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bCs/>
                <w:sz w:val="18"/>
                <w:szCs w:val="18"/>
              </w:rPr>
            </w:pPr>
            <w:r>
              <w:rPr>
                <w:sz w:val="18"/>
                <w:szCs w:val="18"/>
              </w:rPr>
              <w:t>能力</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S6</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bCs/>
                <w:sz w:val="18"/>
                <w:szCs w:val="18"/>
              </w:rPr>
            </w:pPr>
            <w:r>
              <w:rPr>
                <w:sz w:val="18"/>
                <w:szCs w:val="18"/>
              </w:rPr>
              <w:t>意识</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S7</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沟通</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S8</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形成文件的信息</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S9</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bCs/>
                <w:sz w:val="18"/>
                <w:szCs w:val="18"/>
              </w:rPr>
            </w:pPr>
            <w:r>
              <w:rPr>
                <w:sz w:val="18"/>
                <w:szCs w:val="18"/>
              </w:rPr>
              <w:t>运行策划过程</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r>
              <w:rPr>
                <w:sz w:val="18"/>
                <w:szCs w:val="18"/>
              </w:rPr>
              <w:t>×</w:t>
            </w: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S10</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bCs/>
                <w:sz w:val="18"/>
                <w:szCs w:val="18"/>
              </w:rPr>
            </w:pPr>
            <w:r>
              <w:rPr>
                <w:sz w:val="18"/>
                <w:szCs w:val="18"/>
              </w:rPr>
              <w:t>外部供应产品和服务的控制</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S11</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r>
              <w:rPr>
                <w:sz w:val="18"/>
                <w:szCs w:val="18"/>
              </w:rPr>
              <w:t>标识和可追溯性</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r>
              <w:rPr>
                <w:sz w:val="18"/>
                <w:szCs w:val="18"/>
              </w:rPr>
              <w:t>×</w:t>
            </w: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S12</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jc w:val="left"/>
              <w:rPr>
                <w:sz w:val="18"/>
                <w:szCs w:val="18"/>
              </w:rPr>
            </w:pPr>
            <w:r>
              <w:rPr>
                <w:sz w:val="18"/>
                <w:szCs w:val="18"/>
              </w:rPr>
              <w:t>顾客或外部供方的财产</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S13</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产品和服务放行</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710" w:type="dxa"/>
            <w:tcBorders>
              <w:top w:val="single" w:color="auto" w:sz="2" w:space="0"/>
              <w:left w:val="single" w:color="auto" w:sz="12" w:space="0"/>
              <w:bottom w:val="single" w:color="auto" w:sz="2" w:space="0"/>
              <w:right w:val="single" w:color="auto" w:sz="2" w:space="0"/>
            </w:tcBorders>
            <w:shd w:val="clear" w:color="auto" w:fill="auto"/>
            <w:vAlign w:val="center"/>
          </w:tcPr>
          <w:p>
            <w:pPr>
              <w:rPr>
                <w:sz w:val="18"/>
                <w:szCs w:val="18"/>
              </w:rPr>
            </w:pPr>
            <w:r>
              <w:rPr>
                <w:sz w:val="18"/>
                <w:szCs w:val="18"/>
              </w:rPr>
              <w:t>S14</w:t>
            </w:r>
          </w:p>
        </w:tc>
        <w:tc>
          <w:tcPr>
            <w:tcW w:w="2577"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不合格产品和服务</w:t>
            </w:r>
          </w:p>
        </w:tc>
        <w:tc>
          <w:tcPr>
            <w:tcW w:w="147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374" w:type="dxa"/>
            <w:tcBorders>
              <w:top w:val="single" w:color="auto" w:sz="2" w:space="0"/>
              <w:left w:val="single" w:color="auto" w:sz="2" w:space="0"/>
              <w:bottom w:val="single" w:color="auto" w:sz="2" w:space="0"/>
              <w:right w:val="single" w:color="auto" w:sz="2" w:space="0"/>
            </w:tcBorders>
            <w:shd w:val="clear" w:color="auto" w:fill="auto"/>
          </w:tcPr>
          <w:p>
            <w:pPr>
              <w:rPr>
                <w:sz w:val="18"/>
                <w:szCs w:val="18"/>
              </w:rPr>
            </w:pPr>
          </w:p>
        </w:tc>
        <w:tc>
          <w:tcPr>
            <w:tcW w:w="1653" w:type="dxa"/>
            <w:tcBorders>
              <w:top w:val="single" w:color="auto" w:sz="2" w:space="0"/>
              <w:left w:val="single" w:color="auto" w:sz="2" w:space="0"/>
              <w:bottom w:val="single" w:color="auto" w:sz="2" w:space="0"/>
              <w:right w:val="single" w:color="auto" w:sz="2" w:space="0"/>
            </w:tcBorders>
            <w:shd w:val="clear" w:color="auto" w:fill="auto"/>
            <w:vAlign w:val="center"/>
          </w:tcPr>
          <w:p>
            <w:pPr>
              <w:rPr>
                <w:sz w:val="18"/>
                <w:szCs w:val="18"/>
              </w:rPr>
            </w:pPr>
            <w:r>
              <w:rPr>
                <w:sz w:val="18"/>
                <w:szCs w:val="18"/>
              </w:rPr>
              <w:t>×</w:t>
            </w:r>
          </w:p>
        </w:tc>
        <w:tc>
          <w:tcPr>
            <w:tcW w:w="1271" w:type="dxa"/>
            <w:tcBorders>
              <w:top w:val="single" w:color="auto" w:sz="2" w:space="0"/>
              <w:left w:val="single" w:color="auto" w:sz="2" w:space="0"/>
              <w:bottom w:val="single" w:color="auto" w:sz="2" w:space="0"/>
              <w:right w:val="single" w:color="auto" w:sz="4" w:space="0"/>
            </w:tcBorders>
            <w:shd w:val="clear" w:color="auto" w:fill="auto"/>
          </w:tcPr>
          <w:p>
            <w:pPr>
              <w:rPr>
                <w:sz w:val="18"/>
                <w:szCs w:val="18"/>
              </w:rPr>
            </w:pPr>
          </w:p>
        </w:tc>
        <w:tc>
          <w:tcPr>
            <w:tcW w:w="1208" w:type="dxa"/>
            <w:tcBorders>
              <w:top w:val="single" w:color="auto" w:sz="2" w:space="0"/>
              <w:left w:val="single" w:color="auto" w:sz="4" w:space="0"/>
              <w:bottom w:val="single" w:color="auto" w:sz="2" w:space="0"/>
              <w:right w:val="single" w:color="auto" w:sz="12" w:space="0"/>
            </w:tcBorders>
            <w:shd w:val="clear" w:color="auto" w:fill="auto"/>
          </w:tcPr>
          <w:p>
            <w:pP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op w:val="single" w:color="auto" w:sz="2" w:space="0"/>
              <w:left w:val="single" w:color="auto" w:sz="12" w:space="0"/>
              <w:bottom w:val="single" w:color="auto" w:sz="12" w:space="0"/>
              <w:right w:val="single" w:color="auto" w:sz="2" w:space="0"/>
            </w:tcBorders>
            <w:shd w:val="clear" w:color="auto" w:fill="auto"/>
            <w:vAlign w:val="center"/>
          </w:tcPr>
          <w:p>
            <w:pPr>
              <w:rPr>
                <w:sz w:val="18"/>
                <w:szCs w:val="18"/>
              </w:rPr>
            </w:pPr>
            <w:r>
              <w:rPr>
                <w:sz w:val="18"/>
                <w:szCs w:val="18"/>
              </w:rPr>
              <w:t>管理过程</w:t>
            </w:r>
          </w:p>
        </w:tc>
        <w:tc>
          <w:tcPr>
            <w:tcW w:w="9556" w:type="dxa"/>
            <w:gridSpan w:val="6"/>
            <w:tcBorders>
              <w:top w:val="single" w:color="auto" w:sz="2" w:space="0"/>
              <w:left w:val="single" w:color="auto" w:sz="2" w:space="0"/>
              <w:bottom w:val="single" w:color="auto" w:sz="12" w:space="0"/>
              <w:right w:val="single" w:color="auto" w:sz="12" w:space="0"/>
            </w:tcBorders>
            <w:shd w:val="clear" w:color="auto" w:fill="auto"/>
            <w:vAlign w:val="center"/>
          </w:tcPr>
          <w:p>
            <w:pPr>
              <w:spacing w:line="240" w:lineRule="atLeast"/>
              <w:rPr>
                <w:sz w:val="18"/>
                <w:szCs w:val="18"/>
              </w:rPr>
            </w:pPr>
            <w:r>
              <w:rPr>
                <w:sz w:val="18"/>
                <w:szCs w:val="18"/>
              </w:rPr>
              <w:t>M1风险和机遇的应对措施; M2质量目标及其实施的策划; M3顾客满意; M4数据分析与评价; M5内部审核; M6管理评审; M7不符合和纠正措施; M8改进</w:t>
            </w:r>
          </w:p>
          <w:p>
            <w:pPr>
              <w:spacing w:line="240" w:lineRule="atLeast"/>
              <w:rPr>
                <w:b/>
                <w:sz w:val="15"/>
                <w:szCs w:val="15"/>
              </w:rPr>
            </w:pPr>
            <w:r>
              <w:rPr>
                <w:b/>
                <w:sz w:val="15"/>
                <w:szCs w:val="15"/>
              </w:rPr>
              <w:t>注：管理过程与所有过程相关</w:t>
            </w:r>
          </w:p>
        </w:tc>
      </w:tr>
    </w:tbl>
    <w:p>
      <w:pPr>
        <w:ind w:firstLine="525" w:firstLineChars="250"/>
        <w:rPr>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color w:val="FF0000"/>
          <w:szCs w:val="21"/>
        </w:rPr>
      </w:pPr>
      <w:r>
        <w:rPr>
          <w:rFonts w:hint="eastAsia"/>
          <w:color w:val="FF0000"/>
          <w:szCs w:val="21"/>
        </w:rPr>
        <w:t>附录D</w:t>
      </w:r>
      <w:r>
        <w:rPr>
          <w:szCs w:val="21"/>
        </w:rPr>
        <w:t>质量管理体系过程职责分配与过程关系表</w:t>
      </w:r>
    </w:p>
    <w:tbl>
      <w:tblPr>
        <w:tblStyle w:val="22"/>
        <w:tblW w:w="10100" w:type="dxa"/>
        <w:tblInd w:w="93" w:type="dxa"/>
        <w:tblLayout w:type="fixed"/>
        <w:tblCellMar>
          <w:top w:w="0" w:type="dxa"/>
          <w:left w:w="108" w:type="dxa"/>
          <w:bottom w:w="0" w:type="dxa"/>
          <w:right w:w="108" w:type="dxa"/>
        </w:tblCellMar>
      </w:tblPr>
      <w:tblGrid>
        <w:gridCol w:w="1080"/>
        <w:gridCol w:w="2540"/>
        <w:gridCol w:w="1080"/>
        <w:gridCol w:w="1080"/>
        <w:gridCol w:w="1080"/>
        <w:gridCol w:w="1080"/>
        <w:gridCol w:w="1080"/>
        <w:gridCol w:w="1080"/>
      </w:tblGrid>
      <w:tr>
        <w:tblPrEx>
          <w:tblCellMar>
            <w:top w:w="0" w:type="dxa"/>
            <w:left w:w="108" w:type="dxa"/>
            <w:bottom w:w="0" w:type="dxa"/>
            <w:right w:w="108" w:type="dxa"/>
          </w:tblCellMar>
        </w:tblPrEx>
        <w:trPr>
          <w:trHeight w:val="270"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章节</w:t>
            </w:r>
          </w:p>
        </w:tc>
        <w:tc>
          <w:tcPr>
            <w:tcW w:w="25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条款（ISO9001：2015）</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过程</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管理层</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cs="宋体"/>
                <w:color w:val="000000"/>
                <w:kern w:val="0"/>
                <w:sz w:val="15"/>
                <w:szCs w:val="15"/>
                <w:lang w:eastAsia="zh-CN"/>
              </w:rPr>
              <w:t>行政办公室</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cs="宋体"/>
                <w:color w:val="000000"/>
                <w:kern w:val="0"/>
                <w:sz w:val="15"/>
                <w:szCs w:val="15"/>
                <w:lang w:eastAsia="zh-CN"/>
              </w:rPr>
              <w:t>管理处</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cs="宋体"/>
                <w:color w:val="000000"/>
                <w:kern w:val="0"/>
                <w:sz w:val="15"/>
                <w:szCs w:val="15"/>
                <w:lang w:eastAsia="zh-CN"/>
              </w:rPr>
              <w:t>业务拓展部</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财务部</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 w:val="18"/>
                <w:szCs w:val="18"/>
              </w:rPr>
            </w:pPr>
            <w:r>
              <w:rPr>
                <w:color w:val="000000"/>
                <w:kern w:val="0"/>
                <w:sz w:val="18"/>
                <w:szCs w:val="18"/>
              </w:rPr>
              <w:t>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公司环境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理解公司及其环境</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理解相关方的需求和期望</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确定质量管理体系的范围</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质量管理体系及其过程</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4.4.1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4.4.2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过程方法</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领导作用</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领导作用和承诺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5.1.1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针对质量管理体系的领导作用与承诺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45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5.1.2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针对顾客需求和期望的领导作用与承诺</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质量方针</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公司的作用、职责和权限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策划</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风险和机遇的应对措施</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质量目标及其实施的策划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变更的策划</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4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资源</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人员</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基础设施</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过程环境</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7.1.5</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监视和测量设备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7.1.6</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知识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能力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意识</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沟通</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7.5</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形成文件的信息</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7.5.1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08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7.5.2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创建和更新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7.5.3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文件化信息的控制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运行</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运行的策划和控制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产品和服务的要求</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C1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w:t>
            </w:r>
            <w:r>
              <w:rPr>
                <w:rFonts w:hint="eastAsia"/>
                <w:color w:val="000000"/>
                <w:kern w:val="0"/>
                <w:sz w:val="18"/>
                <w:szCs w:val="18"/>
                <w:lang w:val="en-US" w:eastAsia="zh-CN"/>
              </w:rPr>
              <w:t>2</w:t>
            </w:r>
            <w:r>
              <w:rPr>
                <w:color w:val="000000"/>
                <w:kern w:val="0"/>
                <w:sz w:val="18"/>
                <w:szCs w:val="18"/>
              </w:rPr>
              <w:t>.1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顾客沟通</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8.2.2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与产品和服务有关要求的确定</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8.2.3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与产品和服务有关要求的评审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8.2.4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产品和服务要求的更改</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产品和服务的设计和开发（不适用</w:t>
            </w:r>
            <w:r>
              <w:rPr>
                <w:rFonts w:hint="eastAsia" w:ascii="宋体" w:hAnsi="宋体" w:cs="宋体"/>
                <w:color w:val="000000"/>
                <w:kern w:val="0"/>
                <w:sz w:val="18"/>
                <w:szCs w:val="18"/>
                <w:lang w:eastAsia="zh-CN"/>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外部供应产品和服务的控制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8.4.1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8.4.2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外部供方的控制类型和程度</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8.4.3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提供外部供方的文件信息</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产品生产和服务提供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产品生产和服务提供的控制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C3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标识和可追溯性</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S11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顾客或外部供方的财产</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S12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8.5.4</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产品防护</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C4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8.5.5</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交付后的活动</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C5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8.5.6</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变更控制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8.6</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产品和服务放行</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S13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8.7</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不合格输出的控制</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S14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绩效评价</w:t>
            </w:r>
          </w:p>
        </w:tc>
        <w:tc>
          <w:tcPr>
            <w:tcW w:w="10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5400"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监视、测量、分析和评价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9.1.1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9.1.2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顾客满意</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9.1.3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数据分析与评价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内部审核</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管理评审</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改进</w:t>
            </w:r>
          </w:p>
        </w:tc>
        <w:tc>
          <w:tcPr>
            <w:tcW w:w="6480"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10.1</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10.2</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不符合和纠正措施</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10.3</w:t>
            </w:r>
          </w:p>
        </w:tc>
        <w:tc>
          <w:tcPr>
            <w:tcW w:w="25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持续改进</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bl>
    <w:p>
      <w:pPr>
        <w:rPr>
          <w:bCs/>
          <w:szCs w:val="21"/>
        </w:rPr>
      </w:pPr>
    </w:p>
    <w:p>
      <w:pPr>
        <w:jc w:val="center"/>
        <w:rPr>
          <w:szCs w:val="21"/>
        </w:rPr>
      </w:pPr>
      <w:r>
        <w:rPr>
          <w:bCs/>
          <w:szCs w:val="21"/>
        </w:rPr>
        <w:t>●</w:t>
      </w:r>
      <w:r>
        <w:rPr>
          <w:szCs w:val="21"/>
        </w:rPr>
        <w:t>：主管部门或主管责任人；</w:t>
      </w:r>
      <w:r>
        <w:rPr>
          <w:bCs/>
          <w:szCs w:val="21"/>
        </w:rPr>
        <w:t>〇</w:t>
      </w:r>
      <w:r>
        <w:rPr>
          <w:szCs w:val="21"/>
        </w:rPr>
        <w:t>：配合部门或人员。</w:t>
      </w:r>
    </w:p>
    <w:p>
      <w:pPr>
        <w:ind w:firstLine="525" w:firstLineChars="250"/>
        <w:rPr>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rFonts w:hint="eastAsia"/>
          <w:color w:val="FF0000"/>
          <w:szCs w:val="21"/>
        </w:rPr>
      </w:pPr>
    </w:p>
    <w:p>
      <w:pPr>
        <w:ind w:firstLine="525" w:firstLineChars="250"/>
        <w:rPr>
          <w:szCs w:val="21"/>
        </w:rPr>
      </w:pPr>
      <w:r>
        <w:rPr>
          <w:rFonts w:hint="eastAsia"/>
          <w:color w:val="FF0000"/>
          <w:szCs w:val="21"/>
        </w:rPr>
        <w:t>附录E</w:t>
      </w:r>
      <w:r>
        <w:rPr>
          <w:szCs w:val="21"/>
        </w:rPr>
        <w:t>环境</w:t>
      </w:r>
      <w:r>
        <w:rPr>
          <w:rFonts w:hint="eastAsia"/>
          <w:szCs w:val="21"/>
        </w:rPr>
        <w:t>安全</w:t>
      </w:r>
      <w:r>
        <w:rPr>
          <w:szCs w:val="21"/>
        </w:rPr>
        <w:t>管理体系过程职责分配与过程关系表</w:t>
      </w:r>
    </w:p>
    <w:tbl>
      <w:tblPr>
        <w:tblStyle w:val="22"/>
        <w:tblW w:w="10240" w:type="dxa"/>
        <w:tblInd w:w="93" w:type="dxa"/>
        <w:tblLayout w:type="fixed"/>
        <w:tblCellMar>
          <w:top w:w="0" w:type="dxa"/>
          <w:left w:w="108" w:type="dxa"/>
          <w:bottom w:w="0" w:type="dxa"/>
          <w:right w:w="108" w:type="dxa"/>
        </w:tblCellMar>
      </w:tblPr>
      <w:tblGrid>
        <w:gridCol w:w="1067"/>
        <w:gridCol w:w="2140"/>
        <w:gridCol w:w="1491"/>
        <w:gridCol w:w="1052"/>
        <w:gridCol w:w="898"/>
        <w:gridCol w:w="898"/>
        <w:gridCol w:w="898"/>
        <w:gridCol w:w="898"/>
        <w:gridCol w:w="898"/>
      </w:tblGrid>
      <w:tr>
        <w:tblPrEx>
          <w:tblCellMar>
            <w:top w:w="0" w:type="dxa"/>
            <w:left w:w="108" w:type="dxa"/>
            <w:bottom w:w="0" w:type="dxa"/>
            <w:right w:w="108" w:type="dxa"/>
          </w:tblCellMar>
        </w:tblPrEx>
        <w:trPr>
          <w:trHeight w:val="420" w:hRule="atLeast"/>
        </w:trPr>
        <w:tc>
          <w:tcPr>
            <w:tcW w:w="1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章节</w:t>
            </w:r>
          </w:p>
        </w:tc>
        <w:tc>
          <w:tcPr>
            <w:tcW w:w="2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条款（ISO14001：2015）</w:t>
            </w:r>
          </w:p>
        </w:tc>
        <w:tc>
          <w:tcPr>
            <w:tcW w:w="149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条款（</w:t>
            </w:r>
            <w:r>
              <w:rPr>
                <w:rFonts w:hint="eastAsia" w:ascii="宋体" w:hAnsi="宋体" w:cs="宋体"/>
                <w:color w:val="000000"/>
                <w:kern w:val="0"/>
                <w:sz w:val="15"/>
                <w:szCs w:val="15"/>
                <w:lang w:eastAsia="zh-CN"/>
              </w:rPr>
              <w:t>ISO45001-2018</w:t>
            </w:r>
            <w:r>
              <w:rPr>
                <w:rFonts w:hint="eastAsia" w:ascii="宋体" w:hAnsi="宋体" w:cs="宋体"/>
                <w:color w:val="000000"/>
                <w:kern w:val="0"/>
                <w:sz w:val="15"/>
                <w:szCs w:val="15"/>
              </w:rPr>
              <w:t>）</w:t>
            </w:r>
          </w:p>
        </w:tc>
        <w:tc>
          <w:tcPr>
            <w:tcW w:w="10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过程</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管理层</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cs="宋体"/>
                <w:color w:val="000000"/>
                <w:kern w:val="0"/>
                <w:sz w:val="15"/>
                <w:szCs w:val="15"/>
                <w:lang w:eastAsia="zh-CN"/>
              </w:rPr>
              <w:t>行政办公室</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cs="宋体"/>
                <w:color w:val="000000"/>
                <w:kern w:val="0"/>
                <w:sz w:val="15"/>
                <w:szCs w:val="15"/>
                <w:lang w:eastAsia="zh-CN"/>
              </w:rPr>
              <w:t>业务拓展部</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财务部</w:t>
            </w:r>
          </w:p>
        </w:tc>
        <w:tc>
          <w:tcPr>
            <w:tcW w:w="8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15"/>
                <w:szCs w:val="15"/>
                <w:lang w:eastAsia="zh-CN"/>
              </w:rPr>
            </w:pPr>
            <w:r>
              <w:rPr>
                <w:rFonts w:hint="eastAsia" w:ascii="宋体" w:hAnsi="宋体" w:cs="宋体"/>
                <w:color w:val="000000"/>
                <w:kern w:val="0"/>
                <w:sz w:val="15"/>
                <w:szCs w:val="15"/>
                <w:lang w:eastAsia="zh-CN"/>
              </w:rPr>
              <w:t>管理处</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rPr>
                <w:color w:val="000000"/>
                <w:kern w:val="0"/>
                <w:sz w:val="18"/>
                <w:szCs w:val="18"/>
              </w:rPr>
            </w:pPr>
            <w:r>
              <w:rPr>
                <w:color w:val="000000"/>
                <w:kern w:val="0"/>
                <w:sz w:val="18"/>
                <w:szCs w:val="18"/>
              </w:rPr>
              <w:t>4</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公司环境</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理解公司及其环境</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4.1</w:t>
            </w:r>
          </w:p>
        </w:tc>
        <w:tc>
          <w:tcPr>
            <w:tcW w:w="10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理解相关方的需求和期望</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4.2</w:t>
            </w:r>
          </w:p>
        </w:tc>
        <w:tc>
          <w:tcPr>
            <w:tcW w:w="10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确定环境管理体系的范围</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4.3</w:t>
            </w:r>
          </w:p>
        </w:tc>
        <w:tc>
          <w:tcPr>
            <w:tcW w:w="10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4.4</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环境管理体系及其过程</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4.4</w:t>
            </w:r>
          </w:p>
        </w:tc>
        <w:tc>
          <w:tcPr>
            <w:tcW w:w="10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4.4.1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4.4.1 </w:t>
            </w:r>
          </w:p>
        </w:tc>
        <w:tc>
          <w:tcPr>
            <w:tcW w:w="10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4.4.2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过程方法</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4.4.2 </w:t>
            </w:r>
          </w:p>
        </w:tc>
        <w:tc>
          <w:tcPr>
            <w:tcW w:w="10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领导作用</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领导作用和承诺</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45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5.1.1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针对环境管理体系的领导作用与承诺</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45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5.1.2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针对顾客需求和期望的领导作用与承诺</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环境方针</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公司的作用、职责和权限</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5.3</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5.4</w:t>
            </w:r>
            <w:r>
              <w:rPr>
                <w:rFonts w:hint="eastAsia" w:ascii="宋体" w:hAnsi="宋体"/>
                <w:color w:val="000000"/>
                <w:kern w:val="0"/>
                <w:sz w:val="18"/>
                <w:szCs w:val="18"/>
              </w:rPr>
              <w:t>参与和协商</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策划</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风险和机遇的应对措施</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M1</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环境因素/危险源</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合规义务</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6.1.3</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环境目标及其实施的策划</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M2</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环境目标</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实现环境目标措施的策划</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6.2.2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变更的策划</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6.3</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支持</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资源</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能力</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S5</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意识</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7.3</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S6</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7.4</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信息交流</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7.4</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S7</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7.5</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文件化信息</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7.5</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S8</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7.5.1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7.5.1 </w:t>
            </w:r>
          </w:p>
        </w:tc>
        <w:tc>
          <w:tcPr>
            <w:tcW w:w="1052"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7.5.2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创建和更新</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7.5.2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7.5.3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文件化信息的控制</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7.5.3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运行</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运行的策划和控制</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8.1.2</w:t>
            </w:r>
            <w:r>
              <w:rPr>
                <w:rFonts w:hint="eastAsia" w:ascii="宋体" w:hAnsi="宋体"/>
                <w:color w:val="000000"/>
                <w:kern w:val="0"/>
                <w:sz w:val="18"/>
                <w:szCs w:val="18"/>
              </w:rPr>
              <w:t>变更管理</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C1</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8.1.3</w:t>
            </w:r>
            <w:r>
              <w:rPr>
                <w:rFonts w:hint="eastAsia" w:ascii="宋体" w:hAnsi="宋体"/>
                <w:color w:val="000000"/>
                <w:kern w:val="0"/>
                <w:sz w:val="18"/>
                <w:szCs w:val="18"/>
              </w:rPr>
              <w:t>外包</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8.1.3</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8.1.4</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8.1.4</w:t>
            </w:r>
            <w:r>
              <w:rPr>
                <w:rFonts w:hint="eastAsia" w:ascii="宋体" w:hAnsi="宋体"/>
                <w:color w:val="000000"/>
                <w:kern w:val="0"/>
                <w:sz w:val="18"/>
                <w:szCs w:val="18"/>
              </w:rPr>
              <w:t>采购</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8.1.4</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8.1.4.1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8.1.4.1</w:t>
            </w:r>
            <w:r>
              <w:rPr>
                <w:rFonts w:hint="eastAsia" w:ascii="宋体" w:hAnsi="宋体"/>
                <w:color w:val="000000"/>
                <w:kern w:val="0"/>
                <w:sz w:val="18"/>
                <w:szCs w:val="18"/>
              </w:rPr>
              <w:t>承包商</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8.1.4.1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465"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应急准备和响应</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8.2</w:t>
            </w:r>
            <w:r>
              <w:rPr>
                <w:rFonts w:hint="eastAsia" w:ascii="宋体" w:hAnsi="宋体"/>
                <w:color w:val="000000"/>
                <w:kern w:val="0"/>
                <w:sz w:val="18"/>
                <w:szCs w:val="18"/>
              </w:rPr>
              <w:t>应急准备和响应</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绩效评价</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监视、测量、分析和评价</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9.1.1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9.1.1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　</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9.1.2 </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合规性评价</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 xml:space="preserve">9.1.2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M3</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内部审核</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M5</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管理评审</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9.3</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M6</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w:t>
            </w:r>
          </w:p>
        </w:tc>
        <w:tc>
          <w:tcPr>
            <w:tcW w:w="363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改进</w:t>
            </w:r>
          </w:p>
        </w:tc>
        <w:tc>
          <w:tcPr>
            <w:tcW w:w="5542" w:type="dxa"/>
            <w:gridSpan w:val="6"/>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10.1</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总则</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　</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M7</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10.2</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不符合和纠正措施</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10.1</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M7</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r>
      <w:tr>
        <w:tblPrEx>
          <w:tblCellMar>
            <w:top w:w="0" w:type="dxa"/>
            <w:left w:w="108" w:type="dxa"/>
            <w:bottom w:w="0" w:type="dxa"/>
            <w:right w:w="108" w:type="dxa"/>
          </w:tblCellMar>
        </w:tblPrEx>
        <w:trPr>
          <w:trHeight w:val="270" w:hRule="atLeast"/>
        </w:trPr>
        <w:tc>
          <w:tcPr>
            <w:tcW w:w="1067" w:type="dxa"/>
            <w:tcBorders>
              <w:top w:val="nil"/>
              <w:left w:val="single" w:color="auto" w:sz="4" w:space="0"/>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10.3</w:t>
            </w:r>
          </w:p>
        </w:tc>
        <w:tc>
          <w:tcPr>
            <w:tcW w:w="21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持续改进</w:t>
            </w:r>
          </w:p>
        </w:tc>
        <w:tc>
          <w:tcPr>
            <w:tcW w:w="1491" w:type="dxa"/>
            <w:tcBorders>
              <w:top w:val="nil"/>
              <w:left w:val="nil"/>
              <w:bottom w:val="single" w:color="auto" w:sz="4" w:space="0"/>
              <w:right w:val="single" w:color="auto" w:sz="4" w:space="0"/>
            </w:tcBorders>
            <w:shd w:val="clear" w:color="auto" w:fill="auto"/>
            <w:vAlign w:val="center"/>
          </w:tcPr>
          <w:p>
            <w:pPr>
              <w:widowControl/>
              <w:jc w:val="left"/>
              <w:rPr>
                <w:color w:val="000000"/>
                <w:kern w:val="0"/>
                <w:sz w:val="18"/>
                <w:szCs w:val="18"/>
              </w:rPr>
            </w:pPr>
            <w:r>
              <w:rPr>
                <w:color w:val="000000"/>
                <w:kern w:val="0"/>
                <w:sz w:val="18"/>
                <w:szCs w:val="18"/>
              </w:rPr>
              <w:t>10.2</w:t>
            </w:r>
          </w:p>
        </w:tc>
        <w:tc>
          <w:tcPr>
            <w:tcW w:w="10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M8</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c>
          <w:tcPr>
            <w:tcW w:w="8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5"/>
                <w:szCs w:val="15"/>
              </w:rPr>
            </w:pPr>
            <w:r>
              <w:rPr>
                <w:rFonts w:hint="eastAsia" w:ascii="宋体" w:hAnsi="宋体" w:cs="宋体"/>
                <w:color w:val="000000"/>
                <w:kern w:val="0"/>
                <w:sz w:val="15"/>
                <w:szCs w:val="15"/>
              </w:rPr>
              <w:t>〇</w:t>
            </w:r>
          </w:p>
        </w:tc>
      </w:tr>
    </w:tbl>
    <w:p>
      <w:pPr>
        <w:ind w:firstLine="525" w:firstLineChars="250"/>
        <w:rPr>
          <w:rFonts w:hint="eastAsia"/>
          <w:bCs/>
          <w:szCs w:val="21"/>
        </w:rPr>
      </w:pPr>
    </w:p>
    <w:p>
      <w:pPr>
        <w:ind w:firstLine="525" w:firstLineChars="250"/>
        <w:rPr>
          <w:color w:val="FF0000"/>
          <w:szCs w:val="21"/>
        </w:rPr>
      </w:pPr>
      <w:r>
        <w:rPr>
          <w:bCs/>
          <w:szCs w:val="21"/>
        </w:rPr>
        <w:t>●</w:t>
      </w:r>
      <w:r>
        <w:rPr>
          <w:szCs w:val="21"/>
        </w:rPr>
        <w:t>：主管部门或主管责任人；</w:t>
      </w:r>
      <w:r>
        <w:rPr>
          <w:bCs/>
          <w:szCs w:val="21"/>
        </w:rPr>
        <w:t>〇</w:t>
      </w:r>
      <w:r>
        <w:rPr>
          <w:szCs w:val="21"/>
        </w:rPr>
        <w:t>：配合部门或人员。</w:t>
      </w:r>
    </w:p>
    <w:sectPr>
      <w:headerReference r:id="rId5" w:type="first"/>
      <w:footerReference r:id="rId8" w:type="first"/>
      <w:headerReference r:id="rId3" w:type="default"/>
      <w:footerReference r:id="rId6" w:type="default"/>
      <w:headerReference r:id="rId4" w:type="even"/>
      <w:footerReference r:id="rId7" w:type="even"/>
      <w:pgSz w:w="11907" w:h="16840"/>
      <w:pgMar w:top="567" w:right="1134" w:bottom="1440" w:left="1276"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汉仪行楷简">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swiss"/>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049"/>
      <w:docPartObj>
        <w:docPartGallery w:val="autotext"/>
      </w:docPartObj>
    </w:sdtPr>
    <w:sdtContent>
      <w:p>
        <w:pPr>
          <w:pStyle w:val="18"/>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50" w:firstLineChars="250"/>
      <w:jc w:val="left"/>
    </w:pPr>
    <w:r>
      <w:rPr>
        <w:rFonts w:hint="eastAsia"/>
        <w:lang w:eastAsia="zh-CN"/>
      </w:rPr>
      <w:t>四川众弘成物业服务有限公司</w:t>
    </w:r>
    <w:r>
      <w:rPr>
        <w:rFonts w:hint="eastAsia"/>
      </w:rPr>
      <w:t xml:space="preserve">                    管理手册                                页码： </w:t>
    </w:r>
    <w:r>
      <w:fldChar w:fldCharType="begin"/>
    </w:r>
    <w:r>
      <w:instrText xml:space="preserve"> PAGE   \* MERGEFORMAT </w:instrText>
    </w:r>
    <w:r>
      <w:fldChar w:fldCharType="separate"/>
    </w:r>
    <w:r>
      <w:rPr>
        <w:lang w:val="zh-CN"/>
      </w:rPr>
      <w:t>27</w:t>
    </w:r>
    <w:r>
      <w:rPr>
        <w:lang w:val="zh-CN"/>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51587"/>
    <w:rsid w:val="00000749"/>
    <w:rsid w:val="0001347D"/>
    <w:rsid w:val="000444CF"/>
    <w:rsid w:val="00047886"/>
    <w:rsid w:val="00051049"/>
    <w:rsid w:val="00062F0C"/>
    <w:rsid w:val="00070150"/>
    <w:rsid w:val="00075B51"/>
    <w:rsid w:val="000847BE"/>
    <w:rsid w:val="000910E4"/>
    <w:rsid w:val="000913DD"/>
    <w:rsid w:val="000A2953"/>
    <w:rsid w:val="000A6395"/>
    <w:rsid w:val="000A6F4B"/>
    <w:rsid w:val="000C0F19"/>
    <w:rsid w:val="000C57F3"/>
    <w:rsid w:val="000D542F"/>
    <w:rsid w:val="000F0EB4"/>
    <w:rsid w:val="0010259E"/>
    <w:rsid w:val="00105521"/>
    <w:rsid w:val="00110514"/>
    <w:rsid w:val="00126494"/>
    <w:rsid w:val="00134D05"/>
    <w:rsid w:val="00142155"/>
    <w:rsid w:val="001515E5"/>
    <w:rsid w:val="0015207F"/>
    <w:rsid w:val="001718E4"/>
    <w:rsid w:val="001751FF"/>
    <w:rsid w:val="00175D94"/>
    <w:rsid w:val="00182A45"/>
    <w:rsid w:val="00186175"/>
    <w:rsid w:val="001A0C83"/>
    <w:rsid w:val="001C126E"/>
    <w:rsid w:val="001D268E"/>
    <w:rsid w:val="001D678A"/>
    <w:rsid w:val="001E58F7"/>
    <w:rsid w:val="001F001D"/>
    <w:rsid w:val="001F468C"/>
    <w:rsid w:val="002103D8"/>
    <w:rsid w:val="00210E0A"/>
    <w:rsid w:val="00216F18"/>
    <w:rsid w:val="00217840"/>
    <w:rsid w:val="0022093E"/>
    <w:rsid w:val="00225B91"/>
    <w:rsid w:val="0022619F"/>
    <w:rsid w:val="00230A87"/>
    <w:rsid w:val="002357DE"/>
    <w:rsid w:val="00235E91"/>
    <w:rsid w:val="002411FF"/>
    <w:rsid w:val="00243501"/>
    <w:rsid w:val="00260F96"/>
    <w:rsid w:val="00266E03"/>
    <w:rsid w:val="00267BC0"/>
    <w:rsid w:val="002751F8"/>
    <w:rsid w:val="00282BE9"/>
    <w:rsid w:val="00283341"/>
    <w:rsid w:val="00284AB4"/>
    <w:rsid w:val="002875F5"/>
    <w:rsid w:val="002A3CBD"/>
    <w:rsid w:val="002A7002"/>
    <w:rsid w:val="002B1099"/>
    <w:rsid w:val="002B414C"/>
    <w:rsid w:val="002B741C"/>
    <w:rsid w:val="002C2EB1"/>
    <w:rsid w:val="002C3921"/>
    <w:rsid w:val="002C3FCA"/>
    <w:rsid w:val="002D0179"/>
    <w:rsid w:val="002D2535"/>
    <w:rsid w:val="002F1BF6"/>
    <w:rsid w:val="00314012"/>
    <w:rsid w:val="00324AC2"/>
    <w:rsid w:val="003312B3"/>
    <w:rsid w:val="00344510"/>
    <w:rsid w:val="00356064"/>
    <w:rsid w:val="00360DD5"/>
    <w:rsid w:val="00370D50"/>
    <w:rsid w:val="003735B7"/>
    <w:rsid w:val="003747C3"/>
    <w:rsid w:val="00377224"/>
    <w:rsid w:val="00380C3F"/>
    <w:rsid w:val="00384248"/>
    <w:rsid w:val="00385F17"/>
    <w:rsid w:val="00387142"/>
    <w:rsid w:val="00387157"/>
    <w:rsid w:val="00394470"/>
    <w:rsid w:val="003B2454"/>
    <w:rsid w:val="003E6B4D"/>
    <w:rsid w:val="003E7CF1"/>
    <w:rsid w:val="003F01D0"/>
    <w:rsid w:val="003F0719"/>
    <w:rsid w:val="003F38CF"/>
    <w:rsid w:val="003F4ED8"/>
    <w:rsid w:val="004060A2"/>
    <w:rsid w:val="00407F27"/>
    <w:rsid w:val="00422625"/>
    <w:rsid w:val="00440109"/>
    <w:rsid w:val="0044138E"/>
    <w:rsid w:val="00445232"/>
    <w:rsid w:val="004468D4"/>
    <w:rsid w:val="00446CBD"/>
    <w:rsid w:val="0045199E"/>
    <w:rsid w:val="0047344C"/>
    <w:rsid w:val="0048211A"/>
    <w:rsid w:val="0048582F"/>
    <w:rsid w:val="0048688C"/>
    <w:rsid w:val="00496E7E"/>
    <w:rsid w:val="004970C1"/>
    <w:rsid w:val="004A27A6"/>
    <w:rsid w:val="004A4CDB"/>
    <w:rsid w:val="004A6698"/>
    <w:rsid w:val="004B2D97"/>
    <w:rsid w:val="004C0136"/>
    <w:rsid w:val="004D2D88"/>
    <w:rsid w:val="004D5AC2"/>
    <w:rsid w:val="004F0E13"/>
    <w:rsid w:val="004F6518"/>
    <w:rsid w:val="004F6946"/>
    <w:rsid w:val="005012F4"/>
    <w:rsid w:val="0052448D"/>
    <w:rsid w:val="00536545"/>
    <w:rsid w:val="00536AD6"/>
    <w:rsid w:val="00551587"/>
    <w:rsid w:val="00553569"/>
    <w:rsid w:val="005556EC"/>
    <w:rsid w:val="00561BD4"/>
    <w:rsid w:val="005635B3"/>
    <w:rsid w:val="00563D19"/>
    <w:rsid w:val="00566D20"/>
    <w:rsid w:val="005719CB"/>
    <w:rsid w:val="0057242F"/>
    <w:rsid w:val="0058107B"/>
    <w:rsid w:val="005926E5"/>
    <w:rsid w:val="00592B90"/>
    <w:rsid w:val="005A3871"/>
    <w:rsid w:val="005A662A"/>
    <w:rsid w:val="005C0B8E"/>
    <w:rsid w:val="005C7AB8"/>
    <w:rsid w:val="005D0967"/>
    <w:rsid w:val="005E0069"/>
    <w:rsid w:val="005E03C3"/>
    <w:rsid w:val="005E254F"/>
    <w:rsid w:val="005E3C64"/>
    <w:rsid w:val="005E7B54"/>
    <w:rsid w:val="005F3FC8"/>
    <w:rsid w:val="006032DF"/>
    <w:rsid w:val="006053B6"/>
    <w:rsid w:val="00607C0F"/>
    <w:rsid w:val="006134FB"/>
    <w:rsid w:val="006218AD"/>
    <w:rsid w:val="00622176"/>
    <w:rsid w:val="00622EC6"/>
    <w:rsid w:val="006265F8"/>
    <w:rsid w:val="006329DA"/>
    <w:rsid w:val="00642297"/>
    <w:rsid w:val="00655384"/>
    <w:rsid w:val="00655C5D"/>
    <w:rsid w:val="00663D05"/>
    <w:rsid w:val="006753ED"/>
    <w:rsid w:val="006762B5"/>
    <w:rsid w:val="00686E08"/>
    <w:rsid w:val="006870E5"/>
    <w:rsid w:val="00691D4B"/>
    <w:rsid w:val="006A16BA"/>
    <w:rsid w:val="006A1BFD"/>
    <w:rsid w:val="006A72F3"/>
    <w:rsid w:val="006B758D"/>
    <w:rsid w:val="006D4B58"/>
    <w:rsid w:val="006E0858"/>
    <w:rsid w:val="006E2361"/>
    <w:rsid w:val="006E6AD9"/>
    <w:rsid w:val="006F081D"/>
    <w:rsid w:val="00712A65"/>
    <w:rsid w:val="00713BC6"/>
    <w:rsid w:val="0072513B"/>
    <w:rsid w:val="00725348"/>
    <w:rsid w:val="007277E7"/>
    <w:rsid w:val="00730B39"/>
    <w:rsid w:val="007317E6"/>
    <w:rsid w:val="00731B76"/>
    <w:rsid w:val="00740187"/>
    <w:rsid w:val="00742E35"/>
    <w:rsid w:val="007450C5"/>
    <w:rsid w:val="00753CDA"/>
    <w:rsid w:val="007617C5"/>
    <w:rsid w:val="007642B8"/>
    <w:rsid w:val="00765066"/>
    <w:rsid w:val="0076743C"/>
    <w:rsid w:val="0077227D"/>
    <w:rsid w:val="00797835"/>
    <w:rsid w:val="007A56A3"/>
    <w:rsid w:val="007A68A5"/>
    <w:rsid w:val="007B15EA"/>
    <w:rsid w:val="007B5F81"/>
    <w:rsid w:val="007C61AC"/>
    <w:rsid w:val="007D0369"/>
    <w:rsid w:val="007D3889"/>
    <w:rsid w:val="007D674C"/>
    <w:rsid w:val="007F1EC9"/>
    <w:rsid w:val="0080387D"/>
    <w:rsid w:val="0080517D"/>
    <w:rsid w:val="008107A9"/>
    <w:rsid w:val="00834315"/>
    <w:rsid w:val="00852497"/>
    <w:rsid w:val="00856D98"/>
    <w:rsid w:val="00860CEC"/>
    <w:rsid w:val="0087557A"/>
    <w:rsid w:val="00885680"/>
    <w:rsid w:val="008A3B5D"/>
    <w:rsid w:val="008B642A"/>
    <w:rsid w:val="008C077B"/>
    <w:rsid w:val="008C1484"/>
    <w:rsid w:val="008C75F0"/>
    <w:rsid w:val="008D383C"/>
    <w:rsid w:val="008E0EFD"/>
    <w:rsid w:val="008E6A6D"/>
    <w:rsid w:val="008E7417"/>
    <w:rsid w:val="008F1B35"/>
    <w:rsid w:val="008F3D3B"/>
    <w:rsid w:val="009301C3"/>
    <w:rsid w:val="00933A64"/>
    <w:rsid w:val="00935EE5"/>
    <w:rsid w:val="009370B3"/>
    <w:rsid w:val="0093732E"/>
    <w:rsid w:val="00950911"/>
    <w:rsid w:val="00952F98"/>
    <w:rsid w:val="00954281"/>
    <w:rsid w:val="00955758"/>
    <w:rsid w:val="00955B9F"/>
    <w:rsid w:val="009575F9"/>
    <w:rsid w:val="00966052"/>
    <w:rsid w:val="0096741F"/>
    <w:rsid w:val="009700A5"/>
    <w:rsid w:val="00973D68"/>
    <w:rsid w:val="009744DC"/>
    <w:rsid w:val="00982357"/>
    <w:rsid w:val="009863DC"/>
    <w:rsid w:val="009950F3"/>
    <w:rsid w:val="009A5E08"/>
    <w:rsid w:val="009A60A6"/>
    <w:rsid w:val="009B0CF0"/>
    <w:rsid w:val="009B336F"/>
    <w:rsid w:val="009C7A8F"/>
    <w:rsid w:val="009D3F52"/>
    <w:rsid w:val="009E2F4F"/>
    <w:rsid w:val="009E3A95"/>
    <w:rsid w:val="009F3B30"/>
    <w:rsid w:val="009F5AC1"/>
    <w:rsid w:val="009F7904"/>
    <w:rsid w:val="00A023FC"/>
    <w:rsid w:val="00A02D1C"/>
    <w:rsid w:val="00A03A1C"/>
    <w:rsid w:val="00A12DBD"/>
    <w:rsid w:val="00A20245"/>
    <w:rsid w:val="00A33627"/>
    <w:rsid w:val="00A36223"/>
    <w:rsid w:val="00A401F4"/>
    <w:rsid w:val="00A64ECC"/>
    <w:rsid w:val="00A75E25"/>
    <w:rsid w:val="00AA531A"/>
    <w:rsid w:val="00AA7CC6"/>
    <w:rsid w:val="00AB749A"/>
    <w:rsid w:val="00AC2A7D"/>
    <w:rsid w:val="00AC3AF0"/>
    <w:rsid w:val="00AD7163"/>
    <w:rsid w:val="00AE121A"/>
    <w:rsid w:val="00AE42BC"/>
    <w:rsid w:val="00AE5B9F"/>
    <w:rsid w:val="00AF2DE0"/>
    <w:rsid w:val="00B05AEA"/>
    <w:rsid w:val="00B326C8"/>
    <w:rsid w:val="00B32FA7"/>
    <w:rsid w:val="00B34985"/>
    <w:rsid w:val="00B41246"/>
    <w:rsid w:val="00B4231E"/>
    <w:rsid w:val="00B646FF"/>
    <w:rsid w:val="00B7183E"/>
    <w:rsid w:val="00B80454"/>
    <w:rsid w:val="00B81EEB"/>
    <w:rsid w:val="00B871A4"/>
    <w:rsid w:val="00B91E2E"/>
    <w:rsid w:val="00B93885"/>
    <w:rsid w:val="00B96424"/>
    <w:rsid w:val="00BA066F"/>
    <w:rsid w:val="00BA1229"/>
    <w:rsid w:val="00BB18C1"/>
    <w:rsid w:val="00BB1FCF"/>
    <w:rsid w:val="00BE0E7B"/>
    <w:rsid w:val="00BE58BB"/>
    <w:rsid w:val="00C02617"/>
    <w:rsid w:val="00C13BBB"/>
    <w:rsid w:val="00C16F38"/>
    <w:rsid w:val="00C30241"/>
    <w:rsid w:val="00C3108D"/>
    <w:rsid w:val="00C31796"/>
    <w:rsid w:val="00C322A2"/>
    <w:rsid w:val="00C3371B"/>
    <w:rsid w:val="00C35DE0"/>
    <w:rsid w:val="00C56178"/>
    <w:rsid w:val="00C60C21"/>
    <w:rsid w:val="00C60EFA"/>
    <w:rsid w:val="00C65015"/>
    <w:rsid w:val="00C66B67"/>
    <w:rsid w:val="00C85299"/>
    <w:rsid w:val="00C9274C"/>
    <w:rsid w:val="00C92EE9"/>
    <w:rsid w:val="00C93907"/>
    <w:rsid w:val="00CA6615"/>
    <w:rsid w:val="00CB2EEB"/>
    <w:rsid w:val="00CB3835"/>
    <w:rsid w:val="00CD59C3"/>
    <w:rsid w:val="00CE0F94"/>
    <w:rsid w:val="00CE7F04"/>
    <w:rsid w:val="00CF0CF6"/>
    <w:rsid w:val="00CF30E5"/>
    <w:rsid w:val="00CF58F7"/>
    <w:rsid w:val="00CF6DF4"/>
    <w:rsid w:val="00D11A75"/>
    <w:rsid w:val="00D32909"/>
    <w:rsid w:val="00D403CD"/>
    <w:rsid w:val="00D5405B"/>
    <w:rsid w:val="00D732D1"/>
    <w:rsid w:val="00D73FD8"/>
    <w:rsid w:val="00D76E86"/>
    <w:rsid w:val="00D8275C"/>
    <w:rsid w:val="00D93010"/>
    <w:rsid w:val="00D94A68"/>
    <w:rsid w:val="00D95062"/>
    <w:rsid w:val="00D966D4"/>
    <w:rsid w:val="00DA6974"/>
    <w:rsid w:val="00DB4CE5"/>
    <w:rsid w:val="00DC61EB"/>
    <w:rsid w:val="00DD69E9"/>
    <w:rsid w:val="00DE2B53"/>
    <w:rsid w:val="00DF590C"/>
    <w:rsid w:val="00E11217"/>
    <w:rsid w:val="00E24A61"/>
    <w:rsid w:val="00E2590E"/>
    <w:rsid w:val="00E263E7"/>
    <w:rsid w:val="00E26B93"/>
    <w:rsid w:val="00E31B6C"/>
    <w:rsid w:val="00E418D3"/>
    <w:rsid w:val="00E55756"/>
    <w:rsid w:val="00E64F86"/>
    <w:rsid w:val="00E6722E"/>
    <w:rsid w:val="00E858E9"/>
    <w:rsid w:val="00E93D57"/>
    <w:rsid w:val="00EB4D98"/>
    <w:rsid w:val="00EB635F"/>
    <w:rsid w:val="00EB6785"/>
    <w:rsid w:val="00EC454E"/>
    <w:rsid w:val="00EE175E"/>
    <w:rsid w:val="00EE770E"/>
    <w:rsid w:val="00EF095B"/>
    <w:rsid w:val="00EF37D3"/>
    <w:rsid w:val="00EF3FA9"/>
    <w:rsid w:val="00EF41DD"/>
    <w:rsid w:val="00F0197F"/>
    <w:rsid w:val="00F03E13"/>
    <w:rsid w:val="00F3161C"/>
    <w:rsid w:val="00F3167B"/>
    <w:rsid w:val="00F32164"/>
    <w:rsid w:val="00F505ED"/>
    <w:rsid w:val="00F50B76"/>
    <w:rsid w:val="00F51EB0"/>
    <w:rsid w:val="00F532F6"/>
    <w:rsid w:val="00F631ED"/>
    <w:rsid w:val="00F641D3"/>
    <w:rsid w:val="00F71372"/>
    <w:rsid w:val="00F81FBA"/>
    <w:rsid w:val="00F91795"/>
    <w:rsid w:val="00F9316B"/>
    <w:rsid w:val="00F94A1A"/>
    <w:rsid w:val="00FA1360"/>
    <w:rsid w:val="00FA3D8D"/>
    <w:rsid w:val="00FC3349"/>
    <w:rsid w:val="00FC522F"/>
    <w:rsid w:val="00FC64EC"/>
    <w:rsid w:val="00FC715F"/>
    <w:rsid w:val="00FD1483"/>
    <w:rsid w:val="00FD60AE"/>
    <w:rsid w:val="00FE3E1B"/>
    <w:rsid w:val="00FF1923"/>
    <w:rsid w:val="0246543F"/>
    <w:rsid w:val="06AC0D7F"/>
    <w:rsid w:val="06AF7E0C"/>
    <w:rsid w:val="0819466D"/>
    <w:rsid w:val="094A45D4"/>
    <w:rsid w:val="09F818AD"/>
    <w:rsid w:val="13261A99"/>
    <w:rsid w:val="136E08CB"/>
    <w:rsid w:val="141373F3"/>
    <w:rsid w:val="143830B7"/>
    <w:rsid w:val="1741059A"/>
    <w:rsid w:val="180F016E"/>
    <w:rsid w:val="1ECE0293"/>
    <w:rsid w:val="1F747392"/>
    <w:rsid w:val="1FE8692F"/>
    <w:rsid w:val="21A95369"/>
    <w:rsid w:val="24964B38"/>
    <w:rsid w:val="258B0ECE"/>
    <w:rsid w:val="26213552"/>
    <w:rsid w:val="26F67162"/>
    <w:rsid w:val="277E5C9F"/>
    <w:rsid w:val="2FBC0006"/>
    <w:rsid w:val="31EF3072"/>
    <w:rsid w:val="32115A86"/>
    <w:rsid w:val="372B6BF6"/>
    <w:rsid w:val="38840BE7"/>
    <w:rsid w:val="3A4B1028"/>
    <w:rsid w:val="3AC26C3D"/>
    <w:rsid w:val="41542E5C"/>
    <w:rsid w:val="41E32A48"/>
    <w:rsid w:val="450D1562"/>
    <w:rsid w:val="46675107"/>
    <w:rsid w:val="48D9448E"/>
    <w:rsid w:val="4A934C0D"/>
    <w:rsid w:val="4BFA0C63"/>
    <w:rsid w:val="4CAA210E"/>
    <w:rsid w:val="4D1D3AA0"/>
    <w:rsid w:val="4F3B2ED3"/>
    <w:rsid w:val="51957EB3"/>
    <w:rsid w:val="53C037B8"/>
    <w:rsid w:val="552A25DC"/>
    <w:rsid w:val="55993D8A"/>
    <w:rsid w:val="55A060ED"/>
    <w:rsid w:val="594C173B"/>
    <w:rsid w:val="59AA1ECF"/>
    <w:rsid w:val="5A7B3F77"/>
    <w:rsid w:val="5A8556F2"/>
    <w:rsid w:val="5AA2683C"/>
    <w:rsid w:val="5C441865"/>
    <w:rsid w:val="5CD00557"/>
    <w:rsid w:val="5FB45679"/>
    <w:rsid w:val="607141E9"/>
    <w:rsid w:val="645046E8"/>
    <w:rsid w:val="673620D0"/>
    <w:rsid w:val="67F13A54"/>
    <w:rsid w:val="69A742E1"/>
    <w:rsid w:val="6AB0466B"/>
    <w:rsid w:val="6C5D379C"/>
    <w:rsid w:val="6FB77079"/>
    <w:rsid w:val="729E0337"/>
    <w:rsid w:val="76940ED5"/>
    <w:rsid w:val="7D4C12F1"/>
    <w:rsid w:val="7D722B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nhideWhenUsed="0" w:uiPriority="0" w:semiHidden="0" w:name="Body Text Indent 2"/>
    <w:lsdException w:uiPriority="99" w:name="Body Text Indent 3"/>
    <w:lsdException w:qFormat="1" w:unhideWhenUsed="0"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29"/>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38"/>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1"/>
    <w:link w:val="39"/>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4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41"/>
    <w:qFormat/>
    <w:uiPriority w:val="0"/>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4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45"/>
    <w:qFormat/>
    <w:uiPriority w:val="0"/>
    <w:rPr>
      <w:sz w:val="15"/>
    </w:rPr>
  </w:style>
  <w:style w:type="paragraph" w:styleId="12">
    <w:name w:val="Body Text Indent"/>
    <w:basedOn w:val="1"/>
    <w:link w:val="48"/>
    <w:qFormat/>
    <w:uiPriority w:val="0"/>
    <w:pPr>
      <w:spacing w:after="120"/>
      <w:ind w:left="420" w:leftChars="200"/>
    </w:pPr>
    <w:rPr>
      <w:szCs w:val="20"/>
    </w:rPr>
  </w:style>
  <w:style w:type="paragraph" w:styleId="13">
    <w:name w:val="Block Text"/>
    <w:basedOn w:val="1"/>
    <w:qFormat/>
    <w:uiPriority w:val="0"/>
    <w:pPr>
      <w:spacing w:line="288" w:lineRule="auto"/>
      <w:ind w:left="662" w:right="240" w:hanging="420"/>
    </w:pPr>
    <w:rPr>
      <w:sz w:val="24"/>
      <w:szCs w:val="20"/>
    </w:rPr>
  </w:style>
  <w:style w:type="paragraph" w:styleId="14">
    <w:name w:val="Plain Text"/>
    <w:basedOn w:val="1"/>
    <w:link w:val="60"/>
    <w:qFormat/>
    <w:uiPriority w:val="99"/>
    <w:rPr>
      <w:rFonts w:ascii="宋体" w:hAnsi="Courier New"/>
      <w:szCs w:val="20"/>
    </w:rPr>
  </w:style>
  <w:style w:type="paragraph" w:styleId="15">
    <w:name w:val="Date"/>
    <w:basedOn w:val="1"/>
    <w:next w:val="1"/>
    <w:link w:val="46"/>
    <w:qFormat/>
    <w:uiPriority w:val="0"/>
    <w:pPr>
      <w:ind w:left="100" w:leftChars="2500"/>
    </w:pPr>
  </w:style>
  <w:style w:type="paragraph" w:styleId="16">
    <w:name w:val="Body Text Indent 2"/>
    <w:basedOn w:val="1"/>
    <w:uiPriority w:val="0"/>
    <w:pPr>
      <w:spacing w:after="120" w:afterLines="0" w:line="480" w:lineRule="auto"/>
      <w:ind w:left="420" w:leftChars="200"/>
    </w:pPr>
  </w:style>
  <w:style w:type="paragraph" w:styleId="17">
    <w:name w:val="Balloon Text"/>
    <w:basedOn w:val="1"/>
    <w:link w:val="32"/>
    <w:unhideWhenUsed/>
    <w:qFormat/>
    <w:uiPriority w:val="99"/>
    <w:rPr>
      <w:rFonts w:eastAsiaTheme="minorEastAsia" w:cstheme="minorBidi"/>
      <w:sz w:val="18"/>
      <w:szCs w:val="18"/>
    </w:rPr>
  </w:style>
  <w:style w:type="paragraph" w:styleId="18">
    <w:name w:val="footer"/>
    <w:basedOn w:val="1"/>
    <w:link w:val="31"/>
    <w:unhideWhenUsed/>
    <w:qFormat/>
    <w:uiPriority w:val="99"/>
    <w:pPr>
      <w:tabs>
        <w:tab w:val="center" w:pos="4153"/>
        <w:tab w:val="right" w:pos="8306"/>
      </w:tabs>
      <w:snapToGrid w:val="0"/>
      <w:jc w:val="left"/>
    </w:pPr>
    <w:rPr>
      <w:sz w:val="18"/>
      <w:szCs w:val="18"/>
    </w:rPr>
  </w:style>
  <w:style w:type="paragraph" w:styleId="19">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Body Text 2"/>
    <w:basedOn w:val="1"/>
    <w:link w:val="49"/>
    <w:qFormat/>
    <w:uiPriority w:val="0"/>
    <w:pPr>
      <w:spacing w:after="120" w:line="480" w:lineRule="auto"/>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Hyperlink"/>
    <w:uiPriority w:val="0"/>
    <w:rPr>
      <w:color w:val="0000FF"/>
      <w:u w:val="single"/>
    </w:rPr>
  </w:style>
  <w:style w:type="character" w:customStyle="1" w:styleId="27">
    <w:name w:val="标题 1 Char"/>
    <w:basedOn w:val="24"/>
    <w:link w:val="2"/>
    <w:qFormat/>
    <w:uiPriority w:val="9"/>
    <w:rPr>
      <w:rFonts w:ascii="Times New Roman" w:hAnsi="Times New Roman" w:eastAsia="宋体" w:cs="Times New Roman"/>
      <w:b/>
      <w:bCs/>
      <w:kern w:val="44"/>
      <w:sz w:val="44"/>
      <w:szCs w:val="44"/>
    </w:rPr>
  </w:style>
  <w:style w:type="character" w:customStyle="1" w:styleId="28">
    <w:name w:val="标题 2 Char"/>
    <w:basedOn w:val="24"/>
    <w:link w:val="3"/>
    <w:uiPriority w:val="9"/>
    <w:rPr>
      <w:rFonts w:ascii="Cambria" w:hAnsi="Cambria" w:eastAsia="宋体" w:cs="Times New Roman"/>
      <w:b/>
      <w:bCs/>
      <w:kern w:val="0"/>
      <w:sz w:val="32"/>
      <w:szCs w:val="32"/>
    </w:rPr>
  </w:style>
  <w:style w:type="character" w:customStyle="1" w:styleId="29">
    <w:name w:val="标题 3 Char"/>
    <w:basedOn w:val="24"/>
    <w:link w:val="4"/>
    <w:uiPriority w:val="9"/>
    <w:rPr>
      <w:rFonts w:ascii="Times New Roman" w:hAnsi="Times New Roman" w:eastAsia="宋体" w:cs="Times New Roman"/>
      <w:b/>
      <w:bCs/>
      <w:kern w:val="0"/>
      <w:sz w:val="32"/>
      <w:szCs w:val="32"/>
    </w:rPr>
  </w:style>
  <w:style w:type="character" w:customStyle="1" w:styleId="30">
    <w:name w:val="页眉 Char"/>
    <w:link w:val="19"/>
    <w:qFormat/>
    <w:uiPriority w:val="99"/>
    <w:rPr>
      <w:rFonts w:ascii="Times New Roman" w:hAnsi="Times New Roman" w:eastAsia="宋体" w:cs="Times New Roman"/>
      <w:sz w:val="18"/>
      <w:szCs w:val="18"/>
    </w:rPr>
  </w:style>
  <w:style w:type="character" w:customStyle="1" w:styleId="31">
    <w:name w:val="页脚 Char"/>
    <w:link w:val="18"/>
    <w:qFormat/>
    <w:uiPriority w:val="99"/>
    <w:rPr>
      <w:rFonts w:ascii="Times New Roman" w:hAnsi="Times New Roman" w:eastAsia="宋体" w:cs="Times New Roman"/>
      <w:sz w:val="18"/>
      <w:szCs w:val="18"/>
    </w:rPr>
  </w:style>
  <w:style w:type="character" w:customStyle="1" w:styleId="32">
    <w:name w:val="批注框文本 Char"/>
    <w:link w:val="17"/>
    <w:qFormat/>
    <w:uiPriority w:val="99"/>
    <w:rPr>
      <w:rFonts w:ascii="Times New Roman" w:hAnsi="Times New Roman"/>
      <w:sz w:val="18"/>
      <w:szCs w:val="18"/>
    </w:rPr>
  </w:style>
  <w:style w:type="paragraph" w:customStyle="1" w:styleId="33">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4">
    <w:name w:val="页眉 Char1"/>
    <w:basedOn w:val="24"/>
    <w:semiHidden/>
    <w:qFormat/>
    <w:uiPriority w:val="99"/>
    <w:rPr>
      <w:rFonts w:ascii="Times New Roman" w:hAnsi="Times New Roman" w:eastAsia="宋体" w:cs="Times New Roman"/>
      <w:sz w:val="18"/>
      <w:szCs w:val="18"/>
    </w:rPr>
  </w:style>
  <w:style w:type="character" w:customStyle="1" w:styleId="35">
    <w:name w:val="批注框文本 Char1"/>
    <w:basedOn w:val="24"/>
    <w:semiHidden/>
    <w:qFormat/>
    <w:uiPriority w:val="99"/>
    <w:rPr>
      <w:rFonts w:ascii="Times New Roman" w:hAnsi="Times New Roman" w:eastAsia="宋体" w:cs="Times New Roman"/>
      <w:sz w:val="18"/>
      <w:szCs w:val="18"/>
    </w:rPr>
  </w:style>
  <w:style w:type="character" w:customStyle="1" w:styleId="36">
    <w:name w:val="页脚 Char1"/>
    <w:basedOn w:val="24"/>
    <w:semiHidden/>
    <w:uiPriority w:val="99"/>
    <w:rPr>
      <w:rFonts w:ascii="Times New Roman" w:hAnsi="Times New Roman" w:eastAsia="宋体" w:cs="Times New Roman"/>
      <w:sz w:val="18"/>
      <w:szCs w:val="18"/>
    </w:rPr>
  </w:style>
  <w:style w:type="paragraph" w:styleId="3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4 Char"/>
    <w:basedOn w:val="24"/>
    <w:link w:val="5"/>
    <w:qFormat/>
    <w:uiPriority w:val="0"/>
    <w:rPr>
      <w:rFonts w:ascii="Arial" w:hAnsi="Arial" w:eastAsia="黑体" w:cs="Times New Roman"/>
      <w:b/>
      <w:bCs/>
      <w:sz w:val="28"/>
      <w:szCs w:val="28"/>
    </w:rPr>
  </w:style>
  <w:style w:type="character" w:customStyle="1" w:styleId="39">
    <w:name w:val="标题 5 Char"/>
    <w:basedOn w:val="24"/>
    <w:link w:val="6"/>
    <w:uiPriority w:val="0"/>
    <w:rPr>
      <w:rFonts w:ascii="Times New Roman" w:hAnsi="Times New Roman" w:eastAsia="宋体" w:cs="Times New Roman"/>
      <w:b/>
      <w:bCs/>
      <w:sz w:val="28"/>
      <w:szCs w:val="28"/>
    </w:rPr>
  </w:style>
  <w:style w:type="character" w:customStyle="1" w:styleId="40">
    <w:name w:val="标题 6 Char"/>
    <w:basedOn w:val="24"/>
    <w:link w:val="7"/>
    <w:uiPriority w:val="0"/>
    <w:rPr>
      <w:rFonts w:ascii="Arial" w:hAnsi="Arial" w:eastAsia="黑体" w:cs="Times New Roman"/>
      <w:b/>
      <w:bCs/>
      <w:sz w:val="24"/>
      <w:szCs w:val="24"/>
    </w:rPr>
  </w:style>
  <w:style w:type="character" w:customStyle="1" w:styleId="41">
    <w:name w:val="标题 7 Char"/>
    <w:basedOn w:val="24"/>
    <w:link w:val="8"/>
    <w:uiPriority w:val="0"/>
    <w:rPr>
      <w:rFonts w:ascii="Times New Roman" w:hAnsi="Times New Roman" w:eastAsia="宋体" w:cs="Times New Roman"/>
      <w:b/>
      <w:bCs/>
      <w:sz w:val="24"/>
      <w:szCs w:val="24"/>
    </w:rPr>
  </w:style>
  <w:style w:type="character" w:customStyle="1" w:styleId="42">
    <w:name w:val="标题 8 Char"/>
    <w:basedOn w:val="24"/>
    <w:link w:val="9"/>
    <w:uiPriority w:val="0"/>
    <w:rPr>
      <w:rFonts w:ascii="Arial" w:hAnsi="Arial" w:eastAsia="黑体" w:cs="Times New Roman"/>
      <w:sz w:val="24"/>
      <w:szCs w:val="24"/>
    </w:rPr>
  </w:style>
  <w:style w:type="character" w:customStyle="1" w:styleId="43">
    <w:name w:val="标题 9 Char"/>
    <w:basedOn w:val="24"/>
    <w:link w:val="10"/>
    <w:qFormat/>
    <w:uiPriority w:val="0"/>
    <w:rPr>
      <w:rFonts w:ascii="Arial" w:hAnsi="Arial" w:eastAsia="黑体" w:cs="Times New Roman"/>
      <w:szCs w:val="21"/>
    </w:rPr>
  </w:style>
  <w:style w:type="paragraph" w:customStyle="1" w:styleId="44">
    <w:name w:val="1"/>
    <w:basedOn w:val="1"/>
    <w:uiPriority w:val="0"/>
    <w:pPr>
      <w:widowControl/>
      <w:spacing w:after="160" w:line="240" w:lineRule="exact"/>
      <w:jc w:val="left"/>
    </w:pPr>
  </w:style>
  <w:style w:type="character" w:customStyle="1" w:styleId="45">
    <w:name w:val="正文文本 Char"/>
    <w:basedOn w:val="24"/>
    <w:link w:val="11"/>
    <w:qFormat/>
    <w:uiPriority w:val="0"/>
    <w:rPr>
      <w:rFonts w:ascii="Times New Roman" w:hAnsi="Times New Roman" w:eastAsia="宋体" w:cs="Times New Roman"/>
      <w:sz w:val="15"/>
      <w:szCs w:val="24"/>
    </w:rPr>
  </w:style>
  <w:style w:type="character" w:customStyle="1" w:styleId="46">
    <w:name w:val="日期 Char"/>
    <w:basedOn w:val="24"/>
    <w:link w:val="15"/>
    <w:qFormat/>
    <w:uiPriority w:val="0"/>
    <w:rPr>
      <w:rFonts w:ascii="Times New Roman" w:hAnsi="Times New Roman" w:eastAsia="宋体" w:cs="Times New Roman"/>
      <w:szCs w:val="24"/>
    </w:rPr>
  </w:style>
  <w:style w:type="paragraph" w:customStyle="1" w:styleId="47">
    <w:name w:val="Char Char Char1 Char"/>
    <w:basedOn w:val="1"/>
    <w:qFormat/>
    <w:uiPriority w:val="0"/>
    <w:pPr>
      <w:widowControl/>
      <w:spacing w:after="160" w:line="240" w:lineRule="exact"/>
      <w:jc w:val="left"/>
    </w:pPr>
    <w:rPr>
      <w:rFonts w:ascii="Verdana" w:hAnsi="Verdana"/>
      <w:kern w:val="0"/>
      <w:sz w:val="18"/>
      <w:szCs w:val="20"/>
      <w:lang w:eastAsia="en-US"/>
    </w:rPr>
  </w:style>
  <w:style w:type="character" w:customStyle="1" w:styleId="48">
    <w:name w:val="正文文本缩进 Char"/>
    <w:basedOn w:val="24"/>
    <w:link w:val="12"/>
    <w:qFormat/>
    <w:uiPriority w:val="0"/>
    <w:rPr>
      <w:rFonts w:ascii="Times New Roman" w:hAnsi="Times New Roman" w:eastAsia="宋体" w:cs="Times New Roman"/>
      <w:szCs w:val="20"/>
    </w:rPr>
  </w:style>
  <w:style w:type="character" w:customStyle="1" w:styleId="49">
    <w:name w:val="正文文本 2 Char"/>
    <w:basedOn w:val="24"/>
    <w:link w:val="20"/>
    <w:qFormat/>
    <w:uiPriority w:val="0"/>
    <w:rPr>
      <w:rFonts w:ascii="Times New Roman" w:hAnsi="Times New Roman" w:eastAsia="宋体" w:cs="Times New Roman"/>
      <w:szCs w:val="24"/>
    </w:rPr>
  </w:style>
  <w:style w:type="paragraph" w:customStyle="1" w:styleId="50">
    <w:name w:val="Char Char Char1 Char1"/>
    <w:basedOn w:val="1"/>
    <w:qFormat/>
    <w:uiPriority w:val="0"/>
    <w:pPr>
      <w:widowControl/>
      <w:spacing w:after="160" w:line="240" w:lineRule="exact"/>
      <w:jc w:val="left"/>
    </w:pPr>
  </w:style>
  <w:style w:type="paragraph" w:customStyle="1" w:styleId="51">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styleId="57">
    <w:name w:val="List Paragraph"/>
    <w:basedOn w:val="1"/>
    <w:qFormat/>
    <w:uiPriority w:val="0"/>
    <w:pPr>
      <w:ind w:firstLine="420" w:firstLineChars="200"/>
    </w:pPr>
    <w:rPr>
      <w:rFonts w:ascii="Calibri" w:hAnsi="Calibri"/>
      <w:szCs w:val="22"/>
    </w:rPr>
  </w:style>
  <w:style w:type="paragraph" w:customStyle="1" w:styleId="58">
    <w:name w:val="Char Char Char Char Char Char Char Char Char"/>
    <w:basedOn w:val="1"/>
    <w:qFormat/>
    <w:uiPriority w:val="0"/>
    <w:pPr>
      <w:tabs>
        <w:tab w:val="left" w:pos="360"/>
      </w:tabs>
      <w:snapToGrid w:val="0"/>
    </w:pPr>
  </w:style>
  <w:style w:type="paragraph" w:customStyle="1" w:styleId="59">
    <w:name w:val="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character" w:customStyle="1" w:styleId="60">
    <w:name w:val="纯文本 Char"/>
    <w:basedOn w:val="24"/>
    <w:link w:val="14"/>
    <w:qFormat/>
    <w:uiPriority w:val="99"/>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AF40B69-2F3C-4A9A-9FD8-4A8D5884F5B6}" type="doc">
      <dgm:prSet loTypeId="urn:microsoft.com/office/officeart/2005/8/layout/orgChart1" loCatId="hierarchy" qsTypeId="urn:microsoft.com/office/officeart/2005/8/quickstyle/simple1" qsCatId="simple" csTypeId="urn:microsoft.com/office/officeart/2005/8/colors/accent1_2" csCatId="accent1" phldr="1"/>
      <dgm:spPr/>
      <dgm:t>
        <a:bodyPr/>
        <a:p>
          <a:endParaRPr lang="zh-CN" altLang="en-US"/>
        </a:p>
      </dgm:t>
    </dgm:pt>
    <dgm:pt modelId="{B1ECC6AD-E5F9-4CE5-8838-807BBA4B198C}">
      <dgm:prSet phldrT="[文本]"/>
      <dgm:spPr/>
      <dgm:t>
        <a:bodyPr/>
        <a:p>
          <a:r>
            <a:rPr lang="zh-CN" altLang="en-US"/>
            <a:t>总经理</a:t>
          </a:r>
        </a:p>
      </dgm:t>
    </dgm:pt>
    <dgm:pt modelId="{2CD3C66D-4CA4-4AD4-AB08-1452C27241E0}" cxnId="{805BC720-B99B-44FC-8949-D8866B50F366}" type="parTrans">
      <dgm:prSet/>
      <dgm:spPr/>
      <dgm:t>
        <a:bodyPr/>
        <a:p>
          <a:endParaRPr lang="zh-CN" altLang="en-US"/>
        </a:p>
      </dgm:t>
    </dgm:pt>
    <dgm:pt modelId="{0B9B290A-9304-44D7-9F43-7B7E01F46A09}" cxnId="{805BC720-B99B-44FC-8949-D8866B50F366}" type="sibTrans">
      <dgm:prSet/>
      <dgm:spPr/>
      <dgm:t>
        <a:bodyPr/>
        <a:p>
          <a:endParaRPr lang="zh-CN" altLang="en-US"/>
        </a:p>
      </dgm:t>
    </dgm:pt>
    <dgm:pt modelId="{B4617C1E-C706-42DA-B787-616AB04F4416}" type="asst">
      <dgm:prSet phldrT="[文本]"/>
      <dgm:spPr/>
      <dgm:t>
        <a:bodyPr/>
        <a:p>
          <a:r>
            <a:rPr lang="zh-CN" altLang="en-US"/>
            <a:t>管代</a:t>
          </a:r>
        </a:p>
      </dgm:t>
    </dgm:pt>
    <dgm:pt modelId="{C9DF2DD3-83D5-4FA9-B362-8FE074992DD8}" cxnId="{8010D69A-5D67-41DC-96CA-6DD9D4BE60F1}" type="parTrans">
      <dgm:prSet/>
      <dgm:spPr/>
      <dgm:t>
        <a:bodyPr/>
        <a:p>
          <a:endParaRPr lang="zh-CN" altLang="en-US"/>
        </a:p>
      </dgm:t>
    </dgm:pt>
    <dgm:pt modelId="{46976012-34A0-46FE-9124-06AD86A1A7AE}" cxnId="{8010D69A-5D67-41DC-96CA-6DD9D4BE60F1}" type="sibTrans">
      <dgm:prSet/>
      <dgm:spPr/>
      <dgm:t>
        <a:bodyPr/>
        <a:p>
          <a:endParaRPr lang="zh-CN" altLang="en-US"/>
        </a:p>
      </dgm:t>
    </dgm:pt>
    <dgm:pt modelId="{55DEBB8F-BD54-441F-97DC-DC5C43E6C0A7}">
      <dgm:prSet phldrT="[文本]" phldr="0" custT="0"/>
      <dgm:spPr/>
      <dgm:t>
        <a:bodyPr vert="horz" wrap="square"/>
        <a:p>
          <a:pPr>
            <a:lnSpc>
              <a:spcPct val="100000"/>
            </a:lnSpc>
            <a:spcBef>
              <a:spcPct val="0"/>
            </a:spcBef>
            <a:spcAft>
              <a:spcPct val="35000"/>
            </a:spcAft>
          </a:pPr>
          <a:r>
            <a:rPr lang="zh-CN" altLang="en-US"/>
            <a:t>行政办公室</a:t>
          </a:r>
          <a:r>
            <a:rPr/>
            <a:t/>
          </a:r>
          <a:endParaRPr/>
        </a:p>
      </dgm:t>
    </dgm:pt>
    <dgm:pt modelId="{90CDB2BD-E761-4894-9DE3-E13D4A51EDF8}" cxnId="{07BB01A0-E63F-41B1-A1FA-6180452C9061}" type="parTrans">
      <dgm:prSet/>
      <dgm:spPr/>
      <dgm:t>
        <a:bodyPr/>
        <a:p>
          <a:endParaRPr lang="zh-CN" altLang="en-US"/>
        </a:p>
      </dgm:t>
    </dgm:pt>
    <dgm:pt modelId="{CA74B306-F65B-4316-A398-62B6E9AA25AF}" cxnId="{07BB01A0-E63F-41B1-A1FA-6180452C9061}" type="sibTrans">
      <dgm:prSet/>
      <dgm:spPr/>
      <dgm:t>
        <a:bodyPr/>
        <a:p>
          <a:endParaRPr lang="zh-CN" altLang="en-US"/>
        </a:p>
      </dgm:t>
    </dgm:pt>
    <dgm:pt modelId="{83030DBE-0D50-495E-9A5E-CA2A01762BE5}">
      <dgm:prSet/>
      <dgm:spPr/>
      <dgm:t>
        <a:bodyPr/>
        <a:p>
          <a:r>
            <a:rPr lang="zh-CN" altLang="en-US"/>
            <a:t>财务</a:t>
          </a:r>
          <a:r>
            <a:rPr lang="zh-CN"/>
            <a:t>部</a:t>
          </a:r>
          <a:endParaRPr lang="zh-CN" altLang="en-US"/>
        </a:p>
      </dgm:t>
    </dgm:pt>
    <dgm:pt modelId="{614F3407-EB91-4F2A-B73E-0E5EB212D136}" cxnId="{8CE54057-97C9-4509-8F03-7133B3D1C7B8}" type="parTrans">
      <dgm:prSet/>
      <dgm:spPr/>
      <dgm:t>
        <a:bodyPr/>
        <a:p>
          <a:endParaRPr lang="zh-CN" altLang="en-US"/>
        </a:p>
      </dgm:t>
    </dgm:pt>
    <dgm:pt modelId="{B00283A9-5EB1-4558-B05A-DDCF2C6725D2}" cxnId="{8CE54057-97C9-4509-8F03-7133B3D1C7B8}" type="sibTrans">
      <dgm:prSet/>
      <dgm:spPr/>
      <dgm:t>
        <a:bodyPr/>
        <a:p>
          <a:endParaRPr lang="zh-CN" altLang="en-US"/>
        </a:p>
      </dgm:t>
    </dgm:pt>
    <dgm:pt modelId="{4DBAFF91-F332-4E77-AB93-EB76D6CB03D8}">
      <dgm:prSet phldrT="[文本]" phldr="0" custT="0"/>
      <dgm:spPr/>
      <dgm:t>
        <a:bodyPr vert="horz" wrap="square"/>
        <a:p>
          <a:pPr>
            <a:lnSpc>
              <a:spcPct val="100000"/>
            </a:lnSpc>
            <a:spcBef>
              <a:spcPct val="0"/>
            </a:spcBef>
            <a:spcAft>
              <a:spcPct val="35000"/>
            </a:spcAft>
          </a:pPr>
          <a:r>
            <a:rPr lang="zh-CN" altLang="en-US"/>
            <a:t>业务拓展</a:t>
          </a:r>
          <a:r>
            <a:rPr lang="zh-CN" altLang="en-US"/>
            <a:t>部</a:t>
          </a:r>
          <a:r>
            <a:rPr/>
            <a:t/>
          </a:r>
          <a:endParaRPr/>
        </a:p>
      </dgm:t>
    </dgm:pt>
    <dgm:pt modelId="{0D697E7E-473C-44CA-BAD5-575BD3FEFF05}" cxnId="{32DA351B-E0E6-4C8D-A0A3-5C81E5A09303}" type="parTrans">
      <dgm:prSet/>
      <dgm:spPr/>
      <dgm:t>
        <a:bodyPr/>
        <a:p>
          <a:endParaRPr lang="zh-CN" altLang="en-US"/>
        </a:p>
      </dgm:t>
    </dgm:pt>
    <dgm:pt modelId="{25446E05-5139-4C81-A809-DF92BA21C8B8}" cxnId="{32DA351B-E0E6-4C8D-A0A3-5C81E5A09303}" type="sibTrans">
      <dgm:prSet/>
      <dgm:spPr/>
      <dgm:t>
        <a:bodyPr/>
        <a:p>
          <a:endParaRPr lang="zh-CN" altLang="en-US"/>
        </a:p>
      </dgm:t>
    </dgm:pt>
    <dgm:pt modelId="{97AB67E1-120D-4E11-83C4-4D1A6BD50969}">
      <dgm:prSet phldr="0" custT="0"/>
      <dgm:spPr/>
      <dgm:t>
        <a:bodyPr vert="horz" wrap="square"/>
        <a:p>
          <a:pPr>
            <a:lnSpc>
              <a:spcPct val="100000"/>
            </a:lnSpc>
            <a:spcBef>
              <a:spcPct val="0"/>
            </a:spcBef>
            <a:spcAft>
              <a:spcPct val="35000"/>
            </a:spcAft>
          </a:pPr>
          <a:r>
            <a:rPr lang="zh-CN"/>
            <a:t>管理处</a:t>
          </a:r>
          <a:r>
            <a:rPr lang="zh-CN" altLang="en-US"/>
            <a:t/>
          </a:r>
          <a:endParaRPr lang="zh-CN" altLang="en-US"/>
        </a:p>
      </dgm:t>
    </dgm:pt>
    <dgm:pt modelId="{9803B863-B2D4-4E0B-8B6D-153616AA18AF}" cxnId="{A0AF3B04-4F27-4F1F-BF58-A799C81D04E1}" type="parTrans">
      <dgm:prSet/>
      <dgm:spPr/>
      <dgm:t>
        <a:bodyPr/>
        <a:p>
          <a:endParaRPr lang="zh-CN" altLang="en-US"/>
        </a:p>
      </dgm:t>
    </dgm:pt>
    <dgm:pt modelId="{A1B7FCF9-333E-47E0-82FB-BF2764A77830}" cxnId="{A0AF3B04-4F27-4F1F-BF58-A799C81D04E1}" type="sibTrans">
      <dgm:prSet/>
      <dgm:spPr/>
      <dgm:t>
        <a:bodyPr/>
        <a:p>
          <a:endParaRPr lang="zh-CN" altLang="en-US"/>
        </a:p>
      </dgm:t>
    </dgm:pt>
    <dgm:pt modelId="{3B7F570D-3AA5-48D1-9FC5-BA891BC46E6D}" type="asst">
      <dgm:prSet/>
      <dgm:spPr/>
      <dgm:t>
        <a:bodyPr/>
        <a:p>
          <a:r>
            <a:rPr lang="zh-CN" altLang="en-US"/>
            <a:t>安全事务代表</a:t>
          </a:r>
        </a:p>
      </dgm:t>
    </dgm:pt>
    <dgm:pt modelId="{58ADE605-5DC1-4FF2-A619-2D106AA0DC07}" cxnId="{3222056B-119F-48BD-9EFF-24F39A8EF86C}" type="parTrans">
      <dgm:prSet/>
      <dgm:spPr/>
      <dgm:t>
        <a:bodyPr/>
        <a:p>
          <a:endParaRPr lang="zh-CN" altLang="en-US"/>
        </a:p>
      </dgm:t>
    </dgm:pt>
    <dgm:pt modelId="{65F89904-C494-45AB-B94B-DDB49CF72F32}" cxnId="{3222056B-119F-48BD-9EFF-24F39A8EF86C}" type="sibTrans">
      <dgm:prSet/>
      <dgm:spPr/>
      <dgm:t>
        <a:bodyPr/>
        <a:p>
          <a:endParaRPr lang="zh-CN" altLang="en-US"/>
        </a:p>
      </dgm:t>
    </dgm:pt>
    <dgm:pt modelId="{36884D8A-A78E-4D35-BBA7-28A80B915BE8}" type="pres">
      <dgm:prSet presAssocID="{9AF40B69-2F3C-4A9A-9FD8-4A8D5884F5B6}" presName="hierChild1" presStyleCnt="0">
        <dgm:presLayoutVars>
          <dgm:orgChart val="1"/>
          <dgm:chPref val="1"/>
          <dgm:dir/>
          <dgm:animOne val="branch"/>
          <dgm:animLvl val="lvl"/>
          <dgm:resizeHandles/>
        </dgm:presLayoutVars>
      </dgm:prSet>
      <dgm:spPr/>
      <dgm:t>
        <a:bodyPr/>
        <a:p>
          <a:endParaRPr lang="zh-CN" altLang="en-US"/>
        </a:p>
      </dgm:t>
    </dgm:pt>
    <dgm:pt modelId="{DAB705CF-7F55-4D1C-A339-3ABBDA16CA39}" type="pres">
      <dgm:prSet presAssocID="{B1ECC6AD-E5F9-4CE5-8838-807BBA4B198C}" presName="hierRoot1" presStyleCnt="0">
        <dgm:presLayoutVars>
          <dgm:hierBranch val="init"/>
        </dgm:presLayoutVars>
      </dgm:prSet>
      <dgm:spPr/>
    </dgm:pt>
    <dgm:pt modelId="{A8186A9B-7B2D-4719-8383-95C6D1898770}" type="pres">
      <dgm:prSet presAssocID="{B1ECC6AD-E5F9-4CE5-8838-807BBA4B198C}" presName="rootComposite1" presStyleCnt="0"/>
      <dgm:spPr/>
    </dgm:pt>
    <dgm:pt modelId="{B703BEFE-595C-4D1F-A3AE-6B9D9C7E18F2}" type="pres">
      <dgm:prSet presAssocID="{B1ECC6AD-E5F9-4CE5-8838-807BBA4B198C}" presName="rootText1" presStyleLbl="node0" presStyleIdx="0" presStyleCnt="1">
        <dgm:presLayoutVars>
          <dgm:chPref val="3"/>
        </dgm:presLayoutVars>
      </dgm:prSet>
      <dgm:spPr/>
      <dgm:t>
        <a:bodyPr/>
        <a:p>
          <a:endParaRPr lang="zh-CN" altLang="en-US"/>
        </a:p>
      </dgm:t>
    </dgm:pt>
    <dgm:pt modelId="{098AC73B-69F8-4116-8A49-920871796AE9}" type="pres">
      <dgm:prSet presAssocID="{B1ECC6AD-E5F9-4CE5-8838-807BBA4B198C}" presName="rootConnector1" presStyleCnt="0"/>
      <dgm:spPr/>
      <dgm:t>
        <a:bodyPr/>
        <a:p>
          <a:endParaRPr lang="zh-CN" altLang="en-US"/>
        </a:p>
      </dgm:t>
    </dgm:pt>
    <dgm:pt modelId="{4C8A6324-4237-48D1-9C8F-44847CE01AC1}" type="pres">
      <dgm:prSet presAssocID="{B1ECC6AD-E5F9-4CE5-8838-807BBA4B198C}" presName="hierChild2" presStyleCnt="0"/>
      <dgm:spPr/>
    </dgm:pt>
    <dgm:pt modelId="{85B56362-2EDF-4048-B162-C7D66083F40E}" type="pres">
      <dgm:prSet presAssocID="{90CDB2BD-E761-4894-9DE3-E13D4A51EDF8}" presName="Name37" presStyleLbl="parChTrans1D2" presStyleIdx="0" presStyleCnt="6"/>
      <dgm:spPr/>
      <dgm:t>
        <a:bodyPr/>
        <a:p>
          <a:endParaRPr lang="zh-CN" altLang="en-US"/>
        </a:p>
      </dgm:t>
    </dgm:pt>
    <dgm:pt modelId="{7E9F221D-B90D-42E2-AD53-5F331B76773C}" type="pres">
      <dgm:prSet presAssocID="{55DEBB8F-BD54-441F-97DC-DC5C43E6C0A7}" presName="hierRoot2" presStyleCnt="0">
        <dgm:presLayoutVars>
          <dgm:hierBranch val="init"/>
        </dgm:presLayoutVars>
      </dgm:prSet>
      <dgm:spPr/>
    </dgm:pt>
    <dgm:pt modelId="{DFC4AC48-D758-46F1-9522-193C1C6C7017}" type="pres">
      <dgm:prSet presAssocID="{55DEBB8F-BD54-441F-97DC-DC5C43E6C0A7}" presName="rootComposite" presStyleCnt="0"/>
      <dgm:spPr/>
    </dgm:pt>
    <dgm:pt modelId="{C27A570F-6D8E-43CD-93C0-5F3DBDA67462}" type="pres">
      <dgm:prSet presAssocID="{55DEBB8F-BD54-441F-97DC-DC5C43E6C0A7}" presName="rootText" presStyleLbl="node2" presStyleIdx="0" presStyleCnt="4">
        <dgm:presLayoutVars>
          <dgm:chPref val="3"/>
        </dgm:presLayoutVars>
      </dgm:prSet>
      <dgm:spPr/>
      <dgm:t>
        <a:bodyPr/>
        <a:p>
          <a:endParaRPr lang="zh-CN" altLang="en-US"/>
        </a:p>
      </dgm:t>
    </dgm:pt>
    <dgm:pt modelId="{FD6B0BC8-8828-4CBD-9275-5A15D8803B97}" type="pres">
      <dgm:prSet presAssocID="{55DEBB8F-BD54-441F-97DC-DC5C43E6C0A7}" presName="rootConnector" presStyleCnt="0"/>
      <dgm:spPr/>
      <dgm:t>
        <a:bodyPr/>
        <a:p>
          <a:endParaRPr lang="zh-CN" altLang="en-US"/>
        </a:p>
      </dgm:t>
    </dgm:pt>
    <dgm:pt modelId="{00578C2E-DA58-4F66-9598-C8ECCFEF2678}" type="pres">
      <dgm:prSet presAssocID="{55DEBB8F-BD54-441F-97DC-DC5C43E6C0A7}" presName="hierChild4" presStyleCnt="0"/>
      <dgm:spPr/>
    </dgm:pt>
    <dgm:pt modelId="{6B26E7A9-D06C-4799-86F1-077F7510B8B3}" type="pres">
      <dgm:prSet presAssocID="{55DEBB8F-BD54-441F-97DC-DC5C43E6C0A7}" presName="hierChild5" presStyleCnt="0"/>
      <dgm:spPr/>
    </dgm:pt>
    <dgm:pt modelId="{AE586AE3-E2FB-456A-969E-F9F1ABF27129}" type="pres">
      <dgm:prSet presAssocID="{614F3407-EB91-4F2A-B73E-0E5EB212D136}" presName="Name37" presStyleLbl="parChTrans1D2" presStyleIdx="1" presStyleCnt="6"/>
      <dgm:spPr/>
      <dgm:t>
        <a:bodyPr/>
        <a:p>
          <a:endParaRPr lang="zh-CN" altLang="en-US"/>
        </a:p>
      </dgm:t>
    </dgm:pt>
    <dgm:pt modelId="{866FF2A6-8979-41CC-9C7F-16B548AD0C38}" type="pres">
      <dgm:prSet presAssocID="{83030DBE-0D50-495E-9A5E-CA2A01762BE5}" presName="hierRoot2" presStyleCnt="0">
        <dgm:presLayoutVars>
          <dgm:hierBranch val="init"/>
        </dgm:presLayoutVars>
      </dgm:prSet>
      <dgm:spPr/>
    </dgm:pt>
    <dgm:pt modelId="{0952716F-B549-4F6B-978D-66CE1AE9940B}" type="pres">
      <dgm:prSet presAssocID="{83030DBE-0D50-495E-9A5E-CA2A01762BE5}" presName="rootComposite" presStyleCnt="0"/>
      <dgm:spPr/>
    </dgm:pt>
    <dgm:pt modelId="{C3B311C4-2393-49E2-B573-30BC9688FB6F}" type="pres">
      <dgm:prSet presAssocID="{83030DBE-0D50-495E-9A5E-CA2A01762BE5}" presName="rootText" presStyleLbl="node2" presStyleIdx="1" presStyleCnt="4">
        <dgm:presLayoutVars>
          <dgm:chPref val="3"/>
        </dgm:presLayoutVars>
      </dgm:prSet>
      <dgm:spPr/>
      <dgm:t>
        <a:bodyPr/>
        <a:p>
          <a:endParaRPr lang="zh-CN" altLang="en-US"/>
        </a:p>
      </dgm:t>
    </dgm:pt>
    <dgm:pt modelId="{60436285-C70B-473A-BBEA-E955EF3AEA5C}" type="pres">
      <dgm:prSet presAssocID="{83030DBE-0D50-495E-9A5E-CA2A01762BE5}" presName="rootConnector" presStyleCnt="0"/>
      <dgm:spPr/>
      <dgm:t>
        <a:bodyPr/>
        <a:p>
          <a:endParaRPr lang="zh-CN" altLang="en-US"/>
        </a:p>
      </dgm:t>
    </dgm:pt>
    <dgm:pt modelId="{9FA79B49-DAFC-49AD-9B5F-1FB87FCAAC72}" type="pres">
      <dgm:prSet presAssocID="{83030DBE-0D50-495E-9A5E-CA2A01762BE5}" presName="hierChild4" presStyleCnt="0"/>
      <dgm:spPr/>
    </dgm:pt>
    <dgm:pt modelId="{5B8E6679-2335-4EBD-9E64-FC77A231B6B9}" type="pres">
      <dgm:prSet presAssocID="{83030DBE-0D50-495E-9A5E-CA2A01762BE5}" presName="hierChild5" presStyleCnt="0"/>
      <dgm:spPr/>
    </dgm:pt>
    <dgm:pt modelId="{55DC8E4D-20C9-42EF-8384-93471ED91831}" type="pres">
      <dgm:prSet presAssocID="{0D697E7E-473C-44CA-BAD5-575BD3FEFF05}" presName="Name37" presStyleLbl="parChTrans1D2" presStyleIdx="2" presStyleCnt="6"/>
      <dgm:spPr/>
      <dgm:t>
        <a:bodyPr/>
        <a:p>
          <a:endParaRPr lang="zh-CN" altLang="en-US"/>
        </a:p>
      </dgm:t>
    </dgm:pt>
    <dgm:pt modelId="{4751AB86-84FF-4482-8DA8-8CDDF0543705}" type="pres">
      <dgm:prSet presAssocID="{4DBAFF91-F332-4E77-AB93-EB76D6CB03D8}" presName="hierRoot2" presStyleCnt="0">
        <dgm:presLayoutVars>
          <dgm:hierBranch val="init"/>
        </dgm:presLayoutVars>
      </dgm:prSet>
      <dgm:spPr/>
    </dgm:pt>
    <dgm:pt modelId="{493E7027-50D1-4036-9615-F32A0E878841}" type="pres">
      <dgm:prSet presAssocID="{4DBAFF91-F332-4E77-AB93-EB76D6CB03D8}" presName="rootComposite" presStyleCnt="0"/>
      <dgm:spPr/>
    </dgm:pt>
    <dgm:pt modelId="{A800DA4C-249F-439B-825A-E917AC1FA5CA}" type="pres">
      <dgm:prSet presAssocID="{4DBAFF91-F332-4E77-AB93-EB76D6CB03D8}" presName="rootText" presStyleLbl="node2" presStyleIdx="2" presStyleCnt="4">
        <dgm:presLayoutVars>
          <dgm:chPref val="3"/>
        </dgm:presLayoutVars>
      </dgm:prSet>
      <dgm:spPr/>
      <dgm:t>
        <a:bodyPr/>
        <a:p>
          <a:endParaRPr lang="zh-CN" altLang="en-US"/>
        </a:p>
      </dgm:t>
    </dgm:pt>
    <dgm:pt modelId="{E1D2048E-4E2A-4130-8A37-AD7D6B65F0FA}" type="pres">
      <dgm:prSet presAssocID="{4DBAFF91-F332-4E77-AB93-EB76D6CB03D8}" presName="rootConnector" presStyleCnt="0"/>
      <dgm:spPr/>
      <dgm:t>
        <a:bodyPr/>
        <a:p>
          <a:endParaRPr lang="zh-CN" altLang="en-US"/>
        </a:p>
      </dgm:t>
    </dgm:pt>
    <dgm:pt modelId="{ABAECB24-887F-483E-A024-4D2591E6BFC9}" type="pres">
      <dgm:prSet presAssocID="{4DBAFF91-F332-4E77-AB93-EB76D6CB03D8}" presName="hierChild4" presStyleCnt="0"/>
      <dgm:spPr/>
    </dgm:pt>
    <dgm:pt modelId="{C21BB17B-EC18-4B3A-ABA7-BFAB3A314E84}" type="pres">
      <dgm:prSet presAssocID="{4DBAFF91-F332-4E77-AB93-EB76D6CB03D8}" presName="hierChild5" presStyleCnt="0"/>
      <dgm:spPr/>
    </dgm:pt>
    <dgm:pt modelId="{898F5CAF-07E1-45F4-B56E-E04159AB0977}" type="pres">
      <dgm:prSet presAssocID="{9803B863-B2D4-4E0B-8B6D-153616AA18AF}" presName="Name37" presStyleLbl="parChTrans1D2" presStyleIdx="3" presStyleCnt="6"/>
      <dgm:spPr/>
      <dgm:t>
        <a:bodyPr/>
        <a:p>
          <a:endParaRPr lang="zh-CN" altLang="en-US"/>
        </a:p>
      </dgm:t>
    </dgm:pt>
    <dgm:pt modelId="{3696886D-703C-4602-9F59-D0A4224EE58F}" type="pres">
      <dgm:prSet presAssocID="{97AB67E1-120D-4E11-83C4-4D1A6BD50969}" presName="hierRoot2" presStyleCnt="0">
        <dgm:presLayoutVars>
          <dgm:hierBranch val="init"/>
        </dgm:presLayoutVars>
      </dgm:prSet>
      <dgm:spPr/>
    </dgm:pt>
    <dgm:pt modelId="{6FA2F4A9-C762-42A5-9F34-A54A10A7345A}" type="pres">
      <dgm:prSet presAssocID="{97AB67E1-120D-4E11-83C4-4D1A6BD50969}" presName="rootComposite" presStyleCnt="0"/>
      <dgm:spPr/>
    </dgm:pt>
    <dgm:pt modelId="{68E60F7A-2500-440D-AECC-30C91689F43D}" type="pres">
      <dgm:prSet presAssocID="{97AB67E1-120D-4E11-83C4-4D1A6BD50969}" presName="rootText" presStyleLbl="node2" presStyleIdx="3" presStyleCnt="4">
        <dgm:presLayoutVars>
          <dgm:chPref val="3"/>
        </dgm:presLayoutVars>
      </dgm:prSet>
      <dgm:spPr/>
      <dgm:t>
        <a:bodyPr/>
        <a:p>
          <a:endParaRPr lang="zh-CN" altLang="en-US"/>
        </a:p>
      </dgm:t>
    </dgm:pt>
    <dgm:pt modelId="{DD635A7A-6CEE-4563-8454-E3F996321DC5}" type="pres">
      <dgm:prSet presAssocID="{97AB67E1-120D-4E11-83C4-4D1A6BD50969}" presName="rootConnector" presStyleCnt="0"/>
      <dgm:spPr/>
      <dgm:t>
        <a:bodyPr/>
        <a:p>
          <a:endParaRPr lang="zh-CN" altLang="en-US"/>
        </a:p>
      </dgm:t>
    </dgm:pt>
    <dgm:pt modelId="{A43D21CB-E9B7-4D14-8CBD-A86428E7638B}" type="pres">
      <dgm:prSet presAssocID="{97AB67E1-120D-4E11-83C4-4D1A6BD50969}" presName="hierChild4" presStyleCnt="0"/>
      <dgm:spPr/>
    </dgm:pt>
    <dgm:pt modelId="{E29324D9-CC68-4F09-8B3C-3CA09D5104BA}" type="pres">
      <dgm:prSet presAssocID="{97AB67E1-120D-4E11-83C4-4D1A6BD50969}" presName="hierChild5" presStyleCnt="0"/>
      <dgm:spPr/>
    </dgm:pt>
    <dgm:pt modelId="{0C385248-BC7B-42D0-9D8C-FFB9E40CA15D}" type="pres">
      <dgm:prSet presAssocID="{B1ECC6AD-E5F9-4CE5-8838-807BBA4B198C}" presName="hierChild3" presStyleCnt="0"/>
      <dgm:spPr/>
    </dgm:pt>
    <dgm:pt modelId="{72BF2EFC-A001-44C0-9051-9E31A5BAA739}" type="pres">
      <dgm:prSet presAssocID="{C9DF2DD3-83D5-4FA9-B362-8FE074992DD8}" presName="Name111" presStyleLbl="parChTrans1D2" presStyleIdx="4" presStyleCnt="6"/>
      <dgm:spPr/>
      <dgm:t>
        <a:bodyPr/>
        <a:p>
          <a:endParaRPr lang="zh-CN" altLang="en-US"/>
        </a:p>
      </dgm:t>
    </dgm:pt>
    <dgm:pt modelId="{E38DADA3-2280-4830-A6FD-33A16CF59621}" type="pres">
      <dgm:prSet presAssocID="{B4617C1E-C706-42DA-B787-616AB04F4416}" presName="hierRoot3" presStyleCnt="0">
        <dgm:presLayoutVars>
          <dgm:hierBranch val="init"/>
        </dgm:presLayoutVars>
      </dgm:prSet>
      <dgm:spPr/>
    </dgm:pt>
    <dgm:pt modelId="{D97E023E-8226-41D9-916C-344B9ADA34ED}" type="pres">
      <dgm:prSet presAssocID="{B4617C1E-C706-42DA-B787-616AB04F4416}" presName="rootComposite3" presStyleCnt="0"/>
      <dgm:spPr/>
    </dgm:pt>
    <dgm:pt modelId="{C917DA84-CC21-4223-88C7-C3414C31D8C7}" type="pres">
      <dgm:prSet presAssocID="{B4617C1E-C706-42DA-B787-616AB04F4416}" presName="rootText3" presStyleLbl="asst1" presStyleIdx="0" presStyleCnt="2">
        <dgm:presLayoutVars>
          <dgm:chPref val="3"/>
        </dgm:presLayoutVars>
      </dgm:prSet>
      <dgm:spPr/>
      <dgm:t>
        <a:bodyPr/>
        <a:p>
          <a:endParaRPr lang="zh-CN" altLang="en-US"/>
        </a:p>
      </dgm:t>
    </dgm:pt>
    <dgm:pt modelId="{78742086-20B6-40D1-AF72-A90EAF63F099}" type="pres">
      <dgm:prSet presAssocID="{B4617C1E-C706-42DA-B787-616AB04F4416}" presName="rootConnector3" presStyleCnt="0"/>
      <dgm:spPr/>
      <dgm:t>
        <a:bodyPr/>
        <a:p>
          <a:endParaRPr lang="zh-CN" altLang="en-US"/>
        </a:p>
      </dgm:t>
    </dgm:pt>
    <dgm:pt modelId="{9C308E23-36BD-42D0-9B39-DE25405DC533}" type="pres">
      <dgm:prSet presAssocID="{B4617C1E-C706-42DA-B787-616AB04F4416}" presName="hierChild6" presStyleCnt="0"/>
      <dgm:spPr/>
    </dgm:pt>
    <dgm:pt modelId="{B2D4D5F8-8FF4-4EF6-B9FA-9A5B1212FECA}" type="pres">
      <dgm:prSet presAssocID="{B4617C1E-C706-42DA-B787-616AB04F4416}" presName="hierChild7" presStyleCnt="0"/>
      <dgm:spPr/>
    </dgm:pt>
    <dgm:pt modelId="{0F85A629-9FD5-48C1-A451-59B14BD664B6}" type="pres">
      <dgm:prSet presAssocID="{58ADE605-5DC1-4FF2-A619-2D106AA0DC07}" presName="Name111" presStyleLbl="parChTrans1D2" presStyleIdx="5" presStyleCnt="6"/>
      <dgm:spPr/>
      <dgm:t>
        <a:bodyPr/>
        <a:p>
          <a:endParaRPr lang="zh-CN" altLang="en-US"/>
        </a:p>
      </dgm:t>
    </dgm:pt>
    <dgm:pt modelId="{E1373DC9-4D55-4F93-95B4-4BD8FD6FCDE1}" type="pres">
      <dgm:prSet presAssocID="{3B7F570D-3AA5-48D1-9FC5-BA891BC46E6D}" presName="hierRoot3" presStyleCnt="0">
        <dgm:presLayoutVars>
          <dgm:hierBranch val="init"/>
        </dgm:presLayoutVars>
      </dgm:prSet>
      <dgm:spPr/>
    </dgm:pt>
    <dgm:pt modelId="{EF747C90-C66D-4213-88C7-1BC2C2754D33}" type="pres">
      <dgm:prSet presAssocID="{3B7F570D-3AA5-48D1-9FC5-BA891BC46E6D}" presName="rootComposite3" presStyleCnt="0"/>
      <dgm:spPr/>
    </dgm:pt>
    <dgm:pt modelId="{A3F0D15A-F26B-4ED9-AA8C-6C66F2DABB29}" type="pres">
      <dgm:prSet presAssocID="{3B7F570D-3AA5-48D1-9FC5-BA891BC46E6D}" presName="rootText3" presStyleLbl="asst1" presStyleIdx="1" presStyleCnt="2">
        <dgm:presLayoutVars>
          <dgm:chPref val="3"/>
        </dgm:presLayoutVars>
      </dgm:prSet>
      <dgm:spPr/>
      <dgm:t>
        <a:bodyPr/>
        <a:p>
          <a:endParaRPr lang="zh-CN" altLang="en-US"/>
        </a:p>
      </dgm:t>
    </dgm:pt>
    <dgm:pt modelId="{CED74FB4-502C-4A57-A7EF-483FCB3D515C}" type="pres">
      <dgm:prSet presAssocID="{3B7F570D-3AA5-48D1-9FC5-BA891BC46E6D}" presName="rootConnector3" presStyleCnt="0"/>
      <dgm:spPr/>
      <dgm:t>
        <a:bodyPr/>
        <a:p>
          <a:endParaRPr lang="zh-CN" altLang="en-US"/>
        </a:p>
      </dgm:t>
    </dgm:pt>
    <dgm:pt modelId="{01059E6B-3FED-4A72-BDFD-34D2F44AF464}" type="pres">
      <dgm:prSet presAssocID="{3B7F570D-3AA5-48D1-9FC5-BA891BC46E6D}" presName="hierChild6" presStyleCnt="0"/>
      <dgm:spPr/>
    </dgm:pt>
    <dgm:pt modelId="{26F4BA7C-76EA-43C7-931B-1A49EAD68BE2}" type="pres">
      <dgm:prSet presAssocID="{3B7F570D-3AA5-48D1-9FC5-BA891BC46E6D}" presName="hierChild7" presStyleCnt="0"/>
      <dgm:spPr/>
    </dgm:pt>
  </dgm:ptLst>
  <dgm:cxnLst>
    <dgm:cxn modelId="{805BC720-B99B-44FC-8949-D8866B50F366}" srcId="{9AF40B69-2F3C-4A9A-9FD8-4A8D5884F5B6}" destId="{B1ECC6AD-E5F9-4CE5-8838-807BBA4B198C}" srcOrd="0" destOrd="0" parTransId="{2CD3C66D-4CA4-4AD4-AB08-1452C27241E0}" sibTransId="{0B9B290A-9304-44D7-9F43-7B7E01F46A09}"/>
    <dgm:cxn modelId="{8010D69A-5D67-41DC-96CA-6DD9D4BE60F1}" srcId="{B1ECC6AD-E5F9-4CE5-8838-807BBA4B198C}" destId="{B4617C1E-C706-42DA-B787-616AB04F4416}" srcOrd="0" destOrd="0" parTransId="{C9DF2DD3-83D5-4FA9-B362-8FE074992DD8}" sibTransId="{46976012-34A0-46FE-9124-06AD86A1A7AE}"/>
    <dgm:cxn modelId="{07BB01A0-E63F-41B1-A1FA-6180452C9061}" srcId="{B1ECC6AD-E5F9-4CE5-8838-807BBA4B198C}" destId="{55DEBB8F-BD54-441F-97DC-DC5C43E6C0A7}" srcOrd="1" destOrd="0" parTransId="{90CDB2BD-E761-4894-9DE3-E13D4A51EDF8}" sibTransId="{CA74B306-F65B-4316-A398-62B6E9AA25AF}"/>
    <dgm:cxn modelId="{8CE54057-97C9-4509-8F03-7133B3D1C7B8}" srcId="{B1ECC6AD-E5F9-4CE5-8838-807BBA4B198C}" destId="{83030DBE-0D50-495E-9A5E-CA2A01762BE5}" srcOrd="2" destOrd="0" parTransId="{614F3407-EB91-4F2A-B73E-0E5EB212D136}" sibTransId="{B00283A9-5EB1-4558-B05A-DDCF2C6725D2}"/>
    <dgm:cxn modelId="{32DA351B-E0E6-4C8D-A0A3-5C81E5A09303}" srcId="{B1ECC6AD-E5F9-4CE5-8838-807BBA4B198C}" destId="{4DBAFF91-F332-4E77-AB93-EB76D6CB03D8}" srcOrd="3" destOrd="0" parTransId="{0D697E7E-473C-44CA-BAD5-575BD3FEFF05}" sibTransId="{25446E05-5139-4C81-A809-DF92BA21C8B8}"/>
    <dgm:cxn modelId="{A0AF3B04-4F27-4F1F-BF58-A799C81D04E1}" srcId="{B1ECC6AD-E5F9-4CE5-8838-807BBA4B198C}" destId="{97AB67E1-120D-4E11-83C4-4D1A6BD50969}" srcOrd="4" destOrd="0" parTransId="{9803B863-B2D4-4E0B-8B6D-153616AA18AF}" sibTransId="{A1B7FCF9-333E-47E0-82FB-BF2764A77830}"/>
    <dgm:cxn modelId="{3222056B-119F-48BD-9EFF-24F39A8EF86C}" srcId="{B1ECC6AD-E5F9-4CE5-8838-807BBA4B198C}" destId="{3B7F570D-3AA5-48D1-9FC5-BA891BC46E6D}" srcOrd="5" destOrd="0" parTransId="{58ADE605-5DC1-4FF2-A619-2D106AA0DC07}" sibTransId="{65F89904-C494-45AB-B94B-DDB49CF72F32}"/>
    <dgm:cxn modelId="{10F77D4C-F677-457C-89A6-99F33380E099}" type="presOf" srcId="{9AF40B69-2F3C-4A9A-9FD8-4A8D5884F5B6}" destId="{36884D8A-A78E-4D35-BBA7-28A80B915BE8}" srcOrd="0" destOrd="0" presId="urn:microsoft.com/office/officeart/2005/8/layout/orgChart1"/>
    <dgm:cxn modelId="{FF6FD187-761C-4ACC-8191-91EA12B28034}" type="presParOf" srcId="{36884D8A-A78E-4D35-BBA7-28A80B915BE8}" destId="{DAB705CF-7F55-4D1C-A339-3ABBDA16CA39}" srcOrd="0" destOrd="0" presId="urn:microsoft.com/office/officeart/2005/8/layout/orgChart1"/>
    <dgm:cxn modelId="{DCC220ED-0E9C-44E2-9E12-EDC2C2367AD0}" type="presParOf" srcId="{DAB705CF-7F55-4D1C-A339-3ABBDA16CA39}" destId="{A8186A9B-7B2D-4719-8383-95C6D1898770}" srcOrd="0" destOrd="0" presId="urn:microsoft.com/office/officeart/2005/8/layout/orgChart1"/>
    <dgm:cxn modelId="{A6550766-9A29-460B-B141-41E8F4D8E0A2}" type="presOf" srcId="{B1ECC6AD-E5F9-4CE5-8838-807BBA4B198C}" destId="{A8186A9B-7B2D-4719-8383-95C6D1898770}" srcOrd="0" destOrd="0" presId="urn:microsoft.com/office/officeart/2005/8/layout/orgChart1"/>
    <dgm:cxn modelId="{28741914-2FF9-4A98-B8BC-5EEC11271C74}" type="presParOf" srcId="{A8186A9B-7B2D-4719-8383-95C6D1898770}" destId="{B703BEFE-595C-4D1F-A3AE-6B9D9C7E18F2}" srcOrd="0" destOrd="0" presId="urn:microsoft.com/office/officeart/2005/8/layout/orgChart1"/>
    <dgm:cxn modelId="{0A1070DB-4248-4EB5-9292-6661AA6ED2D6}" type="presOf" srcId="{B1ECC6AD-E5F9-4CE5-8838-807BBA4B198C}" destId="{B703BEFE-595C-4D1F-A3AE-6B9D9C7E18F2}" srcOrd="0" destOrd="0" presId="urn:microsoft.com/office/officeart/2005/8/layout/orgChart1"/>
    <dgm:cxn modelId="{4D859B00-BD15-427D-BE51-135281EBFB2D}" type="presParOf" srcId="{A8186A9B-7B2D-4719-8383-95C6D1898770}" destId="{098AC73B-69F8-4116-8A49-920871796AE9}" srcOrd="1" destOrd="0" presId="urn:microsoft.com/office/officeart/2005/8/layout/orgChart1"/>
    <dgm:cxn modelId="{CA0CBC6F-AB6C-4A95-830D-99CDCE8FB663}" type="presOf" srcId="{B1ECC6AD-E5F9-4CE5-8838-807BBA4B198C}" destId="{098AC73B-69F8-4116-8A49-920871796AE9}" srcOrd="0" destOrd="0" presId="urn:microsoft.com/office/officeart/2005/8/layout/orgChart1"/>
    <dgm:cxn modelId="{3F4422FF-2062-4630-A67C-6493AEE3B5DE}" type="presParOf" srcId="{DAB705CF-7F55-4D1C-A339-3ABBDA16CA39}" destId="{4C8A6324-4237-48D1-9C8F-44847CE01AC1}" srcOrd="1" destOrd="0" presId="urn:microsoft.com/office/officeart/2005/8/layout/orgChart1"/>
    <dgm:cxn modelId="{062E2C1A-2FAC-4AEB-9F07-142C37A18B84}" type="presParOf" srcId="{4C8A6324-4237-48D1-9C8F-44847CE01AC1}" destId="{85B56362-2EDF-4048-B162-C7D66083F40E}" srcOrd="0" destOrd="1" presId="urn:microsoft.com/office/officeart/2005/8/layout/orgChart1"/>
    <dgm:cxn modelId="{2251681A-F45E-494A-B511-36A062387F49}" type="presOf" srcId="{90CDB2BD-E761-4894-9DE3-E13D4A51EDF8}" destId="{85B56362-2EDF-4048-B162-C7D66083F40E}" srcOrd="0" destOrd="0" presId="urn:microsoft.com/office/officeart/2005/8/layout/orgChart1"/>
    <dgm:cxn modelId="{62A05410-8A21-4D6C-938D-E5C1EE86CF38}" type="presParOf" srcId="{4C8A6324-4237-48D1-9C8F-44847CE01AC1}" destId="{7E9F221D-B90D-42E2-AD53-5F331B76773C}" srcOrd="1" destOrd="1" presId="urn:microsoft.com/office/officeart/2005/8/layout/orgChart1"/>
    <dgm:cxn modelId="{BE40AE5F-3D4C-4E35-A562-E15A8BE924F6}" type="presParOf" srcId="{7E9F221D-B90D-42E2-AD53-5F331B76773C}" destId="{DFC4AC48-D758-46F1-9522-193C1C6C7017}" srcOrd="0" destOrd="1" presId="urn:microsoft.com/office/officeart/2005/8/layout/orgChart1"/>
    <dgm:cxn modelId="{369FAF07-6D05-4ADE-B42F-38F8EA659F0A}" type="presOf" srcId="{55DEBB8F-BD54-441F-97DC-DC5C43E6C0A7}" destId="{DFC4AC48-D758-46F1-9522-193C1C6C7017}" srcOrd="0" destOrd="0" presId="urn:microsoft.com/office/officeart/2005/8/layout/orgChart1"/>
    <dgm:cxn modelId="{EC57CB71-C43D-4BBA-9ECA-C02C57CAEFEE}" type="presParOf" srcId="{DFC4AC48-D758-46F1-9522-193C1C6C7017}" destId="{C27A570F-6D8E-43CD-93C0-5F3DBDA67462}" srcOrd="0" destOrd="0" presId="urn:microsoft.com/office/officeart/2005/8/layout/orgChart1"/>
    <dgm:cxn modelId="{CFED701F-2BAA-4585-9FB1-ABDA4CA12386}" type="presOf" srcId="{55DEBB8F-BD54-441F-97DC-DC5C43E6C0A7}" destId="{C27A570F-6D8E-43CD-93C0-5F3DBDA67462}" srcOrd="0" destOrd="0" presId="urn:microsoft.com/office/officeart/2005/8/layout/orgChart1"/>
    <dgm:cxn modelId="{AF9F0AF8-ADF6-47B1-B208-A4DE51F7DCF6}" type="presParOf" srcId="{DFC4AC48-D758-46F1-9522-193C1C6C7017}" destId="{FD6B0BC8-8828-4CBD-9275-5A15D8803B97}" srcOrd="1" destOrd="0" presId="urn:microsoft.com/office/officeart/2005/8/layout/orgChart1"/>
    <dgm:cxn modelId="{959CB5F4-BF5D-47C6-A0E5-23AB8164781E}" type="presOf" srcId="{55DEBB8F-BD54-441F-97DC-DC5C43E6C0A7}" destId="{FD6B0BC8-8828-4CBD-9275-5A15D8803B97}" srcOrd="0" destOrd="0" presId="urn:microsoft.com/office/officeart/2005/8/layout/orgChart1"/>
    <dgm:cxn modelId="{52A95896-23DA-4F71-A0DD-10943E187585}" type="presParOf" srcId="{7E9F221D-B90D-42E2-AD53-5F331B76773C}" destId="{00578C2E-DA58-4F66-9598-C8ECCFEF2678}" srcOrd="1" destOrd="1" presId="urn:microsoft.com/office/officeart/2005/8/layout/orgChart1"/>
    <dgm:cxn modelId="{EEB49DD8-36D7-4A0C-86D9-C3FE29C134EC}" type="presParOf" srcId="{7E9F221D-B90D-42E2-AD53-5F331B76773C}" destId="{6B26E7A9-D06C-4799-86F1-077F7510B8B3}" srcOrd="2" destOrd="1" presId="urn:microsoft.com/office/officeart/2005/8/layout/orgChart1"/>
    <dgm:cxn modelId="{462CC2BA-985D-4866-AAC7-BCA2119AEC83}" type="presParOf" srcId="{4C8A6324-4237-48D1-9C8F-44847CE01AC1}" destId="{AE586AE3-E2FB-456A-969E-F9F1ABF27129}" srcOrd="2" destOrd="1" presId="urn:microsoft.com/office/officeart/2005/8/layout/orgChart1"/>
    <dgm:cxn modelId="{474C5768-D79C-45B4-8409-D2131F7501E0}" type="presOf" srcId="{614F3407-EB91-4F2A-B73E-0E5EB212D136}" destId="{AE586AE3-E2FB-456A-969E-F9F1ABF27129}" srcOrd="0" destOrd="0" presId="urn:microsoft.com/office/officeart/2005/8/layout/orgChart1"/>
    <dgm:cxn modelId="{9C509C60-30B2-4044-8CE3-034B83254DCC}" type="presParOf" srcId="{4C8A6324-4237-48D1-9C8F-44847CE01AC1}" destId="{866FF2A6-8979-41CC-9C7F-16B548AD0C38}" srcOrd="3" destOrd="1" presId="urn:microsoft.com/office/officeart/2005/8/layout/orgChart1"/>
    <dgm:cxn modelId="{9284C881-FF29-4FFD-919E-E83DA89404B2}" type="presParOf" srcId="{866FF2A6-8979-41CC-9C7F-16B548AD0C38}" destId="{0952716F-B549-4F6B-978D-66CE1AE9940B}" srcOrd="0" destOrd="3" presId="urn:microsoft.com/office/officeart/2005/8/layout/orgChart1"/>
    <dgm:cxn modelId="{B4487813-7654-45AE-8C57-B768798D30F1}" type="presOf" srcId="{83030DBE-0D50-495E-9A5E-CA2A01762BE5}" destId="{0952716F-B549-4F6B-978D-66CE1AE9940B}" srcOrd="0" destOrd="0" presId="urn:microsoft.com/office/officeart/2005/8/layout/orgChart1"/>
    <dgm:cxn modelId="{3FE93A28-C05A-4C44-8D83-936BAAE7DA3A}" type="presParOf" srcId="{0952716F-B549-4F6B-978D-66CE1AE9940B}" destId="{C3B311C4-2393-49E2-B573-30BC9688FB6F}" srcOrd="0" destOrd="0" presId="urn:microsoft.com/office/officeart/2005/8/layout/orgChart1"/>
    <dgm:cxn modelId="{FF52F02F-DB4A-4938-B66A-B00317C65716}" type="presOf" srcId="{83030DBE-0D50-495E-9A5E-CA2A01762BE5}" destId="{C3B311C4-2393-49E2-B573-30BC9688FB6F}" srcOrd="0" destOrd="0" presId="urn:microsoft.com/office/officeart/2005/8/layout/orgChart1"/>
    <dgm:cxn modelId="{0A7A6DDB-E32C-4C60-B2FF-D676454B7482}" type="presParOf" srcId="{0952716F-B549-4F6B-978D-66CE1AE9940B}" destId="{60436285-C70B-473A-BBEA-E955EF3AEA5C}" srcOrd="1" destOrd="0" presId="urn:microsoft.com/office/officeart/2005/8/layout/orgChart1"/>
    <dgm:cxn modelId="{B20FA1FC-DE4D-4678-9CFF-7B6F328DEEAD}" type="presOf" srcId="{83030DBE-0D50-495E-9A5E-CA2A01762BE5}" destId="{60436285-C70B-473A-BBEA-E955EF3AEA5C}" srcOrd="0" destOrd="0" presId="urn:microsoft.com/office/officeart/2005/8/layout/orgChart1"/>
    <dgm:cxn modelId="{75FC27AE-C1D2-452A-B0F2-E89A78337CD8}" type="presParOf" srcId="{866FF2A6-8979-41CC-9C7F-16B548AD0C38}" destId="{9FA79B49-DAFC-49AD-9B5F-1FB87FCAAC72}" srcOrd="1" destOrd="3" presId="urn:microsoft.com/office/officeart/2005/8/layout/orgChart1"/>
    <dgm:cxn modelId="{5420BDDD-E2A9-40DC-AEDE-AB76C1359F14}" type="presParOf" srcId="{866FF2A6-8979-41CC-9C7F-16B548AD0C38}" destId="{5B8E6679-2335-4EBD-9E64-FC77A231B6B9}" srcOrd="2" destOrd="3" presId="urn:microsoft.com/office/officeart/2005/8/layout/orgChart1"/>
    <dgm:cxn modelId="{4F5754FC-471C-4A1D-B00F-3CA2A03C3516}" type="presParOf" srcId="{4C8A6324-4237-48D1-9C8F-44847CE01AC1}" destId="{55DC8E4D-20C9-42EF-8384-93471ED91831}" srcOrd="4" destOrd="1" presId="urn:microsoft.com/office/officeart/2005/8/layout/orgChart1"/>
    <dgm:cxn modelId="{995D50DC-620B-4B8B-93CC-8FCF1CA3B27B}" type="presOf" srcId="{0D697E7E-473C-44CA-BAD5-575BD3FEFF05}" destId="{55DC8E4D-20C9-42EF-8384-93471ED91831}" srcOrd="0" destOrd="0" presId="urn:microsoft.com/office/officeart/2005/8/layout/orgChart1"/>
    <dgm:cxn modelId="{D62C288C-87D8-489D-8087-5BF63315660C}" type="presParOf" srcId="{4C8A6324-4237-48D1-9C8F-44847CE01AC1}" destId="{4751AB86-84FF-4482-8DA8-8CDDF0543705}" srcOrd="5" destOrd="1" presId="urn:microsoft.com/office/officeart/2005/8/layout/orgChart1"/>
    <dgm:cxn modelId="{B2B91CAA-3C31-41FD-AC58-9839DBCCD905}" type="presParOf" srcId="{4751AB86-84FF-4482-8DA8-8CDDF0543705}" destId="{493E7027-50D1-4036-9615-F32A0E878841}" srcOrd="0" destOrd="5" presId="urn:microsoft.com/office/officeart/2005/8/layout/orgChart1"/>
    <dgm:cxn modelId="{785A57C5-5A26-464C-93EE-35385C6350D9}" type="presOf" srcId="{4DBAFF91-F332-4E77-AB93-EB76D6CB03D8}" destId="{493E7027-50D1-4036-9615-F32A0E878841}" srcOrd="0" destOrd="0" presId="urn:microsoft.com/office/officeart/2005/8/layout/orgChart1"/>
    <dgm:cxn modelId="{0F407326-49BD-4C29-8006-969B1E842DD5}" type="presParOf" srcId="{493E7027-50D1-4036-9615-F32A0E878841}" destId="{A800DA4C-249F-439B-825A-E917AC1FA5CA}" srcOrd="0" destOrd="0" presId="urn:microsoft.com/office/officeart/2005/8/layout/orgChart1"/>
    <dgm:cxn modelId="{5BEC4F9E-D13B-47C2-A8BC-B164CEEB44BA}" type="presOf" srcId="{4DBAFF91-F332-4E77-AB93-EB76D6CB03D8}" destId="{A800DA4C-249F-439B-825A-E917AC1FA5CA}" srcOrd="0" destOrd="0" presId="urn:microsoft.com/office/officeart/2005/8/layout/orgChart1"/>
    <dgm:cxn modelId="{460B0DEF-4946-4834-BBAC-0C7E8F467313}" type="presParOf" srcId="{493E7027-50D1-4036-9615-F32A0E878841}" destId="{E1D2048E-4E2A-4130-8A37-AD7D6B65F0FA}" srcOrd="1" destOrd="0" presId="urn:microsoft.com/office/officeart/2005/8/layout/orgChart1"/>
    <dgm:cxn modelId="{9C469233-6B09-42E4-B082-FFBFBDDF7B80}" type="presOf" srcId="{4DBAFF91-F332-4E77-AB93-EB76D6CB03D8}" destId="{E1D2048E-4E2A-4130-8A37-AD7D6B65F0FA}" srcOrd="0" destOrd="0" presId="urn:microsoft.com/office/officeart/2005/8/layout/orgChart1"/>
    <dgm:cxn modelId="{3DF15AD3-CFCE-4AAC-863B-A28A996DD057}" type="presParOf" srcId="{4751AB86-84FF-4482-8DA8-8CDDF0543705}" destId="{ABAECB24-887F-483E-A024-4D2591E6BFC9}" srcOrd="1" destOrd="5" presId="urn:microsoft.com/office/officeart/2005/8/layout/orgChart1"/>
    <dgm:cxn modelId="{1B010BFD-5F44-484C-B573-5ECB0BC620CA}" type="presParOf" srcId="{4751AB86-84FF-4482-8DA8-8CDDF0543705}" destId="{C21BB17B-EC18-4B3A-ABA7-BFAB3A314E84}" srcOrd="2" destOrd="5" presId="urn:microsoft.com/office/officeart/2005/8/layout/orgChart1"/>
    <dgm:cxn modelId="{AA71F373-5622-49C0-8C1C-98605BDB6AB5}" type="presParOf" srcId="{4C8A6324-4237-48D1-9C8F-44847CE01AC1}" destId="{898F5CAF-07E1-45F4-B56E-E04159AB0977}" srcOrd="6" destOrd="1" presId="urn:microsoft.com/office/officeart/2005/8/layout/orgChart1"/>
    <dgm:cxn modelId="{A6CAB625-6445-46A8-82B2-E03E3FE9E064}" type="presOf" srcId="{9803B863-B2D4-4E0B-8B6D-153616AA18AF}" destId="{898F5CAF-07E1-45F4-B56E-E04159AB0977}" srcOrd="0" destOrd="0" presId="urn:microsoft.com/office/officeart/2005/8/layout/orgChart1"/>
    <dgm:cxn modelId="{B2F4FD63-3A22-4E2C-BEA7-F17FE6D52053}" type="presParOf" srcId="{4C8A6324-4237-48D1-9C8F-44847CE01AC1}" destId="{3696886D-703C-4602-9F59-D0A4224EE58F}" srcOrd="7" destOrd="1" presId="urn:microsoft.com/office/officeart/2005/8/layout/orgChart1"/>
    <dgm:cxn modelId="{3E01CF38-6FA8-4387-8536-3FDF152F85A3}" type="presParOf" srcId="{3696886D-703C-4602-9F59-D0A4224EE58F}" destId="{6FA2F4A9-C762-42A5-9F34-A54A10A7345A}" srcOrd="0" destOrd="7" presId="urn:microsoft.com/office/officeart/2005/8/layout/orgChart1"/>
    <dgm:cxn modelId="{B99BABFF-FB67-4D92-B8EB-057C7025EF34}" type="presOf" srcId="{97AB67E1-120D-4E11-83C4-4D1A6BD50969}" destId="{6FA2F4A9-C762-42A5-9F34-A54A10A7345A}" srcOrd="0" destOrd="0" presId="urn:microsoft.com/office/officeart/2005/8/layout/orgChart1"/>
    <dgm:cxn modelId="{C28B7DF7-5964-4E6E-B801-47774DEFD945}" type="presParOf" srcId="{6FA2F4A9-C762-42A5-9F34-A54A10A7345A}" destId="{68E60F7A-2500-440D-AECC-30C91689F43D}" srcOrd="0" destOrd="0" presId="urn:microsoft.com/office/officeart/2005/8/layout/orgChart1"/>
    <dgm:cxn modelId="{0BC545BD-19BC-4E99-84B3-D37FC74913CB}" type="presOf" srcId="{97AB67E1-120D-4E11-83C4-4D1A6BD50969}" destId="{68E60F7A-2500-440D-AECC-30C91689F43D}" srcOrd="0" destOrd="0" presId="urn:microsoft.com/office/officeart/2005/8/layout/orgChart1"/>
    <dgm:cxn modelId="{F8B74F49-55FC-4D23-9F12-51BF5F82094C}" type="presParOf" srcId="{6FA2F4A9-C762-42A5-9F34-A54A10A7345A}" destId="{DD635A7A-6CEE-4563-8454-E3F996321DC5}" srcOrd="1" destOrd="0" presId="urn:microsoft.com/office/officeart/2005/8/layout/orgChart1"/>
    <dgm:cxn modelId="{9E3CD6E3-3013-478C-8D8C-ABED310DC876}" type="presOf" srcId="{97AB67E1-120D-4E11-83C4-4D1A6BD50969}" destId="{DD635A7A-6CEE-4563-8454-E3F996321DC5}" srcOrd="0" destOrd="0" presId="urn:microsoft.com/office/officeart/2005/8/layout/orgChart1"/>
    <dgm:cxn modelId="{2D2A18E0-B2F1-4174-B3D3-55217CC0FE5A}" type="presParOf" srcId="{3696886D-703C-4602-9F59-D0A4224EE58F}" destId="{A43D21CB-E9B7-4D14-8CBD-A86428E7638B}" srcOrd="1" destOrd="7" presId="urn:microsoft.com/office/officeart/2005/8/layout/orgChart1"/>
    <dgm:cxn modelId="{2A89E1E4-0285-46AE-BC67-747479A4322F}" type="presParOf" srcId="{3696886D-703C-4602-9F59-D0A4224EE58F}" destId="{E29324D9-CC68-4F09-8B3C-3CA09D5104BA}" srcOrd="2" destOrd="7" presId="urn:microsoft.com/office/officeart/2005/8/layout/orgChart1"/>
    <dgm:cxn modelId="{678CAA3C-A584-4488-B864-863D0A08D8C0}" type="presParOf" srcId="{DAB705CF-7F55-4D1C-A339-3ABBDA16CA39}" destId="{0C385248-BC7B-42D0-9D8C-FFB9E40CA15D}" srcOrd="2" destOrd="0" presId="urn:microsoft.com/office/officeart/2005/8/layout/orgChart1"/>
    <dgm:cxn modelId="{8B15F244-1C14-433B-BC71-3989B528526E}" type="presParOf" srcId="{0C385248-BC7B-42D0-9D8C-FFB9E40CA15D}" destId="{72BF2EFC-A001-44C0-9051-9E31A5BAA739}" srcOrd="0" destOrd="2" presId="urn:microsoft.com/office/officeart/2005/8/layout/orgChart1"/>
    <dgm:cxn modelId="{1408AE10-00A6-434D-A8B9-BB0BE600EADE}" type="presOf" srcId="{C9DF2DD3-83D5-4FA9-B362-8FE074992DD8}" destId="{72BF2EFC-A001-44C0-9051-9E31A5BAA739}" srcOrd="0" destOrd="0" presId="urn:microsoft.com/office/officeart/2005/8/layout/orgChart1"/>
    <dgm:cxn modelId="{B816DCCE-10F0-4709-9A01-24A8914898B2}" type="presParOf" srcId="{0C385248-BC7B-42D0-9D8C-FFB9E40CA15D}" destId="{E38DADA3-2280-4830-A6FD-33A16CF59621}" srcOrd="1" destOrd="2" presId="urn:microsoft.com/office/officeart/2005/8/layout/orgChart1"/>
    <dgm:cxn modelId="{82B55193-D355-4AF3-B917-04B4F45702D7}" type="presParOf" srcId="{E38DADA3-2280-4830-A6FD-33A16CF59621}" destId="{D97E023E-8226-41D9-916C-344B9ADA34ED}" srcOrd="0" destOrd="1" presId="urn:microsoft.com/office/officeart/2005/8/layout/orgChart1"/>
    <dgm:cxn modelId="{31C14B8F-DC89-496A-8A35-6C6F31FA5D6A}" type="presOf" srcId="{B4617C1E-C706-42DA-B787-616AB04F4416}" destId="{D97E023E-8226-41D9-916C-344B9ADA34ED}" srcOrd="0" destOrd="0" presId="urn:microsoft.com/office/officeart/2005/8/layout/orgChart1"/>
    <dgm:cxn modelId="{724B0328-29AD-4021-8292-767E839295A0}" type="presParOf" srcId="{D97E023E-8226-41D9-916C-344B9ADA34ED}" destId="{C917DA84-CC21-4223-88C7-C3414C31D8C7}" srcOrd="0" destOrd="0" presId="urn:microsoft.com/office/officeart/2005/8/layout/orgChart1"/>
    <dgm:cxn modelId="{F07D85F8-24E3-4248-BBFF-22F38D73A6DE}" type="presOf" srcId="{B4617C1E-C706-42DA-B787-616AB04F4416}" destId="{C917DA84-CC21-4223-88C7-C3414C31D8C7}" srcOrd="0" destOrd="0" presId="urn:microsoft.com/office/officeart/2005/8/layout/orgChart1"/>
    <dgm:cxn modelId="{EA5C41E4-DF12-442E-AADB-EEFCD4032C1B}" type="presParOf" srcId="{D97E023E-8226-41D9-916C-344B9ADA34ED}" destId="{78742086-20B6-40D1-AF72-A90EAF63F099}" srcOrd="1" destOrd="0" presId="urn:microsoft.com/office/officeart/2005/8/layout/orgChart1"/>
    <dgm:cxn modelId="{F2747AE2-308D-460F-B04E-7424CB208993}" type="presOf" srcId="{B4617C1E-C706-42DA-B787-616AB04F4416}" destId="{78742086-20B6-40D1-AF72-A90EAF63F099}" srcOrd="0" destOrd="0" presId="urn:microsoft.com/office/officeart/2005/8/layout/orgChart1"/>
    <dgm:cxn modelId="{324AF784-B853-4B30-9CC3-78B8FAEC23D0}" type="presParOf" srcId="{E38DADA3-2280-4830-A6FD-33A16CF59621}" destId="{9C308E23-36BD-42D0-9B39-DE25405DC533}" srcOrd="1" destOrd="1" presId="urn:microsoft.com/office/officeart/2005/8/layout/orgChart1"/>
    <dgm:cxn modelId="{C073E4F1-48D5-4B07-A7B1-DE0E22766F32}" type="presParOf" srcId="{E38DADA3-2280-4830-A6FD-33A16CF59621}" destId="{B2D4D5F8-8FF4-4EF6-B9FA-9A5B1212FECA}" srcOrd="2" destOrd="1" presId="urn:microsoft.com/office/officeart/2005/8/layout/orgChart1"/>
    <dgm:cxn modelId="{07AD3098-D5A9-479F-A1F1-4D6AB446D852}" type="presParOf" srcId="{0C385248-BC7B-42D0-9D8C-FFB9E40CA15D}" destId="{0F85A629-9FD5-48C1-A451-59B14BD664B6}" srcOrd="2" destOrd="2" presId="urn:microsoft.com/office/officeart/2005/8/layout/orgChart1"/>
    <dgm:cxn modelId="{D24756F4-4D29-4FB4-A986-570C0F13A0C9}" type="presOf" srcId="{58ADE605-5DC1-4FF2-A619-2D106AA0DC07}" destId="{0F85A629-9FD5-48C1-A451-59B14BD664B6}" srcOrd="0" destOrd="0" presId="urn:microsoft.com/office/officeart/2005/8/layout/orgChart1"/>
    <dgm:cxn modelId="{8283EA46-9FCC-411F-93F1-2BA7444E57F3}" type="presParOf" srcId="{0C385248-BC7B-42D0-9D8C-FFB9E40CA15D}" destId="{E1373DC9-4D55-4F93-95B4-4BD8FD6FCDE1}" srcOrd="3" destOrd="2" presId="urn:microsoft.com/office/officeart/2005/8/layout/orgChart1"/>
    <dgm:cxn modelId="{B5612633-84FB-44FD-9BB2-5BA6A4743C2B}" type="presParOf" srcId="{E1373DC9-4D55-4F93-95B4-4BD8FD6FCDE1}" destId="{EF747C90-C66D-4213-88C7-1BC2C2754D33}" srcOrd="0" destOrd="3" presId="urn:microsoft.com/office/officeart/2005/8/layout/orgChart1"/>
    <dgm:cxn modelId="{0DEECBDC-0A29-4B66-AE7B-C00D10228568}" type="presOf" srcId="{3B7F570D-3AA5-48D1-9FC5-BA891BC46E6D}" destId="{EF747C90-C66D-4213-88C7-1BC2C2754D33}" srcOrd="0" destOrd="0" presId="urn:microsoft.com/office/officeart/2005/8/layout/orgChart1"/>
    <dgm:cxn modelId="{DDDC1215-9D33-4894-8B74-633C9964BC8F}" type="presParOf" srcId="{EF747C90-C66D-4213-88C7-1BC2C2754D33}" destId="{A3F0D15A-F26B-4ED9-AA8C-6C66F2DABB29}" srcOrd="0" destOrd="0" presId="urn:microsoft.com/office/officeart/2005/8/layout/orgChart1"/>
    <dgm:cxn modelId="{33254CCE-4131-4460-BC75-491BBD8CEEFD}" type="presOf" srcId="{3B7F570D-3AA5-48D1-9FC5-BA891BC46E6D}" destId="{A3F0D15A-F26B-4ED9-AA8C-6C66F2DABB29}" srcOrd="0" destOrd="0" presId="urn:microsoft.com/office/officeart/2005/8/layout/orgChart1"/>
    <dgm:cxn modelId="{64BF6510-C980-4CC1-959C-F17CC05E208E}" type="presParOf" srcId="{EF747C90-C66D-4213-88C7-1BC2C2754D33}" destId="{CED74FB4-502C-4A57-A7EF-483FCB3D515C}" srcOrd="1" destOrd="0" presId="urn:microsoft.com/office/officeart/2005/8/layout/orgChart1"/>
    <dgm:cxn modelId="{4F40AC49-66CE-44A6-946B-73DD6891E03E}" type="presOf" srcId="{3B7F570D-3AA5-48D1-9FC5-BA891BC46E6D}" destId="{CED74FB4-502C-4A57-A7EF-483FCB3D515C}" srcOrd="0" destOrd="0" presId="urn:microsoft.com/office/officeart/2005/8/layout/orgChart1"/>
    <dgm:cxn modelId="{EEBA8145-4FD2-446B-AAC2-6E324A8E1653}" type="presParOf" srcId="{E1373DC9-4D55-4F93-95B4-4BD8FD6FCDE1}" destId="{01059E6B-3FED-4A72-BDFD-34D2F44AF464}" srcOrd="1" destOrd="3" presId="urn:microsoft.com/office/officeart/2005/8/layout/orgChart1"/>
    <dgm:cxn modelId="{8D9E7889-F463-4ED5-813B-EA6180537A1B}" type="presParOf" srcId="{E1373DC9-4D55-4F93-95B4-4BD8FD6FCDE1}" destId="{26F4BA7C-76EA-43C7-931B-1A49EAD68BE2}" srcOrd="2" destOrd="3" presId="urn:microsoft.com/office/officeart/2005/8/layout/orgChart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85A629-9FD5-48C1-A451-59B14BD664B6}">
      <dsp:nvSpPr>
        <dsp:cNvPr id="0" name=""/>
        <dsp:cNvSpPr/>
      </dsp:nvSpPr>
      <dsp:spPr>
        <a:xfrm>
          <a:off x="2743200" y="1055678"/>
          <a:ext cx="124292" cy="544521"/>
        </a:xfrm>
        <a:custGeom>
          <a:avLst/>
          <a:gdLst/>
          <a:ahLst/>
          <a:cxnLst/>
          <a:rect l="0" t="0" r="0" b="0"/>
          <a:pathLst>
            <a:path>
              <a:moveTo>
                <a:pt x="0" y="0"/>
              </a:moveTo>
              <a:lnTo>
                <a:pt x="0" y="544521"/>
              </a:lnTo>
              <a:lnTo>
                <a:pt x="124292"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BF2EFC-A001-44C0-9051-9E31A5BAA739}">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8F5CAF-07E1-45F4-B56E-E04159AB0977}">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5DC8E4D-20C9-42EF-8384-93471ED91831}">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586AE3-E2FB-456A-969E-F9F1ABF27129}">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5B56362-2EDF-4048-B162-C7D66083F40E}">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03BEFE-595C-4D1F-A3AE-6B9D9C7E18F2}">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altLang="en-US" sz="1900" kern="1200"/>
            <a:t>总经理</a:t>
          </a:r>
        </a:p>
      </dsp:txBody>
      <dsp:txXfrm>
        <a:off x="2151329" y="463807"/>
        <a:ext cx="1183741" cy="591870"/>
      </dsp:txXfrm>
    </dsp:sp>
    <dsp:sp modelId="{C27A570F-6D8E-43CD-93C0-5F3DBDA67462}">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altLang="en-US" sz="1900" kern="1200"/>
            <a:t>行政部</a:t>
          </a:r>
        </a:p>
      </dsp:txBody>
      <dsp:txXfrm>
        <a:off x="2837" y="2144721"/>
        <a:ext cx="1183741" cy="591870"/>
      </dsp:txXfrm>
    </dsp:sp>
    <dsp:sp modelId="{C3B311C4-2393-49E2-B573-30BC9688FB6F}">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altLang="en-US" sz="1900" kern="1200"/>
            <a:t>财务</a:t>
          </a:r>
          <a:r>
            <a:rPr lang="zh-CN" sz="1900" kern="1200"/>
            <a:t>部</a:t>
          </a:r>
          <a:endParaRPr lang="zh-CN" altLang="en-US" sz="1900" kern="1200"/>
        </a:p>
      </dsp:txBody>
      <dsp:txXfrm>
        <a:off x="1435165" y="2144721"/>
        <a:ext cx="1183741" cy="591870"/>
      </dsp:txXfrm>
    </dsp:sp>
    <dsp:sp modelId="{A800DA4C-249F-439B-825A-E917AC1FA5CA}">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altLang="en-US" sz="1900" kern="1200"/>
            <a:t>销售部</a:t>
          </a:r>
        </a:p>
      </dsp:txBody>
      <dsp:txXfrm>
        <a:off x="2867492" y="2144721"/>
        <a:ext cx="1183741" cy="591870"/>
      </dsp:txXfrm>
    </dsp:sp>
    <dsp:sp modelId="{68E60F7A-2500-440D-AECC-30C91689F43D}">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sz="1900" kern="1200"/>
            <a:t>工程部</a:t>
          </a:r>
          <a:endParaRPr lang="zh-CN" altLang="en-US" sz="1900" kern="1200"/>
        </a:p>
      </dsp:txBody>
      <dsp:txXfrm>
        <a:off x="4299820" y="2144721"/>
        <a:ext cx="1183741" cy="591870"/>
      </dsp:txXfrm>
    </dsp:sp>
    <dsp:sp modelId="{C917DA84-CC21-4223-88C7-C3414C31D8C7}">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altLang="en-US" sz="1900" kern="1200"/>
            <a:t>管代</a:t>
          </a:r>
        </a:p>
      </dsp:txBody>
      <dsp:txXfrm>
        <a:off x="1435165" y="1304264"/>
        <a:ext cx="1183741" cy="591870"/>
      </dsp:txXfrm>
    </dsp:sp>
    <dsp:sp modelId="{A3F0D15A-F26B-4ED9-AA8C-6C66F2DABB29}">
      <dsp:nvSpPr>
        <dsp:cNvPr id="0" name=""/>
        <dsp:cNvSpPr/>
      </dsp:nvSpPr>
      <dsp:spPr>
        <a:xfrm>
          <a:off x="2867492"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zh-CN" altLang="en-US" sz="1900" kern="1200"/>
            <a:t>安全事务代表</a:t>
          </a:r>
        </a:p>
      </dsp:txBody>
      <dsp:txXfrm>
        <a:off x="2867492"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580EB-ECAC-40FC-81FF-487FC6973B68}">
  <ds:schemaRefs/>
</ds:datastoreItem>
</file>

<file path=docProps/app.xml><?xml version="1.0" encoding="utf-8"?>
<Properties xmlns="http://schemas.openxmlformats.org/officeDocument/2006/extended-properties" xmlns:vt="http://schemas.openxmlformats.org/officeDocument/2006/docPropsVTypes">
  <Template>Normal</Template>
  <Company>EACC FZ</Company>
  <Pages>27</Pages>
  <Words>3838</Words>
  <Characters>21878</Characters>
  <Lines>182</Lines>
  <Paragraphs>51</Paragraphs>
  <TotalTime>1</TotalTime>
  <ScaleCrop>false</ScaleCrop>
  <LinksUpToDate>false</LinksUpToDate>
  <CharactersWithSpaces>25665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2019-05-28T03:09:00Z</dcterms:created>
  <dc:creator>Sky123.Org</dc:creator>
  <cp:lastModifiedBy>way一直都在</cp:lastModifiedBy>
  <cp:lastPrinted>2016-11-02T08:33:00Z</cp:lastPrinted>
  <dcterms:modified xsi:type="dcterms:W3CDTF">2020-04-16T16:50:32Z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