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r>
        <w:rPr>
          <w:rFonts w:hint="eastAsia" w:ascii="宋体" w:hAnsi="宋体" w:cs="宋体"/>
          <w:color w:val="000000" w:themeColor="text1"/>
          <w:sz w:val="24"/>
          <w:szCs w:val="24"/>
        </w:rPr>
        <w:t>大庆</w:t>
      </w:r>
      <w:r>
        <w:rPr>
          <w:rFonts w:hint="eastAsia" w:ascii="宋体" w:hAnsi="宋体" w:cs="宋体"/>
          <w:color w:val="000000" w:themeColor="text1"/>
          <w:sz w:val="24"/>
          <w:szCs w:val="24"/>
          <w:lang w:val="en-US" w:eastAsia="zh-CN"/>
        </w:rPr>
        <w:t>市奥和通机电设备维修</w:t>
      </w:r>
      <w:r>
        <w:rPr>
          <w:rFonts w:hint="eastAsia" w:ascii="宋体" w:hAnsi="宋体" w:cs="宋体"/>
          <w:color w:val="000000" w:themeColor="text1"/>
          <w:sz w:val="24"/>
          <w:szCs w:val="24"/>
        </w:rPr>
        <w:t>有限公司</w:t>
      </w:r>
    </w:p>
    <w:p>
      <w:pPr>
        <w:ind w:left="3000" w:hanging="3000" w:hangingChars="1000"/>
        <w:rPr>
          <w:bCs/>
          <w:color w:val="000000" w:themeColor="text1"/>
          <w:sz w:val="20"/>
          <w:u w:val="single"/>
        </w:rPr>
      </w:pPr>
      <w:r>
        <w:rPr>
          <w:bCs/>
          <w:color w:val="000000" w:themeColor="text1"/>
          <w:sz w:val="30"/>
          <w:szCs w:val="30"/>
        </w:rPr>
        <w:t xml:space="preserve">          Party  A:</w:t>
      </w:r>
      <w:permStart w:id="1" w:edGrp="everyone"/>
      <w:r>
        <w:t xml:space="preserve"> </w:t>
      </w:r>
      <w:r>
        <w:rPr>
          <w:bCs/>
          <w:color w:val="000000" w:themeColor="text1"/>
          <w:sz w:val="30"/>
          <w:szCs w:val="30"/>
        </w:rPr>
        <w:t>Daqing Hongbo Shengda Petroleum Machinery Equipment Co., Ltd</w:t>
      </w:r>
      <w:r>
        <w:rPr>
          <w:bCs/>
          <w:color w:val="000000" w:themeColor="text1"/>
          <w:sz w:val="28"/>
          <w:szCs w:val="28"/>
          <w:u w:val="single"/>
        </w:rPr>
        <w:t>.</w:t>
      </w:r>
      <w:permEnd w:id="1"/>
    </w:p>
    <w:p>
      <w:pPr>
        <w:spacing w:before="156"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r>
              <w:rPr>
                <w:rFonts w:hint="eastAsia" w:ascii="宋体" w:hAnsi="宋体" w:cs="宋体"/>
                <w:color w:val="000000" w:themeColor="text1"/>
                <w:sz w:val="24"/>
                <w:szCs w:val="24"/>
              </w:rPr>
              <w:sym w:font="Wingdings 2" w:char="F052"/>
            </w:r>
            <w:r>
              <w:rPr>
                <w:rFonts w:hint="eastAsia" w:ascii="宋体" w:hAnsi="宋体" w:cs="宋体"/>
                <w:color w:val="000000" w:themeColor="text1"/>
                <w:sz w:val="24"/>
                <w:szCs w:val="24"/>
              </w:rPr>
              <w:t xml:space="preserve">AAA  </w:t>
            </w:r>
            <w:permStart w:id="2" w:edGrp="everyone"/>
            <w:r>
              <w:rPr>
                <w:rFonts w:hint="eastAsia" w:ascii="宋体" w:hAnsi="宋体" w:cs="宋体"/>
                <w:color w:val="000000" w:themeColor="text1"/>
                <w:sz w:val="24"/>
                <w:szCs w:val="24"/>
              </w:rPr>
              <w:t>□</w:t>
            </w:r>
            <w:permEnd w:id="2"/>
            <w:r>
              <w:rPr>
                <w:rFonts w:hint="eastAsia" w:ascii="宋体" w:hAnsi="宋体" w:cs="宋体"/>
                <w:color w:val="000000" w:themeColor="text1"/>
                <w:sz w:val="24"/>
                <w:szCs w:val="24"/>
              </w:rPr>
              <w:t xml:space="preserve">AA   </w:t>
            </w: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4" w:edGrp="everyone"/>
            <w:r>
              <w:rPr>
                <w:rFonts w:hint="eastAsia" w:ascii="宋体" w:hAnsi="宋体" w:cs="宋体"/>
                <w:color w:val="000000" w:themeColor="text1"/>
                <w:szCs w:val="21"/>
              </w:rPr>
              <w:t>□</w:t>
            </w:r>
            <w:permEnd w:id="4"/>
            <w:r>
              <w:rPr>
                <w:rFonts w:hint="eastAsia" w:ascii="宋体" w:hAnsi="宋体" w:cs="宋体"/>
                <w:color w:val="000000" w:themeColor="text1"/>
                <w:szCs w:val="21"/>
              </w:rPr>
              <w:t>初次认证</w:t>
            </w:r>
            <w:permStart w:id="5" w:edGrp="everyone"/>
            <w:r>
              <w:rPr>
                <w:rFonts w:hint="eastAsia" w:ascii="宋体" w:hAnsi="宋体" w:cs="宋体"/>
                <w:color w:val="000000" w:themeColor="text1"/>
                <w:szCs w:val="21"/>
              </w:rPr>
              <w:t>□</w:t>
            </w:r>
            <w:permEnd w:id="5"/>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r>
              <w:rPr>
                <w:rFonts w:hint="eastAsia" w:ascii="宋体" w:hAnsi="宋体" w:cs="宋体"/>
                <w:color w:val="000000" w:themeColor="text1"/>
                <w:szCs w:val="21"/>
              </w:rPr>
              <w:sym w:font="Wingdings 2" w:char="F052"/>
            </w:r>
            <w:r>
              <w:rPr>
                <w:rFonts w:hint="eastAsia" w:ascii="宋体" w:hAnsi="宋体" w:cs="宋体"/>
                <w:color w:val="000000" w:themeColor="text1"/>
                <w:szCs w:val="21"/>
              </w:rPr>
              <w:t xml:space="preserve">再认证  </w:t>
            </w: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7" w:edGrp="everyone"/>
      <w:r>
        <w:rPr>
          <w:rFonts w:hint="eastAsia" w:ascii="宋体"/>
          <w:color w:val="000000" w:themeColor="text1"/>
          <w:szCs w:val="21"/>
        </w:rPr>
        <w:t xml:space="preserve">   </w:t>
      </w:r>
      <w:r>
        <w:rPr>
          <w:rFonts w:hint="eastAsia" w:ascii="宋体"/>
          <w:color w:val="000000" w:themeColor="text1"/>
          <w:szCs w:val="21"/>
          <w:lang w:val="en-US" w:eastAsia="zh-CN"/>
        </w:rPr>
        <w:t>10</w:t>
      </w:r>
      <w:r>
        <w:rPr>
          <w:rFonts w:hint="eastAsia" w:ascii="宋体"/>
          <w:color w:val="000000" w:themeColor="text1"/>
          <w:szCs w:val="21"/>
        </w:rPr>
        <w:t xml:space="preserve"> </w:t>
      </w:r>
      <w:permEnd w:id="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15000</w:t>
      </w:r>
      <w:r>
        <w:rPr>
          <w:rFonts w:hint="eastAsia" w:ascii="宋体" w:hAnsi="宋体"/>
          <w:color w:val="000000" w:themeColor="text1"/>
          <w:szCs w:val="21"/>
        </w:rPr>
        <w:t xml:space="preserve">     </w:t>
      </w:r>
      <w:permEnd w:id="8"/>
      <w:r>
        <w:rPr>
          <w:rFonts w:ascii="宋体" w:hAnsi="宋体"/>
          <w:color w:val="000000" w:themeColor="text1"/>
          <w:szCs w:val="21"/>
        </w:rPr>
        <w:t>元（大写</w:t>
      </w:r>
      <w:permStart w:id="9" w:edGrp="everyone"/>
      <w:r>
        <w:rPr>
          <w:rFonts w:hint="eastAsia" w:ascii="宋体" w:hAnsi="宋体"/>
          <w:color w:val="000000" w:themeColor="text1"/>
          <w:szCs w:val="21"/>
        </w:rPr>
        <w:t xml:space="preserve">          </w:t>
      </w:r>
      <w:permEnd w:id="9"/>
      <w:r>
        <w:rPr>
          <w:rFonts w:hint="eastAsia" w:ascii="宋体" w:hAnsi="宋体"/>
          <w:color w:val="000000" w:themeColor="text1"/>
          <w:szCs w:val="21"/>
        </w:rPr>
        <w:t>其中：</w:t>
      </w:r>
      <w:permStart w:id="10"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0"/>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7500</w:t>
      </w:r>
      <w:r>
        <w:rPr>
          <w:rFonts w:hint="eastAsia" w:ascii="宋体" w:hAnsi="宋体"/>
          <w:color w:val="000000" w:themeColor="text1"/>
          <w:szCs w:val="21"/>
        </w:rPr>
        <w:t xml:space="preserve">      </w:t>
      </w:r>
      <w:permEnd w:id="11"/>
      <w:r>
        <w:rPr>
          <w:rFonts w:ascii="宋体" w:hAnsi="宋体"/>
          <w:color w:val="000000" w:themeColor="text1"/>
          <w:szCs w:val="21"/>
        </w:rPr>
        <w:t>（大写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元（大写</w:t>
      </w:r>
      <w:permStart w:id="15" w:edGrp="everyone"/>
      <w:r>
        <w:rPr>
          <w:rFonts w:hint="eastAsia" w:ascii="宋体" w:hAnsi="宋体"/>
          <w:color w:val="000000" w:themeColor="text1"/>
          <w:szCs w:val="21"/>
        </w:rPr>
        <w:t xml:space="preserve">           </w:t>
      </w:r>
      <w:permEnd w:id="15"/>
      <w:r>
        <w:rPr>
          <w:rFonts w:ascii="宋体" w:hAnsi="宋体"/>
          <w:color w:val="000000" w:themeColor="text1"/>
          <w:szCs w:val="21"/>
        </w:rPr>
        <w:t>），</w:t>
      </w:r>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sym w:font="Wingdings 2" w:char="F052"/>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17" w:edGrp="everyone"/>
      <w:r>
        <w:rPr>
          <w:rFonts w:hint="eastAsia" w:ascii="宋体" w:hAnsi="宋体"/>
          <w:color w:val="000000" w:themeColor="text1"/>
          <w:sz w:val="24"/>
          <w:szCs w:val="24"/>
        </w:rPr>
        <w:t>□</w:t>
      </w:r>
      <w:permEnd w:id="17"/>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18" w:edGrp="everyone"/>
            <w:r>
              <w:rPr>
                <w:rFonts w:hint="eastAsia" w:ascii="宋体" w:hAnsi="宋体" w:cs="宋体"/>
                <w:color w:val="000000" w:themeColor="text1"/>
                <w:sz w:val="24"/>
                <w:szCs w:val="24"/>
              </w:rPr>
              <w:t>大庆</w:t>
            </w:r>
            <w:r>
              <w:rPr>
                <w:rFonts w:hint="eastAsia" w:ascii="宋体" w:hAnsi="宋体" w:cs="宋体"/>
                <w:color w:val="000000" w:themeColor="text1"/>
                <w:sz w:val="24"/>
                <w:szCs w:val="24"/>
                <w:lang w:val="en-US" w:eastAsia="zh-CN"/>
              </w:rPr>
              <w:t>市奥和通机电设备维修</w:t>
            </w:r>
            <w:r>
              <w:rPr>
                <w:rFonts w:hint="eastAsia" w:ascii="宋体" w:hAnsi="宋体" w:cs="宋体"/>
                <w:color w:val="000000" w:themeColor="text1"/>
                <w:sz w:val="24"/>
                <w:szCs w:val="24"/>
              </w:rPr>
              <w:t xml:space="preserve">有限公司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19" w:edGrp="everyone"/>
            <w:r>
              <w:rPr>
                <w:rFonts w:hint="eastAsia" w:ascii="宋体" w:hAnsi="宋体" w:cs="宋体"/>
                <w:color w:val="000000" w:themeColor="text1"/>
                <w:sz w:val="24"/>
                <w:szCs w:val="24"/>
              </w:rPr>
              <w:t xml:space="preserve">                                                  </w:t>
            </w:r>
            <w:perm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0" w:edGrp="everyone"/>
            <w:r>
              <w:rPr>
                <w:rFonts w:hint="eastAsia" w:ascii="宋体" w:hAnsi="宋体" w:cs="宋体"/>
                <w:color w:val="000000" w:themeColor="text1"/>
                <w:sz w:val="24"/>
                <w:szCs w:val="24"/>
              </w:rPr>
              <w:t xml:space="preserve">                                                 </w:t>
            </w:r>
            <w:perm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1" w:edGrp="everyone"/>
            <w:r>
              <w:rPr>
                <w:rFonts w:hint="eastAsia" w:ascii="宋体" w:hAnsi="宋体" w:cs="宋体"/>
                <w:color w:val="000000" w:themeColor="text1"/>
                <w:sz w:val="24"/>
                <w:szCs w:val="24"/>
              </w:rPr>
              <w:t xml:space="preserve">                                                    </w:t>
            </w:r>
            <w:permEnd w:id="21"/>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2" w:edGrp="everyone"/>
            <w:r>
              <w:rPr>
                <w:rFonts w:hint="eastAsia"/>
                <w:color w:val="000000" w:themeColor="text1"/>
                <w:kern w:val="0"/>
                <w:szCs w:val="21"/>
              </w:rPr>
              <w:t xml:space="preserve"> </w:t>
            </w:r>
            <w:r>
              <w:rPr>
                <w:rFonts w:hint="eastAsia" w:ascii="宋体" w:hAnsi="宋体" w:cs="宋体"/>
                <w:color w:val="000000" w:themeColor="text1"/>
                <w:sz w:val="24"/>
                <w:szCs w:val="24"/>
              </w:rPr>
              <w:t>大庆</w:t>
            </w:r>
            <w:r>
              <w:rPr>
                <w:rFonts w:hint="eastAsia" w:ascii="宋体" w:hAnsi="宋体" w:cs="宋体"/>
                <w:color w:val="000000" w:themeColor="text1"/>
                <w:sz w:val="24"/>
                <w:szCs w:val="24"/>
                <w:lang w:val="en-US" w:eastAsia="zh-CN"/>
              </w:rPr>
              <w:t>市奥和通机电设备维修</w:t>
            </w:r>
            <w:r>
              <w:rPr>
                <w:rFonts w:hint="eastAsia" w:ascii="宋体" w:hAnsi="宋体" w:cs="宋体"/>
                <w:color w:val="000000" w:themeColor="text1"/>
                <w:sz w:val="24"/>
                <w:szCs w:val="24"/>
              </w:rPr>
              <w:t>有限公司</w:t>
            </w:r>
            <w:permEnd w:id="22"/>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3" w:edGrp="everyone"/>
            <w:r>
              <w:rPr>
                <w:rFonts w:hint="eastAsia" w:ascii="宋体" w:hAnsi="宋体" w:cs="宋体"/>
                <w:color w:val="000000" w:themeColor="text1"/>
                <w:kern w:val="0"/>
                <w:szCs w:val="21"/>
              </w:rPr>
              <w:t xml:space="preserve"> </w:t>
            </w:r>
            <w:r>
              <w:t xml:space="preserve"> </w:t>
            </w:r>
            <w:r>
              <w:rPr>
                <w:rFonts w:ascii="宋体" w:hAnsi="宋体" w:cs="宋体"/>
                <w:color w:val="000000" w:themeColor="text1"/>
                <w:kern w:val="0"/>
                <w:szCs w:val="21"/>
              </w:rPr>
              <w:t>9123060</w:t>
            </w:r>
            <w:r>
              <w:rPr>
                <w:rFonts w:hint="eastAsia" w:ascii="宋体" w:hAnsi="宋体" w:cs="宋体"/>
                <w:color w:val="000000" w:themeColor="text1"/>
                <w:kern w:val="0"/>
                <w:szCs w:val="21"/>
                <w:lang w:val="en-US" w:eastAsia="zh-CN"/>
              </w:rPr>
              <w:t>5MA18XR3Y7D</w:t>
            </w:r>
            <w:r>
              <w:rPr>
                <w:rFonts w:hint="eastAsia" w:ascii="宋体" w:hAnsi="宋体" w:cs="宋体"/>
                <w:color w:val="000000" w:themeColor="text1"/>
                <w:kern w:val="0"/>
                <w:szCs w:val="21"/>
              </w:rPr>
              <w:t xml:space="preserve"> </w:t>
            </w:r>
            <w:permEnd w:id="23"/>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rFonts w:hint="default"/>
                <w:color w:val="000000" w:themeColor="text1"/>
                <w:kern w:val="0"/>
                <w:szCs w:val="21"/>
                <w:lang w:val="en-US"/>
              </w:rPr>
            </w:pPr>
            <w:permStart w:id="24" w:edGrp="everyone"/>
            <w:r>
              <w:rPr>
                <w:rFonts w:hint="eastAsia"/>
                <w:color w:val="000000" w:themeColor="text1"/>
                <w:kern w:val="0"/>
                <w:szCs w:val="21"/>
              </w:rPr>
              <w:t xml:space="preserve"> 黑龙江省大庆市</w:t>
            </w:r>
            <w:r>
              <w:rPr>
                <w:rFonts w:hint="eastAsia"/>
                <w:color w:val="000000" w:themeColor="text1"/>
                <w:kern w:val="0"/>
                <w:szCs w:val="21"/>
                <w:lang w:val="en-US" w:eastAsia="zh-CN"/>
              </w:rPr>
              <w:t>红岗区杏树岗镇金山堡村金山堡屯西侧</w:t>
            </w:r>
            <w:permEnd w:id="2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5" w:edGrp="everyone"/>
            <w:r>
              <w:rPr>
                <w:rFonts w:hint="eastAsia"/>
                <w:color w:val="000000" w:themeColor="text1"/>
                <w:kern w:val="0"/>
                <w:szCs w:val="21"/>
              </w:rPr>
              <w:t xml:space="preserve"> </w:t>
            </w:r>
            <w:r>
              <w:rPr>
                <w:rFonts w:hint="eastAsia"/>
                <w:color w:val="000000" w:themeColor="text1"/>
                <w:kern w:val="0"/>
                <w:szCs w:val="21"/>
                <w:lang w:val="en-US" w:eastAsia="zh-CN"/>
              </w:rPr>
              <w:t>昆仑银行股份有限公司大庆红岗支行</w:t>
            </w:r>
            <w:r>
              <w:rPr>
                <w:rFonts w:hint="eastAsia"/>
                <w:color w:val="000000" w:themeColor="text1"/>
                <w:kern w:val="0"/>
                <w:szCs w:val="21"/>
              </w:rPr>
              <w:t xml:space="preserve"> </w:t>
            </w:r>
            <w:permEnd w:id="25"/>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t xml:space="preserve"> </w:t>
            </w:r>
            <w:r>
              <w:rPr>
                <w:rFonts w:hint="eastAsia"/>
                <w:lang w:val="en-US" w:eastAsia="zh-CN"/>
              </w:rPr>
              <w:t>26902100175800000013</w:t>
            </w:r>
            <w:r>
              <w:rPr>
                <w:rFonts w:hint="eastAsia"/>
                <w:color w:val="000000" w:themeColor="text1"/>
                <w:kern w:val="0"/>
                <w:szCs w:val="21"/>
              </w:rPr>
              <w:t xml:space="preserve"> </w:t>
            </w:r>
            <w:permEnd w:id="26"/>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27" w:edGrp="everyone"/>
            <w:r>
              <w:rPr>
                <w:color w:val="000000" w:themeColor="text1"/>
                <w:kern w:val="0"/>
                <w:szCs w:val="21"/>
              </w:rPr>
              <w:t>0459-</w:t>
            </w:r>
            <w:r>
              <w:rPr>
                <w:rFonts w:hint="eastAsia"/>
                <w:color w:val="000000" w:themeColor="text1"/>
                <w:kern w:val="0"/>
                <w:szCs w:val="21"/>
                <w:lang w:val="en-US" w:eastAsia="zh-CN"/>
              </w:rPr>
              <w:t>6788979</w:t>
            </w:r>
            <w:r>
              <w:rPr>
                <w:rFonts w:hint="eastAsia"/>
                <w:color w:val="000000" w:themeColor="text1"/>
                <w:kern w:val="0"/>
                <w:szCs w:val="21"/>
              </w:rPr>
              <w:t xml:space="preserve">  </w:t>
            </w:r>
            <w:permEnd w:id="2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黑龙江省大庆市</w:t>
            </w:r>
            <w:r>
              <w:rPr>
                <w:rFonts w:hint="eastAsia"/>
                <w:color w:val="000000" w:themeColor="text1"/>
                <w:kern w:val="0"/>
                <w:szCs w:val="21"/>
                <w:lang w:val="en-US" w:eastAsia="zh-CN"/>
              </w:rPr>
              <w:t>红岗区</w:t>
            </w:r>
            <w:bookmarkStart w:id="0" w:name="_GoBack"/>
            <w:bookmarkEnd w:id="0"/>
            <w:r>
              <w:rPr>
                <w:rFonts w:hint="eastAsia"/>
                <w:color w:val="000000" w:themeColor="text1"/>
                <w:kern w:val="0"/>
                <w:szCs w:val="21"/>
                <w:lang w:val="en-US" w:eastAsia="zh-CN"/>
              </w:rPr>
              <w:t>杏树岗镇金山堡村金山堡屯西侧</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color w:val="000000" w:themeColor="text1"/>
                <w:kern w:val="0"/>
                <w:szCs w:val="21"/>
                <w:lang w:val="en-US" w:eastAsia="zh-CN"/>
              </w:rPr>
              <w:t>司也</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r>
              <w:rPr>
                <w:rFonts w:hint="eastAsia"/>
                <w:color w:val="000000" w:themeColor="text1"/>
                <w:kern w:val="0"/>
                <w:szCs w:val="21"/>
                <w:lang w:val="en-US" w:eastAsia="zh-CN"/>
              </w:rPr>
              <w:t>13845998877</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2" w:edGrp="everyone"/>
            <w:r>
              <w:rPr>
                <w:rFonts w:hint="eastAsia"/>
                <w:color w:val="000000" w:themeColor="text1"/>
                <w:szCs w:val="21"/>
              </w:rPr>
              <w:t xml:space="preserve">    </w:t>
            </w:r>
            <w:permEnd w:id="32"/>
            <w:r>
              <w:rPr>
                <w:rFonts w:hint="eastAsia" w:ascii="宋体" w:hAnsi="宋体" w:cs="宋体"/>
                <w:color w:val="000000" w:themeColor="text1"/>
                <w:kern w:val="0"/>
                <w:szCs w:val="21"/>
              </w:rPr>
              <w:t>年</w:t>
            </w:r>
            <w:permStart w:id="33" w:edGrp="everyone"/>
            <w:r>
              <w:rPr>
                <w:rFonts w:hint="eastAsia" w:ascii="宋体" w:hAnsi="宋体" w:cs="宋体"/>
                <w:color w:val="000000" w:themeColor="text1"/>
                <w:kern w:val="0"/>
                <w:szCs w:val="21"/>
              </w:rPr>
              <w:t xml:space="preserve">   </w:t>
            </w:r>
            <w:permEnd w:id="33"/>
            <w:r>
              <w:rPr>
                <w:rFonts w:hint="eastAsia" w:ascii="宋体" w:hAnsi="宋体" w:cs="宋体"/>
                <w:color w:val="000000" w:themeColor="text1"/>
                <w:kern w:val="0"/>
                <w:szCs w:val="21"/>
              </w:rPr>
              <w:t>月</w:t>
            </w:r>
            <w:permStart w:id="34" w:edGrp="everyone"/>
            <w:r>
              <w:rPr>
                <w:rFonts w:hint="eastAsia" w:ascii="宋体" w:hAnsi="宋体" w:cs="宋体"/>
                <w:color w:val="000000" w:themeColor="text1"/>
                <w:kern w:val="0"/>
                <w:szCs w:val="21"/>
              </w:rPr>
              <w:t xml:space="preserve">     </w:t>
            </w:r>
            <w:permEnd w:id="34"/>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5" w:edGrp="everyone"/>
            <w:r>
              <w:rPr>
                <w:rFonts w:hint="eastAsia"/>
                <w:color w:val="000000" w:themeColor="text1"/>
                <w:szCs w:val="21"/>
              </w:rPr>
              <w:t xml:space="preserve">    </w:t>
            </w:r>
            <w:permEnd w:id="35"/>
            <w:r>
              <w:rPr>
                <w:rFonts w:hint="eastAsia" w:ascii="宋体" w:hAnsi="宋体" w:cs="宋体"/>
                <w:color w:val="000000" w:themeColor="text1"/>
                <w:kern w:val="0"/>
                <w:szCs w:val="21"/>
              </w:rPr>
              <w:t xml:space="preserve"> 年</w:t>
            </w:r>
            <w:permStart w:id="36" w:edGrp="everyone"/>
            <w:r>
              <w:rPr>
                <w:rFonts w:hint="eastAsia" w:ascii="宋体" w:hAnsi="宋体" w:cs="宋体"/>
                <w:color w:val="000000" w:themeColor="text1"/>
                <w:kern w:val="0"/>
                <w:szCs w:val="21"/>
              </w:rPr>
              <w:t xml:space="preserve">    </w:t>
            </w:r>
            <w:permEnd w:id="36"/>
            <w:r>
              <w:rPr>
                <w:rFonts w:hint="eastAsia" w:ascii="宋体" w:hAnsi="宋体" w:cs="宋体"/>
                <w:color w:val="000000" w:themeColor="text1"/>
                <w:kern w:val="0"/>
                <w:szCs w:val="21"/>
              </w:rPr>
              <w:t xml:space="preserve">月 </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w:pict>
        <v:line id="_x0000_s2088" o:spid="_x0000_s2088"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1E65E8"/>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92E"/>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27150"/>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2AF1"/>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5B2549F"/>
    <w:rsid w:val="0A8C5713"/>
    <w:rsid w:val="0B5F73A7"/>
    <w:rsid w:val="18512704"/>
    <w:rsid w:val="20B17AB1"/>
    <w:rsid w:val="24E04786"/>
    <w:rsid w:val="2DEA4498"/>
    <w:rsid w:val="59517783"/>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AD4E1-26CB-4F2B-891F-D9697A2B48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5064</Words>
  <Characters>5631</Characters>
  <Lines>46</Lines>
  <Paragraphs>13</Paragraphs>
  <TotalTime>1</TotalTime>
  <ScaleCrop>false</ScaleCrop>
  <LinksUpToDate>false</LinksUpToDate>
  <CharactersWithSpaces>6134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2022-05-06T01:56:11Z</dcterms:modified>
  <dc:title>WSF/RO004-A</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EE12444E82A241338868D04F26BCAA79</vt:lpwstr>
  </property>
</Properties>
</file>