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bCs/>
          <w:color w:val="000000" w:themeColor="text1"/>
          <w:sz w:val="30"/>
          <w:szCs w:val="30"/>
          <w:lang w:val="en-US" w:eastAsia="zh-CN"/>
        </w:rPr>
        <w:t>大庆晟昕恒兴机械制造有限公司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sym w:font="Wingdings 2" w:char="0052"/>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25</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17000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壹万柒仟元整</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7000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柒仟元整</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7000</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柒仟元整</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sym w:font="Wingdings 2" w:char="00A3"/>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rPr>
        <w:sym w:font="Wingdings 2" w:char="0052"/>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大庆晟昕恒兴机械制造有限公司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91230604MA195YWT8Q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黑龙江省大庆市让胡路区喇嘛甸镇富强村出租楼B35号楼10层488</w:t>
            </w:r>
            <w:r>
              <w:rPr>
                <w:rFonts w:hint="eastAsia" w:ascii="宋体" w:hAnsi="宋体" w:cs="宋体"/>
                <w:color w:val="000000" w:themeColor="text1"/>
                <w:sz w:val="24"/>
                <w:szCs w:val="24"/>
                <w:lang w:val="en-US" w:eastAsia="zh-CN"/>
              </w:rPr>
              <w:t>/ 15004591079</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昆仑银行股份有限公司大庆奥林支行</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 xml:space="preserve"> 26902100252360000011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大庆晟昕恒兴机械制造有限公司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91230604MA195YWT8Q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黑龙江省大庆市让胡路区喇嘛甸镇富强村出租楼B35号楼10层488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昆仑银行股份有限公司大庆奥林支行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26902100252360000011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bookmarkStart w:id="0" w:name="_GoBack"/>
            <w:bookmarkEnd w:id="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color w:val="000000" w:themeColor="text1"/>
                <w:kern w:val="0"/>
                <w:szCs w:val="21"/>
                <w:lang w:val="en-US" w:eastAsia="zh-CN"/>
              </w:rPr>
              <w:t>刘行</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15004591079</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w:pict>
        <v:line id="_x0000_s2088" o:spid="_x0000_s2088" o:spt="20" style="position:absolute;left:0pt;margin-left:545.45pt;margin-top:8.35pt;height:0pt;width:490.35pt;z-index:251662336;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rPr>
    </w:pPr>
    <w:r>
      <w:rPr>
        <w:color w:val="000000" w:themeColor="text1"/>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jc w:val="left"/>
      <w:rPr>
        <w:u w:val="single"/>
      </w:rPr>
    </w:pPr>
    <w:r>
      <w:rPr>
        <w:rStyle w:val="18"/>
        <w:rFonts w:hint="default"/>
        <w:color w:val="000000" w:themeColor="text1"/>
        <w:w w:val="90"/>
        <w:szCs w:val="21"/>
        <w:u w:val="single"/>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w:pict>
        <v:line id="_x0000_s2053" o:spid="_x0000_s2053" o:spt="20" style="position:absolute;left:0pt;margin-left:545.45pt;margin-top:8.35pt;height:0pt;width:490.35pt;z-index:251659264;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20B17AB1"/>
    <w:rsid w:val="2DEA4498"/>
    <w:rsid w:val="34B26BC3"/>
    <w:rsid w:val="4456217E"/>
    <w:rsid w:val="53B95CE2"/>
    <w:rsid w:val="59517783"/>
    <w:rsid w:val="620E1B1A"/>
    <w:rsid w:val="63124CEC"/>
    <w:rsid w:val="6ACD3BCD"/>
    <w:rsid w:val="6D7B17A8"/>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5111</Words>
  <Characters>5685</Characters>
  <Lines>45</Lines>
  <Paragraphs>12</Paragraphs>
  <TotalTime>4</TotalTime>
  <ScaleCrop>false</ScaleCrop>
  <LinksUpToDate>false</LinksUpToDate>
  <CharactersWithSpaces>6116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2022-04-08T06:59:12Z</dcterms:modified>
  <dc:title>WSF/RO004-A</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009F6BFFD1164AB0BD4E5C559DA4A21E</vt:lpwstr>
  </property>
</Properties>
</file>