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F7F3">
      <w:pPr>
        <w:jc w:val="center"/>
        <w:rPr>
          <w:rFonts w:hint="eastAsia" w:ascii="楷体_GB2312" w:hAnsi="华文细黑" w:eastAsia="楷体_GB2312"/>
          <w:b/>
          <w:sz w:val="52"/>
          <w:szCs w:val="52"/>
          <w:lang w:eastAsia="zh-CN"/>
        </w:rPr>
      </w:pPr>
      <w:bookmarkStart w:id="0" w:name="_Toc106545476"/>
      <w:bookmarkStart w:id="1" w:name="_Toc106545826"/>
      <w:bookmarkStart w:id="2" w:name="_Toc121751584"/>
      <w:bookmarkStart w:id="52" w:name="_GoBack"/>
      <w:bookmarkEnd w:id="52"/>
      <w:r>
        <w:rPr>
          <w:rFonts w:hint="eastAsia" w:ascii="楷体_GB2312" w:hAnsi="华文细黑" w:eastAsia="楷体_GB2312"/>
          <w:b/>
          <w:sz w:val="44"/>
          <w:szCs w:val="44"/>
          <w:lang w:eastAsia="zh-CN"/>
        </w:rPr>
        <w:t>上海深涵贸易有限公司</w:t>
      </w:r>
    </w:p>
    <w:p w14:paraId="536233CA">
      <w:pPr>
        <w:jc w:val="center"/>
        <w:rPr>
          <w:rFonts w:ascii="楷体_GB2312" w:hAnsi="华文细黑" w:eastAsia="楷体_GB2312"/>
          <w:b/>
          <w:sz w:val="52"/>
          <w:szCs w:val="52"/>
        </w:rPr>
      </w:pPr>
    </w:p>
    <w:p w14:paraId="7362E425">
      <w:pPr>
        <w:jc w:val="center"/>
        <w:rPr>
          <w:rFonts w:ascii="楷体_GB2312" w:hAnsi="华文细黑" w:eastAsia="楷体_GB2312"/>
          <w:b/>
          <w:sz w:val="84"/>
          <w:szCs w:val="84"/>
        </w:rPr>
      </w:pPr>
      <w:r>
        <w:rPr>
          <w:rFonts w:hint="eastAsia" w:ascii="楷体_GB2312" w:hAnsi="华文细黑" w:eastAsia="楷体_GB2312"/>
          <w:b/>
          <w:sz w:val="84"/>
          <w:szCs w:val="84"/>
        </w:rPr>
        <w:t>良好卫生规范</w:t>
      </w:r>
    </w:p>
    <w:p w14:paraId="3BFF95F4"/>
    <w:p w14:paraId="10D4D09C"/>
    <w:p w14:paraId="624640CB"/>
    <w:p w14:paraId="6D414996">
      <w:pPr>
        <w:spacing w:line="360" w:lineRule="auto"/>
        <w:jc w:val="center"/>
        <w:rPr>
          <w:rFonts w:hint="eastAsia" w:eastAsia="宋体"/>
          <w:b/>
          <w:lang w:eastAsia="zh-CN"/>
        </w:rPr>
      </w:pPr>
      <w:r>
        <w:rPr>
          <w:rFonts w:hint="eastAsia"/>
          <w:b/>
          <w:sz w:val="30"/>
        </w:rPr>
        <w:t>文件编号</w:t>
      </w:r>
      <w:r>
        <w:rPr>
          <w:b/>
          <w:sz w:val="30"/>
        </w:rPr>
        <w:t>:</w:t>
      </w:r>
      <w:r>
        <w:rPr>
          <w:rFonts w:hint="eastAsia"/>
          <w:b/>
          <w:sz w:val="30"/>
          <w:lang w:eastAsia="zh-CN"/>
        </w:rPr>
        <w:t>SH</w:t>
      </w:r>
      <w:r>
        <w:rPr>
          <w:b/>
          <w:sz w:val="30"/>
        </w:rPr>
        <w:t>-GMP-</w:t>
      </w:r>
      <w:r>
        <w:rPr>
          <w:rFonts w:hint="eastAsia"/>
          <w:b/>
          <w:sz w:val="30"/>
          <w:lang w:eastAsia="zh-CN"/>
        </w:rPr>
        <w:t>2025</w:t>
      </w:r>
    </w:p>
    <w:p w14:paraId="3C94D532">
      <w:pPr>
        <w:spacing w:line="360" w:lineRule="auto"/>
        <w:ind w:firstLine="3614" w:firstLineChars="1200"/>
        <w:rPr>
          <w:b/>
          <w:sz w:val="30"/>
          <w:szCs w:val="30"/>
        </w:rPr>
      </w:pPr>
    </w:p>
    <w:p w14:paraId="311D0817">
      <w:pPr>
        <w:spacing w:line="360" w:lineRule="auto"/>
        <w:ind w:firstLine="3614" w:firstLineChars="1200"/>
        <w:rPr>
          <w:b/>
          <w:sz w:val="30"/>
          <w:szCs w:val="30"/>
        </w:rPr>
      </w:pPr>
      <w:r>
        <w:rPr>
          <w:rFonts w:hint="eastAsia"/>
          <w:b/>
          <w:sz w:val="30"/>
          <w:szCs w:val="30"/>
        </w:rPr>
        <w:t>受控状态：受控</w:t>
      </w:r>
    </w:p>
    <w:p w14:paraId="0CF65388">
      <w:pPr>
        <w:spacing w:line="360" w:lineRule="auto"/>
        <w:ind w:firstLine="3614" w:firstLineChars="1200"/>
        <w:rPr>
          <w:rFonts w:hint="eastAsia" w:eastAsia="宋体"/>
          <w:b/>
          <w:sz w:val="30"/>
          <w:szCs w:val="30"/>
          <w:lang w:eastAsia="zh-CN"/>
        </w:rPr>
      </w:pPr>
      <w:r>
        <w:rPr>
          <w:rFonts w:hint="eastAsia"/>
          <w:b/>
          <w:sz w:val="30"/>
          <w:szCs w:val="30"/>
        </w:rPr>
        <w:t>编</w:t>
      </w:r>
      <w:r>
        <w:rPr>
          <w:b/>
          <w:sz w:val="30"/>
          <w:szCs w:val="30"/>
        </w:rPr>
        <w:t xml:space="preserve">    </w:t>
      </w:r>
      <w:r>
        <w:rPr>
          <w:rFonts w:hint="eastAsia"/>
          <w:b/>
          <w:sz w:val="30"/>
          <w:szCs w:val="30"/>
        </w:rPr>
        <w:t>制：</w:t>
      </w:r>
      <w:r>
        <w:rPr>
          <w:rFonts w:hint="eastAsia"/>
          <w:b/>
          <w:sz w:val="30"/>
          <w:szCs w:val="30"/>
          <w:lang w:val="en-US" w:eastAsia="zh-CN"/>
        </w:rPr>
        <w:t>综合部</w:t>
      </w:r>
    </w:p>
    <w:p w14:paraId="68234309">
      <w:pPr>
        <w:spacing w:line="360" w:lineRule="auto"/>
        <w:ind w:firstLine="3614" w:firstLineChars="1200"/>
        <w:rPr>
          <w:rFonts w:hint="eastAsia" w:eastAsia="宋体"/>
          <w:b/>
          <w:sz w:val="28"/>
          <w:szCs w:val="28"/>
          <w:lang w:eastAsia="zh-CN"/>
        </w:rPr>
      </w:pPr>
      <w:r>
        <w:rPr>
          <w:rFonts w:hint="eastAsia"/>
          <w:b/>
          <w:sz w:val="30"/>
          <w:szCs w:val="30"/>
        </w:rPr>
        <w:t>审</w:t>
      </w:r>
      <w:r>
        <w:rPr>
          <w:b/>
          <w:sz w:val="30"/>
          <w:szCs w:val="30"/>
        </w:rPr>
        <w:t xml:space="preserve">    </w:t>
      </w:r>
      <w:r>
        <w:rPr>
          <w:rFonts w:hint="eastAsia"/>
          <w:b/>
          <w:sz w:val="30"/>
          <w:szCs w:val="30"/>
        </w:rPr>
        <w:t>核：</w:t>
      </w:r>
      <w:r>
        <w:rPr>
          <w:rFonts w:hint="eastAsia"/>
          <w:b/>
          <w:color w:val="auto"/>
          <w:sz w:val="30"/>
          <w:szCs w:val="30"/>
          <w:lang w:eastAsia="zh-CN"/>
        </w:rPr>
        <w:t>孔连连</w:t>
      </w:r>
    </w:p>
    <w:p w14:paraId="3A9AC476">
      <w:pPr>
        <w:spacing w:line="420" w:lineRule="exact"/>
        <w:ind w:firstLine="3614" w:firstLineChars="1200"/>
        <w:rPr>
          <w:rFonts w:hint="eastAsia"/>
          <w:b/>
          <w:color w:val="E7E6E6" w:themeColor="background2"/>
          <w:sz w:val="30"/>
          <w:szCs w:val="30"/>
          <w:lang w:eastAsia="zh-CN"/>
          <w14:textFill>
            <w14:solidFill>
              <w14:schemeClr w14:val="bg2"/>
            </w14:solidFill>
          </w14:textFill>
        </w:rPr>
      </w:pPr>
      <w:r>
        <w:rPr>
          <w:rFonts w:hint="eastAsia"/>
          <w:b/>
          <w:sz w:val="30"/>
          <w:szCs w:val="30"/>
        </w:rPr>
        <w:t>批</w:t>
      </w:r>
      <w:r>
        <w:rPr>
          <w:b/>
          <w:sz w:val="30"/>
          <w:szCs w:val="30"/>
        </w:rPr>
        <w:t xml:space="preserve">    </w:t>
      </w:r>
      <w:r>
        <w:rPr>
          <w:rFonts w:hint="eastAsia"/>
          <w:b/>
          <w:sz w:val="30"/>
          <w:szCs w:val="30"/>
        </w:rPr>
        <w:t>准</w:t>
      </w:r>
      <w:r>
        <w:rPr>
          <w:rFonts w:hint="eastAsia"/>
          <w:sz w:val="30"/>
          <w:szCs w:val="30"/>
        </w:rPr>
        <w:t>：</w:t>
      </w:r>
      <w:r>
        <w:rPr>
          <w:rFonts w:hint="eastAsia"/>
          <w:b/>
          <w:color w:val="auto"/>
          <w:sz w:val="30"/>
          <w:szCs w:val="30"/>
          <w:lang w:eastAsia="zh-CN"/>
        </w:rPr>
        <w:t>杨春佳</w:t>
      </w:r>
    </w:p>
    <w:p w14:paraId="6A6D83DF">
      <w:pPr>
        <w:spacing w:line="420" w:lineRule="exact"/>
        <w:ind w:firstLine="3614" w:firstLineChars="1200"/>
        <w:rPr>
          <w:rFonts w:hint="default"/>
          <w:b/>
          <w:sz w:val="30"/>
          <w:szCs w:val="30"/>
          <w:highlight w:val="none"/>
          <w:lang w:val="en-US" w:eastAsia="zh-CN"/>
        </w:rPr>
      </w:pPr>
      <w:r>
        <w:rPr>
          <w:rFonts w:hint="eastAsia"/>
          <w:b/>
          <w:sz w:val="30"/>
          <w:szCs w:val="30"/>
          <w:highlight w:val="none"/>
          <w:lang w:val="en-US" w:eastAsia="zh-CN"/>
        </w:rPr>
        <w:t>版    本：A/0</w:t>
      </w:r>
    </w:p>
    <w:p w14:paraId="1F39BA5A"/>
    <w:p w14:paraId="0F802902"/>
    <w:p w14:paraId="4F4021E1"/>
    <w:p w14:paraId="0C6CBAD7"/>
    <w:p w14:paraId="4F6E3B5A"/>
    <w:p w14:paraId="076C87B9"/>
    <w:p w14:paraId="17A20025"/>
    <w:p w14:paraId="6036A48C"/>
    <w:p w14:paraId="79E0B052"/>
    <w:p w14:paraId="29B366C3"/>
    <w:p w14:paraId="2BB65239"/>
    <w:p w14:paraId="3A86DD4A"/>
    <w:p w14:paraId="47E523BA"/>
    <w:p w14:paraId="2E588025"/>
    <w:p w14:paraId="1562C973"/>
    <w:p w14:paraId="16A3208C"/>
    <w:p w14:paraId="1F1622AF">
      <w:pPr>
        <w:spacing w:line="360" w:lineRule="auto"/>
        <w:jc w:val="center"/>
        <w:rPr>
          <w:rFonts w:hint="eastAsia" w:eastAsia="宋体"/>
          <w:b/>
          <w:bCs/>
          <w:sz w:val="30"/>
          <w:szCs w:val="30"/>
          <w:lang w:eastAsia="zh-CN"/>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284480</wp:posOffset>
                </wp:positionV>
                <wp:extent cx="5384165" cy="67945"/>
                <wp:effectExtent l="13335" t="0" r="22225" b="0"/>
                <wp:wrapNone/>
                <wp:docPr id="1" name="任意多边形: 形状 1"/>
                <wp:cNvGraphicFramePr/>
                <a:graphic xmlns:a="http://schemas.openxmlformats.org/drawingml/2006/main">
                  <a:graphicData uri="http://schemas.microsoft.com/office/word/2010/wordprocessingShape">
                    <wps:wsp>
                      <wps:cNvSpPr/>
                      <wps:spPr bwMode="auto">
                        <a:xfrm rot="29171" flipV="1">
                          <a:off x="0" y="0"/>
                          <a:ext cx="5384165" cy="67945"/>
                        </a:xfrm>
                        <a:custGeom>
                          <a:avLst/>
                          <a:gdLst>
                            <a:gd name="T0" fmla="*/ 0 w 9390"/>
                            <a:gd name="T1" fmla="*/ 0 h 60"/>
                            <a:gd name="T2" fmla="*/ 5383859 w 9390"/>
                            <a:gd name="T3" fmla="*/ 67738 h 60"/>
                            <a:gd name="T4" fmla="*/ 0 60000 65536"/>
                            <a:gd name="T5" fmla="*/ 0 60000 65536"/>
                          </a:gdLst>
                          <a:ahLst/>
                          <a:cxnLst>
                            <a:cxn ang="T4">
                              <a:pos x="T0" y="T1"/>
                            </a:cxn>
                            <a:cxn ang="T5">
                              <a:pos x="T2" y="T3"/>
                            </a:cxn>
                          </a:cxnLst>
                          <a:rect l="0" t="0" r="r" b="b"/>
                          <a:pathLst>
                            <a:path w="9390" h="60">
                              <a:moveTo>
                                <a:pt x="0" y="0"/>
                              </a:moveTo>
                              <a:lnTo>
                                <a:pt x="9390" y="60"/>
                              </a:lnTo>
                            </a:path>
                          </a:pathLst>
                        </a:custGeom>
                        <a:noFill/>
                        <a:ln w="25400">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flip:y;margin-left:0.3pt;margin-top:22.4pt;height:5.35pt;width:423.95pt;rotation:-31863f;z-index:251659264;mso-width-relative:page;mso-height-relative:page;" filled="f" stroked="t" coordsize="9390,60" o:gfxdata="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Hdu+pNUAAAAGAQAADwAAAAAAAAABACAA&#10;AAAiAAAAZHJzL2Rvd25yZXYueG1sUEsBAhQAFAAAAAgAh07iQP1M+rr0AgAAQwYAAA4AAAAAAAAA&#10;AQAgAAAAJAEAAGRycy9lMm9Eb2MueG1sUEsFBgAAAAAGAAYAWQEAAIoGAAAAAA==&#10;" path="m0,0l9390,60e">
                <v:path o:connectlocs="0,0;@0,76707640" o:connectangles="0,0"/>
                <v:fill on="f" focussize="0,0"/>
                <v:stroke weight="2pt" color="#000000" joinstyle="round"/>
                <v:imagedata o:title=""/>
                <o:lock v:ext="edit" aspectratio="f"/>
              </v:shape>
            </w:pict>
          </mc:Fallback>
        </mc:AlternateContent>
      </w:r>
      <w:r>
        <w:rPr>
          <w:rFonts w:hint="eastAsia"/>
          <w:b/>
          <w:bCs/>
          <w:sz w:val="30"/>
          <w:szCs w:val="30"/>
        </w:rPr>
        <w:t>发布日期：</w:t>
      </w:r>
      <w:r>
        <w:rPr>
          <w:rFonts w:hint="eastAsia"/>
          <w:b/>
          <w:bCs/>
          <w:sz w:val="30"/>
          <w:szCs w:val="30"/>
          <w:lang w:eastAsia="zh-CN"/>
        </w:rPr>
        <w:t>2025年9月3日</w:t>
      </w:r>
      <w:r>
        <w:rPr>
          <w:b/>
          <w:bCs/>
          <w:sz w:val="30"/>
          <w:szCs w:val="30"/>
        </w:rPr>
        <w:t xml:space="preserve">  </w:t>
      </w:r>
      <w:r>
        <w:rPr>
          <w:rFonts w:hint="eastAsia"/>
          <w:b/>
          <w:bCs/>
          <w:sz w:val="30"/>
          <w:szCs w:val="30"/>
        </w:rPr>
        <w:t>实施日期：</w:t>
      </w:r>
      <w:r>
        <w:rPr>
          <w:rFonts w:hint="eastAsia"/>
          <w:b/>
          <w:bCs/>
          <w:sz w:val="30"/>
          <w:szCs w:val="30"/>
          <w:lang w:eastAsia="zh-CN"/>
        </w:rPr>
        <w:t>2025年9月3日</w:t>
      </w:r>
    </w:p>
    <w:p w14:paraId="7D629617">
      <w:pPr>
        <w:widowControl/>
        <w:jc w:val="left"/>
      </w:pPr>
      <w:r>
        <w:br w:type="page"/>
      </w:r>
    </w:p>
    <w:p w14:paraId="7C863149">
      <w:pPr>
        <w:jc w:val="center"/>
        <w:rPr>
          <w:rFonts w:hint="eastAsia" w:ascii="宋体" w:hAnsi="宋体"/>
          <w:szCs w:val="24"/>
          <w:lang w:val="en-US" w:eastAsia="zh-CN"/>
        </w:rPr>
      </w:pPr>
      <w:r>
        <w:rPr>
          <w:rFonts w:hint="eastAsia" w:ascii="宋体" w:hAnsi="宋体"/>
          <w:szCs w:val="24"/>
          <w:lang w:val="en-US" w:eastAsia="zh-CN"/>
        </w:rPr>
        <w:t>修订</w:t>
      </w:r>
    </w:p>
    <w:tbl>
      <w:tblPr>
        <w:tblStyle w:val="12"/>
        <w:tblW w:w="972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75"/>
        <w:gridCol w:w="1675"/>
        <w:gridCol w:w="3140"/>
        <w:gridCol w:w="1395"/>
        <w:gridCol w:w="1350"/>
      </w:tblGrid>
      <w:tr w14:paraId="7A73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14:paraId="0F47CE08">
            <w:pPr>
              <w:spacing w:line="312" w:lineRule="auto"/>
              <w:jc w:val="center"/>
              <w:rPr>
                <w:rFonts w:hint="eastAsia" w:ascii="宋体" w:hAnsi="宋体" w:cs="宋体"/>
                <w:color w:val="000000"/>
                <w:sz w:val="24"/>
              </w:rPr>
            </w:pPr>
            <w:r>
              <w:rPr>
                <w:rFonts w:hint="eastAsia" w:ascii="宋体" w:hAnsi="宋体" w:cs="宋体"/>
                <w:color w:val="000000"/>
                <w:sz w:val="24"/>
              </w:rPr>
              <w:t>版本</w:t>
            </w:r>
          </w:p>
        </w:tc>
        <w:tc>
          <w:tcPr>
            <w:tcW w:w="1275" w:type="dxa"/>
            <w:noWrap w:val="0"/>
            <w:vAlign w:val="top"/>
          </w:tcPr>
          <w:p w14:paraId="47FB797A">
            <w:pPr>
              <w:spacing w:line="312" w:lineRule="auto"/>
              <w:jc w:val="center"/>
              <w:rPr>
                <w:rFonts w:hint="eastAsia" w:ascii="宋体" w:hAnsi="宋体" w:cs="宋体"/>
                <w:color w:val="000000"/>
                <w:sz w:val="24"/>
              </w:rPr>
            </w:pPr>
            <w:r>
              <w:rPr>
                <w:rFonts w:hint="eastAsia" w:ascii="宋体" w:hAnsi="宋体" w:cs="宋体"/>
                <w:color w:val="000000"/>
                <w:sz w:val="24"/>
              </w:rPr>
              <w:t>修改条款</w:t>
            </w:r>
          </w:p>
        </w:tc>
        <w:tc>
          <w:tcPr>
            <w:tcW w:w="1675" w:type="dxa"/>
            <w:noWrap w:val="0"/>
            <w:vAlign w:val="top"/>
          </w:tcPr>
          <w:p w14:paraId="780874DB">
            <w:pPr>
              <w:spacing w:line="312" w:lineRule="auto"/>
              <w:jc w:val="center"/>
              <w:rPr>
                <w:rFonts w:hint="eastAsia" w:ascii="宋体" w:hAnsi="宋体" w:cs="宋体"/>
                <w:color w:val="000000"/>
                <w:sz w:val="24"/>
              </w:rPr>
            </w:pPr>
            <w:r>
              <w:rPr>
                <w:rFonts w:hint="eastAsia" w:ascii="宋体" w:hAnsi="宋体" w:cs="宋体"/>
                <w:color w:val="000000"/>
                <w:sz w:val="24"/>
              </w:rPr>
              <w:t>修改日期</w:t>
            </w:r>
          </w:p>
        </w:tc>
        <w:tc>
          <w:tcPr>
            <w:tcW w:w="3140" w:type="dxa"/>
            <w:noWrap w:val="0"/>
            <w:vAlign w:val="top"/>
          </w:tcPr>
          <w:p w14:paraId="54043692">
            <w:pPr>
              <w:spacing w:line="312" w:lineRule="auto"/>
              <w:jc w:val="center"/>
              <w:rPr>
                <w:rFonts w:hint="eastAsia" w:ascii="宋体" w:hAnsi="宋体" w:cs="宋体"/>
                <w:color w:val="000000"/>
                <w:sz w:val="24"/>
              </w:rPr>
            </w:pPr>
            <w:r>
              <w:rPr>
                <w:rFonts w:hint="eastAsia" w:ascii="宋体" w:hAnsi="宋体" w:cs="宋体"/>
                <w:color w:val="000000"/>
                <w:sz w:val="24"/>
              </w:rPr>
              <w:t>修改原因</w:t>
            </w:r>
          </w:p>
        </w:tc>
        <w:tc>
          <w:tcPr>
            <w:tcW w:w="1395" w:type="dxa"/>
            <w:noWrap w:val="0"/>
            <w:vAlign w:val="top"/>
          </w:tcPr>
          <w:p w14:paraId="365B4576">
            <w:pPr>
              <w:spacing w:line="312" w:lineRule="auto"/>
              <w:jc w:val="center"/>
              <w:rPr>
                <w:rFonts w:hint="eastAsia" w:ascii="宋体" w:hAnsi="宋体" w:cs="宋体"/>
                <w:color w:val="000000"/>
                <w:sz w:val="24"/>
              </w:rPr>
            </w:pPr>
            <w:r>
              <w:rPr>
                <w:rFonts w:hint="eastAsia" w:ascii="宋体" w:hAnsi="宋体" w:cs="宋体"/>
                <w:color w:val="000000"/>
                <w:sz w:val="24"/>
              </w:rPr>
              <w:t>审核人</w:t>
            </w:r>
          </w:p>
        </w:tc>
        <w:tc>
          <w:tcPr>
            <w:tcW w:w="1350" w:type="dxa"/>
            <w:noWrap w:val="0"/>
            <w:vAlign w:val="top"/>
          </w:tcPr>
          <w:p w14:paraId="2E762F13">
            <w:pPr>
              <w:spacing w:line="312" w:lineRule="auto"/>
              <w:jc w:val="center"/>
              <w:rPr>
                <w:rFonts w:hint="eastAsia" w:ascii="宋体" w:hAnsi="宋体" w:cs="宋体"/>
                <w:color w:val="000000"/>
                <w:sz w:val="24"/>
              </w:rPr>
            </w:pPr>
            <w:r>
              <w:rPr>
                <w:rFonts w:hint="eastAsia" w:ascii="宋体" w:hAnsi="宋体" w:cs="宋体"/>
                <w:color w:val="000000"/>
                <w:sz w:val="24"/>
              </w:rPr>
              <w:t>批准</w:t>
            </w:r>
          </w:p>
        </w:tc>
      </w:tr>
      <w:tr w14:paraId="7224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6AEF52F2">
            <w:pPr>
              <w:spacing w:line="312"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A/</w:t>
            </w:r>
            <w:r>
              <w:rPr>
                <w:rFonts w:hint="eastAsia" w:ascii="宋体" w:hAnsi="宋体" w:eastAsia="宋体" w:cs="宋体"/>
                <w:color w:val="000000"/>
                <w:szCs w:val="21"/>
                <w:lang w:val="en-US" w:eastAsia="zh-CN"/>
              </w:rPr>
              <w:t>0</w:t>
            </w:r>
          </w:p>
        </w:tc>
        <w:tc>
          <w:tcPr>
            <w:tcW w:w="1275" w:type="dxa"/>
            <w:noWrap w:val="0"/>
            <w:vAlign w:val="top"/>
          </w:tcPr>
          <w:p w14:paraId="1DAD2E2B">
            <w:pPr>
              <w:spacing w:line="312" w:lineRule="auto"/>
              <w:jc w:val="center"/>
              <w:rPr>
                <w:rFonts w:hint="eastAsia" w:ascii="宋体" w:hAnsi="宋体" w:eastAsia="宋体" w:cs="宋体"/>
                <w:color w:val="000000"/>
                <w:szCs w:val="21"/>
                <w:lang w:eastAsia="zh-CN"/>
              </w:rPr>
            </w:pPr>
          </w:p>
        </w:tc>
        <w:tc>
          <w:tcPr>
            <w:tcW w:w="1675" w:type="dxa"/>
            <w:noWrap w:val="0"/>
            <w:vAlign w:val="top"/>
          </w:tcPr>
          <w:p w14:paraId="3A514E78">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2025年9月3日</w:t>
            </w:r>
          </w:p>
        </w:tc>
        <w:tc>
          <w:tcPr>
            <w:tcW w:w="3140" w:type="dxa"/>
            <w:noWrap w:val="0"/>
            <w:vAlign w:val="top"/>
          </w:tcPr>
          <w:p w14:paraId="3B566113">
            <w:pPr>
              <w:spacing w:line="312"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初版实施</w:t>
            </w:r>
          </w:p>
        </w:tc>
        <w:tc>
          <w:tcPr>
            <w:tcW w:w="1395" w:type="dxa"/>
            <w:noWrap w:val="0"/>
            <w:vAlign w:val="top"/>
          </w:tcPr>
          <w:p w14:paraId="3ACA681D">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孔连连</w:t>
            </w:r>
          </w:p>
        </w:tc>
        <w:tc>
          <w:tcPr>
            <w:tcW w:w="1350" w:type="dxa"/>
            <w:noWrap w:val="0"/>
            <w:vAlign w:val="top"/>
          </w:tcPr>
          <w:p w14:paraId="4D8DE155">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杨春佳</w:t>
            </w:r>
          </w:p>
        </w:tc>
      </w:tr>
      <w:tr w14:paraId="5DC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50DCB3B0">
            <w:pPr>
              <w:spacing w:line="312" w:lineRule="auto"/>
              <w:jc w:val="center"/>
              <w:rPr>
                <w:rFonts w:hint="default" w:ascii="宋体" w:hAnsi="宋体" w:eastAsia="宋体" w:cs="宋体"/>
                <w:color w:val="000000"/>
                <w:szCs w:val="21"/>
                <w:lang w:val="en-US" w:eastAsia="zh-CN"/>
              </w:rPr>
            </w:pPr>
          </w:p>
        </w:tc>
        <w:tc>
          <w:tcPr>
            <w:tcW w:w="1275" w:type="dxa"/>
            <w:noWrap w:val="0"/>
            <w:vAlign w:val="top"/>
          </w:tcPr>
          <w:p w14:paraId="61A39D3B">
            <w:pPr>
              <w:spacing w:line="312" w:lineRule="auto"/>
              <w:jc w:val="center"/>
              <w:rPr>
                <w:rFonts w:hint="eastAsia" w:ascii="宋体" w:hAnsi="宋体" w:eastAsia="宋体" w:cs="宋体"/>
                <w:color w:val="000000"/>
                <w:szCs w:val="21"/>
                <w:lang w:eastAsia="zh-CN"/>
              </w:rPr>
            </w:pPr>
          </w:p>
        </w:tc>
        <w:tc>
          <w:tcPr>
            <w:tcW w:w="1675" w:type="dxa"/>
            <w:noWrap w:val="0"/>
            <w:vAlign w:val="top"/>
          </w:tcPr>
          <w:p w14:paraId="2D377827">
            <w:pPr>
              <w:spacing w:line="312" w:lineRule="auto"/>
              <w:jc w:val="center"/>
              <w:rPr>
                <w:rFonts w:hint="default" w:ascii="宋体" w:hAnsi="宋体" w:eastAsia="宋体" w:cs="宋体"/>
                <w:color w:val="000000"/>
                <w:szCs w:val="21"/>
                <w:lang w:val="en-US" w:eastAsia="zh-CN"/>
              </w:rPr>
            </w:pPr>
          </w:p>
        </w:tc>
        <w:tc>
          <w:tcPr>
            <w:tcW w:w="3140" w:type="dxa"/>
            <w:noWrap w:val="0"/>
            <w:vAlign w:val="top"/>
          </w:tcPr>
          <w:p w14:paraId="50AA3815">
            <w:pPr>
              <w:spacing w:line="312" w:lineRule="auto"/>
              <w:jc w:val="center"/>
              <w:rPr>
                <w:rFonts w:hint="default" w:ascii="宋体" w:hAnsi="宋体" w:eastAsia="宋体" w:cs="宋体"/>
                <w:color w:val="000000"/>
                <w:szCs w:val="21"/>
                <w:lang w:val="en-US" w:eastAsia="zh-CN"/>
              </w:rPr>
            </w:pPr>
          </w:p>
        </w:tc>
        <w:tc>
          <w:tcPr>
            <w:tcW w:w="1395" w:type="dxa"/>
            <w:noWrap w:val="0"/>
            <w:vAlign w:val="top"/>
          </w:tcPr>
          <w:p w14:paraId="02958118">
            <w:pPr>
              <w:spacing w:line="312" w:lineRule="auto"/>
              <w:jc w:val="center"/>
              <w:rPr>
                <w:rFonts w:hint="eastAsia" w:ascii="宋体" w:hAnsi="宋体" w:eastAsia="宋体" w:cs="宋体"/>
                <w:color w:val="000000"/>
                <w:kern w:val="2"/>
                <w:sz w:val="21"/>
                <w:szCs w:val="21"/>
                <w:lang w:val="en-US" w:eastAsia="zh-CN" w:bidi="ar-SA"/>
              </w:rPr>
            </w:pPr>
          </w:p>
        </w:tc>
        <w:tc>
          <w:tcPr>
            <w:tcW w:w="1350" w:type="dxa"/>
            <w:noWrap w:val="0"/>
            <w:vAlign w:val="top"/>
          </w:tcPr>
          <w:p w14:paraId="14ADB9C3">
            <w:pPr>
              <w:spacing w:line="312" w:lineRule="auto"/>
              <w:jc w:val="center"/>
              <w:rPr>
                <w:rFonts w:hint="eastAsia" w:ascii="宋体" w:hAnsi="宋体" w:eastAsia="宋体" w:cs="宋体"/>
                <w:color w:val="000000"/>
                <w:kern w:val="2"/>
                <w:sz w:val="21"/>
                <w:szCs w:val="21"/>
                <w:lang w:val="en-US" w:eastAsia="zh-CN" w:bidi="ar-SA"/>
              </w:rPr>
            </w:pPr>
          </w:p>
        </w:tc>
      </w:tr>
      <w:tr w14:paraId="4611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2D81E97C">
            <w:pPr>
              <w:spacing w:line="312" w:lineRule="auto"/>
              <w:jc w:val="center"/>
              <w:rPr>
                <w:rFonts w:hint="eastAsia" w:ascii="宋体" w:hAnsi="宋体" w:eastAsia="宋体" w:cs="宋体"/>
                <w:color w:val="000000"/>
                <w:szCs w:val="21"/>
                <w:lang w:eastAsia="zh-CN"/>
              </w:rPr>
            </w:pPr>
          </w:p>
        </w:tc>
        <w:tc>
          <w:tcPr>
            <w:tcW w:w="1275" w:type="dxa"/>
            <w:noWrap w:val="0"/>
            <w:vAlign w:val="top"/>
          </w:tcPr>
          <w:p w14:paraId="3BCA074F">
            <w:pPr>
              <w:spacing w:line="312" w:lineRule="auto"/>
              <w:jc w:val="center"/>
              <w:rPr>
                <w:rFonts w:hint="eastAsia" w:ascii="宋体" w:hAnsi="宋体" w:eastAsia="宋体" w:cs="宋体"/>
                <w:color w:val="000000"/>
                <w:szCs w:val="21"/>
                <w:lang w:eastAsia="zh-CN"/>
              </w:rPr>
            </w:pPr>
          </w:p>
        </w:tc>
        <w:tc>
          <w:tcPr>
            <w:tcW w:w="1675" w:type="dxa"/>
            <w:noWrap w:val="0"/>
            <w:vAlign w:val="top"/>
          </w:tcPr>
          <w:p w14:paraId="574187F8">
            <w:pPr>
              <w:spacing w:line="312" w:lineRule="auto"/>
              <w:jc w:val="center"/>
              <w:rPr>
                <w:rFonts w:hint="eastAsia" w:ascii="宋体" w:hAnsi="宋体" w:eastAsia="宋体" w:cs="宋体"/>
                <w:color w:val="000000"/>
                <w:szCs w:val="21"/>
                <w:lang w:eastAsia="zh-CN"/>
              </w:rPr>
            </w:pPr>
          </w:p>
        </w:tc>
        <w:tc>
          <w:tcPr>
            <w:tcW w:w="3140" w:type="dxa"/>
            <w:noWrap w:val="0"/>
            <w:vAlign w:val="top"/>
          </w:tcPr>
          <w:p w14:paraId="5AC11862">
            <w:pPr>
              <w:spacing w:line="312" w:lineRule="auto"/>
              <w:jc w:val="center"/>
              <w:rPr>
                <w:rFonts w:hint="eastAsia" w:ascii="宋体" w:hAnsi="宋体" w:eastAsia="宋体" w:cs="宋体"/>
                <w:color w:val="000000"/>
                <w:szCs w:val="21"/>
                <w:lang w:eastAsia="zh-CN"/>
              </w:rPr>
            </w:pPr>
          </w:p>
        </w:tc>
        <w:tc>
          <w:tcPr>
            <w:tcW w:w="1395" w:type="dxa"/>
            <w:noWrap w:val="0"/>
            <w:vAlign w:val="top"/>
          </w:tcPr>
          <w:p w14:paraId="3A404F05">
            <w:pPr>
              <w:spacing w:line="312" w:lineRule="auto"/>
              <w:jc w:val="center"/>
              <w:rPr>
                <w:rFonts w:hint="eastAsia" w:ascii="宋体" w:hAnsi="宋体" w:eastAsia="宋体" w:cs="宋体"/>
                <w:color w:val="000000"/>
                <w:szCs w:val="21"/>
                <w:lang w:eastAsia="zh-CN"/>
              </w:rPr>
            </w:pPr>
          </w:p>
        </w:tc>
        <w:tc>
          <w:tcPr>
            <w:tcW w:w="1350" w:type="dxa"/>
            <w:noWrap w:val="0"/>
            <w:vAlign w:val="top"/>
          </w:tcPr>
          <w:p w14:paraId="36792B3C">
            <w:pPr>
              <w:spacing w:line="312" w:lineRule="auto"/>
              <w:jc w:val="center"/>
              <w:rPr>
                <w:rFonts w:hint="eastAsia" w:ascii="宋体" w:hAnsi="宋体" w:eastAsia="宋体" w:cs="宋体"/>
                <w:color w:val="000000"/>
                <w:szCs w:val="21"/>
                <w:lang w:eastAsia="zh-CN"/>
              </w:rPr>
            </w:pPr>
          </w:p>
        </w:tc>
      </w:tr>
      <w:tr w14:paraId="513B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11F3ACBB">
            <w:pPr>
              <w:spacing w:line="312" w:lineRule="auto"/>
              <w:jc w:val="center"/>
              <w:rPr>
                <w:rFonts w:hint="eastAsia" w:ascii="宋体" w:hAnsi="宋体" w:cs="宋体"/>
                <w:color w:val="000000"/>
                <w:sz w:val="28"/>
              </w:rPr>
            </w:pPr>
          </w:p>
        </w:tc>
        <w:tc>
          <w:tcPr>
            <w:tcW w:w="1275" w:type="dxa"/>
            <w:noWrap w:val="0"/>
            <w:vAlign w:val="top"/>
          </w:tcPr>
          <w:p w14:paraId="64593CC2">
            <w:pPr>
              <w:spacing w:line="312" w:lineRule="auto"/>
              <w:jc w:val="center"/>
              <w:rPr>
                <w:rFonts w:hint="eastAsia" w:ascii="宋体" w:hAnsi="宋体" w:cs="宋体"/>
                <w:color w:val="000000"/>
                <w:sz w:val="28"/>
              </w:rPr>
            </w:pPr>
          </w:p>
        </w:tc>
        <w:tc>
          <w:tcPr>
            <w:tcW w:w="1675" w:type="dxa"/>
            <w:noWrap w:val="0"/>
            <w:vAlign w:val="top"/>
          </w:tcPr>
          <w:p w14:paraId="746D2648">
            <w:pPr>
              <w:spacing w:line="312" w:lineRule="auto"/>
              <w:jc w:val="center"/>
              <w:rPr>
                <w:rFonts w:hint="eastAsia" w:ascii="宋体" w:hAnsi="宋体" w:cs="宋体"/>
                <w:color w:val="000000"/>
                <w:sz w:val="28"/>
              </w:rPr>
            </w:pPr>
          </w:p>
        </w:tc>
        <w:tc>
          <w:tcPr>
            <w:tcW w:w="3140" w:type="dxa"/>
            <w:noWrap w:val="0"/>
            <w:vAlign w:val="top"/>
          </w:tcPr>
          <w:p w14:paraId="7C7B89EF">
            <w:pPr>
              <w:spacing w:line="312" w:lineRule="auto"/>
              <w:jc w:val="center"/>
              <w:rPr>
                <w:rFonts w:hint="eastAsia" w:ascii="宋体" w:hAnsi="宋体" w:cs="宋体"/>
                <w:color w:val="000000"/>
                <w:sz w:val="28"/>
              </w:rPr>
            </w:pPr>
          </w:p>
        </w:tc>
        <w:tc>
          <w:tcPr>
            <w:tcW w:w="1395" w:type="dxa"/>
            <w:noWrap w:val="0"/>
            <w:vAlign w:val="top"/>
          </w:tcPr>
          <w:p w14:paraId="5042C332">
            <w:pPr>
              <w:spacing w:line="312" w:lineRule="auto"/>
              <w:jc w:val="center"/>
              <w:rPr>
                <w:rFonts w:hint="eastAsia" w:ascii="宋体" w:hAnsi="宋体" w:cs="宋体"/>
                <w:color w:val="000000"/>
                <w:sz w:val="28"/>
              </w:rPr>
            </w:pPr>
          </w:p>
        </w:tc>
        <w:tc>
          <w:tcPr>
            <w:tcW w:w="1350" w:type="dxa"/>
            <w:noWrap w:val="0"/>
            <w:vAlign w:val="top"/>
          </w:tcPr>
          <w:p w14:paraId="57CD9C85">
            <w:pPr>
              <w:spacing w:line="312" w:lineRule="auto"/>
              <w:jc w:val="center"/>
              <w:rPr>
                <w:rFonts w:hint="eastAsia" w:ascii="宋体" w:hAnsi="宋体" w:cs="宋体"/>
                <w:color w:val="000000"/>
                <w:sz w:val="28"/>
              </w:rPr>
            </w:pPr>
          </w:p>
        </w:tc>
      </w:tr>
      <w:tr w14:paraId="4587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2AAA3772">
            <w:pPr>
              <w:spacing w:line="312" w:lineRule="auto"/>
              <w:jc w:val="center"/>
              <w:rPr>
                <w:rFonts w:hint="eastAsia" w:ascii="宋体" w:hAnsi="宋体" w:cs="宋体"/>
                <w:color w:val="000000"/>
                <w:sz w:val="28"/>
              </w:rPr>
            </w:pPr>
          </w:p>
        </w:tc>
        <w:tc>
          <w:tcPr>
            <w:tcW w:w="1275" w:type="dxa"/>
            <w:noWrap w:val="0"/>
            <w:vAlign w:val="top"/>
          </w:tcPr>
          <w:p w14:paraId="20665231">
            <w:pPr>
              <w:spacing w:line="312" w:lineRule="auto"/>
              <w:jc w:val="center"/>
              <w:rPr>
                <w:rFonts w:hint="eastAsia" w:ascii="宋体" w:hAnsi="宋体" w:cs="宋体"/>
                <w:color w:val="000000"/>
                <w:sz w:val="28"/>
              </w:rPr>
            </w:pPr>
          </w:p>
        </w:tc>
        <w:tc>
          <w:tcPr>
            <w:tcW w:w="1675" w:type="dxa"/>
            <w:noWrap w:val="0"/>
            <w:vAlign w:val="top"/>
          </w:tcPr>
          <w:p w14:paraId="69BC697B">
            <w:pPr>
              <w:spacing w:line="312" w:lineRule="auto"/>
              <w:jc w:val="center"/>
              <w:rPr>
                <w:rFonts w:hint="eastAsia" w:ascii="宋体" w:hAnsi="宋体" w:cs="宋体"/>
                <w:color w:val="000000"/>
                <w:sz w:val="28"/>
              </w:rPr>
            </w:pPr>
          </w:p>
        </w:tc>
        <w:tc>
          <w:tcPr>
            <w:tcW w:w="3140" w:type="dxa"/>
            <w:noWrap w:val="0"/>
            <w:vAlign w:val="top"/>
          </w:tcPr>
          <w:p w14:paraId="12423A5C">
            <w:pPr>
              <w:spacing w:line="312" w:lineRule="auto"/>
              <w:jc w:val="center"/>
              <w:rPr>
                <w:rFonts w:hint="eastAsia" w:ascii="宋体" w:hAnsi="宋体" w:cs="宋体"/>
                <w:color w:val="000000"/>
                <w:sz w:val="28"/>
              </w:rPr>
            </w:pPr>
          </w:p>
        </w:tc>
        <w:tc>
          <w:tcPr>
            <w:tcW w:w="1395" w:type="dxa"/>
            <w:noWrap w:val="0"/>
            <w:vAlign w:val="top"/>
          </w:tcPr>
          <w:p w14:paraId="0423CD74">
            <w:pPr>
              <w:spacing w:line="312" w:lineRule="auto"/>
              <w:jc w:val="center"/>
              <w:rPr>
                <w:rFonts w:hint="eastAsia" w:ascii="宋体" w:hAnsi="宋体" w:cs="宋体"/>
                <w:color w:val="000000"/>
                <w:sz w:val="28"/>
              </w:rPr>
            </w:pPr>
          </w:p>
        </w:tc>
        <w:tc>
          <w:tcPr>
            <w:tcW w:w="1350" w:type="dxa"/>
            <w:noWrap w:val="0"/>
            <w:vAlign w:val="top"/>
          </w:tcPr>
          <w:p w14:paraId="33ADF435">
            <w:pPr>
              <w:spacing w:line="312" w:lineRule="auto"/>
              <w:jc w:val="center"/>
              <w:rPr>
                <w:rFonts w:hint="eastAsia" w:ascii="宋体" w:hAnsi="宋体" w:cs="宋体"/>
                <w:color w:val="000000"/>
                <w:sz w:val="28"/>
              </w:rPr>
            </w:pPr>
          </w:p>
        </w:tc>
      </w:tr>
      <w:tr w14:paraId="7429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18B69080">
            <w:pPr>
              <w:spacing w:line="312" w:lineRule="auto"/>
              <w:jc w:val="center"/>
              <w:rPr>
                <w:rFonts w:hint="eastAsia" w:ascii="宋体" w:hAnsi="宋体" w:cs="宋体"/>
                <w:color w:val="000000"/>
                <w:sz w:val="28"/>
              </w:rPr>
            </w:pPr>
          </w:p>
        </w:tc>
        <w:tc>
          <w:tcPr>
            <w:tcW w:w="1275" w:type="dxa"/>
            <w:noWrap w:val="0"/>
            <w:vAlign w:val="top"/>
          </w:tcPr>
          <w:p w14:paraId="376BBD0F">
            <w:pPr>
              <w:spacing w:line="312" w:lineRule="auto"/>
              <w:jc w:val="center"/>
              <w:rPr>
                <w:rFonts w:hint="eastAsia" w:ascii="宋体" w:hAnsi="宋体" w:cs="宋体"/>
                <w:color w:val="000000"/>
                <w:sz w:val="28"/>
              </w:rPr>
            </w:pPr>
          </w:p>
        </w:tc>
        <w:tc>
          <w:tcPr>
            <w:tcW w:w="1675" w:type="dxa"/>
            <w:noWrap w:val="0"/>
            <w:vAlign w:val="top"/>
          </w:tcPr>
          <w:p w14:paraId="58BDA463">
            <w:pPr>
              <w:spacing w:line="312" w:lineRule="auto"/>
              <w:jc w:val="center"/>
              <w:rPr>
                <w:rFonts w:hint="eastAsia" w:ascii="宋体" w:hAnsi="宋体" w:cs="宋体"/>
                <w:color w:val="000000"/>
                <w:sz w:val="28"/>
              </w:rPr>
            </w:pPr>
          </w:p>
        </w:tc>
        <w:tc>
          <w:tcPr>
            <w:tcW w:w="3140" w:type="dxa"/>
            <w:noWrap w:val="0"/>
            <w:vAlign w:val="top"/>
          </w:tcPr>
          <w:p w14:paraId="7F0289E2">
            <w:pPr>
              <w:spacing w:line="312" w:lineRule="auto"/>
              <w:jc w:val="center"/>
              <w:rPr>
                <w:rFonts w:hint="eastAsia" w:ascii="宋体" w:hAnsi="宋体" w:cs="宋体"/>
                <w:color w:val="000000"/>
                <w:sz w:val="28"/>
              </w:rPr>
            </w:pPr>
          </w:p>
        </w:tc>
        <w:tc>
          <w:tcPr>
            <w:tcW w:w="1395" w:type="dxa"/>
            <w:noWrap w:val="0"/>
            <w:vAlign w:val="top"/>
          </w:tcPr>
          <w:p w14:paraId="382BAF69">
            <w:pPr>
              <w:pStyle w:val="6"/>
              <w:spacing w:line="312" w:lineRule="auto"/>
              <w:ind w:left="0" w:leftChars="0"/>
              <w:jc w:val="center"/>
              <w:rPr>
                <w:rFonts w:hint="eastAsia" w:ascii="宋体" w:hAnsi="宋体" w:cs="宋体"/>
                <w:color w:val="000000"/>
                <w:sz w:val="28"/>
              </w:rPr>
            </w:pPr>
          </w:p>
        </w:tc>
        <w:tc>
          <w:tcPr>
            <w:tcW w:w="1350" w:type="dxa"/>
            <w:noWrap w:val="0"/>
            <w:vAlign w:val="top"/>
          </w:tcPr>
          <w:p w14:paraId="1F2BFAED">
            <w:pPr>
              <w:spacing w:line="312" w:lineRule="auto"/>
              <w:jc w:val="center"/>
              <w:rPr>
                <w:rFonts w:hint="eastAsia" w:ascii="宋体" w:hAnsi="宋体" w:cs="宋体"/>
                <w:color w:val="000000"/>
                <w:sz w:val="28"/>
              </w:rPr>
            </w:pPr>
          </w:p>
        </w:tc>
      </w:tr>
      <w:tr w14:paraId="118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017DED37">
            <w:pPr>
              <w:spacing w:line="312" w:lineRule="auto"/>
              <w:jc w:val="center"/>
              <w:rPr>
                <w:rFonts w:hint="eastAsia" w:ascii="宋体" w:hAnsi="宋体" w:cs="宋体"/>
                <w:color w:val="000000"/>
                <w:sz w:val="28"/>
              </w:rPr>
            </w:pPr>
          </w:p>
        </w:tc>
        <w:tc>
          <w:tcPr>
            <w:tcW w:w="1275" w:type="dxa"/>
            <w:noWrap w:val="0"/>
            <w:vAlign w:val="top"/>
          </w:tcPr>
          <w:p w14:paraId="094D0950">
            <w:pPr>
              <w:spacing w:line="312" w:lineRule="auto"/>
              <w:jc w:val="center"/>
              <w:rPr>
                <w:rFonts w:hint="eastAsia" w:ascii="宋体" w:hAnsi="宋体" w:cs="宋体"/>
                <w:color w:val="000000"/>
                <w:sz w:val="28"/>
              </w:rPr>
            </w:pPr>
          </w:p>
        </w:tc>
        <w:tc>
          <w:tcPr>
            <w:tcW w:w="1675" w:type="dxa"/>
            <w:noWrap w:val="0"/>
            <w:vAlign w:val="top"/>
          </w:tcPr>
          <w:p w14:paraId="301C012C">
            <w:pPr>
              <w:spacing w:line="312" w:lineRule="auto"/>
              <w:jc w:val="center"/>
              <w:rPr>
                <w:rFonts w:hint="eastAsia" w:ascii="宋体" w:hAnsi="宋体" w:cs="宋体"/>
                <w:color w:val="000000"/>
                <w:sz w:val="28"/>
              </w:rPr>
            </w:pPr>
          </w:p>
        </w:tc>
        <w:tc>
          <w:tcPr>
            <w:tcW w:w="3140" w:type="dxa"/>
            <w:noWrap w:val="0"/>
            <w:vAlign w:val="top"/>
          </w:tcPr>
          <w:p w14:paraId="545586BF">
            <w:pPr>
              <w:spacing w:line="312" w:lineRule="auto"/>
              <w:jc w:val="center"/>
              <w:rPr>
                <w:rFonts w:hint="eastAsia" w:ascii="宋体" w:hAnsi="宋体" w:cs="宋体"/>
                <w:color w:val="000000"/>
                <w:sz w:val="28"/>
              </w:rPr>
            </w:pPr>
          </w:p>
        </w:tc>
        <w:tc>
          <w:tcPr>
            <w:tcW w:w="1395" w:type="dxa"/>
            <w:noWrap w:val="0"/>
            <w:vAlign w:val="top"/>
          </w:tcPr>
          <w:p w14:paraId="43754C20">
            <w:pPr>
              <w:spacing w:line="312" w:lineRule="auto"/>
              <w:jc w:val="center"/>
              <w:rPr>
                <w:rFonts w:hint="eastAsia" w:ascii="宋体" w:hAnsi="宋体" w:cs="宋体"/>
                <w:color w:val="000000"/>
                <w:sz w:val="28"/>
              </w:rPr>
            </w:pPr>
          </w:p>
        </w:tc>
        <w:tc>
          <w:tcPr>
            <w:tcW w:w="1350" w:type="dxa"/>
            <w:noWrap w:val="0"/>
            <w:vAlign w:val="top"/>
          </w:tcPr>
          <w:p w14:paraId="6C880200">
            <w:pPr>
              <w:spacing w:line="312" w:lineRule="auto"/>
              <w:jc w:val="center"/>
              <w:rPr>
                <w:rFonts w:hint="eastAsia" w:ascii="宋体" w:hAnsi="宋体" w:cs="宋体"/>
                <w:color w:val="000000"/>
                <w:sz w:val="28"/>
              </w:rPr>
            </w:pPr>
          </w:p>
        </w:tc>
      </w:tr>
      <w:tr w14:paraId="442A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6C5D344E">
            <w:pPr>
              <w:spacing w:line="312" w:lineRule="auto"/>
              <w:jc w:val="center"/>
              <w:rPr>
                <w:rFonts w:hint="eastAsia" w:ascii="宋体" w:hAnsi="宋体" w:cs="宋体"/>
                <w:color w:val="000000"/>
                <w:sz w:val="28"/>
              </w:rPr>
            </w:pPr>
          </w:p>
        </w:tc>
        <w:tc>
          <w:tcPr>
            <w:tcW w:w="1275" w:type="dxa"/>
            <w:noWrap w:val="0"/>
            <w:vAlign w:val="top"/>
          </w:tcPr>
          <w:p w14:paraId="145D6E37">
            <w:pPr>
              <w:spacing w:line="312" w:lineRule="auto"/>
              <w:jc w:val="center"/>
              <w:rPr>
                <w:rFonts w:hint="eastAsia" w:ascii="宋体" w:hAnsi="宋体" w:cs="宋体"/>
                <w:color w:val="000000"/>
                <w:sz w:val="28"/>
              </w:rPr>
            </w:pPr>
          </w:p>
        </w:tc>
        <w:tc>
          <w:tcPr>
            <w:tcW w:w="1675" w:type="dxa"/>
            <w:noWrap w:val="0"/>
            <w:vAlign w:val="top"/>
          </w:tcPr>
          <w:p w14:paraId="0F197666">
            <w:pPr>
              <w:spacing w:line="312" w:lineRule="auto"/>
              <w:jc w:val="center"/>
              <w:rPr>
                <w:rFonts w:hint="eastAsia" w:ascii="宋体" w:hAnsi="宋体" w:cs="宋体"/>
                <w:color w:val="000000"/>
                <w:sz w:val="28"/>
              </w:rPr>
            </w:pPr>
          </w:p>
        </w:tc>
        <w:tc>
          <w:tcPr>
            <w:tcW w:w="3140" w:type="dxa"/>
            <w:noWrap w:val="0"/>
            <w:vAlign w:val="top"/>
          </w:tcPr>
          <w:p w14:paraId="23FFB58F">
            <w:pPr>
              <w:spacing w:line="312" w:lineRule="auto"/>
              <w:jc w:val="center"/>
              <w:rPr>
                <w:rFonts w:hint="eastAsia" w:ascii="宋体" w:hAnsi="宋体" w:cs="宋体"/>
                <w:color w:val="000000"/>
                <w:sz w:val="28"/>
              </w:rPr>
            </w:pPr>
          </w:p>
        </w:tc>
        <w:tc>
          <w:tcPr>
            <w:tcW w:w="1395" w:type="dxa"/>
            <w:noWrap w:val="0"/>
            <w:vAlign w:val="top"/>
          </w:tcPr>
          <w:p w14:paraId="39DAD90E">
            <w:pPr>
              <w:spacing w:line="312" w:lineRule="auto"/>
              <w:jc w:val="center"/>
              <w:rPr>
                <w:rFonts w:hint="eastAsia" w:ascii="宋体" w:hAnsi="宋体" w:cs="宋体"/>
                <w:color w:val="000000"/>
                <w:sz w:val="28"/>
              </w:rPr>
            </w:pPr>
          </w:p>
        </w:tc>
        <w:tc>
          <w:tcPr>
            <w:tcW w:w="1350" w:type="dxa"/>
            <w:noWrap w:val="0"/>
            <w:vAlign w:val="top"/>
          </w:tcPr>
          <w:p w14:paraId="0FDEEEB2">
            <w:pPr>
              <w:spacing w:line="312" w:lineRule="auto"/>
              <w:jc w:val="center"/>
              <w:rPr>
                <w:rFonts w:hint="eastAsia" w:ascii="宋体" w:hAnsi="宋体" w:cs="宋体"/>
                <w:color w:val="000000"/>
                <w:sz w:val="28"/>
              </w:rPr>
            </w:pPr>
          </w:p>
        </w:tc>
      </w:tr>
    </w:tbl>
    <w:p w14:paraId="78FD9405">
      <w:pPr>
        <w:jc w:val="center"/>
        <w:rPr>
          <w:rFonts w:ascii="宋体" w:hAnsi="宋体"/>
          <w:szCs w:val="24"/>
        </w:rPr>
      </w:pPr>
      <w:r>
        <w:rPr>
          <w:rFonts w:hint="eastAsia" w:ascii="宋体" w:hAnsi="宋体"/>
          <w:szCs w:val="24"/>
        </w:rPr>
        <w:br w:type="page"/>
      </w:r>
    </w:p>
    <w:p w14:paraId="06993484">
      <w:pPr>
        <w:pStyle w:val="3"/>
        <w:spacing w:before="156" w:after="78"/>
        <w:ind w:firstLine="482" w:firstLineChars="200"/>
        <w:rPr>
          <w:rFonts w:ascii="宋体" w:hAnsi="宋体"/>
          <w:szCs w:val="24"/>
        </w:rPr>
      </w:pPr>
      <w:r>
        <w:rPr>
          <w:rFonts w:hint="eastAsia" w:ascii="宋体" w:hAnsi="宋体"/>
          <w:szCs w:val="24"/>
        </w:rPr>
        <w:t>场所及周边环境要求</w:t>
      </w:r>
      <w:bookmarkEnd w:id="0"/>
      <w:bookmarkEnd w:id="1"/>
      <w:bookmarkEnd w:id="2"/>
    </w:p>
    <w:p w14:paraId="4D9163A8">
      <w:pPr>
        <w:spacing w:line="360" w:lineRule="auto"/>
        <w:ind w:left="-4" w:leftChars="-2" w:firstLine="480" w:firstLineChars="200"/>
        <w:jc w:val="left"/>
        <w:rPr>
          <w:color w:val="000000"/>
          <w:sz w:val="24"/>
        </w:rPr>
      </w:pPr>
      <w:r>
        <w:rPr>
          <w:rFonts w:hint="eastAsia" w:ascii="宋体" w:hAnsi="宋体" w:cs="宋体"/>
          <w:sz w:val="24"/>
        </w:rPr>
        <w:t>1</w:t>
      </w:r>
      <w:r>
        <w:rPr>
          <w:rFonts w:ascii="宋体" w:hAnsi="宋体" w:cs="宋体"/>
          <w:sz w:val="24"/>
        </w:rPr>
        <w:t>.1</w:t>
      </w:r>
      <w:r>
        <w:rPr>
          <w:rFonts w:hint="eastAsia" w:ascii="宋体" w:hAnsi="宋体" w:cs="Sim Sun"/>
          <w:color w:val="000000"/>
          <w:sz w:val="24"/>
        </w:rPr>
        <w:t>公司周围排水条件较好，电力供应充足，</w:t>
      </w:r>
      <w:r>
        <w:rPr>
          <w:rFonts w:ascii="宋体" w:hAnsi="宋体" w:cs="Sim Sun"/>
          <w:color w:val="000000"/>
          <w:sz w:val="24"/>
        </w:rPr>
        <w:t>30m</w:t>
      </w:r>
      <w:r>
        <w:rPr>
          <w:rFonts w:hint="eastAsia" w:ascii="宋体" w:hAnsi="宋体" w:cs="Sim Sun"/>
          <w:color w:val="000000"/>
          <w:sz w:val="24"/>
        </w:rPr>
        <w:t>内没有粪坑、垃圾站</w:t>
      </w:r>
      <w:r>
        <w:rPr>
          <w:rFonts w:ascii="宋体" w:hAnsi="宋体" w:cs="Sim Sun"/>
          <w:color w:val="000000"/>
          <w:sz w:val="24"/>
        </w:rPr>
        <w:t>(</w:t>
      </w:r>
      <w:r>
        <w:rPr>
          <w:rFonts w:hint="eastAsia" w:ascii="宋体" w:hAnsi="宋体" w:cs="Sim Sun"/>
          <w:color w:val="000000"/>
          <w:sz w:val="24"/>
        </w:rPr>
        <w:t>场</w:t>
      </w:r>
      <w:r>
        <w:rPr>
          <w:rFonts w:ascii="宋体" w:hAnsi="宋体" w:cs="Sim Sun"/>
          <w:color w:val="000000"/>
          <w:sz w:val="24"/>
        </w:rPr>
        <w:t>)</w:t>
      </w:r>
      <w:r>
        <w:rPr>
          <w:rFonts w:hint="eastAsia" w:ascii="宋体" w:hAnsi="宋体" w:cs="Sim Sun"/>
          <w:color w:val="000000"/>
          <w:sz w:val="24"/>
        </w:rPr>
        <w:t>、污水池、露天坑式厕所等，</w:t>
      </w:r>
      <w:r>
        <w:rPr>
          <w:rFonts w:ascii="宋体" w:hAnsi="宋体" w:cs="Sim Sun"/>
          <w:color w:val="000000"/>
          <w:sz w:val="24"/>
        </w:rPr>
        <w:t>1500m</w:t>
      </w:r>
      <w:r>
        <w:rPr>
          <w:rFonts w:hint="eastAsia" w:ascii="宋体" w:hAnsi="宋体" w:cs="Sim Sun"/>
          <w:color w:val="000000"/>
          <w:sz w:val="24"/>
        </w:rPr>
        <w:t>内没有大粪场。周围无粉尘、烟雾、灰沙、有害气体、放射性物质及其他扩散性污染源。</w:t>
      </w:r>
    </w:p>
    <w:p w14:paraId="2B87958D">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Sim Sun"/>
          <w:color w:val="000000"/>
          <w:sz w:val="24"/>
        </w:rPr>
        <w:t>外围道路应采用便于清洗的混凝土材料铺路，保证路面平坦，无积水。道路两侧地面建有绿化带</w:t>
      </w:r>
    </w:p>
    <w:p w14:paraId="23676B74">
      <w:pPr>
        <w:spacing w:line="360" w:lineRule="auto"/>
        <w:ind w:firstLine="480" w:firstLineChars="200"/>
        <w:rPr>
          <w:rFonts w:ascii="宋体" w:hAnsi="宋体" w:cs="宋体"/>
          <w:sz w:val="24"/>
        </w:rPr>
      </w:pPr>
      <w:r>
        <w:rPr>
          <w:rFonts w:ascii="宋体" w:hAnsi="宋体" w:cs="宋体"/>
          <w:sz w:val="24"/>
        </w:rPr>
        <w:t>1.3</w:t>
      </w:r>
      <w:r>
        <w:rPr>
          <w:rFonts w:hint="eastAsia" w:ascii="宋体" w:hAnsi="宋体" w:cs="宋体"/>
          <w:sz w:val="24"/>
        </w:rPr>
        <w:t xml:space="preserve"> 具有隔离带，不易发洪涝灾害，以及大量虫害孳生。</w:t>
      </w:r>
    </w:p>
    <w:p w14:paraId="417D8558">
      <w:pPr>
        <w:pStyle w:val="3"/>
        <w:spacing w:before="156" w:after="78"/>
        <w:ind w:firstLine="482" w:firstLineChars="200"/>
        <w:rPr>
          <w:rFonts w:ascii="宋体" w:hAnsi="宋体"/>
          <w:szCs w:val="24"/>
        </w:rPr>
      </w:pPr>
      <w:bookmarkStart w:id="3" w:name="_Toc106545477"/>
      <w:bookmarkStart w:id="4" w:name="_Toc121751585"/>
      <w:bookmarkStart w:id="5" w:name="_Toc106545827"/>
      <w:r>
        <w:rPr>
          <w:rFonts w:hint="eastAsia" w:ascii="宋体" w:hAnsi="宋体"/>
          <w:szCs w:val="24"/>
        </w:rPr>
        <w:t>场所设计、建造、布局和操作要求</w:t>
      </w:r>
      <w:bookmarkEnd w:id="3"/>
      <w:bookmarkEnd w:id="4"/>
      <w:bookmarkEnd w:id="5"/>
    </w:p>
    <w:p w14:paraId="559B1A8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具备</w:t>
      </w:r>
      <w:r>
        <w:rPr>
          <w:rFonts w:hint="eastAsia" w:ascii="宋体" w:hAnsi="宋体" w:cs="宋体"/>
          <w:sz w:val="24"/>
          <w:lang w:eastAsia="zh-CN"/>
        </w:rPr>
        <w:t>销售</w:t>
      </w:r>
      <w:r>
        <w:rPr>
          <w:rFonts w:hint="eastAsia" w:ascii="宋体" w:hAnsi="宋体" w:cs="宋体"/>
          <w:sz w:val="24"/>
        </w:rPr>
        <w:t>所需配套能功能区域及设备设施。</w:t>
      </w:r>
    </w:p>
    <w:p w14:paraId="68808FF8">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水及排水系统、空调系统可满足</w:t>
      </w:r>
      <w:r>
        <w:rPr>
          <w:rFonts w:hint="eastAsia" w:ascii="宋体" w:hAnsi="宋体" w:cs="宋体"/>
          <w:sz w:val="24"/>
          <w:lang w:eastAsia="zh-CN"/>
        </w:rPr>
        <w:t>销售</w:t>
      </w:r>
      <w:r>
        <w:rPr>
          <w:rFonts w:hint="eastAsia" w:ascii="宋体" w:hAnsi="宋体" w:cs="宋体"/>
          <w:sz w:val="24"/>
        </w:rPr>
        <w:t>所需要求。</w:t>
      </w:r>
    </w:p>
    <w:p w14:paraId="55502CC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厂区内外有明显的隔离设施。</w:t>
      </w:r>
    </w:p>
    <w:p w14:paraId="715B7512">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公司地面、厂房、仓库、设备设施、及场所内各建筑物能够确保接收、储存、的食品安全。</w:t>
      </w:r>
    </w:p>
    <w:p w14:paraId="237D3D1D">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卫生间及废弃物存放处，与</w:t>
      </w:r>
      <w:r>
        <w:rPr>
          <w:rFonts w:hint="eastAsia" w:ascii="宋体" w:hAnsi="宋体" w:cs="宋体"/>
          <w:sz w:val="24"/>
          <w:lang w:eastAsia="zh-CN"/>
        </w:rPr>
        <w:t>销售</w:t>
      </w:r>
      <w:r>
        <w:rPr>
          <w:rFonts w:hint="eastAsia" w:ascii="宋体" w:hAnsi="宋体" w:cs="宋体"/>
          <w:sz w:val="24"/>
        </w:rPr>
        <w:t>区域有效隔离。</w:t>
      </w:r>
    </w:p>
    <w:p w14:paraId="40426F65">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配备防蝇、防鼠等相应措施。</w:t>
      </w:r>
    </w:p>
    <w:p w14:paraId="742A8EC9">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门窗可做纱窗或封闭处理，</w:t>
      </w:r>
      <w:r>
        <w:rPr>
          <w:rFonts w:hint="eastAsia" w:ascii="宋体" w:hAnsi="宋体" w:cs="宋体"/>
          <w:sz w:val="24"/>
          <w:lang w:eastAsia="zh-CN"/>
        </w:rPr>
        <w:t>销售</w:t>
      </w:r>
      <w:r>
        <w:rPr>
          <w:rFonts w:hint="eastAsia" w:ascii="宋体" w:hAnsi="宋体" w:cs="宋体"/>
          <w:sz w:val="24"/>
        </w:rPr>
        <w:t>时应保持封闭状态。</w:t>
      </w:r>
    </w:p>
    <w:p w14:paraId="39370136">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lang w:eastAsia="zh-CN"/>
        </w:rPr>
        <w:t>仓库</w:t>
      </w:r>
      <w:r>
        <w:rPr>
          <w:rFonts w:hint="eastAsia" w:ascii="宋体" w:hAnsi="宋体" w:cs="宋体"/>
          <w:sz w:val="24"/>
        </w:rPr>
        <w:t>内操作台、工器具等与食品接触的设备表面使用无毒、耐腐蚀、不生锈、易清洁消毒材质。</w:t>
      </w:r>
    </w:p>
    <w:p w14:paraId="1A66BD0F">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lang w:eastAsia="zh-CN"/>
        </w:rPr>
        <w:t>仓库</w:t>
      </w:r>
      <w:r>
        <w:rPr>
          <w:rFonts w:hint="eastAsia" w:ascii="宋体" w:hAnsi="宋体" w:cs="宋体"/>
          <w:sz w:val="24"/>
        </w:rPr>
        <w:t>配置充足的洗手、消毒、干手设施。配备必要更衣、洗衣功能区及设备设施。</w:t>
      </w:r>
    </w:p>
    <w:p w14:paraId="6C2D4E0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合理的人流物流通道，避免交叉污染。</w:t>
      </w:r>
    </w:p>
    <w:p w14:paraId="16FBB6EE">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仓储区域划分合理，标签、添加剂等设置专库及双锁。</w:t>
      </w:r>
    </w:p>
    <w:p w14:paraId="34357D4A">
      <w:pPr>
        <w:pStyle w:val="3"/>
        <w:spacing w:before="156" w:after="78"/>
        <w:ind w:firstLine="482" w:firstLineChars="200"/>
        <w:rPr>
          <w:rFonts w:ascii="宋体" w:hAnsi="宋体"/>
          <w:szCs w:val="24"/>
        </w:rPr>
      </w:pPr>
      <w:bookmarkStart w:id="6" w:name="_Toc106545828"/>
      <w:bookmarkStart w:id="7" w:name="_Toc106545478"/>
      <w:bookmarkStart w:id="8" w:name="_Toc121751586"/>
      <w:r>
        <w:rPr>
          <w:rFonts w:hint="eastAsia" w:ascii="宋体" w:hAnsi="宋体"/>
          <w:szCs w:val="24"/>
        </w:rPr>
        <w:t>库存管理</w:t>
      </w:r>
      <w:bookmarkEnd w:id="6"/>
      <w:bookmarkEnd w:id="7"/>
      <w:bookmarkEnd w:id="8"/>
    </w:p>
    <w:p w14:paraId="548D9211">
      <w:pPr>
        <w:pStyle w:val="19"/>
        <w:numPr>
          <w:ilvl w:val="0"/>
          <w:numId w:val="3"/>
        </w:numPr>
        <w:tabs>
          <w:tab w:val="left" w:pos="1843"/>
        </w:tabs>
        <w:spacing w:line="360" w:lineRule="auto"/>
        <w:ind w:firstLineChars="0"/>
        <w:rPr>
          <w:rFonts w:ascii="宋体" w:hAnsi="宋体" w:cs="宋体"/>
          <w:sz w:val="24"/>
        </w:rPr>
      </w:pPr>
      <w:r>
        <w:rPr>
          <w:rFonts w:hint="eastAsia" w:ascii="宋体" w:hAnsi="宋体" w:cs="宋体"/>
          <w:sz w:val="24"/>
        </w:rPr>
        <w:t>入库管理制度:</w:t>
      </w:r>
    </w:p>
    <w:p w14:paraId="3FFC0ED2">
      <w:pPr>
        <w:tabs>
          <w:tab w:val="left" w:pos="1843"/>
        </w:tabs>
        <w:spacing w:line="360" w:lineRule="auto"/>
        <w:ind w:firstLine="480" w:firstLineChars="200"/>
        <w:rPr>
          <w:rFonts w:ascii="宋体" w:hAnsi="宋体" w:cs="宋体"/>
          <w:sz w:val="24"/>
        </w:rPr>
      </w:pPr>
      <w:r>
        <w:rPr>
          <w:rFonts w:hint="eastAsia" w:ascii="宋体" w:hAnsi="宋体" w:cs="宋体"/>
          <w:sz w:val="24"/>
        </w:rPr>
        <w:t>待入库</w:t>
      </w:r>
      <w:r>
        <w:rPr>
          <w:rFonts w:hint="eastAsia" w:ascii="宋体" w:hAnsi="宋体" w:cs="宋体"/>
          <w:sz w:val="24"/>
          <w:lang w:eastAsia="zh-CN"/>
        </w:rPr>
        <w:t>产品</w:t>
      </w:r>
      <w:r>
        <w:rPr>
          <w:rFonts w:hint="eastAsia" w:ascii="宋体" w:hAnsi="宋体" w:cs="宋体"/>
          <w:sz w:val="24"/>
        </w:rPr>
        <w:t>应单据和凭证齐全。单据凭证应包括规格、型号、数量、供货单位、经手人等信息。</w:t>
      </w:r>
    </w:p>
    <w:p w14:paraId="5E81DF95">
      <w:pPr>
        <w:tabs>
          <w:tab w:val="left" w:pos="1843"/>
        </w:tabs>
        <w:spacing w:line="360" w:lineRule="auto"/>
        <w:ind w:left="48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货物检查和验收</w:t>
      </w:r>
    </w:p>
    <w:p w14:paraId="346ABDB3">
      <w:pPr>
        <w:tabs>
          <w:tab w:val="left" w:pos="1843"/>
        </w:tabs>
        <w:spacing w:line="360" w:lineRule="auto"/>
        <w:ind w:firstLine="480" w:firstLineChars="200"/>
        <w:rPr>
          <w:rFonts w:ascii="宋体" w:hAnsi="宋体" w:cs="宋体"/>
          <w:sz w:val="24"/>
        </w:rPr>
      </w:pPr>
      <w:r>
        <w:rPr>
          <w:rFonts w:hint="eastAsia" w:ascii="宋体" w:hAnsi="宋体" w:cs="宋体"/>
          <w:sz w:val="24"/>
        </w:rPr>
        <w:t>首先对</w:t>
      </w:r>
      <w:r>
        <w:rPr>
          <w:rFonts w:hint="eastAsia" w:ascii="宋体" w:hAnsi="宋体" w:cs="宋体"/>
          <w:sz w:val="24"/>
          <w:lang w:eastAsia="zh-CN"/>
        </w:rPr>
        <w:t>产品</w:t>
      </w:r>
      <w:r>
        <w:rPr>
          <w:rFonts w:hint="eastAsia" w:ascii="宋体" w:hAnsi="宋体" w:cs="宋体"/>
          <w:sz w:val="24"/>
        </w:rPr>
        <w:t>进行外观检查，看有无受潮、进水、破损、变形、污染等现象；核对到货品名、规格、型号、标志、数量、发货单位、收货单位等是否正确。如发现有不相符的现象，仓管员有权拒绝办理入库手续，并视其程度报告采购或相关负责人。</w:t>
      </w:r>
    </w:p>
    <w:p w14:paraId="2937C3C5">
      <w:pPr>
        <w:pStyle w:val="19"/>
        <w:numPr>
          <w:ilvl w:val="0"/>
          <w:numId w:val="3"/>
        </w:numPr>
        <w:tabs>
          <w:tab w:val="left" w:pos="1843"/>
        </w:tabs>
        <w:spacing w:line="360" w:lineRule="auto"/>
        <w:ind w:firstLineChars="0"/>
        <w:rPr>
          <w:rFonts w:ascii="宋体" w:hAnsi="宋体" w:cs="宋体"/>
          <w:sz w:val="24"/>
        </w:rPr>
      </w:pPr>
      <w:r>
        <w:rPr>
          <w:rFonts w:hint="eastAsia" w:ascii="宋体" w:hAnsi="宋体" w:cs="宋体"/>
          <w:sz w:val="24"/>
        </w:rPr>
        <w:t>出库管理制度:</w:t>
      </w:r>
    </w:p>
    <w:p w14:paraId="6ED1DE0B">
      <w:pPr>
        <w:tabs>
          <w:tab w:val="left" w:pos="1843"/>
        </w:tabs>
        <w:spacing w:line="360" w:lineRule="auto"/>
        <w:ind w:firstLine="480" w:firstLineChars="200"/>
        <w:rPr>
          <w:rFonts w:ascii="宋体" w:hAnsi="宋体" w:cs="宋体"/>
          <w:sz w:val="24"/>
        </w:rPr>
      </w:pPr>
      <w:r>
        <w:rPr>
          <w:rFonts w:hint="eastAsia" w:ascii="宋体" w:hAnsi="宋体" w:cs="宋体"/>
          <w:sz w:val="24"/>
        </w:rPr>
        <w:t>货物出库应遵循“先进先出、推陈储新”的原则。</w:t>
      </w:r>
    </w:p>
    <w:p w14:paraId="552C0B44">
      <w:pPr>
        <w:tabs>
          <w:tab w:val="left" w:pos="1843"/>
        </w:tabs>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.4</w:t>
      </w:r>
      <w:r>
        <w:rPr>
          <w:rFonts w:hint="eastAsia" w:ascii="宋体" w:hAnsi="宋体" w:cs="宋体"/>
          <w:sz w:val="24"/>
        </w:rPr>
        <w:t>贮存</w:t>
      </w:r>
    </w:p>
    <w:p w14:paraId="1250E3B9">
      <w:pPr>
        <w:tabs>
          <w:tab w:val="left" w:pos="1843"/>
        </w:tabs>
        <w:spacing w:line="360" w:lineRule="auto"/>
        <w:ind w:firstLine="480" w:firstLineChars="200"/>
        <w:rPr>
          <w:rFonts w:ascii="宋体" w:hAnsi="宋体" w:cs="宋体"/>
          <w:sz w:val="24"/>
        </w:rPr>
      </w:pPr>
      <w:r>
        <w:rPr>
          <w:rFonts w:ascii="宋体" w:hAnsi="宋体" w:cs="宋体"/>
          <w:sz w:val="24"/>
        </w:rPr>
        <w:t>3.4.1</w:t>
      </w:r>
      <w:r>
        <w:rPr>
          <w:rFonts w:hint="eastAsia" w:ascii="宋体" w:hAnsi="宋体" w:cs="宋体"/>
          <w:sz w:val="24"/>
        </w:rPr>
        <w:t>堆码原则</w:t>
      </w:r>
    </w:p>
    <w:p w14:paraId="7E0FD2F6">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保证货物不变形，且能确保人员、货物及设备的作业安全。</w:t>
      </w:r>
    </w:p>
    <w:p w14:paraId="27907443">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方便管理人员收发、盘点和维护，便于装卸搬运作业。</w:t>
      </w:r>
    </w:p>
    <w:p w14:paraId="55D84B13">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便于信息系统管理，充分提高作业效率和仓储利用率.</w:t>
      </w:r>
    </w:p>
    <w:p w14:paraId="134DA279">
      <w:pPr>
        <w:pStyle w:val="19"/>
        <w:numPr>
          <w:ilvl w:val="0"/>
          <w:numId w:val="4"/>
        </w:numPr>
        <w:tabs>
          <w:tab w:val="left" w:pos="993"/>
          <w:tab w:val="left" w:pos="1418"/>
        </w:tabs>
        <w:spacing w:line="360" w:lineRule="auto"/>
        <w:ind w:firstLineChars="0"/>
        <w:rPr>
          <w:rFonts w:ascii="宋体" w:hAnsi="宋体" w:cs="宋体"/>
          <w:sz w:val="24"/>
        </w:rPr>
      </w:pPr>
      <w:r>
        <w:rPr>
          <w:rFonts w:hint="eastAsia" w:ascii="宋体" w:hAnsi="宋体" w:cs="宋体"/>
          <w:sz w:val="24"/>
        </w:rPr>
        <w:t>轻启轻放，大不压小，重不压轻。标志直观清晰，标签朝外。</w:t>
      </w:r>
    </w:p>
    <w:p w14:paraId="1652D033">
      <w:pPr>
        <w:pStyle w:val="19"/>
        <w:numPr>
          <w:ilvl w:val="0"/>
          <w:numId w:val="4"/>
        </w:numPr>
        <w:tabs>
          <w:tab w:val="left" w:pos="851"/>
        </w:tabs>
        <w:spacing w:line="360" w:lineRule="auto"/>
        <w:ind w:left="0" w:firstLine="480"/>
        <w:rPr>
          <w:rFonts w:ascii="宋体" w:hAnsi="宋体" w:cs="宋体"/>
          <w:sz w:val="24"/>
        </w:rPr>
      </w:pPr>
      <w:r>
        <w:rPr>
          <w:rFonts w:hint="eastAsia" w:ascii="宋体" w:hAnsi="宋体" w:cs="宋体"/>
          <w:sz w:val="24"/>
        </w:rPr>
        <w:t>仓库应经常整理，贮存物品与地面距离至少10厘米，与墙壁距离至少</w:t>
      </w:r>
      <w:r>
        <w:rPr>
          <w:rFonts w:ascii="宋体" w:hAnsi="宋体" w:cs="宋体"/>
          <w:sz w:val="24"/>
        </w:rPr>
        <w:t>1</w:t>
      </w:r>
      <w:r>
        <w:rPr>
          <w:rFonts w:hint="eastAsia" w:ascii="宋体" w:hAnsi="宋体" w:cs="宋体"/>
          <w:sz w:val="24"/>
        </w:rPr>
        <w:t>0厘米。仓库中的物品应定期检查，如有异常应即时处理。</w:t>
      </w:r>
    </w:p>
    <w:p w14:paraId="31EDCC8C">
      <w:pPr>
        <w:tabs>
          <w:tab w:val="left" w:pos="1843"/>
        </w:tabs>
        <w:spacing w:line="360" w:lineRule="auto"/>
        <w:ind w:firstLine="480" w:firstLineChars="200"/>
        <w:rPr>
          <w:rFonts w:ascii="宋体" w:hAnsi="宋体" w:cs="宋体"/>
          <w:sz w:val="24"/>
        </w:rPr>
      </w:pPr>
      <w:r>
        <w:rPr>
          <w:rFonts w:ascii="宋体" w:hAnsi="宋体" w:cs="宋体"/>
          <w:sz w:val="24"/>
        </w:rPr>
        <w:t>3.4.2</w:t>
      </w:r>
      <w:r>
        <w:rPr>
          <w:rFonts w:hint="eastAsia" w:ascii="宋体" w:hAnsi="宋体" w:cs="宋体"/>
          <w:sz w:val="24"/>
        </w:rPr>
        <w:t>防护</w:t>
      </w:r>
    </w:p>
    <w:p w14:paraId="3089C192">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原料和成品应分区储存，根据季节不同。冷藏冰箱控制在2</w:t>
      </w:r>
      <w:r>
        <w:rPr>
          <w:rFonts w:ascii="宋体" w:hAnsi="宋体" w:cs="宋体"/>
          <w:sz w:val="24"/>
        </w:rPr>
        <w:t>-8</w:t>
      </w:r>
      <w:r>
        <w:rPr>
          <w:rFonts w:hint="eastAsia" w:ascii="宋体" w:hAnsi="宋体" w:cs="宋体"/>
          <w:sz w:val="24"/>
        </w:rPr>
        <w:t>℃，冷冻冰箱在-</w:t>
      </w:r>
      <w:r>
        <w:rPr>
          <w:rFonts w:ascii="宋体" w:hAnsi="宋体" w:cs="宋体"/>
          <w:sz w:val="24"/>
        </w:rPr>
        <w:t>14</w:t>
      </w:r>
      <w:r>
        <w:rPr>
          <w:rFonts w:hint="eastAsia" w:ascii="宋体" w:hAnsi="宋体" w:cs="宋体"/>
          <w:sz w:val="24"/>
        </w:rPr>
        <w:t>摄氏度。</w:t>
      </w:r>
    </w:p>
    <w:p w14:paraId="0CAD49FC">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在库内悬挂干湿表，表应安置在空气流通、不受阳光照射的地方，不要挂在墙上，挂置高度约1.5米左右。每日必须对库内温湿度进行观测，以确定库内温湿度的变化。</w:t>
      </w:r>
    </w:p>
    <w:p w14:paraId="4DF0AF3D">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加强入库验收。易霉物品入库，首先应检验其包装是否潮湿，在保管期间应特别注意勤加检查，加强防护。</w:t>
      </w:r>
    </w:p>
    <w:p w14:paraId="61E56D6A">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加强仓库温湿度管理，尤其是在梅雨季节，使霉菌不宜生长。</w:t>
      </w:r>
    </w:p>
    <w:p w14:paraId="5DB6155E">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选择合理的储存场所。易霉物品应尽量安排在空气流通、光线较强、比较干燥的库房，并应避免与含水量大的商品同储在一起。</w:t>
      </w:r>
    </w:p>
    <w:p w14:paraId="4DA6D6A5">
      <w:pPr>
        <w:pStyle w:val="3"/>
        <w:spacing w:before="156" w:after="78"/>
        <w:ind w:firstLine="482" w:firstLineChars="200"/>
        <w:rPr>
          <w:rFonts w:ascii="宋体" w:hAnsi="宋体"/>
          <w:szCs w:val="24"/>
        </w:rPr>
      </w:pPr>
      <w:bookmarkStart w:id="9" w:name="_Toc106545479"/>
      <w:bookmarkStart w:id="10" w:name="_Toc106545829"/>
      <w:bookmarkStart w:id="11" w:name="_Toc121751587"/>
      <w:r>
        <w:rPr>
          <w:rFonts w:hint="eastAsia" w:ascii="宋体" w:hAnsi="宋体"/>
          <w:szCs w:val="24"/>
        </w:rPr>
        <w:t>空气和水质</w:t>
      </w:r>
      <w:bookmarkEnd w:id="9"/>
      <w:bookmarkEnd w:id="10"/>
      <w:bookmarkEnd w:id="11"/>
    </w:p>
    <w:p w14:paraId="27FBACF3">
      <w:pPr>
        <w:tabs>
          <w:tab w:val="left" w:pos="1560"/>
        </w:tabs>
        <w:spacing w:line="360" w:lineRule="auto"/>
        <w:ind w:firstLine="480" w:firstLineChars="200"/>
        <w:rPr>
          <w:rFonts w:ascii="宋体" w:hAnsi="宋体" w:cs="宋体"/>
          <w:sz w:val="24"/>
        </w:rPr>
      </w:pPr>
      <w:r>
        <w:rPr>
          <w:rFonts w:hint="eastAsia" w:ascii="宋体" w:hAnsi="宋体" w:cs="宋体"/>
          <w:sz w:val="24"/>
        </w:rPr>
        <w:t>4.1水源及供水</w:t>
      </w:r>
    </w:p>
    <w:p w14:paraId="14A5EE09">
      <w:pPr>
        <w:tabs>
          <w:tab w:val="left" w:pos="1560"/>
        </w:tabs>
        <w:spacing w:line="360" w:lineRule="auto"/>
        <w:ind w:firstLine="480" w:firstLineChars="200"/>
        <w:rPr>
          <w:rFonts w:ascii="宋体" w:hAnsi="宋体" w:cs="宋体"/>
          <w:sz w:val="24"/>
        </w:rPr>
      </w:pPr>
      <w:r>
        <w:rPr>
          <w:rFonts w:hint="eastAsia" w:ascii="宋体" w:hAnsi="宋体" w:cs="宋体"/>
          <w:sz w:val="24"/>
        </w:rPr>
        <w:t>4.1.1本公司所有</w:t>
      </w:r>
      <w:r>
        <w:rPr>
          <w:rFonts w:hint="eastAsia" w:ascii="宋体" w:hAnsi="宋体" w:cs="宋体"/>
          <w:sz w:val="24"/>
          <w:lang w:eastAsia="zh-CN"/>
        </w:rPr>
        <w:t>销售</w:t>
      </w:r>
      <w:r>
        <w:rPr>
          <w:rFonts w:hint="eastAsia" w:ascii="宋体" w:hAnsi="宋体" w:cs="宋体"/>
          <w:sz w:val="24"/>
        </w:rPr>
        <w:t>用水、生活用水均为自来水。</w:t>
      </w:r>
    </w:p>
    <w:p w14:paraId="62602CF7">
      <w:pPr>
        <w:tabs>
          <w:tab w:val="left" w:pos="1560"/>
        </w:tabs>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2</w:t>
      </w:r>
      <w:r>
        <w:rPr>
          <w:rFonts w:hint="eastAsia" w:ascii="宋体" w:hAnsi="宋体" w:cs="宋体"/>
          <w:sz w:val="24"/>
        </w:rPr>
        <w:t>供水管道需采用耐腐蚀、不易生锈管材，对所有水龙头进行编号管理。</w:t>
      </w:r>
    </w:p>
    <w:p w14:paraId="3E8ECE37">
      <w:pPr>
        <w:tabs>
          <w:tab w:val="left" w:pos="1560"/>
        </w:tabs>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3</w:t>
      </w:r>
      <w:r>
        <w:rPr>
          <w:rFonts w:hint="eastAsia" w:ascii="宋体" w:hAnsi="宋体" w:cs="宋体"/>
          <w:sz w:val="24"/>
          <w:lang w:eastAsia="zh-CN"/>
        </w:rPr>
        <w:t>仓库</w:t>
      </w:r>
      <w:r>
        <w:rPr>
          <w:rFonts w:hint="eastAsia" w:ascii="宋体" w:hAnsi="宋体" w:cs="宋体"/>
          <w:sz w:val="24"/>
        </w:rPr>
        <w:t>供水与污水管道分开设置，无交叉污染。</w:t>
      </w:r>
    </w:p>
    <w:p w14:paraId="7A9E248F">
      <w:pPr>
        <w:tabs>
          <w:tab w:val="left" w:pos="1560"/>
        </w:tabs>
        <w:spacing w:line="360" w:lineRule="auto"/>
        <w:ind w:firstLine="480" w:firstLineChars="200"/>
        <w:rPr>
          <w:rFonts w:ascii="宋体" w:hAnsi="宋体" w:cs="宋体"/>
          <w:sz w:val="24"/>
        </w:rPr>
      </w:pPr>
      <w:r>
        <w:rPr>
          <w:rFonts w:hint="eastAsia" w:ascii="宋体" w:hAnsi="宋体" w:cs="宋体"/>
          <w:sz w:val="24"/>
        </w:rPr>
        <w:t>4.2污水的处理</w:t>
      </w:r>
    </w:p>
    <w:p w14:paraId="3BAE906F">
      <w:pPr>
        <w:tabs>
          <w:tab w:val="left" w:pos="1560"/>
        </w:tabs>
        <w:spacing w:line="360" w:lineRule="auto"/>
        <w:ind w:firstLine="480" w:firstLineChars="200"/>
        <w:rPr>
          <w:rFonts w:ascii="宋体" w:hAnsi="宋体" w:cs="宋体"/>
          <w:sz w:val="24"/>
        </w:rPr>
      </w:pPr>
      <w:r>
        <w:rPr>
          <w:rFonts w:hint="eastAsia" w:ascii="宋体" w:hAnsi="宋体" w:cs="宋体"/>
          <w:sz w:val="24"/>
        </w:rPr>
        <w:t>4.2.1排水总体流向由清洁区到非清洁区。</w:t>
      </w:r>
    </w:p>
    <w:p w14:paraId="0D5179AB">
      <w:pPr>
        <w:tabs>
          <w:tab w:val="left" w:pos="1560"/>
        </w:tabs>
        <w:spacing w:line="360" w:lineRule="auto"/>
        <w:ind w:firstLine="480" w:firstLineChars="200"/>
        <w:rPr>
          <w:rFonts w:ascii="宋体" w:hAnsi="宋体" w:cs="宋体"/>
          <w:sz w:val="24"/>
        </w:rPr>
      </w:pPr>
      <w:r>
        <w:rPr>
          <w:rFonts w:hint="eastAsia" w:ascii="宋体" w:hAnsi="宋体" w:cs="宋体"/>
          <w:sz w:val="24"/>
        </w:rPr>
        <w:t>4.2.2排出的污水进入市政排水管网，不再回</w:t>
      </w:r>
      <w:r>
        <w:rPr>
          <w:rFonts w:hint="eastAsia" w:ascii="宋体" w:hAnsi="宋体" w:cs="宋体"/>
          <w:sz w:val="24"/>
          <w:lang w:eastAsia="zh-CN"/>
        </w:rPr>
        <w:t>仓库</w:t>
      </w:r>
      <w:r>
        <w:rPr>
          <w:rFonts w:hint="eastAsia" w:ascii="宋体" w:hAnsi="宋体" w:cs="宋体"/>
          <w:sz w:val="24"/>
        </w:rPr>
        <w:t>使用。</w:t>
      </w:r>
    </w:p>
    <w:p w14:paraId="436C6A91">
      <w:pPr>
        <w:tabs>
          <w:tab w:val="left" w:pos="1560"/>
        </w:tabs>
        <w:spacing w:line="360" w:lineRule="auto"/>
        <w:ind w:firstLine="480" w:firstLineChars="200"/>
        <w:rPr>
          <w:rFonts w:ascii="宋体" w:hAnsi="宋体" w:cs="宋体"/>
          <w:sz w:val="24"/>
        </w:rPr>
      </w:pPr>
      <w:r>
        <w:rPr>
          <w:rFonts w:hint="eastAsia" w:ascii="宋体" w:hAnsi="宋体" w:cs="宋体"/>
          <w:sz w:val="24"/>
        </w:rPr>
        <w:t>4.3检查与纠正</w:t>
      </w:r>
    </w:p>
    <w:p w14:paraId="19B686F5">
      <w:pPr>
        <w:tabs>
          <w:tab w:val="left" w:pos="1560"/>
        </w:tabs>
        <w:spacing w:line="360" w:lineRule="auto"/>
        <w:ind w:firstLine="480" w:firstLineChars="200"/>
        <w:rPr>
          <w:rFonts w:ascii="宋体" w:hAnsi="宋体" w:cs="宋体"/>
          <w:color w:val="FF0000"/>
          <w:sz w:val="24"/>
        </w:rPr>
      </w:pPr>
      <w:r>
        <w:rPr>
          <w:rFonts w:hint="eastAsia" w:ascii="宋体" w:hAnsi="宋体" w:cs="宋体"/>
          <w:sz w:val="24"/>
        </w:rPr>
        <w:t>4.3.</w:t>
      </w:r>
      <w:r>
        <w:rPr>
          <w:rFonts w:ascii="宋体" w:hAnsi="宋体" w:cs="宋体"/>
          <w:sz w:val="24"/>
        </w:rPr>
        <w:t>1</w:t>
      </w:r>
      <w:r>
        <w:rPr>
          <w:rFonts w:hint="eastAsia" w:ascii="宋体" w:hAnsi="宋体" w:cs="宋体"/>
          <w:color w:val="auto"/>
          <w:sz w:val="24"/>
        </w:rPr>
        <w:t>每年经当地的卫生部门或具备水质检测资质的检测机构对水的全项目检测一次。符合GB5749标准要求。</w:t>
      </w:r>
    </w:p>
    <w:p w14:paraId="5EF76AE4">
      <w:pPr>
        <w:tabs>
          <w:tab w:val="left" w:pos="1560"/>
        </w:tabs>
        <w:spacing w:line="360" w:lineRule="auto"/>
        <w:ind w:firstLine="480" w:firstLineChars="200"/>
        <w:rPr>
          <w:rFonts w:ascii="宋体" w:hAnsi="宋体" w:cs="宋体"/>
          <w:sz w:val="24"/>
        </w:rPr>
      </w:pPr>
      <w:r>
        <w:rPr>
          <w:rFonts w:ascii="宋体" w:hAnsi="宋体" w:cs="宋体"/>
          <w:sz w:val="24"/>
        </w:rPr>
        <w:t>4.2</w:t>
      </w:r>
      <w:r>
        <w:rPr>
          <w:rFonts w:hint="eastAsia" w:ascii="宋体" w:hAnsi="宋体" w:cs="宋体"/>
          <w:sz w:val="24"/>
        </w:rPr>
        <w:t>空气和通风</w:t>
      </w:r>
    </w:p>
    <w:p w14:paraId="7A3F26A8">
      <w:pPr>
        <w:tabs>
          <w:tab w:val="left" w:pos="15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2.1具备事宜的空调、净化空调设施。参照洁净级别设定相应的保养维护规程。</w:t>
      </w:r>
    </w:p>
    <w:p w14:paraId="166B6F22">
      <w:pPr>
        <w:tabs>
          <w:tab w:val="left" w:pos="15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2.2具备相应的通风、排风设施，便于清洁、定期检查。</w:t>
      </w:r>
    </w:p>
    <w:p w14:paraId="562789E9">
      <w:pPr>
        <w:pStyle w:val="3"/>
        <w:spacing w:before="156" w:after="78"/>
        <w:ind w:firstLine="482" w:firstLineChars="200"/>
        <w:rPr>
          <w:rFonts w:ascii="宋体" w:hAnsi="宋体"/>
          <w:szCs w:val="24"/>
        </w:rPr>
      </w:pPr>
      <w:bookmarkStart w:id="12" w:name="_Toc106545830"/>
      <w:bookmarkStart w:id="13" w:name="_Toc121751588"/>
      <w:bookmarkStart w:id="14" w:name="_Toc106545480"/>
      <w:r>
        <w:rPr>
          <w:rFonts w:hint="eastAsia" w:ascii="宋体" w:hAnsi="宋体"/>
          <w:szCs w:val="24"/>
        </w:rPr>
        <w:t>包装材料</w:t>
      </w:r>
      <w:bookmarkEnd w:id="12"/>
      <w:bookmarkEnd w:id="13"/>
      <w:bookmarkEnd w:id="14"/>
    </w:p>
    <w:p w14:paraId="6F285629">
      <w:pPr>
        <w:ind w:firstLine="480" w:firstLineChars="200"/>
        <w:rPr>
          <w:rFonts w:ascii="宋体" w:hAnsi="宋体" w:cs="宋体"/>
          <w:sz w:val="24"/>
        </w:rPr>
      </w:pPr>
      <w:r>
        <w:rPr>
          <w:rFonts w:ascii="宋体" w:hAnsi="宋体" w:cs="宋体"/>
          <w:sz w:val="24"/>
        </w:rPr>
        <w:t>5.1</w:t>
      </w:r>
      <w:r>
        <w:rPr>
          <w:rFonts w:hint="eastAsia" w:ascii="宋体" w:hAnsi="宋体" w:cs="宋体"/>
          <w:sz w:val="24"/>
        </w:rPr>
        <w:t>公司包装材料分为餐具</w:t>
      </w:r>
    </w:p>
    <w:p w14:paraId="528D299D">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.1.1包装物料必须为食品级材料制成，清洁、无毒，符合卫生要求。</w:t>
      </w:r>
    </w:p>
    <w:p w14:paraId="2845DC75">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.1.2包装材料清洁无破损，标识内容完整、无缺陷。</w:t>
      </w:r>
    </w:p>
    <w:p w14:paraId="4B0C5CFD">
      <w:pPr>
        <w:spacing w:line="360" w:lineRule="auto"/>
        <w:ind w:firstLine="480" w:firstLineChars="200"/>
        <w:rPr>
          <w:rFonts w:ascii="宋体" w:hAnsi="宋体"/>
          <w:sz w:val="24"/>
        </w:rPr>
      </w:pPr>
      <w:r>
        <w:rPr>
          <w:rFonts w:ascii="宋体" w:hAnsi="宋体" w:cs="宋体"/>
          <w:sz w:val="24"/>
        </w:rPr>
        <w:t>5</w:t>
      </w:r>
      <w:r>
        <w:rPr>
          <w:rFonts w:hint="eastAsia" w:ascii="宋体" w:hAnsi="宋体" w:cs="宋体"/>
          <w:sz w:val="24"/>
        </w:rPr>
        <w:t>.1.3</w:t>
      </w:r>
      <w:r>
        <w:rPr>
          <w:rFonts w:hint="eastAsia" w:ascii="宋体" w:hAnsi="宋体"/>
          <w:sz w:val="24"/>
        </w:rPr>
        <w:t>餐具供应商必须营业执照及每年一次的检验报告。</w:t>
      </w:r>
    </w:p>
    <w:p w14:paraId="3C6BC7F5">
      <w:pPr>
        <w:spacing w:line="360" w:lineRule="auto"/>
        <w:ind w:firstLine="480" w:firstLineChars="200"/>
        <w:rPr>
          <w:rFonts w:ascii="宋体" w:hAnsi="宋体" w:cs="宋体"/>
          <w:sz w:val="24"/>
        </w:rPr>
      </w:pPr>
      <w:r>
        <w:rPr>
          <w:rFonts w:ascii="宋体" w:hAnsi="宋体" w:cs="宋体"/>
          <w:sz w:val="24"/>
        </w:rPr>
        <w:t>5.2储存</w:t>
      </w:r>
    </w:p>
    <w:p w14:paraId="09AD9253">
      <w:pPr>
        <w:spacing w:line="360" w:lineRule="auto"/>
        <w:ind w:firstLine="480" w:firstLineChars="200"/>
        <w:rPr>
          <w:rFonts w:ascii="宋体" w:hAnsi="宋体" w:cs="宋体"/>
          <w:bCs/>
          <w:sz w:val="24"/>
        </w:rPr>
      </w:pPr>
      <w:r>
        <w:rPr>
          <w:rFonts w:ascii="宋体" w:hAnsi="宋体" w:cs="宋体"/>
          <w:bCs/>
          <w:sz w:val="24"/>
        </w:rPr>
        <w:t>5.2.1</w:t>
      </w:r>
      <w:r>
        <w:rPr>
          <w:rFonts w:hint="eastAsia" w:ascii="宋体" w:hAnsi="宋体" w:cs="宋体"/>
          <w:bCs/>
          <w:sz w:val="24"/>
        </w:rPr>
        <w:t>库内物品与墙壁距离不少于10厘米，与地面距离不少于10厘米，与天花板保持一定的距离，按不同批次、品种、规格分开存放，标识清楚。</w:t>
      </w:r>
    </w:p>
    <w:p w14:paraId="006787A2">
      <w:pPr>
        <w:spacing w:line="360" w:lineRule="auto"/>
        <w:ind w:firstLine="480" w:firstLineChars="200"/>
        <w:rPr>
          <w:rFonts w:ascii="宋体" w:hAnsi="宋体" w:cs="宋体"/>
          <w:bCs/>
          <w:sz w:val="24"/>
        </w:rPr>
      </w:pPr>
      <w:r>
        <w:rPr>
          <w:rFonts w:ascii="宋体" w:hAnsi="宋体" w:cs="宋体"/>
          <w:bCs/>
          <w:sz w:val="24"/>
        </w:rPr>
        <w:t>5.2.2</w:t>
      </w:r>
      <w:r>
        <w:rPr>
          <w:rFonts w:hint="eastAsia" w:ascii="宋体" w:hAnsi="宋体" w:cs="宋体"/>
          <w:sz w:val="24"/>
        </w:rPr>
        <w:t>库房内有防鼠设施，防止潮湿，霉变、杂菌污染。</w:t>
      </w:r>
    </w:p>
    <w:p w14:paraId="18DCECA7">
      <w:pPr>
        <w:spacing w:line="360" w:lineRule="auto"/>
        <w:ind w:firstLine="480" w:firstLineChars="200"/>
        <w:rPr>
          <w:rFonts w:ascii="宋体" w:hAnsi="宋体" w:cs="宋体"/>
          <w:bCs/>
          <w:sz w:val="24"/>
        </w:rPr>
      </w:pPr>
      <w:r>
        <w:rPr>
          <w:rFonts w:ascii="宋体" w:hAnsi="宋体" w:cs="宋体"/>
          <w:bCs/>
          <w:sz w:val="24"/>
        </w:rPr>
        <w:t>5.</w:t>
      </w:r>
      <w:r>
        <w:rPr>
          <w:rFonts w:hint="eastAsia" w:ascii="宋体" w:hAnsi="宋体" w:cs="宋体"/>
          <w:bCs/>
          <w:sz w:val="24"/>
        </w:rPr>
        <w:t>3 运输</w:t>
      </w:r>
    </w:p>
    <w:p w14:paraId="2B5EDD20">
      <w:pPr>
        <w:spacing w:line="360" w:lineRule="auto"/>
        <w:ind w:firstLine="480" w:firstLineChars="200"/>
        <w:rPr>
          <w:rFonts w:ascii="宋体" w:hAnsi="宋体" w:cs="宋体"/>
          <w:sz w:val="24"/>
        </w:rPr>
      </w:pPr>
      <w:r>
        <w:rPr>
          <w:rFonts w:hint="eastAsia" w:ascii="宋体" w:hAnsi="宋体" w:cs="宋体"/>
          <w:sz w:val="24"/>
        </w:rPr>
        <w:t>运输工具应符合有关安全卫生要求，使用前应清洗消毒，保持清洁卫生。运输时不得与其他可能污染产品的物品混装，防止交叉污染。</w:t>
      </w:r>
    </w:p>
    <w:p w14:paraId="52203FAF">
      <w:pPr>
        <w:pStyle w:val="3"/>
        <w:spacing w:before="156" w:after="78"/>
        <w:ind w:firstLine="482" w:firstLineChars="200"/>
        <w:rPr>
          <w:rFonts w:ascii="宋体" w:hAnsi="宋体"/>
          <w:szCs w:val="24"/>
        </w:rPr>
      </w:pPr>
      <w:bookmarkStart w:id="15" w:name="_Toc121751589"/>
      <w:bookmarkStart w:id="16" w:name="_Toc106545831"/>
      <w:bookmarkStart w:id="17" w:name="_Toc106545481"/>
      <w:r>
        <w:rPr>
          <w:rFonts w:hint="eastAsia" w:ascii="宋体" w:hAnsi="宋体"/>
          <w:szCs w:val="24"/>
        </w:rPr>
        <w:t>废弃物管理</w:t>
      </w:r>
      <w:bookmarkEnd w:id="15"/>
      <w:bookmarkEnd w:id="16"/>
      <w:bookmarkEnd w:id="17"/>
    </w:p>
    <w:p w14:paraId="036390EB">
      <w:pPr>
        <w:spacing w:line="360" w:lineRule="auto"/>
        <w:ind w:firstLine="480" w:firstLineChars="200"/>
        <w:rPr>
          <w:rFonts w:ascii="宋体" w:hAnsi="宋体" w:cs="宋体"/>
          <w:bCs/>
          <w:sz w:val="24"/>
        </w:rPr>
      </w:pPr>
      <w:r>
        <w:rPr>
          <w:rFonts w:ascii="宋体" w:hAnsi="宋体" w:cs="宋体"/>
          <w:bCs/>
          <w:sz w:val="24"/>
        </w:rPr>
        <w:t>6.</w:t>
      </w:r>
      <w:r>
        <w:rPr>
          <w:rFonts w:hint="eastAsia" w:ascii="宋体" w:hAnsi="宋体" w:cs="宋体"/>
          <w:bCs/>
          <w:sz w:val="24"/>
        </w:rPr>
        <w:t>1废弃物分类</w:t>
      </w:r>
    </w:p>
    <w:p w14:paraId="271C0DC9">
      <w:pPr>
        <w:spacing w:line="360" w:lineRule="auto"/>
        <w:ind w:firstLine="480" w:firstLineChars="200"/>
        <w:rPr>
          <w:rFonts w:ascii="宋体" w:hAnsi="宋体" w:cs="宋体"/>
          <w:bCs/>
          <w:sz w:val="24"/>
        </w:rPr>
      </w:pPr>
      <w:r>
        <w:rPr>
          <w:rFonts w:hint="eastAsia" w:ascii="宋体" w:hAnsi="宋体" w:cs="宋体"/>
          <w:bCs/>
          <w:sz w:val="24"/>
        </w:rPr>
        <w:t>6</w:t>
      </w:r>
      <w:r>
        <w:rPr>
          <w:rFonts w:ascii="宋体" w:hAnsi="宋体" w:cs="宋体"/>
          <w:bCs/>
          <w:sz w:val="24"/>
        </w:rPr>
        <w:t>.1.1</w:t>
      </w:r>
      <w:r>
        <w:rPr>
          <w:rFonts w:hint="eastAsia" w:ascii="宋体" w:hAnsi="宋体" w:cs="宋体"/>
          <w:bCs/>
          <w:sz w:val="24"/>
        </w:rPr>
        <w:t>一般废弃物：废包装材料、废旧纸张和报纸，办公垃圾。</w:t>
      </w:r>
    </w:p>
    <w:p w14:paraId="31771C86">
      <w:pPr>
        <w:spacing w:line="360" w:lineRule="auto"/>
        <w:ind w:firstLine="480" w:firstLineChars="200"/>
        <w:rPr>
          <w:rFonts w:ascii="宋体" w:hAnsi="宋体" w:cs="宋体"/>
          <w:bCs/>
          <w:sz w:val="24"/>
        </w:rPr>
      </w:pPr>
      <w:r>
        <w:rPr>
          <w:rFonts w:hint="eastAsia" w:ascii="宋体" w:hAnsi="宋体" w:cs="宋体"/>
          <w:bCs/>
          <w:sz w:val="24"/>
        </w:rPr>
        <w:t>6</w:t>
      </w:r>
      <w:r>
        <w:rPr>
          <w:rFonts w:ascii="宋体" w:hAnsi="宋体" w:cs="宋体"/>
          <w:bCs/>
          <w:sz w:val="24"/>
        </w:rPr>
        <w:t>.1.2</w:t>
      </w:r>
      <w:r>
        <w:rPr>
          <w:rFonts w:hint="eastAsia" w:ascii="宋体" w:hAnsi="宋体" w:cs="宋体"/>
          <w:bCs/>
          <w:sz w:val="24"/>
        </w:rPr>
        <w:t>废弃物：厨余垃圾</w:t>
      </w:r>
    </w:p>
    <w:p w14:paraId="6173DA51">
      <w:pPr>
        <w:spacing w:line="360" w:lineRule="auto"/>
        <w:ind w:firstLine="480" w:firstLineChars="200"/>
        <w:rPr>
          <w:rFonts w:ascii="宋体" w:hAnsi="宋体" w:cs="宋体"/>
          <w:sz w:val="24"/>
        </w:rPr>
      </w:pPr>
      <w:r>
        <w:rPr>
          <w:rFonts w:ascii="宋体" w:hAnsi="宋体" w:cs="宋体"/>
          <w:bCs/>
          <w:sz w:val="24"/>
        </w:rPr>
        <w:t>6.2</w:t>
      </w:r>
      <w:r>
        <w:rPr>
          <w:rFonts w:hint="eastAsia" w:ascii="宋体" w:hAnsi="宋体" w:cs="宋体"/>
          <w:sz w:val="24"/>
        </w:rPr>
        <w:t>粗间产生的废料，如不能再次使用，投放在指定垃圾桶内。</w:t>
      </w:r>
    </w:p>
    <w:p w14:paraId="23845263">
      <w:pPr>
        <w:spacing w:line="360" w:lineRule="auto"/>
        <w:ind w:firstLine="480" w:firstLineChars="200"/>
        <w:rPr>
          <w:rFonts w:ascii="宋体" w:hAnsi="宋体" w:cs="宋体"/>
          <w:sz w:val="24"/>
        </w:rPr>
      </w:pPr>
      <w:r>
        <w:rPr>
          <w:rFonts w:ascii="宋体" w:hAnsi="宋体" w:cs="宋体"/>
          <w:bCs/>
          <w:sz w:val="24"/>
        </w:rPr>
        <w:t>6.3</w:t>
      </w:r>
      <w:r>
        <w:rPr>
          <w:rFonts w:hint="eastAsia" w:ascii="宋体" w:hAnsi="宋体" w:cs="宋体"/>
          <w:sz w:val="24"/>
        </w:rPr>
        <w:t>过程产生的废料放在指定垃圾桶内容，由专人及时进行清理，所有厨余垃圾必须日清。</w:t>
      </w:r>
    </w:p>
    <w:p w14:paraId="2D1DDDD6">
      <w:pPr>
        <w:spacing w:line="360" w:lineRule="auto"/>
        <w:ind w:firstLine="480" w:firstLineChars="200"/>
        <w:rPr>
          <w:rFonts w:ascii="宋体" w:hAnsi="宋体" w:cs="宋体"/>
          <w:sz w:val="24"/>
        </w:rPr>
      </w:pPr>
      <w:r>
        <w:rPr>
          <w:rFonts w:ascii="宋体" w:hAnsi="宋体" w:cs="宋体"/>
          <w:bCs/>
          <w:sz w:val="24"/>
        </w:rPr>
        <w:t>6.4</w:t>
      </w:r>
      <w:r>
        <w:rPr>
          <w:rFonts w:hint="eastAsia" w:ascii="宋体" w:hAnsi="宋体" w:cs="宋体"/>
          <w:bCs/>
          <w:sz w:val="24"/>
          <w:lang w:eastAsia="zh-CN"/>
        </w:rPr>
        <w:t>仓库</w:t>
      </w:r>
      <w:r>
        <w:rPr>
          <w:rFonts w:hint="eastAsia" w:ascii="宋体" w:hAnsi="宋体" w:cs="宋体"/>
          <w:sz w:val="24"/>
        </w:rPr>
        <w:t>废弃物要由专用容器盛装，由专人及时送出</w:t>
      </w:r>
      <w:r>
        <w:rPr>
          <w:rFonts w:hint="eastAsia" w:ascii="宋体" w:hAnsi="宋体" w:cs="宋体"/>
          <w:sz w:val="24"/>
          <w:lang w:eastAsia="zh-CN"/>
        </w:rPr>
        <w:t>仓库</w:t>
      </w:r>
      <w:r>
        <w:rPr>
          <w:rFonts w:hint="eastAsia" w:ascii="宋体" w:hAnsi="宋体" w:cs="宋体"/>
          <w:sz w:val="24"/>
        </w:rPr>
        <w:t>，使用后容器及时清洗消毒。</w:t>
      </w:r>
    </w:p>
    <w:p w14:paraId="779FB3C4">
      <w:pPr>
        <w:pStyle w:val="3"/>
        <w:spacing w:before="156" w:after="78"/>
        <w:ind w:firstLine="482" w:firstLineChars="200"/>
        <w:rPr>
          <w:rFonts w:ascii="宋体" w:hAnsi="宋体"/>
          <w:szCs w:val="24"/>
        </w:rPr>
      </w:pPr>
      <w:bookmarkStart w:id="18" w:name="_Toc106545832"/>
      <w:bookmarkStart w:id="19" w:name="_Toc121751590"/>
      <w:bookmarkStart w:id="20" w:name="_Toc106545482"/>
      <w:r>
        <w:rPr>
          <w:rFonts w:hint="eastAsia" w:ascii="宋体" w:hAnsi="宋体"/>
          <w:szCs w:val="24"/>
        </w:rPr>
        <w:t>设备与维护</w:t>
      </w:r>
      <w:bookmarkEnd w:id="18"/>
      <w:bookmarkEnd w:id="19"/>
      <w:bookmarkEnd w:id="20"/>
    </w:p>
    <w:p w14:paraId="1206A8E8">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.1</w:t>
      </w:r>
      <w:r>
        <w:rPr>
          <w:rFonts w:hint="eastAsia" w:ascii="宋体" w:hAnsi="宋体" w:cs="宋体"/>
          <w:sz w:val="24"/>
        </w:rPr>
        <w:t>公司设备包括办公设备、</w:t>
      </w:r>
      <w:r>
        <w:rPr>
          <w:rFonts w:hint="eastAsia" w:ascii="宋体" w:hAnsi="宋体" w:cs="宋体"/>
          <w:sz w:val="24"/>
          <w:lang w:eastAsia="zh-CN"/>
        </w:rPr>
        <w:t>运输</w:t>
      </w:r>
      <w:r>
        <w:rPr>
          <w:rFonts w:hint="eastAsia" w:ascii="宋体" w:hAnsi="宋体" w:cs="宋体"/>
          <w:sz w:val="24"/>
        </w:rPr>
        <w:t>设备。</w:t>
      </w:r>
      <w:r>
        <w:rPr>
          <w:rFonts w:hint="eastAsia" w:ascii="宋体" w:hAnsi="宋体" w:cs="宋体"/>
          <w:sz w:val="24"/>
          <w:lang w:eastAsia="zh-CN"/>
        </w:rPr>
        <w:t>市场部</w:t>
      </w:r>
      <w:r>
        <w:rPr>
          <w:rFonts w:hint="eastAsia" w:ascii="宋体" w:hAnsi="宋体" w:cs="宋体"/>
          <w:sz w:val="24"/>
        </w:rPr>
        <w:t>负责设备使用、</w:t>
      </w:r>
      <w:r>
        <w:rPr>
          <w:rFonts w:hint="eastAsia" w:ascii="宋体" w:hAnsi="宋体" w:cs="宋体"/>
          <w:sz w:val="24"/>
          <w:lang w:eastAsia="zh-CN"/>
        </w:rPr>
        <w:t>市场部</w:t>
      </w:r>
      <w:r>
        <w:rPr>
          <w:rFonts w:hint="eastAsia" w:ascii="宋体" w:hAnsi="宋体" w:cs="宋体"/>
          <w:sz w:val="24"/>
        </w:rPr>
        <w:t>负责</w:t>
      </w:r>
      <w:r>
        <w:rPr>
          <w:rFonts w:hint="eastAsia" w:ascii="宋体" w:hAnsi="宋体" w:cs="宋体"/>
          <w:sz w:val="24"/>
          <w:lang w:eastAsia="zh-CN"/>
        </w:rPr>
        <w:t>仓库</w:t>
      </w:r>
      <w:r>
        <w:rPr>
          <w:rFonts w:hint="eastAsia" w:ascii="宋体" w:hAnsi="宋体" w:cs="宋体"/>
          <w:sz w:val="24"/>
        </w:rPr>
        <w:t>设备的维修维护；相关部门负责建立</w:t>
      </w:r>
      <w:r>
        <w:rPr>
          <w:rFonts w:hint="eastAsia" w:ascii="宋体" w:hAnsi="宋体" w:cs="宋体"/>
          <w:sz w:val="24"/>
          <w:lang w:eastAsia="zh-CN"/>
        </w:rPr>
        <w:t>仓库</w:t>
      </w:r>
      <w:r>
        <w:rPr>
          <w:rFonts w:hint="eastAsia" w:ascii="宋体" w:hAnsi="宋体" w:cs="宋体"/>
          <w:sz w:val="24"/>
        </w:rPr>
        <w:t>设备清单。</w:t>
      </w:r>
    </w:p>
    <w:p w14:paraId="779CE9B0">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.2</w:t>
      </w:r>
      <w:r>
        <w:rPr>
          <w:rFonts w:hint="eastAsia" w:ascii="宋体" w:hAnsi="宋体" w:cs="宋体"/>
          <w:sz w:val="24"/>
        </w:rPr>
        <w:t>设备的检修计划及实施</w:t>
      </w:r>
    </w:p>
    <w:p w14:paraId="41F37B2A">
      <w:pPr>
        <w:spacing w:line="360" w:lineRule="auto"/>
        <w:ind w:firstLine="480" w:firstLineChars="200"/>
        <w:rPr>
          <w:rFonts w:ascii="宋体" w:hAnsi="宋体" w:cs="宋体"/>
          <w:sz w:val="24"/>
        </w:rPr>
      </w:pPr>
      <w:r>
        <w:rPr>
          <w:rFonts w:ascii="宋体" w:hAnsi="宋体" w:cs="宋体"/>
          <w:sz w:val="24"/>
        </w:rPr>
        <w:t>7.2.1</w:t>
      </w:r>
      <w:r>
        <w:rPr>
          <w:rFonts w:hint="eastAsia" w:ascii="宋体" w:hAnsi="宋体" w:cs="宋体"/>
          <w:sz w:val="24"/>
          <w:lang w:eastAsia="zh-CN"/>
        </w:rPr>
        <w:t>市场部</w:t>
      </w:r>
      <w:r>
        <w:rPr>
          <w:rFonts w:ascii="宋体" w:hAnsi="宋体" w:cs="宋体"/>
          <w:sz w:val="24"/>
        </w:rPr>
        <w:t>制定</w:t>
      </w:r>
      <w:r>
        <w:rPr>
          <w:rFonts w:hint="eastAsia" w:ascii="宋体" w:hAnsi="宋体" w:cs="宋体"/>
          <w:sz w:val="24"/>
        </w:rPr>
        <w:t>年度检修计划，公司主管负责人审批后由</w:t>
      </w:r>
      <w:r>
        <w:rPr>
          <w:rFonts w:hint="eastAsia" w:ascii="宋体" w:hAnsi="宋体" w:cs="宋体"/>
          <w:sz w:val="24"/>
          <w:lang w:eastAsia="zh-CN"/>
        </w:rPr>
        <w:t>市场部</w:t>
      </w:r>
      <w:r>
        <w:rPr>
          <w:rFonts w:hint="eastAsia" w:ascii="宋体" w:hAnsi="宋体" w:cs="宋体"/>
          <w:sz w:val="24"/>
        </w:rPr>
        <w:t>存档。</w:t>
      </w:r>
    </w:p>
    <w:p w14:paraId="504ADCAA">
      <w:pPr>
        <w:spacing w:line="360" w:lineRule="auto"/>
        <w:ind w:firstLine="480" w:firstLineChars="200"/>
        <w:rPr>
          <w:rFonts w:ascii="宋体" w:hAnsi="宋体" w:cs="宋体"/>
          <w:sz w:val="24"/>
        </w:rPr>
      </w:pPr>
      <w:r>
        <w:rPr>
          <w:rFonts w:ascii="宋体" w:hAnsi="宋体" w:cs="宋体"/>
          <w:sz w:val="24"/>
        </w:rPr>
        <w:t>7.2.2</w:t>
      </w:r>
      <w:r>
        <w:rPr>
          <w:rFonts w:hint="eastAsia" w:ascii="宋体" w:hAnsi="宋体" w:cs="宋体"/>
          <w:sz w:val="24"/>
          <w:lang w:eastAsia="zh-CN"/>
        </w:rPr>
        <w:t>市场部</w:t>
      </w:r>
      <w:r>
        <w:rPr>
          <w:rFonts w:hint="eastAsia" w:ascii="宋体" w:hAnsi="宋体" w:cs="宋体"/>
          <w:sz w:val="24"/>
        </w:rPr>
        <w:t>按照年度检修计划做好</w:t>
      </w:r>
      <w:r>
        <w:rPr>
          <w:rFonts w:hint="eastAsia" w:ascii="宋体" w:hAnsi="宋体" w:cs="宋体"/>
          <w:sz w:val="24"/>
          <w:lang w:eastAsia="zh-CN"/>
        </w:rPr>
        <w:t>仓库</w:t>
      </w:r>
      <w:r>
        <w:rPr>
          <w:rFonts w:hint="eastAsia" w:ascii="宋体" w:hAnsi="宋体" w:cs="宋体"/>
          <w:sz w:val="24"/>
        </w:rPr>
        <w:t>设备的检修、维护，保证设备正常运行。</w:t>
      </w:r>
    </w:p>
    <w:p w14:paraId="333C605F">
      <w:pPr>
        <w:spacing w:line="360" w:lineRule="auto"/>
        <w:ind w:firstLine="480" w:firstLineChars="200"/>
        <w:rPr>
          <w:rFonts w:ascii="宋体" w:hAnsi="宋体" w:cs="宋体"/>
          <w:sz w:val="24"/>
        </w:rPr>
      </w:pPr>
      <w:r>
        <w:rPr>
          <w:rFonts w:ascii="宋体" w:hAnsi="宋体" w:cs="宋体"/>
          <w:sz w:val="24"/>
        </w:rPr>
        <w:t>7.2.3</w:t>
      </w:r>
      <w:r>
        <w:rPr>
          <w:rFonts w:hint="eastAsia" w:ascii="宋体" w:hAnsi="宋体" w:cs="宋体"/>
          <w:sz w:val="24"/>
        </w:rPr>
        <w:t>检修完成后，每台设备的主修以及操作工要对该台设备做好跟踪，作好记录。检修过程维修人员要注意安全、文明检修严格执行维修现场管理规定。</w:t>
      </w:r>
    </w:p>
    <w:p w14:paraId="59B215B9">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.2.4</w:t>
      </w:r>
      <w:r>
        <w:rPr>
          <w:rFonts w:hint="eastAsia" w:ascii="宋体" w:hAnsi="宋体" w:cs="宋体"/>
          <w:sz w:val="24"/>
          <w:lang w:eastAsia="zh-CN"/>
        </w:rPr>
        <w:t>市场部</w:t>
      </w:r>
      <w:r>
        <w:rPr>
          <w:rFonts w:ascii="宋体" w:hAnsi="宋体" w:cs="宋体"/>
          <w:sz w:val="24"/>
        </w:rPr>
        <w:t>负责化验设备的检定校准工作</w:t>
      </w:r>
      <w:r>
        <w:rPr>
          <w:rFonts w:hint="eastAsia" w:ascii="宋体" w:hAnsi="宋体" w:cs="宋体"/>
          <w:sz w:val="24"/>
        </w:rPr>
        <w:t>，并保存好检定校准证书，</w:t>
      </w:r>
      <w:r>
        <w:rPr>
          <w:rFonts w:ascii="宋体" w:hAnsi="宋体" w:cs="宋体"/>
          <w:sz w:val="24"/>
        </w:rPr>
        <w:t>保证设备正常运行</w:t>
      </w:r>
      <w:r>
        <w:rPr>
          <w:rFonts w:hint="eastAsia" w:ascii="宋体" w:hAnsi="宋体" w:cs="宋体"/>
          <w:sz w:val="24"/>
        </w:rPr>
        <w:t>。</w:t>
      </w:r>
    </w:p>
    <w:p w14:paraId="2427FDAB">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维修现场工作</w:t>
      </w:r>
    </w:p>
    <w:p w14:paraId="6A7A979E">
      <w:pPr>
        <w:spacing w:line="360" w:lineRule="auto"/>
        <w:ind w:firstLine="480" w:firstLineChars="200"/>
        <w:rPr>
          <w:rFonts w:ascii="宋体" w:hAnsi="宋体" w:cs="宋体"/>
          <w:sz w:val="24"/>
        </w:rPr>
      </w:pPr>
      <w:r>
        <w:rPr>
          <w:rFonts w:ascii="宋体" w:hAnsi="宋体" w:cs="宋体"/>
          <w:sz w:val="24"/>
        </w:rPr>
        <w:t>7.3.1</w:t>
      </w:r>
      <w:r>
        <w:rPr>
          <w:rFonts w:hint="eastAsia" w:ascii="宋体" w:hAnsi="宋体" w:cs="宋体"/>
          <w:sz w:val="24"/>
        </w:rPr>
        <w:t>在维修工作之前，须同相关人员进行有效的沟通及协调（时间、空间及其它等）。</w:t>
      </w:r>
    </w:p>
    <w:p w14:paraId="4EB80871">
      <w:pPr>
        <w:spacing w:line="360" w:lineRule="auto"/>
        <w:ind w:firstLine="480" w:firstLineChars="200"/>
        <w:rPr>
          <w:rFonts w:ascii="宋体" w:hAnsi="宋体" w:cs="宋体"/>
          <w:sz w:val="24"/>
        </w:rPr>
      </w:pPr>
      <w:r>
        <w:rPr>
          <w:rFonts w:ascii="宋体" w:hAnsi="宋体" w:cs="宋体"/>
          <w:sz w:val="24"/>
        </w:rPr>
        <w:t>7.3.2</w:t>
      </w:r>
      <w:r>
        <w:rPr>
          <w:rFonts w:hint="eastAsia" w:ascii="宋体" w:hAnsi="宋体" w:cs="宋体"/>
          <w:sz w:val="24"/>
        </w:rPr>
        <w:t>在做维修及保养之前，首先确保人身和设备的安全，包括电、汽和高压部分；如有必要应派专人看护，并且挂上维修及检修标志。</w:t>
      </w:r>
    </w:p>
    <w:p w14:paraId="068C23E5">
      <w:pPr>
        <w:spacing w:line="360" w:lineRule="auto"/>
        <w:ind w:firstLine="480" w:firstLineChars="200"/>
        <w:rPr>
          <w:rFonts w:ascii="宋体" w:hAnsi="宋体" w:cs="宋体"/>
          <w:sz w:val="24"/>
        </w:rPr>
      </w:pPr>
      <w:r>
        <w:rPr>
          <w:rFonts w:ascii="宋体" w:hAnsi="宋体" w:cs="宋体"/>
          <w:sz w:val="24"/>
        </w:rPr>
        <w:t>7.3.3</w:t>
      </w:r>
      <w:r>
        <w:rPr>
          <w:rFonts w:hint="eastAsia" w:ascii="宋体" w:hAnsi="宋体" w:cs="宋体"/>
          <w:sz w:val="24"/>
          <w:lang w:eastAsia="zh-CN"/>
        </w:rPr>
        <w:t>销售</w:t>
      </w:r>
      <w:r>
        <w:rPr>
          <w:rFonts w:hint="eastAsia" w:ascii="宋体" w:hAnsi="宋体" w:cs="宋体"/>
          <w:sz w:val="24"/>
        </w:rPr>
        <w:t>中维修设备的有可能对产品造成污染的，必须对手和工具进行消毒，对可能影响产品质量的环节一定要谨慎对待。</w:t>
      </w:r>
    </w:p>
    <w:p w14:paraId="063F72FD">
      <w:pPr>
        <w:spacing w:line="360" w:lineRule="auto"/>
        <w:ind w:firstLine="480" w:firstLineChars="200"/>
        <w:rPr>
          <w:rFonts w:ascii="宋体" w:hAnsi="宋体" w:cs="宋体"/>
          <w:sz w:val="24"/>
        </w:rPr>
      </w:pPr>
      <w:r>
        <w:rPr>
          <w:rFonts w:ascii="宋体" w:hAnsi="宋体" w:cs="宋体"/>
          <w:sz w:val="24"/>
        </w:rPr>
        <w:t>7.3.4</w:t>
      </w:r>
      <w:r>
        <w:rPr>
          <w:rFonts w:hint="eastAsia" w:ascii="宋体" w:hAnsi="宋体" w:cs="宋体"/>
          <w:sz w:val="24"/>
        </w:rPr>
        <w:t>维修、保养中应做到部件摆放有序，零件应放在固定容器内，工具摆放整齐，对操作台上的油污及时清理，在安装之前应对拆装的零部件清理干净并确认数量后方可装配，需要润滑的部分必须润滑、需要消毒的部分必须消毒。</w:t>
      </w:r>
    </w:p>
    <w:p w14:paraId="77339B64">
      <w:pPr>
        <w:spacing w:line="360" w:lineRule="auto"/>
        <w:ind w:firstLine="480" w:firstLineChars="200"/>
        <w:rPr>
          <w:rFonts w:ascii="宋体" w:hAnsi="宋体" w:cs="宋体"/>
          <w:sz w:val="24"/>
        </w:rPr>
      </w:pPr>
      <w:r>
        <w:rPr>
          <w:rFonts w:ascii="宋体" w:hAnsi="宋体" w:cs="宋体"/>
          <w:sz w:val="24"/>
        </w:rPr>
        <w:t>7.3.5</w:t>
      </w:r>
      <w:r>
        <w:rPr>
          <w:rFonts w:hint="eastAsia" w:ascii="宋体" w:hAnsi="宋体" w:cs="宋体"/>
          <w:sz w:val="24"/>
        </w:rPr>
        <w:t>安装完毕后，及时对现场进行清理，对零件、工具进行清点清洁，交付使用时对</w:t>
      </w:r>
      <w:r>
        <w:rPr>
          <w:rFonts w:hint="eastAsia" w:ascii="宋体" w:hAnsi="宋体" w:cs="宋体"/>
          <w:sz w:val="24"/>
          <w:lang w:eastAsia="zh-CN"/>
        </w:rPr>
        <w:t>销售</w:t>
      </w:r>
      <w:r>
        <w:rPr>
          <w:rFonts w:hint="eastAsia" w:ascii="宋体" w:hAnsi="宋体" w:cs="宋体"/>
          <w:sz w:val="24"/>
        </w:rPr>
        <w:t>操作人员说明维修后设备情况及其注意事项，同时对所维修过的部位跟踪观察，确保无误后方可离开。</w:t>
      </w:r>
    </w:p>
    <w:p w14:paraId="067D468C">
      <w:pPr>
        <w:spacing w:line="360" w:lineRule="auto"/>
        <w:ind w:firstLine="480" w:firstLineChars="200"/>
        <w:rPr>
          <w:rFonts w:ascii="宋体" w:hAnsi="宋体" w:cs="宋体"/>
          <w:sz w:val="24"/>
        </w:rPr>
      </w:pPr>
      <w:r>
        <w:rPr>
          <w:rFonts w:ascii="宋体" w:hAnsi="宋体" w:cs="宋体"/>
          <w:sz w:val="24"/>
        </w:rPr>
        <w:t>7.3.6</w:t>
      </w:r>
      <w:r>
        <w:rPr>
          <w:rFonts w:hint="eastAsia" w:ascii="宋体" w:hAnsi="宋体" w:cs="宋体"/>
          <w:sz w:val="24"/>
        </w:rPr>
        <w:t>做好维修记录，同时旧件返库并说明原因。</w:t>
      </w:r>
    </w:p>
    <w:p w14:paraId="64317655">
      <w:pPr>
        <w:pStyle w:val="3"/>
        <w:spacing w:before="156" w:after="78"/>
        <w:ind w:firstLine="482" w:firstLineChars="200"/>
        <w:rPr>
          <w:rFonts w:ascii="宋体" w:hAnsi="宋体"/>
          <w:szCs w:val="24"/>
        </w:rPr>
      </w:pPr>
      <w:bookmarkStart w:id="21" w:name="_Toc121751591"/>
      <w:bookmarkStart w:id="22" w:name="_Toc106545483"/>
      <w:bookmarkStart w:id="23" w:name="_Toc106545833"/>
      <w:r>
        <w:rPr>
          <w:rFonts w:hint="eastAsia" w:ascii="宋体" w:hAnsi="宋体"/>
          <w:szCs w:val="24"/>
        </w:rPr>
        <w:t>产品污染风险和隔离</w:t>
      </w:r>
      <w:bookmarkEnd w:id="21"/>
      <w:bookmarkEnd w:id="22"/>
      <w:bookmarkEnd w:id="23"/>
    </w:p>
    <w:p w14:paraId="0D69D2DB">
      <w:pPr>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.1微生物污染控制</w:t>
      </w:r>
    </w:p>
    <w:p w14:paraId="08C67234">
      <w:pPr>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.1.1设备</w:t>
      </w:r>
      <w:r>
        <w:rPr>
          <w:rFonts w:hint="eastAsia" w:ascii="宋体" w:hAnsi="宋体" w:cs="宋体"/>
          <w:bCs/>
          <w:sz w:val="24"/>
        </w:rPr>
        <w:t>、</w:t>
      </w:r>
      <w:r>
        <w:rPr>
          <w:rFonts w:ascii="宋体" w:hAnsi="宋体" w:cs="宋体"/>
          <w:bCs/>
          <w:sz w:val="24"/>
        </w:rPr>
        <w:t>工器具清洁消毒</w:t>
      </w:r>
    </w:p>
    <w:p w14:paraId="32905FDA">
      <w:pPr>
        <w:pStyle w:val="19"/>
        <w:numPr>
          <w:ilvl w:val="0"/>
          <w:numId w:val="6"/>
        </w:numPr>
        <w:spacing w:line="360" w:lineRule="auto"/>
        <w:ind w:left="0" w:firstLine="480"/>
        <w:rPr>
          <w:rFonts w:ascii="宋体" w:hAnsi="宋体" w:cs="宋体"/>
          <w:bCs/>
          <w:sz w:val="24"/>
        </w:rPr>
      </w:pPr>
      <w:r>
        <w:rPr>
          <w:rFonts w:hint="eastAsia" w:ascii="宋体" w:hAnsi="宋体" w:cs="宋体"/>
          <w:bCs/>
          <w:sz w:val="24"/>
          <w:lang w:eastAsia="zh-CN"/>
        </w:rPr>
        <w:t>销售</w:t>
      </w:r>
      <w:r>
        <w:rPr>
          <w:rFonts w:hint="eastAsia" w:ascii="宋体" w:hAnsi="宋体" w:cs="宋体"/>
          <w:bCs/>
          <w:sz w:val="24"/>
        </w:rPr>
        <w:t>时应按照工艺规程的要求，并注意保持操作台的清洁，以保证产品质量。</w:t>
      </w:r>
    </w:p>
    <w:p w14:paraId="78C61E04">
      <w:pPr>
        <w:pStyle w:val="19"/>
        <w:numPr>
          <w:ilvl w:val="0"/>
          <w:numId w:val="6"/>
        </w:numPr>
        <w:spacing w:line="360" w:lineRule="auto"/>
        <w:ind w:left="0" w:firstLine="480"/>
        <w:rPr>
          <w:rFonts w:ascii="宋体" w:hAnsi="宋体" w:cs="宋体"/>
          <w:bCs/>
          <w:sz w:val="24"/>
        </w:rPr>
      </w:pPr>
      <w:r>
        <w:rPr>
          <w:rFonts w:hint="eastAsia" w:ascii="宋体" w:hAnsi="宋体" w:cs="宋体"/>
          <w:bCs/>
          <w:sz w:val="24"/>
        </w:rPr>
        <w:t>重复使用的工器具，其结构便于清洗、消毒。要加强检验，有污染者不得使用。</w:t>
      </w:r>
    </w:p>
    <w:p w14:paraId="635AB45D">
      <w:pPr>
        <w:pStyle w:val="19"/>
        <w:numPr>
          <w:ilvl w:val="0"/>
          <w:numId w:val="6"/>
        </w:numPr>
        <w:spacing w:line="360" w:lineRule="auto"/>
        <w:ind w:left="0" w:firstLine="480"/>
        <w:rPr>
          <w:rFonts w:ascii="宋体" w:hAnsi="宋体" w:cs="宋体"/>
          <w:bCs/>
          <w:sz w:val="24"/>
        </w:rPr>
      </w:pPr>
      <w:r>
        <w:rPr>
          <w:rFonts w:hint="eastAsia" w:ascii="宋体" w:hAnsi="宋体" w:cs="宋体"/>
          <w:bCs/>
          <w:sz w:val="24"/>
          <w:lang w:eastAsia="zh-CN"/>
        </w:rPr>
        <w:t>仓库</w:t>
      </w:r>
      <w:r>
        <w:rPr>
          <w:rFonts w:hint="eastAsia" w:ascii="宋体" w:hAnsi="宋体" w:cs="宋体"/>
          <w:bCs/>
          <w:sz w:val="24"/>
        </w:rPr>
        <w:t>设备、工具、容器、场地等在使用前后均应彻底清洗、消毒。</w:t>
      </w:r>
    </w:p>
    <w:p w14:paraId="3738CD01">
      <w:pPr>
        <w:pStyle w:val="19"/>
        <w:numPr>
          <w:ilvl w:val="0"/>
          <w:numId w:val="6"/>
        </w:numPr>
        <w:spacing w:line="360" w:lineRule="auto"/>
        <w:ind w:left="0" w:firstLine="480"/>
        <w:rPr>
          <w:rFonts w:ascii="宋体" w:hAnsi="宋体" w:cs="宋体"/>
          <w:bCs/>
          <w:sz w:val="24"/>
        </w:rPr>
      </w:pPr>
      <w:r>
        <w:rPr>
          <w:rFonts w:hint="eastAsia" w:ascii="宋体" w:hAnsi="宋体" w:cs="宋体"/>
          <w:bCs/>
          <w:sz w:val="24"/>
        </w:rPr>
        <w:t>使用的运输工具和容器必须经常清洗、消毒，保持清洁卫生。</w:t>
      </w:r>
    </w:p>
    <w:p w14:paraId="1984C903">
      <w:pPr>
        <w:pStyle w:val="19"/>
        <w:tabs>
          <w:tab w:val="left" w:pos="851"/>
        </w:tabs>
        <w:spacing w:line="360" w:lineRule="auto"/>
        <w:ind w:left="480" w:firstLine="0" w:firstLineChars="0"/>
        <w:rPr>
          <w:rFonts w:ascii="宋体" w:hAnsi="宋体" w:cs="宋体"/>
          <w:bCs/>
          <w:sz w:val="24"/>
        </w:rPr>
      </w:pPr>
      <w:r>
        <w:rPr>
          <w:rFonts w:hint="eastAsia" w:ascii="宋体" w:hAnsi="宋体" w:cs="宋体"/>
          <w:bCs/>
          <w:sz w:val="24"/>
        </w:rPr>
        <w:t>8</w:t>
      </w:r>
      <w:r>
        <w:rPr>
          <w:rFonts w:ascii="宋体" w:hAnsi="宋体" w:cs="宋体"/>
          <w:bCs/>
          <w:sz w:val="24"/>
        </w:rPr>
        <w:t>.2物理污染控制</w:t>
      </w:r>
    </w:p>
    <w:p w14:paraId="021E962E">
      <w:pPr>
        <w:tabs>
          <w:tab w:val="left" w:pos="360"/>
        </w:tabs>
        <w:autoSpaceDE w:val="0"/>
        <w:autoSpaceDN w:val="0"/>
        <w:adjustRightInd w:val="0"/>
        <w:spacing w:line="360" w:lineRule="auto"/>
        <w:ind w:firstLine="480" w:firstLineChars="200"/>
        <w:rPr>
          <w:rFonts w:ascii="宋体" w:hAnsi="宋体"/>
          <w:color w:val="000000"/>
          <w:sz w:val="24"/>
        </w:rPr>
      </w:pPr>
      <w:r>
        <w:rPr>
          <w:rFonts w:hint="eastAsia" w:ascii="宋体" w:hAnsi="宋体" w:cs="宋体"/>
          <w:bCs/>
          <w:sz w:val="24"/>
        </w:rPr>
        <w:t>8</w:t>
      </w:r>
      <w:r>
        <w:rPr>
          <w:rFonts w:ascii="宋体" w:hAnsi="宋体" w:cs="宋体"/>
          <w:bCs/>
          <w:sz w:val="24"/>
        </w:rPr>
        <w:t>.2.1</w:t>
      </w:r>
      <w:r>
        <w:rPr>
          <w:rFonts w:hint="eastAsia" w:ascii="宋体" w:hAnsi="宋体" w:cs="宋体"/>
          <w:color w:val="000000"/>
          <w:sz w:val="24"/>
          <w:lang w:val="zh-CN"/>
        </w:rPr>
        <w:t>物理性污染：天花板、墙壁脱落物（涂料）；工具上脱落的漆片、铁锈；设备脱落的零部件；无保护装置照明设备的碎片；因头发外露而造成脱落的头发等。</w:t>
      </w:r>
    </w:p>
    <w:p w14:paraId="07F757B8">
      <w:pPr>
        <w:spacing w:line="360" w:lineRule="auto"/>
        <w:ind w:firstLine="480" w:firstLineChars="200"/>
        <w:rPr>
          <w:rFonts w:ascii="宋体" w:hAnsi="宋体" w:cs="宋体"/>
          <w:color w:val="000000"/>
          <w:sz w:val="24"/>
          <w:lang w:val="zh-CN"/>
        </w:rPr>
      </w:pPr>
      <w:r>
        <w:rPr>
          <w:rFonts w:hint="eastAsia" w:ascii="宋体" w:hAnsi="宋体" w:cs="宋体"/>
          <w:bCs/>
          <w:sz w:val="24"/>
        </w:rPr>
        <w:t>8</w:t>
      </w:r>
      <w:r>
        <w:rPr>
          <w:rFonts w:ascii="宋体" w:hAnsi="宋体" w:cs="宋体"/>
          <w:bCs/>
          <w:sz w:val="24"/>
        </w:rPr>
        <w:t>.2.</w:t>
      </w:r>
      <w:r>
        <w:rPr>
          <w:rFonts w:ascii="宋体" w:hAnsi="宋体"/>
          <w:color w:val="000000"/>
          <w:sz w:val="24"/>
        </w:rPr>
        <w:t>2</w:t>
      </w:r>
      <w:r>
        <w:rPr>
          <w:rFonts w:hint="eastAsia" w:ascii="宋体" w:hAnsi="宋体"/>
          <w:color w:val="000000"/>
          <w:sz w:val="24"/>
        </w:rPr>
        <w:t xml:space="preserve"> </w:t>
      </w:r>
      <w:r>
        <w:rPr>
          <w:rFonts w:hint="eastAsia" w:ascii="宋体" w:hAnsi="宋体" w:cs="宋体"/>
          <w:color w:val="000000"/>
          <w:sz w:val="24"/>
          <w:lang w:val="zh-CN"/>
        </w:rPr>
        <w:t>仓库应避免天花板、墙壁、门窗有异物杂质脱落进入产品或污染食品接触面。仓库应每天对天花板涂料有无脱落、设备生锈情况等内容进行检查，并做</w:t>
      </w:r>
      <w:r>
        <w:rPr>
          <w:rFonts w:ascii="宋体" w:hAnsi="宋体" w:cs="宋体"/>
          <w:color w:val="000000"/>
          <w:sz w:val="24"/>
          <w:lang w:val="zh-CN"/>
        </w:rPr>
        <w:t>“</w:t>
      </w:r>
      <w:r>
        <w:rPr>
          <w:rFonts w:hint="eastAsia" w:ascii="宋体" w:hAnsi="宋体" w:cs="宋体"/>
          <w:color w:val="000000"/>
          <w:sz w:val="24"/>
          <w:lang w:val="zh-CN"/>
        </w:rPr>
        <w:t>卫生检查记录</w:t>
      </w:r>
      <w:r>
        <w:rPr>
          <w:rFonts w:ascii="宋体" w:hAnsi="宋体" w:cs="宋体"/>
          <w:color w:val="000000"/>
          <w:sz w:val="24"/>
          <w:lang w:val="zh-CN"/>
        </w:rPr>
        <w:t>”</w:t>
      </w:r>
      <w:r>
        <w:rPr>
          <w:rFonts w:hint="eastAsia" w:ascii="宋体" w:hAnsi="宋体" w:cs="宋体"/>
          <w:color w:val="000000"/>
          <w:sz w:val="24"/>
          <w:lang w:val="zh-CN"/>
        </w:rPr>
        <w:t>。</w:t>
      </w:r>
    </w:p>
    <w:p w14:paraId="54A159E1">
      <w:pPr>
        <w:tabs>
          <w:tab w:val="left" w:pos="360"/>
        </w:tabs>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8</w:t>
      </w:r>
      <w:r>
        <w:rPr>
          <w:rFonts w:ascii="宋体" w:hAnsi="宋体" w:cs="宋体"/>
          <w:color w:val="000000"/>
          <w:sz w:val="24"/>
          <w:lang w:val="zh-CN"/>
        </w:rPr>
        <w:t>.3化学污染控制</w:t>
      </w:r>
    </w:p>
    <w:p w14:paraId="6E9DABE5">
      <w:pPr>
        <w:tabs>
          <w:tab w:val="left" w:pos="360"/>
        </w:tabs>
        <w:autoSpaceDE w:val="0"/>
        <w:autoSpaceDN w:val="0"/>
        <w:adjustRightInd w:val="0"/>
        <w:spacing w:line="360" w:lineRule="auto"/>
        <w:ind w:firstLine="480" w:firstLineChars="200"/>
        <w:rPr>
          <w:rFonts w:ascii="宋体" w:hAnsi="宋体"/>
          <w:color w:val="000000"/>
          <w:sz w:val="24"/>
        </w:rPr>
      </w:pPr>
      <w:r>
        <w:rPr>
          <w:rFonts w:ascii="宋体" w:hAnsi="宋体" w:cs="宋体"/>
          <w:color w:val="000000"/>
          <w:sz w:val="24"/>
          <w:lang w:val="zh-CN"/>
        </w:rPr>
        <w:t>8.3.1</w:t>
      </w:r>
      <w:r>
        <w:rPr>
          <w:rFonts w:hint="eastAsia" w:ascii="宋体" w:hAnsi="宋体" w:cs="宋体"/>
          <w:color w:val="000000"/>
          <w:sz w:val="24"/>
          <w:lang w:val="zh-CN"/>
        </w:rPr>
        <w:t>化学性污染：润滑剂、燃料、杀虫剂、清洗剂、消毒剂等。</w:t>
      </w:r>
    </w:p>
    <w:p w14:paraId="4CE6752E">
      <w:pPr>
        <w:autoSpaceDE w:val="0"/>
        <w:autoSpaceDN w:val="0"/>
        <w:adjustRightInd w:val="0"/>
        <w:spacing w:line="360" w:lineRule="auto"/>
        <w:ind w:firstLine="480" w:firstLineChars="200"/>
        <w:rPr>
          <w:rFonts w:ascii="宋体" w:hAnsi="宋体"/>
          <w:color w:val="000000"/>
          <w:sz w:val="24"/>
        </w:rPr>
      </w:pPr>
      <w:r>
        <w:rPr>
          <w:rFonts w:ascii="宋体" w:hAnsi="宋体" w:cs="宋体"/>
          <w:color w:val="000000"/>
          <w:sz w:val="24"/>
          <w:lang w:val="zh-CN"/>
        </w:rPr>
        <w:t>8.3.2</w:t>
      </w:r>
      <w:r>
        <w:rPr>
          <w:rFonts w:hint="eastAsia" w:ascii="宋体" w:hAnsi="宋体" w:cs="宋体"/>
          <w:color w:val="000000"/>
          <w:sz w:val="24"/>
          <w:lang w:val="zh-CN"/>
        </w:rPr>
        <w:t>仓库对有毒有害物品的存放的规定按《化学用品管理制度》执行，规范对各类清洗剂、消毒剂、灭虫剂、化学试剂等有毒有害物质的储存、有效标记、发放使用的管理。禁用没有标签的化学品，在非产品区域操作有毒化学品时，应采取相应措施保护产品不受污染。</w:t>
      </w:r>
    </w:p>
    <w:p w14:paraId="131C9596">
      <w:pPr>
        <w:pStyle w:val="3"/>
        <w:spacing w:before="156" w:after="78"/>
        <w:ind w:firstLine="482" w:firstLineChars="200"/>
        <w:rPr>
          <w:rFonts w:ascii="宋体" w:hAnsi="宋体"/>
          <w:szCs w:val="24"/>
        </w:rPr>
      </w:pPr>
      <w:bookmarkStart w:id="24" w:name="_Toc121751592"/>
      <w:bookmarkStart w:id="25" w:name="_Toc106545484"/>
      <w:bookmarkStart w:id="26" w:name="_Toc106545834"/>
      <w:r>
        <w:rPr>
          <w:rFonts w:hint="eastAsia" w:ascii="宋体" w:hAnsi="宋体"/>
          <w:szCs w:val="24"/>
        </w:rPr>
        <w:t>清洁消毒</w:t>
      </w:r>
      <w:bookmarkEnd w:id="24"/>
      <w:bookmarkEnd w:id="25"/>
      <w:bookmarkEnd w:id="26"/>
    </w:p>
    <w:p w14:paraId="39E89C40">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9.1需</w:t>
      </w:r>
      <w:r>
        <w:rPr>
          <w:rFonts w:hint="eastAsia" w:ascii="宋体" w:hAnsi="宋体" w:cs="宋体"/>
          <w:color w:val="000000"/>
          <w:sz w:val="24"/>
          <w:lang w:val="zh-CN"/>
        </w:rPr>
        <w:t>清洁区域包括厂区、各销售仓库、更衣室及卫生间。</w:t>
      </w:r>
    </w:p>
    <w:p w14:paraId="5CC0B03C">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9</w:t>
      </w:r>
      <w:r>
        <w:rPr>
          <w:rFonts w:ascii="宋体" w:hAnsi="宋体" w:cs="宋体"/>
          <w:color w:val="000000"/>
          <w:sz w:val="24"/>
          <w:lang w:val="zh-CN"/>
        </w:rPr>
        <w:t>.2</w:t>
      </w:r>
      <w:r>
        <w:rPr>
          <w:rFonts w:hint="eastAsia" w:ascii="宋体" w:hAnsi="宋体" w:cs="宋体"/>
          <w:color w:val="000000"/>
          <w:sz w:val="24"/>
          <w:lang w:val="zh-CN"/>
        </w:rPr>
        <w:t>需清洁消毒的区域包括，各销售仓库及更衣室的空间地面、墙面、设备、案台、工器具和电子称等。</w:t>
      </w:r>
    </w:p>
    <w:p w14:paraId="78BF3446">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9</w:t>
      </w:r>
      <w:r>
        <w:rPr>
          <w:rFonts w:ascii="宋体" w:hAnsi="宋体" w:cs="宋体"/>
          <w:color w:val="000000"/>
          <w:sz w:val="24"/>
          <w:lang w:val="zh-CN"/>
        </w:rPr>
        <w:t>.3</w:t>
      </w:r>
      <w:r>
        <w:rPr>
          <w:rFonts w:hint="eastAsia" w:ascii="宋体" w:hAnsi="宋体" w:cs="宋体"/>
          <w:color w:val="000000"/>
          <w:sz w:val="24"/>
          <w:lang w:val="zh-CN"/>
        </w:rPr>
        <w:t>市场部</w:t>
      </w:r>
      <w:r>
        <w:rPr>
          <w:rFonts w:ascii="宋体" w:hAnsi="宋体" w:cs="宋体"/>
          <w:color w:val="000000"/>
          <w:sz w:val="24"/>
          <w:lang w:val="zh-CN"/>
        </w:rPr>
        <w:t>负责各个区域及工器具的清洁消毒</w:t>
      </w:r>
      <w:r>
        <w:rPr>
          <w:rFonts w:hint="eastAsia" w:ascii="宋体" w:hAnsi="宋体" w:cs="宋体"/>
          <w:color w:val="000000"/>
          <w:sz w:val="24"/>
          <w:lang w:val="zh-CN"/>
        </w:rPr>
        <w:t>，市场部</w:t>
      </w:r>
      <w:r>
        <w:rPr>
          <w:rFonts w:ascii="宋体" w:hAnsi="宋体" w:cs="宋体"/>
          <w:color w:val="000000"/>
          <w:sz w:val="24"/>
          <w:lang w:val="zh-CN"/>
        </w:rPr>
        <w:t>负责对清洁消毒的监督检查</w:t>
      </w:r>
      <w:r>
        <w:rPr>
          <w:rFonts w:hint="eastAsia" w:ascii="宋体" w:hAnsi="宋体" w:cs="宋体"/>
          <w:color w:val="000000"/>
          <w:sz w:val="24"/>
          <w:lang w:val="zh-CN"/>
        </w:rPr>
        <w:t>。</w:t>
      </w:r>
    </w:p>
    <w:p w14:paraId="463F1B37">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9.3</w:t>
      </w:r>
      <w:r>
        <w:rPr>
          <w:rFonts w:hint="eastAsia" w:ascii="宋体" w:hAnsi="宋体" w:cs="宋体"/>
          <w:color w:val="000000"/>
          <w:sz w:val="24"/>
          <w:lang w:val="zh-CN"/>
        </w:rPr>
        <w:t>清洁区场地、仓库、设备及工器具的清洁消毒分销售前、后与销售间歇进行。</w:t>
      </w:r>
    </w:p>
    <w:p w14:paraId="0F63145A">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9.4</w:t>
      </w:r>
      <w:r>
        <w:rPr>
          <w:rFonts w:hint="eastAsia" w:ascii="宋体" w:hAnsi="宋体" w:cs="宋体"/>
          <w:color w:val="000000"/>
          <w:sz w:val="24"/>
          <w:lang w:val="zh-CN"/>
        </w:rPr>
        <w:t>清洁用品包括地拖、自来水、抹布、75%酒精、消毒粉。</w:t>
      </w:r>
    </w:p>
    <w:p w14:paraId="31AAC383">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w:t>
      </w:r>
      <w:r>
        <w:rPr>
          <w:rFonts w:hint="eastAsia" w:ascii="宋体" w:hAnsi="宋体" w:cs="宋体"/>
          <w:color w:val="000000"/>
          <w:sz w:val="24"/>
          <w:lang w:val="zh-CN"/>
        </w:rPr>
        <w:t>.</w:t>
      </w:r>
      <w:r>
        <w:rPr>
          <w:rFonts w:ascii="宋体" w:hAnsi="宋体" w:cs="宋体"/>
          <w:color w:val="000000"/>
          <w:sz w:val="24"/>
          <w:lang w:val="zh-CN"/>
        </w:rPr>
        <w:t>5</w:t>
      </w:r>
      <w:r>
        <w:rPr>
          <w:rFonts w:hint="eastAsia" w:ascii="宋体" w:hAnsi="宋体" w:cs="宋体"/>
          <w:color w:val="000000"/>
          <w:sz w:val="24"/>
          <w:lang w:val="zh-CN"/>
        </w:rPr>
        <w:t>清洁消毒</w:t>
      </w:r>
    </w:p>
    <w:p w14:paraId="346B4A4E">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操作员工进入仓库之前，必须换上工作服，并按照以下步骤进行手部清洗消毒：</w:t>
      </w:r>
    </w:p>
    <w:p w14:paraId="22E62700">
      <w:pPr>
        <w:numPr>
          <w:ilvl w:val="0"/>
          <w:numId w:val="7"/>
        </w:numPr>
        <w:spacing w:line="360" w:lineRule="auto"/>
        <w:rPr>
          <w:rFonts w:ascii="宋体" w:hAnsi="宋体"/>
          <w:bCs/>
          <w:sz w:val="24"/>
        </w:rPr>
      </w:pPr>
      <w:r>
        <w:rPr>
          <w:rFonts w:hint="eastAsia" w:ascii="宋体" w:hAnsi="宋体"/>
          <w:bCs/>
          <w:sz w:val="24"/>
        </w:rPr>
        <w:t>用清水冲洗裸露于工作服外的手腕及双手正反面；</w:t>
      </w:r>
    </w:p>
    <w:p w14:paraId="1CC185B4">
      <w:pPr>
        <w:numPr>
          <w:ilvl w:val="0"/>
          <w:numId w:val="7"/>
        </w:numPr>
        <w:spacing w:line="360" w:lineRule="auto"/>
        <w:rPr>
          <w:rFonts w:ascii="宋体" w:hAnsi="宋体"/>
          <w:bCs/>
          <w:sz w:val="24"/>
        </w:rPr>
      </w:pPr>
      <w:r>
        <w:rPr>
          <w:rFonts w:hint="eastAsia" w:ascii="宋体" w:hAnsi="宋体"/>
          <w:bCs/>
          <w:sz w:val="24"/>
        </w:rPr>
        <w:t>挤压适量洗手液，双手交叉搓洗，注意清洗指甲缝等处，直至</w:t>
      </w:r>
      <w:r>
        <w:rPr>
          <w:rFonts w:hint="eastAsia" w:ascii="宋体" w:hAnsi="宋体"/>
          <w:bCs/>
          <w:sz w:val="24"/>
          <w:lang w:eastAsia="zh-CN"/>
        </w:rPr>
        <w:t>销售</w:t>
      </w:r>
      <w:r>
        <w:rPr>
          <w:rFonts w:hint="eastAsia" w:ascii="宋体" w:hAnsi="宋体"/>
          <w:bCs/>
          <w:sz w:val="24"/>
        </w:rPr>
        <w:t>大量泡沫；</w:t>
      </w:r>
    </w:p>
    <w:p w14:paraId="7D8EDF16">
      <w:pPr>
        <w:numPr>
          <w:ilvl w:val="0"/>
          <w:numId w:val="7"/>
        </w:numPr>
        <w:spacing w:line="360" w:lineRule="auto"/>
        <w:rPr>
          <w:rFonts w:ascii="宋体" w:hAnsi="宋体"/>
          <w:bCs/>
          <w:sz w:val="24"/>
        </w:rPr>
      </w:pPr>
      <w:r>
        <w:rPr>
          <w:rFonts w:hint="eastAsia" w:ascii="宋体" w:hAnsi="宋体"/>
          <w:bCs/>
          <w:sz w:val="24"/>
        </w:rPr>
        <w:t>将手腕及双手上的泡沫用清水冲除；</w:t>
      </w:r>
    </w:p>
    <w:p w14:paraId="0337A0D6">
      <w:pPr>
        <w:numPr>
          <w:ilvl w:val="0"/>
          <w:numId w:val="7"/>
        </w:numPr>
        <w:spacing w:line="360" w:lineRule="auto"/>
        <w:rPr>
          <w:rFonts w:ascii="宋体" w:hAnsi="宋体"/>
          <w:bCs/>
          <w:sz w:val="24"/>
        </w:rPr>
      </w:pPr>
      <w:r>
        <w:rPr>
          <w:rFonts w:hint="eastAsia" w:ascii="宋体" w:hAnsi="宋体"/>
          <w:bCs/>
          <w:sz w:val="24"/>
        </w:rPr>
        <w:t>双手平展于干手器下，将手烘干；</w:t>
      </w:r>
    </w:p>
    <w:p w14:paraId="23D2FCDA">
      <w:pPr>
        <w:numPr>
          <w:ilvl w:val="0"/>
          <w:numId w:val="7"/>
        </w:numPr>
        <w:spacing w:line="360" w:lineRule="auto"/>
        <w:rPr>
          <w:rFonts w:ascii="宋体" w:hAnsi="宋体"/>
          <w:bCs/>
          <w:sz w:val="24"/>
        </w:rPr>
      </w:pPr>
      <w:r>
        <w:rPr>
          <w:rFonts w:hint="eastAsia" w:ascii="宋体" w:hAnsi="宋体"/>
          <w:bCs/>
          <w:sz w:val="24"/>
        </w:rPr>
        <w:t>双手均匀喷洒7</w:t>
      </w:r>
      <w:r>
        <w:rPr>
          <w:rFonts w:ascii="宋体" w:hAnsi="宋体"/>
          <w:bCs/>
          <w:sz w:val="24"/>
        </w:rPr>
        <w:t>5</w:t>
      </w:r>
      <w:r>
        <w:rPr>
          <w:rFonts w:hint="eastAsia" w:ascii="宋体" w:hAnsi="宋体"/>
          <w:bCs/>
          <w:sz w:val="24"/>
        </w:rPr>
        <w:t>%</w:t>
      </w:r>
      <w:r>
        <w:rPr>
          <w:rFonts w:ascii="宋体" w:hAnsi="宋体"/>
          <w:bCs/>
          <w:sz w:val="24"/>
        </w:rPr>
        <w:t>酒精</w:t>
      </w:r>
      <w:r>
        <w:rPr>
          <w:rFonts w:hint="eastAsia" w:ascii="宋体" w:hAnsi="宋体"/>
          <w:bCs/>
          <w:sz w:val="24"/>
        </w:rPr>
        <w:t>。</w:t>
      </w:r>
    </w:p>
    <w:p w14:paraId="79F078BA">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销售间歇的清洁消毒</w:t>
      </w:r>
    </w:p>
    <w:p w14:paraId="6D784CE1">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.1仓库内</w:t>
      </w:r>
      <w:r>
        <w:rPr>
          <w:rFonts w:hint="eastAsia" w:ascii="宋体" w:hAnsi="宋体" w:cs="宋体"/>
          <w:color w:val="000000"/>
          <w:sz w:val="24"/>
          <w:lang w:val="en-US" w:eastAsia="zh-CN"/>
        </w:rPr>
        <w:t>处于开放式状态</w:t>
      </w:r>
      <w:r>
        <w:rPr>
          <w:rFonts w:hint="eastAsia" w:ascii="宋体" w:hAnsi="宋体" w:cs="宋体"/>
          <w:color w:val="000000"/>
          <w:sz w:val="24"/>
          <w:lang w:val="zh-CN"/>
        </w:rPr>
        <w:t>，中途有外出员工，必须在制定地点换下工作服，不得带出指定范围以后的地方。</w:t>
      </w:r>
    </w:p>
    <w:p w14:paraId="49F1986D">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.2中途有员工进入仓库，必须严格执行</w:t>
      </w:r>
      <w:r>
        <w:rPr>
          <w:rFonts w:ascii="宋体" w:hAnsi="宋体" w:cs="宋体"/>
          <w:color w:val="000000"/>
          <w:sz w:val="24"/>
          <w:lang w:val="zh-CN"/>
        </w:rPr>
        <w:t>9.5</w:t>
      </w:r>
      <w:r>
        <w:rPr>
          <w:rFonts w:hint="eastAsia" w:ascii="宋体" w:hAnsi="宋体" w:cs="宋体"/>
          <w:color w:val="000000"/>
          <w:sz w:val="24"/>
          <w:lang w:val="zh-CN"/>
        </w:rPr>
        <w:t>.</w:t>
      </w:r>
      <w:r>
        <w:rPr>
          <w:rFonts w:ascii="宋体" w:hAnsi="宋体" w:cs="宋体"/>
          <w:color w:val="000000"/>
          <w:sz w:val="24"/>
          <w:lang w:val="zh-CN"/>
        </w:rPr>
        <w:t>1</w:t>
      </w:r>
      <w:r>
        <w:rPr>
          <w:rFonts w:hint="eastAsia" w:ascii="宋体" w:hAnsi="宋体" w:cs="宋体"/>
          <w:color w:val="000000"/>
          <w:sz w:val="24"/>
          <w:lang w:val="zh-CN"/>
        </w:rPr>
        <w:t>的规定。</w:t>
      </w:r>
    </w:p>
    <w:p w14:paraId="000FE380">
      <w:pPr>
        <w:pStyle w:val="3"/>
        <w:spacing w:before="156" w:after="78"/>
        <w:ind w:firstLine="482" w:firstLineChars="200"/>
        <w:rPr>
          <w:rFonts w:ascii="宋体" w:hAnsi="宋体"/>
          <w:szCs w:val="24"/>
        </w:rPr>
      </w:pPr>
      <w:bookmarkStart w:id="27" w:name="_Toc121751593"/>
      <w:bookmarkStart w:id="28" w:name="_Toc106545835"/>
      <w:bookmarkStart w:id="29" w:name="_Toc106545485"/>
      <w:r>
        <w:rPr>
          <w:rFonts w:hint="eastAsia" w:ascii="宋体" w:hAnsi="宋体"/>
          <w:szCs w:val="24"/>
        </w:rPr>
        <w:t>虫害防治</w:t>
      </w:r>
      <w:bookmarkEnd w:id="27"/>
      <w:bookmarkEnd w:id="28"/>
      <w:bookmarkEnd w:id="29"/>
    </w:p>
    <w:p w14:paraId="21D03073">
      <w:pPr>
        <w:spacing w:line="360" w:lineRule="auto"/>
        <w:ind w:firstLine="480" w:firstLineChars="200"/>
        <w:rPr>
          <w:rFonts w:ascii="宋体" w:hAnsi="宋体"/>
          <w:sz w:val="24"/>
        </w:rPr>
      </w:pPr>
      <w:r>
        <w:rPr>
          <w:rFonts w:hint="eastAsia" w:ascii="宋体" w:hAnsi="宋体"/>
          <w:sz w:val="24"/>
        </w:rPr>
        <w:t>1</w:t>
      </w:r>
      <w:r>
        <w:rPr>
          <w:rFonts w:ascii="宋体" w:hAnsi="宋体"/>
          <w:sz w:val="24"/>
        </w:rPr>
        <w:t>0.1</w:t>
      </w:r>
      <w:r>
        <w:rPr>
          <w:rFonts w:hint="eastAsia" w:ascii="宋体" w:hAnsi="宋体"/>
          <w:bCs/>
          <w:sz w:val="24"/>
          <w:lang w:eastAsia="zh-CN"/>
        </w:rPr>
        <w:t>市场部</w:t>
      </w:r>
      <w:r>
        <w:rPr>
          <w:rFonts w:hint="eastAsia" w:ascii="宋体" w:hAnsi="宋体"/>
          <w:bCs/>
          <w:sz w:val="24"/>
        </w:rPr>
        <w:t>负责厂区内虫鼠害的除灭工作及日常巡检工作。</w:t>
      </w:r>
      <w:r>
        <w:rPr>
          <w:rFonts w:hint="eastAsia" w:ascii="宋体" w:hAnsi="宋体"/>
          <w:bCs/>
          <w:sz w:val="24"/>
          <w:lang w:eastAsia="zh-CN"/>
        </w:rPr>
        <w:t>市场部</w:t>
      </w:r>
      <w:r>
        <w:rPr>
          <w:rFonts w:hint="eastAsia" w:ascii="宋体" w:hAnsi="宋体"/>
          <w:bCs/>
          <w:sz w:val="24"/>
        </w:rPr>
        <w:t>负责</w:t>
      </w:r>
      <w:r>
        <w:rPr>
          <w:rFonts w:hint="eastAsia" w:ascii="宋体" w:hAnsi="宋体"/>
          <w:bCs/>
          <w:sz w:val="24"/>
          <w:lang w:eastAsia="zh-CN"/>
        </w:rPr>
        <w:t>仓库</w:t>
      </w:r>
      <w:r>
        <w:rPr>
          <w:rFonts w:hint="eastAsia" w:ascii="宋体" w:hAnsi="宋体"/>
          <w:bCs/>
          <w:sz w:val="24"/>
        </w:rPr>
        <w:t>除灭虫鼠害和对</w:t>
      </w:r>
      <w:r>
        <w:rPr>
          <w:rFonts w:hint="eastAsia" w:ascii="宋体" w:hAnsi="宋体"/>
          <w:bCs/>
          <w:sz w:val="24"/>
          <w:lang w:eastAsia="zh-CN"/>
        </w:rPr>
        <w:t>仓库</w:t>
      </w:r>
      <w:r>
        <w:rPr>
          <w:rFonts w:hint="eastAsia" w:ascii="宋体" w:hAnsi="宋体"/>
          <w:bCs/>
          <w:sz w:val="24"/>
        </w:rPr>
        <w:t>与外界相连部分的封闭及正确使用。</w:t>
      </w:r>
      <w:r>
        <w:rPr>
          <w:rFonts w:hint="eastAsia" w:ascii="宋体" w:hAnsi="宋体"/>
          <w:bCs/>
          <w:sz w:val="24"/>
          <w:lang w:eastAsia="zh-CN"/>
        </w:rPr>
        <w:t>市场部</w:t>
      </w:r>
      <w:r>
        <w:rPr>
          <w:rFonts w:hint="eastAsia" w:ascii="宋体" w:hAnsi="宋体"/>
          <w:bCs/>
          <w:sz w:val="24"/>
        </w:rPr>
        <w:t>负责对</w:t>
      </w:r>
      <w:r>
        <w:rPr>
          <w:rFonts w:hint="eastAsia" w:ascii="宋体" w:hAnsi="宋体"/>
          <w:bCs/>
          <w:sz w:val="24"/>
          <w:lang w:eastAsia="zh-CN"/>
        </w:rPr>
        <w:t>仓库</w:t>
      </w:r>
      <w:r>
        <w:rPr>
          <w:rFonts w:hint="eastAsia" w:ascii="宋体" w:hAnsi="宋体"/>
          <w:bCs/>
          <w:sz w:val="24"/>
        </w:rPr>
        <w:t>除灭虫鼠害的检查工作。</w:t>
      </w:r>
    </w:p>
    <w:p w14:paraId="33F2E392">
      <w:pPr>
        <w:spacing w:line="360" w:lineRule="auto"/>
        <w:ind w:firstLine="480" w:firstLineChars="200"/>
        <w:rPr>
          <w:rFonts w:ascii="宋体" w:hAnsi="宋体"/>
          <w:sz w:val="24"/>
        </w:rPr>
      </w:pPr>
      <w:r>
        <w:rPr>
          <w:rFonts w:hint="eastAsia" w:ascii="宋体" w:hAnsi="宋体"/>
          <w:sz w:val="24"/>
        </w:rPr>
        <w:t>1</w:t>
      </w:r>
      <w:r>
        <w:rPr>
          <w:rFonts w:ascii="宋体" w:hAnsi="宋体"/>
          <w:sz w:val="24"/>
        </w:rPr>
        <w:t>0.2</w:t>
      </w:r>
      <w:r>
        <w:rPr>
          <w:rFonts w:hint="eastAsia" w:ascii="宋体" w:hAnsi="宋体"/>
          <w:sz w:val="24"/>
        </w:rPr>
        <w:t>公司厂区内存在害虫的分类及其危害。</w:t>
      </w:r>
    </w:p>
    <w:p w14:paraId="5966B068">
      <w:pPr>
        <w:spacing w:line="360" w:lineRule="auto"/>
        <w:ind w:firstLine="480" w:firstLineChars="200"/>
        <w:rPr>
          <w:rFonts w:ascii="宋体" w:hAnsi="宋体"/>
          <w:sz w:val="24"/>
        </w:rPr>
      </w:pPr>
      <w:r>
        <w:rPr>
          <w:rFonts w:hint="eastAsia" w:ascii="宋体" w:hAnsi="宋体"/>
          <w:sz w:val="24"/>
        </w:rPr>
        <w:t>1</w:t>
      </w:r>
      <w:r>
        <w:rPr>
          <w:rFonts w:ascii="宋体" w:hAnsi="宋体"/>
          <w:sz w:val="24"/>
        </w:rPr>
        <w:t>0.2</w:t>
      </w:r>
      <w:r>
        <w:rPr>
          <w:rFonts w:hint="eastAsia" w:ascii="宋体" w:hAnsi="宋体"/>
          <w:sz w:val="24"/>
        </w:rPr>
        <w:t>.1</w:t>
      </w:r>
      <w:r>
        <w:rPr>
          <w:rFonts w:hint="eastAsia" w:ascii="宋体" w:hAnsi="宋体"/>
          <w:bCs/>
          <w:sz w:val="24"/>
        </w:rPr>
        <w:t>嚼齿类动物：鼠，其可传播致病菌、孳生寄生虫、破坏食品。</w:t>
      </w:r>
    </w:p>
    <w:p w14:paraId="0618F41B">
      <w:pPr>
        <w:pStyle w:val="19"/>
        <w:spacing w:line="360" w:lineRule="auto"/>
        <w:ind w:firstLine="480"/>
        <w:rPr>
          <w:rFonts w:ascii="宋体" w:hAnsi="宋体"/>
          <w:bCs/>
          <w:sz w:val="24"/>
        </w:rPr>
      </w:pPr>
      <w:r>
        <w:rPr>
          <w:rFonts w:hint="eastAsia" w:ascii="宋体" w:hAnsi="宋体"/>
          <w:sz w:val="24"/>
        </w:rPr>
        <w:t>1</w:t>
      </w:r>
      <w:r>
        <w:rPr>
          <w:rFonts w:ascii="宋体" w:hAnsi="宋体"/>
          <w:sz w:val="24"/>
        </w:rPr>
        <w:t>0.2</w:t>
      </w:r>
      <w:r>
        <w:rPr>
          <w:rFonts w:hint="eastAsia" w:ascii="宋体" w:hAnsi="宋体"/>
          <w:sz w:val="24"/>
        </w:rPr>
        <w:t>.</w:t>
      </w:r>
      <w:r>
        <w:rPr>
          <w:rFonts w:ascii="宋体" w:hAnsi="宋体"/>
          <w:sz w:val="24"/>
        </w:rPr>
        <w:t>2</w:t>
      </w:r>
      <w:r>
        <w:rPr>
          <w:rFonts w:hint="eastAsia" w:ascii="宋体" w:hAnsi="宋体"/>
          <w:bCs/>
          <w:sz w:val="24"/>
        </w:rPr>
        <w:t>飞虫：苍蝇、蚊子、蟑螂、小飞虫、爬虫等。其可传播沙门氏菌、葡萄球菌、肉毒梭菌等致病菌。</w:t>
      </w:r>
    </w:p>
    <w:p w14:paraId="195E732D">
      <w:pPr>
        <w:pStyle w:val="19"/>
        <w:spacing w:line="360" w:lineRule="auto"/>
        <w:ind w:firstLine="480"/>
        <w:rPr>
          <w:rFonts w:ascii="宋体" w:hAnsi="宋体"/>
          <w:bCs/>
          <w:sz w:val="24"/>
        </w:rPr>
      </w:pPr>
      <w:r>
        <w:rPr>
          <w:rFonts w:hint="eastAsia" w:ascii="宋体" w:hAnsi="宋体"/>
          <w:sz w:val="24"/>
        </w:rPr>
        <w:t>1</w:t>
      </w:r>
      <w:r>
        <w:rPr>
          <w:rFonts w:ascii="宋体" w:hAnsi="宋体"/>
          <w:sz w:val="24"/>
        </w:rPr>
        <w:t>0.2</w:t>
      </w:r>
      <w:r>
        <w:rPr>
          <w:rFonts w:hint="eastAsia" w:ascii="宋体" w:hAnsi="宋体"/>
          <w:sz w:val="24"/>
        </w:rPr>
        <w:t>.</w:t>
      </w:r>
      <w:r>
        <w:rPr>
          <w:rFonts w:ascii="宋体" w:hAnsi="宋体"/>
          <w:sz w:val="24"/>
        </w:rPr>
        <w:t>3</w:t>
      </w:r>
      <w:r>
        <w:rPr>
          <w:rFonts w:hint="eastAsia" w:ascii="宋体" w:hAnsi="宋体"/>
          <w:bCs/>
          <w:sz w:val="24"/>
        </w:rPr>
        <w:t>在公司厂区内不允许饲养家禽家畜，如鸡、鸭、猫、狗、兔子、猪等。其可传播致病菌、破坏食品。</w:t>
      </w:r>
    </w:p>
    <w:p w14:paraId="25D8E500">
      <w:pPr>
        <w:spacing w:line="360" w:lineRule="auto"/>
        <w:ind w:firstLine="480" w:firstLineChars="200"/>
        <w:rPr>
          <w:rFonts w:ascii="宋体" w:hAnsi="宋体"/>
          <w:sz w:val="24"/>
        </w:rPr>
      </w:pPr>
      <w:r>
        <w:rPr>
          <w:rFonts w:ascii="宋体" w:hAnsi="宋体"/>
          <w:bCs/>
          <w:sz w:val="24"/>
        </w:rPr>
        <w:t>10.3</w:t>
      </w:r>
      <w:r>
        <w:rPr>
          <w:rFonts w:hint="eastAsia" w:ascii="宋体" w:hAnsi="宋体"/>
          <w:sz w:val="24"/>
        </w:rPr>
        <w:t>厂区灭虫措施</w:t>
      </w:r>
    </w:p>
    <w:p w14:paraId="688F6B51">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.1清除厂区内无序的杂草、灌木丛、垃圾等，尽量用水泥铺砌地面，以减少害虫进入工厂机会。</w:t>
      </w:r>
    </w:p>
    <w:p w14:paraId="19648BD1">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.2地面要保持清洁，无脏水，可减少害虫的生存。</w:t>
      </w:r>
    </w:p>
    <w:p w14:paraId="69EFC4E0">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.3将厂区垃圾暂存间、污水处理站、食堂周边、办公楼等处作为捕鼠点，可视情况布置鼠夹、粘鼠板、鼠笼等。</w:t>
      </w:r>
    </w:p>
    <w:p w14:paraId="26691695">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.4对于厂区垃圾站要密闭存放垃圾，当日垃圾要及时送出厂外，垃圾暂存间每日要进行清扫，确保清洁，不吸引害虫。</w:t>
      </w:r>
    </w:p>
    <w:p w14:paraId="4EA234A3">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.5如厂区道路发现有爬虫等害虫可用杀虫剂进行灭虫。</w:t>
      </w:r>
    </w:p>
    <w:p w14:paraId="1103221D">
      <w:pPr>
        <w:spacing w:line="360" w:lineRule="auto"/>
        <w:ind w:firstLine="480" w:firstLineChars="200"/>
        <w:rPr>
          <w:rFonts w:ascii="宋体" w:hAnsi="宋体"/>
          <w:sz w:val="24"/>
        </w:rPr>
      </w:pPr>
      <w:r>
        <w:rPr>
          <w:rFonts w:ascii="宋体" w:hAnsi="宋体"/>
          <w:sz w:val="24"/>
        </w:rPr>
        <w:t>10.4</w:t>
      </w:r>
      <w:r>
        <w:rPr>
          <w:rFonts w:hint="eastAsia" w:ascii="宋体" w:hAnsi="宋体"/>
          <w:sz w:val="24"/>
          <w:lang w:eastAsia="zh-CN"/>
        </w:rPr>
        <w:t>仓库</w:t>
      </w:r>
      <w:r>
        <w:rPr>
          <w:rFonts w:hint="eastAsia" w:ascii="宋体" w:hAnsi="宋体"/>
          <w:sz w:val="24"/>
        </w:rPr>
        <w:t>防虫防鼠结构布局</w:t>
      </w:r>
    </w:p>
    <w:p w14:paraId="4AED5920">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.1</w:t>
      </w:r>
      <w:r>
        <w:rPr>
          <w:rFonts w:hint="eastAsia" w:ascii="宋体" w:hAnsi="宋体"/>
          <w:bCs/>
          <w:sz w:val="24"/>
          <w:lang w:eastAsia="zh-CN"/>
        </w:rPr>
        <w:t>仓库</w:t>
      </w:r>
      <w:r>
        <w:rPr>
          <w:rFonts w:hint="eastAsia" w:ascii="宋体" w:hAnsi="宋体"/>
          <w:bCs/>
          <w:sz w:val="24"/>
        </w:rPr>
        <w:t>与外界相通的窗户必须密封，不得有缝隙，以避免飞虫进入</w:t>
      </w:r>
      <w:r>
        <w:rPr>
          <w:rFonts w:hint="eastAsia" w:ascii="宋体" w:hAnsi="宋体"/>
          <w:bCs/>
          <w:sz w:val="24"/>
          <w:lang w:eastAsia="zh-CN"/>
        </w:rPr>
        <w:t>仓库</w:t>
      </w:r>
      <w:r>
        <w:rPr>
          <w:rFonts w:hint="eastAsia" w:ascii="宋体" w:hAnsi="宋体"/>
          <w:bCs/>
          <w:sz w:val="24"/>
        </w:rPr>
        <w:t>。</w:t>
      </w:r>
    </w:p>
    <w:p w14:paraId="37886B46">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.2</w:t>
      </w:r>
      <w:r>
        <w:rPr>
          <w:rFonts w:hint="eastAsia" w:ascii="宋体" w:hAnsi="宋体"/>
          <w:bCs/>
          <w:sz w:val="24"/>
          <w:lang w:eastAsia="zh-CN"/>
        </w:rPr>
        <w:t>仓库</w:t>
      </w:r>
      <w:r>
        <w:rPr>
          <w:rFonts w:hint="eastAsia" w:ascii="宋体" w:hAnsi="宋体"/>
          <w:bCs/>
          <w:sz w:val="24"/>
        </w:rPr>
        <w:t>与外界相通的门，必须安装门帘、挡鼠板，以避免飞虫进入</w:t>
      </w:r>
      <w:r>
        <w:rPr>
          <w:rFonts w:hint="eastAsia" w:ascii="宋体" w:hAnsi="宋体"/>
          <w:bCs/>
          <w:sz w:val="24"/>
          <w:lang w:eastAsia="zh-CN"/>
        </w:rPr>
        <w:t>仓库</w:t>
      </w:r>
      <w:r>
        <w:rPr>
          <w:rFonts w:hint="eastAsia" w:ascii="宋体" w:hAnsi="宋体"/>
          <w:bCs/>
          <w:sz w:val="24"/>
        </w:rPr>
        <w:t>，门旁应放有鼠夹等捉鼠工具。</w:t>
      </w:r>
    </w:p>
    <w:p w14:paraId="73316503">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.3</w:t>
      </w:r>
      <w:r>
        <w:rPr>
          <w:rFonts w:hint="eastAsia" w:ascii="宋体" w:hAnsi="宋体"/>
          <w:bCs/>
          <w:sz w:val="24"/>
          <w:lang w:eastAsia="zh-CN"/>
        </w:rPr>
        <w:t>仓库</w:t>
      </w:r>
      <w:r>
        <w:rPr>
          <w:rFonts w:hint="eastAsia" w:ascii="宋体" w:hAnsi="宋体"/>
          <w:bCs/>
          <w:sz w:val="24"/>
        </w:rPr>
        <w:t>排水管道应保证清洁并设有水封装置，以防止鼠、虫等爬入</w:t>
      </w:r>
      <w:r>
        <w:rPr>
          <w:rFonts w:hint="eastAsia" w:ascii="宋体" w:hAnsi="宋体"/>
          <w:bCs/>
          <w:sz w:val="24"/>
          <w:lang w:eastAsia="zh-CN"/>
        </w:rPr>
        <w:t>仓库</w:t>
      </w:r>
      <w:r>
        <w:rPr>
          <w:rFonts w:hint="eastAsia" w:ascii="宋体" w:hAnsi="宋体"/>
          <w:bCs/>
          <w:sz w:val="24"/>
        </w:rPr>
        <w:t>。</w:t>
      </w:r>
    </w:p>
    <w:p w14:paraId="6A200C47">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.4</w:t>
      </w:r>
      <w:r>
        <w:rPr>
          <w:rFonts w:hint="eastAsia" w:ascii="宋体" w:hAnsi="宋体"/>
          <w:bCs/>
          <w:sz w:val="24"/>
          <w:lang w:eastAsia="zh-CN"/>
        </w:rPr>
        <w:t>仓库</w:t>
      </w:r>
      <w:r>
        <w:rPr>
          <w:rFonts w:hint="eastAsia" w:ascii="宋体" w:hAnsi="宋体"/>
          <w:bCs/>
          <w:sz w:val="24"/>
        </w:rPr>
        <w:t>废物运出</w:t>
      </w:r>
      <w:r>
        <w:rPr>
          <w:rFonts w:hint="eastAsia" w:ascii="宋体" w:hAnsi="宋体"/>
          <w:bCs/>
          <w:sz w:val="24"/>
          <w:lang w:eastAsia="zh-CN"/>
        </w:rPr>
        <w:t>仓库</w:t>
      </w:r>
      <w:r>
        <w:rPr>
          <w:rFonts w:hint="eastAsia" w:ascii="宋体" w:hAnsi="宋体"/>
          <w:bCs/>
          <w:sz w:val="24"/>
        </w:rPr>
        <w:t>时，必须密封好，不得有污水滴落或脏物遗洒。</w:t>
      </w:r>
    </w:p>
    <w:p w14:paraId="01F7A370">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.5在</w:t>
      </w:r>
      <w:r>
        <w:rPr>
          <w:rFonts w:hint="eastAsia" w:ascii="宋体" w:hAnsi="宋体"/>
          <w:bCs/>
          <w:sz w:val="24"/>
          <w:lang w:eastAsia="zh-CN"/>
        </w:rPr>
        <w:t>仓库</w:t>
      </w:r>
      <w:r>
        <w:rPr>
          <w:rFonts w:hint="eastAsia" w:ascii="宋体" w:hAnsi="宋体"/>
          <w:bCs/>
          <w:sz w:val="24"/>
        </w:rPr>
        <w:t>入口处应安装灭蝇灯，防止蚊蝇飞虫进入</w:t>
      </w:r>
      <w:r>
        <w:rPr>
          <w:rFonts w:hint="eastAsia" w:ascii="宋体" w:hAnsi="宋体"/>
          <w:bCs/>
          <w:sz w:val="24"/>
          <w:lang w:eastAsia="zh-CN"/>
        </w:rPr>
        <w:t>仓库</w:t>
      </w:r>
      <w:r>
        <w:rPr>
          <w:rFonts w:hint="eastAsia" w:ascii="宋体" w:hAnsi="宋体"/>
          <w:bCs/>
          <w:sz w:val="24"/>
        </w:rPr>
        <w:t>，如</w:t>
      </w:r>
      <w:r>
        <w:rPr>
          <w:rFonts w:hint="eastAsia" w:ascii="宋体" w:hAnsi="宋体"/>
          <w:bCs/>
          <w:sz w:val="24"/>
          <w:lang w:eastAsia="zh-CN"/>
        </w:rPr>
        <w:t>仓库</w:t>
      </w:r>
      <w:r>
        <w:rPr>
          <w:rFonts w:hint="eastAsia" w:ascii="宋体" w:hAnsi="宋体"/>
          <w:bCs/>
          <w:sz w:val="24"/>
        </w:rPr>
        <w:t>内飞虫进入要停产进行灭虫。</w:t>
      </w:r>
    </w:p>
    <w:p w14:paraId="5F92B8B1">
      <w:pPr>
        <w:spacing w:line="360" w:lineRule="auto"/>
        <w:ind w:firstLine="480" w:firstLineChars="200"/>
        <w:rPr>
          <w:rFonts w:ascii="宋体" w:hAnsi="宋体"/>
          <w:sz w:val="24"/>
        </w:rPr>
      </w:pPr>
      <w:r>
        <w:rPr>
          <w:rFonts w:ascii="宋体" w:hAnsi="宋体"/>
          <w:sz w:val="24"/>
        </w:rPr>
        <w:t>10.5</w:t>
      </w:r>
      <w:r>
        <w:rPr>
          <w:rFonts w:hint="eastAsia" w:ascii="宋体" w:hAnsi="宋体"/>
          <w:sz w:val="24"/>
        </w:rPr>
        <w:t>杀虫剂的使用：</w:t>
      </w:r>
    </w:p>
    <w:p w14:paraId="045A2337">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.1所有使用的杀虫剂必须经过政府主管部门的批准，适用于食品厂。</w:t>
      </w:r>
    </w:p>
    <w:p w14:paraId="0DE8F987">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.2使用者应按杀虫的使用说明进行配制、使用。</w:t>
      </w:r>
    </w:p>
    <w:p w14:paraId="71AD7C44">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.3在</w:t>
      </w:r>
      <w:r>
        <w:rPr>
          <w:rFonts w:hint="eastAsia" w:ascii="宋体" w:hAnsi="宋体"/>
          <w:bCs/>
          <w:sz w:val="24"/>
          <w:lang w:eastAsia="zh-CN"/>
        </w:rPr>
        <w:t>仓库</w:t>
      </w:r>
      <w:r>
        <w:rPr>
          <w:rFonts w:hint="eastAsia" w:ascii="宋体" w:hAnsi="宋体"/>
          <w:bCs/>
          <w:sz w:val="24"/>
        </w:rPr>
        <w:t>内正常</w:t>
      </w:r>
      <w:r>
        <w:rPr>
          <w:rFonts w:hint="eastAsia" w:ascii="宋体" w:hAnsi="宋体"/>
          <w:bCs/>
          <w:sz w:val="24"/>
          <w:lang w:eastAsia="zh-CN"/>
        </w:rPr>
        <w:t>销售</w:t>
      </w:r>
      <w:r>
        <w:rPr>
          <w:rFonts w:hint="eastAsia" w:ascii="宋体" w:hAnsi="宋体"/>
          <w:bCs/>
          <w:sz w:val="24"/>
        </w:rPr>
        <w:t>过程中不允许使用杀虫剂，遇紧急情况（</w:t>
      </w:r>
      <w:r>
        <w:rPr>
          <w:rFonts w:hint="eastAsia" w:ascii="宋体" w:hAnsi="宋体"/>
          <w:bCs/>
          <w:sz w:val="24"/>
          <w:lang w:eastAsia="zh-CN"/>
        </w:rPr>
        <w:t>仓库</w:t>
      </w:r>
      <w:r>
        <w:rPr>
          <w:rFonts w:hint="eastAsia" w:ascii="宋体" w:hAnsi="宋体"/>
          <w:bCs/>
          <w:sz w:val="24"/>
        </w:rPr>
        <w:t>内飞入飞虫），使用后应采取措施消除杀虫剂对环境的污染，如相隔24小时后再</w:t>
      </w:r>
      <w:r>
        <w:rPr>
          <w:rFonts w:hint="eastAsia" w:ascii="宋体" w:hAnsi="宋体"/>
          <w:bCs/>
          <w:sz w:val="24"/>
          <w:lang w:eastAsia="zh-CN"/>
        </w:rPr>
        <w:t>销售</w:t>
      </w:r>
      <w:r>
        <w:rPr>
          <w:rFonts w:hint="eastAsia" w:ascii="宋体" w:hAnsi="宋体"/>
          <w:bCs/>
          <w:sz w:val="24"/>
        </w:rPr>
        <w:t>并用清水冲洗</w:t>
      </w:r>
      <w:r>
        <w:rPr>
          <w:rFonts w:hint="eastAsia" w:ascii="宋体" w:hAnsi="宋体"/>
          <w:bCs/>
          <w:sz w:val="24"/>
          <w:lang w:eastAsia="zh-CN"/>
        </w:rPr>
        <w:t>仓库</w:t>
      </w:r>
      <w:r>
        <w:rPr>
          <w:rFonts w:hint="eastAsia" w:ascii="宋体" w:hAnsi="宋体"/>
          <w:bCs/>
          <w:sz w:val="24"/>
        </w:rPr>
        <w:t>四壁、台板、地面等所有可能受杀虫剂污染的台面。</w:t>
      </w:r>
    </w:p>
    <w:p w14:paraId="4EA7ADC1">
      <w:pPr>
        <w:pStyle w:val="3"/>
        <w:spacing w:before="156" w:after="78"/>
        <w:ind w:firstLine="482" w:firstLineChars="200"/>
        <w:rPr>
          <w:rFonts w:ascii="宋体" w:hAnsi="宋体"/>
          <w:szCs w:val="24"/>
        </w:rPr>
      </w:pPr>
      <w:bookmarkStart w:id="30" w:name="_Toc121751594"/>
      <w:bookmarkStart w:id="31" w:name="_Toc106545836"/>
      <w:bookmarkStart w:id="32" w:name="_Toc106545486"/>
      <w:r>
        <w:rPr>
          <w:rFonts w:hint="eastAsia" w:ascii="宋体" w:hAnsi="宋体"/>
          <w:szCs w:val="24"/>
        </w:rPr>
        <w:t>员工卫生</w:t>
      </w:r>
      <w:bookmarkEnd w:id="30"/>
      <w:bookmarkEnd w:id="31"/>
      <w:bookmarkEnd w:id="32"/>
    </w:p>
    <w:p w14:paraId="6F3098EA">
      <w:pPr>
        <w:spacing w:line="360" w:lineRule="auto"/>
        <w:ind w:firstLine="480" w:firstLineChars="200"/>
        <w:rPr>
          <w:rFonts w:ascii="宋体" w:hAnsi="宋体"/>
          <w:sz w:val="24"/>
        </w:rPr>
      </w:pPr>
      <w:r>
        <w:rPr>
          <w:rFonts w:hint="eastAsia" w:ascii="宋体" w:hAnsi="宋体"/>
          <w:sz w:val="24"/>
        </w:rPr>
        <w:t>1</w:t>
      </w:r>
      <w:r>
        <w:rPr>
          <w:rFonts w:ascii="宋体" w:hAnsi="宋体"/>
          <w:sz w:val="24"/>
        </w:rPr>
        <w:t>1.1</w:t>
      </w:r>
      <w:r>
        <w:rPr>
          <w:rFonts w:hint="eastAsia" w:ascii="宋体" w:hAnsi="宋体"/>
          <w:bCs/>
          <w:sz w:val="24"/>
          <w:lang w:eastAsia="zh-CN"/>
        </w:rPr>
        <w:t>综合部</w:t>
      </w:r>
      <w:r>
        <w:rPr>
          <w:rFonts w:hint="eastAsia" w:ascii="宋体" w:hAnsi="宋体"/>
          <w:bCs/>
          <w:sz w:val="24"/>
        </w:rPr>
        <w:t>负责组织员工的教育培训工作、组织人员的身体检查及健康档案的建立工作。</w:t>
      </w:r>
      <w:r>
        <w:rPr>
          <w:rFonts w:hint="eastAsia" w:ascii="宋体" w:hAnsi="宋体"/>
          <w:bCs/>
          <w:sz w:val="24"/>
          <w:lang w:eastAsia="zh-CN"/>
        </w:rPr>
        <w:t>市场部</w:t>
      </w:r>
      <w:r>
        <w:rPr>
          <w:rFonts w:hint="eastAsia" w:ascii="宋体" w:hAnsi="宋体"/>
          <w:bCs/>
          <w:sz w:val="24"/>
        </w:rPr>
        <w:t>负责及人员个人卫生的检查工作。</w:t>
      </w:r>
    </w:p>
    <w:p w14:paraId="3252B731">
      <w:pPr>
        <w:spacing w:line="360" w:lineRule="auto"/>
        <w:ind w:firstLine="480" w:firstLineChars="200"/>
        <w:rPr>
          <w:rFonts w:ascii="宋体" w:hAnsi="宋体"/>
          <w:bCs/>
          <w:sz w:val="24"/>
        </w:rPr>
      </w:pPr>
      <w:r>
        <w:rPr>
          <w:rFonts w:hint="eastAsia" w:ascii="宋体" w:hAnsi="宋体"/>
          <w:sz w:val="24"/>
        </w:rPr>
        <w:t>1</w:t>
      </w:r>
      <w:r>
        <w:rPr>
          <w:rFonts w:ascii="宋体" w:hAnsi="宋体"/>
          <w:sz w:val="24"/>
        </w:rPr>
        <w:t>1.2</w:t>
      </w:r>
      <w:r>
        <w:rPr>
          <w:rFonts w:hint="eastAsia" w:ascii="宋体" w:hAnsi="宋体"/>
          <w:bCs/>
          <w:sz w:val="24"/>
        </w:rPr>
        <w:t>进入</w:t>
      </w:r>
      <w:r>
        <w:rPr>
          <w:rFonts w:hint="eastAsia" w:ascii="宋体" w:hAnsi="宋体"/>
          <w:bCs/>
          <w:sz w:val="24"/>
          <w:lang w:eastAsia="zh-CN"/>
        </w:rPr>
        <w:t>仓库</w:t>
      </w:r>
      <w:r>
        <w:rPr>
          <w:rFonts w:hint="eastAsia" w:ascii="宋体" w:hAnsi="宋体"/>
          <w:bCs/>
          <w:sz w:val="24"/>
        </w:rPr>
        <w:t>的人员必须遵守正确行为规范。</w:t>
      </w:r>
    </w:p>
    <w:p w14:paraId="5BE0D306">
      <w:pPr>
        <w:spacing w:line="360" w:lineRule="auto"/>
        <w:ind w:firstLine="480" w:firstLineChars="200"/>
        <w:rPr>
          <w:rFonts w:ascii="宋体" w:hAnsi="宋体"/>
          <w:sz w:val="24"/>
        </w:rPr>
      </w:pPr>
      <w:r>
        <w:rPr>
          <w:rFonts w:ascii="宋体" w:hAnsi="宋体"/>
          <w:sz w:val="24"/>
        </w:rPr>
        <w:t>11.3</w:t>
      </w:r>
      <w:r>
        <w:rPr>
          <w:rFonts w:hint="eastAsia" w:ascii="宋体" w:hAnsi="宋体"/>
          <w:sz w:val="24"/>
        </w:rPr>
        <w:t>卫生教育</w:t>
      </w:r>
    </w:p>
    <w:p w14:paraId="23CB90D2">
      <w:pPr>
        <w:spacing w:line="360" w:lineRule="auto"/>
        <w:ind w:firstLine="480" w:firstLineChars="200"/>
        <w:rPr>
          <w:rFonts w:ascii="宋体" w:hAnsi="宋体"/>
          <w:bCs/>
          <w:sz w:val="24"/>
        </w:rPr>
      </w:pPr>
      <w:r>
        <w:rPr>
          <w:rFonts w:ascii="宋体" w:hAnsi="宋体"/>
          <w:sz w:val="24"/>
        </w:rPr>
        <w:t>11.3</w:t>
      </w:r>
      <w:r>
        <w:rPr>
          <w:rFonts w:hint="eastAsia" w:ascii="宋体" w:hAnsi="宋体"/>
          <w:bCs/>
          <w:sz w:val="24"/>
        </w:rPr>
        <w:t>.1</w:t>
      </w:r>
      <w:r>
        <w:rPr>
          <w:rFonts w:hint="eastAsia" w:ascii="宋体" w:hAnsi="宋体"/>
          <w:bCs/>
          <w:sz w:val="24"/>
          <w:lang w:eastAsia="zh-CN"/>
        </w:rPr>
        <w:t>综合部</w:t>
      </w:r>
      <w:r>
        <w:rPr>
          <w:rFonts w:hint="eastAsia" w:ascii="宋体" w:hAnsi="宋体"/>
          <w:bCs/>
          <w:sz w:val="24"/>
        </w:rPr>
        <w:t>负责组织全公司职工上岗前进行与其本职工作有关的卫生规定培训，并对各部门在职员工每年的卫生知识进行一次培训工作。</w:t>
      </w:r>
    </w:p>
    <w:p w14:paraId="613BDFA0">
      <w:pPr>
        <w:spacing w:line="360" w:lineRule="auto"/>
        <w:ind w:firstLine="480" w:firstLineChars="200"/>
        <w:rPr>
          <w:rFonts w:ascii="宋体" w:hAnsi="宋体"/>
          <w:bCs/>
          <w:sz w:val="24"/>
        </w:rPr>
      </w:pPr>
      <w:r>
        <w:rPr>
          <w:rFonts w:ascii="宋体" w:hAnsi="宋体"/>
          <w:sz w:val="24"/>
        </w:rPr>
        <w:t>11.3</w:t>
      </w:r>
      <w:r>
        <w:rPr>
          <w:rFonts w:hint="eastAsia" w:ascii="宋体" w:hAnsi="宋体"/>
          <w:bCs/>
          <w:sz w:val="24"/>
        </w:rPr>
        <w:t>.2</w:t>
      </w:r>
      <w:r>
        <w:rPr>
          <w:rFonts w:hint="eastAsia" w:ascii="宋体" w:hAnsi="宋体"/>
          <w:bCs/>
          <w:sz w:val="24"/>
          <w:lang w:eastAsia="zh-CN"/>
        </w:rPr>
        <w:t>市场部</w:t>
      </w:r>
      <w:r>
        <w:rPr>
          <w:rFonts w:hint="eastAsia" w:ascii="宋体" w:hAnsi="宋体"/>
          <w:bCs/>
          <w:sz w:val="24"/>
        </w:rPr>
        <w:t>负责个人卫生知识的现场检查。</w:t>
      </w:r>
    </w:p>
    <w:p w14:paraId="4250F31E">
      <w:pPr>
        <w:spacing w:line="360" w:lineRule="auto"/>
        <w:ind w:firstLine="480" w:firstLineChars="200"/>
        <w:rPr>
          <w:rFonts w:ascii="宋体" w:hAnsi="宋体"/>
          <w:sz w:val="24"/>
        </w:rPr>
      </w:pPr>
      <w:r>
        <w:rPr>
          <w:rFonts w:ascii="宋体" w:hAnsi="宋体"/>
          <w:sz w:val="24"/>
        </w:rPr>
        <w:t>11.4</w:t>
      </w:r>
      <w:r>
        <w:rPr>
          <w:rFonts w:hint="eastAsia" w:ascii="宋体" w:hAnsi="宋体"/>
          <w:sz w:val="24"/>
        </w:rPr>
        <w:t>个人卫生</w:t>
      </w:r>
    </w:p>
    <w:p w14:paraId="03E7E93F">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.1应保持良好的个人卫生习惯：勤洗澡、勤换衣、勤理头发，不得留长指甲和涂指甲油。</w:t>
      </w:r>
    </w:p>
    <w:p w14:paraId="6A281FFE">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.2不得将与</w:t>
      </w:r>
      <w:r>
        <w:rPr>
          <w:rFonts w:hint="eastAsia" w:ascii="宋体" w:hAnsi="宋体"/>
          <w:bCs/>
          <w:sz w:val="24"/>
          <w:lang w:eastAsia="zh-CN"/>
        </w:rPr>
        <w:t>销售</w:t>
      </w:r>
      <w:r>
        <w:rPr>
          <w:rFonts w:hint="eastAsia" w:ascii="宋体" w:hAnsi="宋体"/>
          <w:bCs/>
          <w:sz w:val="24"/>
        </w:rPr>
        <w:t>无关的个人用品和饰物（如手表、戒指、手镯、耳环、项链等）带入</w:t>
      </w:r>
      <w:r>
        <w:rPr>
          <w:rFonts w:hint="eastAsia" w:ascii="宋体" w:hAnsi="宋体"/>
          <w:bCs/>
          <w:sz w:val="24"/>
          <w:lang w:eastAsia="zh-CN"/>
        </w:rPr>
        <w:t>仓库</w:t>
      </w:r>
      <w:r>
        <w:rPr>
          <w:rFonts w:hint="eastAsia" w:ascii="宋体" w:hAnsi="宋体"/>
          <w:bCs/>
          <w:sz w:val="24"/>
        </w:rPr>
        <w:t>。</w:t>
      </w:r>
    </w:p>
    <w:p w14:paraId="490D5E63">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.3进</w:t>
      </w:r>
      <w:r>
        <w:rPr>
          <w:rFonts w:hint="eastAsia" w:ascii="宋体" w:hAnsi="宋体"/>
          <w:bCs/>
          <w:sz w:val="24"/>
          <w:lang w:eastAsia="zh-CN"/>
        </w:rPr>
        <w:t>仓库</w:t>
      </w:r>
      <w:r>
        <w:rPr>
          <w:rFonts w:hint="eastAsia" w:ascii="宋体" w:hAnsi="宋体"/>
          <w:bCs/>
          <w:sz w:val="24"/>
        </w:rPr>
        <w:t>前不得化妆。</w:t>
      </w:r>
    </w:p>
    <w:p w14:paraId="41F62EE0">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.4人员进</w:t>
      </w:r>
      <w:r>
        <w:rPr>
          <w:rFonts w:hint="eastAsia" w:ascii="宋体" w:hAnsi="宋体"/>
          <w:bCs/>
          <w:sz w:val="24"/>
          <w:lang w:eastAsia="zh-CN"/>
        </w:rPr>
        <w:t>仓库</w:t>
      </w:r>
      <w:r>
        <w:rPr>
          <w:rFonts w:hint="eastAsia" w:ascii="宋体" w:hAnsi="宋体"/>
          <w:bCs/>
          <w:sz w:val="24"/>
        </w:rPr>
        <w:t>前按照不同工序穿戴好工作服、工作帽、工作靴。穿戴顺序：先戴内帽和工作帽、再穿工作服和工作靴。帽子要前后戴严，头发不外露。</w:t>
      </w:r>
    </w:p>
    <w:p w14:paraId="3D1DD2C8">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.5</w:t>
      </w:r>
      <w:r>
        <w:rPr>
          <w:rFonts w:hint="eastAsia" w:ascii="宋体" w:hAnsi="宋体"/>
          <w:bCs/>
          <w:sz w:val="24"/>
          <w:lang w:eastAsia="zh-CN"/>
        </w:rPr>
        <w:t>市场部</w:t>
      </w:r>
      <w:r>
        <w:rPr>
          <w:rFonts w:hint="eastAsia" w:ascii="宋体" w:hAnsi="宋体"/>
          <w:bCs/>
          <w:sz w:val="24"/>
        </w:rPr>
        <w:t>设备保养维修人员必须穿戴经过清洗消毒后的工作靴、专用工作服。</w:t>
      </w:r>
    </w:p>
    <w:p w14:paraId="53DE39CE">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.6在检查工作服、帽上无头发和杂物后，经洗手消毒和胶靴消毒后方可进入</w:t>
      </w:r>
      <w:r>
        <w:rPr>
          <w:rFonts w:hint="eastAsia" w:ascii="宋体" w:hAnsi="宋体"/>
          <w:bCs/>
          <w:sz w:val="24"/>
          <w:lang w:eastAsia="zh-CN"/>
        </w:rPr>
        <w:t>仓库</w:t>
      </w:r>
      <w:r>
        <w:rPr>
          <w:rFonts w:hint="eastAsia" w:ascii="宋体" w:hAnsi="宋体"/>
          <w:bCs/>
          <w:sz w:val="24"/>
        </w:rPr>
        <w:t>，人员不得在</w:t>
      </w:r>
      <w:r>
        <w:rPr>
          <w:rFonts w:hint="eastAsia" w:ascii="宋体" w:hAnsi="宋体"/>
          <w:bCs/>
          <w:sz w:val="24"/>
          <w:lang w:eastAsia="zh-CN"/>
        </w:rPr>
        <w:t>仓库</w:t>
      </w:r>
      <w:r>
        <w:rPr>
          <w:rFonts w:hint="eastAsia" w:ascii="宋体" w:hAnsi="宋体"/>
          <w:bCs/>
          <w:sz w:val="24"/>
        </w:rPr>
        <w:t>内吃东西、抽烟和涕吐。操作时不绕头、挖鼻孔、掏耳朵、剔牙，不准对着食品打喷嚏。</w:t>
      </w:r>
    </w:p>
    <w:p w14:paraId="6BEC8465">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.7人员离开</w:t>
      </w:r>
      <w:r>
        <w:rPr>
          <w:rFonts w:hint="eastAsia" w:ascii="宋体" w:hAnsi="宋体"/>
          <w:bCs/>
          <w:sz w:val="24"/>
          <w:lang w:eastAsia="zh-CN"/>
        </w:rPr>
        <w:t>仓库</w:t>
      </w:r>
      <w:r>
        <w:rPr>
          <w:rFonts w:hint="eastAsia" w:ascii="宋体" w:hAnsi="宋体"/>
          <w:bCs/>
          <w:sz w:val="24"/>
        </w:rPr>
        <w:t>时必须在更衣室脱下工作服、帽、靴，不准穿戴工作服、帽、靴进入厕所、浴室、食堂、宿舍等公共场所。</w:t>
      </w:r>
    </w:p>
    <w:p w14:paraId="1DE1B3EE">
      <w:pPr>
        <w:pStyle w:val="3"/>
        <w:spacing w:before="156" w:after="78"/>
        <w:ind w:firstLine="482" w:firstLineChars="200"/>
        <w:rPr>
          <w:rFonts w:ascii="宋体" w:hAnsi="宋体"/>
          <w:szCs w:val="24"/>
        </w:rPr>
      </w:pPr>
      <w:bookmarkStart w:id="33" w:name="_Toc106545487"/>
      <w:bookmarkStart w:id="34" w:name="_Toc121751595"/>
      <w:bookmarkStart w:id="35" w:name="_Toc106545837"/>
      <w:r>
        <w:rPr>
          <w:rFonts w:hint="eastAsia" w:ascii="宋体" w:hAnsi="宋体"/>
          <w:szCs w:val="24"/>
        </w:rPr>
        <w:t>工作服管理</w:t>
      </w:r>
      <w:bookmarkEnd w:id="33"/>
      <w:bookmarkEnd w:id="34"/>
      <w:bookmarkEnd w:id="35"/>
    </w:p>
    <w:p w14:paraId="329B85DE">
      <w:pPr>
        <w:spacing w:line="360" w:lineRule="auto"/>
        <w:ind w:firstLine="480" w:firstLineChars="200"/>
        <w:rPr>
          <w:rFonts w:ascii="宋体" w:hAnsi="宋体"/>
          <w:bCs/>
          <w:color w:val="auto"/>
          <w:sz w:val="24"/>
        </w:rPr>
      </w:pPr>
      <w:r>
        <w:rPr>
          <w:rFonts w:hint="eastAsia" w:ascii="宋体" w:hAnsi="宋体"/>
          <w:bCs/>
          <w:color w:val="auto"/>
          <w:sz w:val="24"/>
        </w:rPr>
        <w:t>1</w:t>
      </w:r>
      <w:r>
        <w:rPr>
          <w:rFonts w:ascii="宋体" w:hAnsi="宋体"/>
          <w:bCs/>
          <w:color w:val="auto"/>
          <w:sz w:val="24"/>
        </w:rPr>
        <w:t>2.1设置洗衣房统一对工作服进行清洗消毒</w:t>
      </w:r>
      <w:r>
        <w:rPr>
          <w:rFonts w:hint="eastAsia" w:ascii="宋体" w:hAnsi="宋体"/>
          <w:bCs/>
          <w:color w:val="auto"/>
          <w:sz w:val="24"/>
        </w:rPr>
        <w:t>。</w:t>
      </w:r>
    </w:p>
    <w:p w14:paraId="0949BDC4">
      <w:pPr>
        <w:spacing w:line="360" w:lineRule="auto"/>
        <w:ind w:firstLine="480" w:firstLineChars="200"/>
        <w:rPr>
          <w:rFonts w:ascii="宋体" w:hAnsi="宋体"/>
          <w:bCs/>
          <w:color w:val="auto"/>
          <w:sz w:val="24"/>
        </w:rPr>
      </w:pPr>
      <w:r>
        <w:rPr>
          <w:rFonts w:ascii="宋体" w:hAnsi="宋体"/>
          <w:bCs/>
          <w:color w:val="auto"/>
          <w:sz w:val="24"/>
        </w:rPr>
        <w:t>12.2</w:t>
      </w:r>
      <w:r>
        <w:rPr>
          <w:rFonts w:hint="eastAsia" w:ascii="宋体" w:hAnsi="宋体"/>
          <w:bCs/>
          <w:color w:val="auto"/>
          <w:sz w:val="24"/>
        </w:rPr>
        <w:t>洗衣标准：严格按照洗衣规程进行操作，确保清洗后的工作服干燥，整洁，卫生，无洗涤剂残留和异味。</w:t>
      </w:r>
    </w:p>
    <w:p w14:paraId="190762FC">
      <w:pPr>
        <w:spacing w:line="360" w:lineRule="auto"/>
        <w:ind w:firstLine="480" w:firstLineChars="200"/>
        <w:rPr>
          <w:rFonts w:ascii="宋体" w:hAnsi="宋体"/>
          <w:bCs/>
          <w:sz w:val="24"/>
        </w:rPr>
      </w:pPr>
      <w:r>
        <w:rPr>
          <w:rFonts w:ascii="宋体" w:hAnsi="宋体"/>
          <w:bCs/>
          <w:sz w:val="24"/>
        </w:rPr>
        <w:t>12.3</w:t>
      </w:r>
      <w:r>
        <w:rPr>
          <w:rFonts w:hint="eastAsia" w:ascii="宋体" w:hAnsi="宋体"/>
          <w:bCs/>
          <w:sz w:val="24"/>
        </w:rPr>
        <w:t>洗衣规程</w:t>
      </w:r>
    </w:p>
    <w:p w14:paraId="105F9561">
      <w:pPr>
        <w:spacing w:line="360" w:lineRule="auto"/>
        <w:ind w:firstLine="480" w:firstLineChars="200"/>
        <w:rPr>
          <w:rFonts w:ascii="宋体" w:hAnsi="宋体"/>
          <w:bCs/>
          <w:sz w:val="24"/>
        </w:rPr>
      </w:pPr>
      <w:r>
        <w:rPr>
          <w:rFonts w:ascii="宋体" w:hAnsi="宋体"/>
          <w:bCs/>
          <w:sz w:val="24"/>
        </w:rPr>
        <w:t>12.3</w:t>
      </w:r>
      <w:r>
        <w:rPr>
          <w:rFonts w:hint="eastAsia" w:ascii="宋体" w:hAnsi="宋体"/>
          <w:bCs/>
          <w:sz w:val="24"/>
        </w:rPr>
        <w:t>.1洁净区工装：</w:t>
      </w:r>
    </w:p>
    <w:p w14:paraId="12F493CE">
      <w:pPr>
        <w:pStyle w:val="19"/>
        <w:numPr>
          <w:ilvl w:val="0"/>
          <w:numId w:val="8"/>
        </w:numPr>
        <w:spacing w:line="360" w:lineRule="auto"/>
        <w:ind w:left="0" w:firstLine="480"/>
        <w:rPr>
          <w:rFonts w:ascii="宋体" w:hAnsi="宋体"/>
          <w:bCs/>
          <w:sz w:val="24"/>
        </w:rPr>
      </w:pPr>
      <w:r>
        <w:rPr>
          <w:rFonts w:hint="eastAsia" w:ascii="宋体" w:hAnsi="宋体"/>
          <w:bCs/>
          <w:sz w:val="24"/>
        </w:rPr>
        <w:t>清洁剂应选择无毒、无味、无残留配方。</w:t>
      </w:r>
    </w:p>
    <w:p w14:paraId="171FF017">
      <w:pPr>
        <w:pStyle w:val="3"/>
        <w:spacing w:before="156" w:after="78"/>
        <w:ind w:firstLine="482" w:firstLineChars="200"/>
        <w:rPr>
          <w:rFonts w:ascii="宋体" w:hAnsi="宋体"/>
          <w:szCs w:val="24"/>
        </w:rPr>
      </w:pPr>
      <w:bookmarkStart w:id="36" w:name="_Toc106545838"/>
      <w:bookmarkStart w:id="37" w:name="_Toc106545488"/>
      <w:bookmarkStart w:id="38" w:name="_Toc121751596"/>
      <w:r>
        <w:rPr>
          <w:rFonts w:hint="eastAsia" w:ascii="宋体" w:hAnsi="宋体"/>
          <w:szCs w:val="24"/>
        </w:rPr>
        <w:t>员工健康</w:t>
      </w:r>
      <w:bookmarkEnd w:id="36"/>
      <w:bookmarkEnd w:id="37"/>
      <w:bookmarkEnd w:id="38"/>
    </w:p>
    <w:p w14:paraId="5D9C8A7B">
      <w:pPr>
        <w:spacing w:line="360" w:lineRule="auto"/>
        <w:ind w:firstLine="480" w:firstLineChars="200"/>
        <w:rPr>
          <w:rFonts w:ascii="宋体" w:hAnsi="宋体"/>
          <w:sz w:val="24"/>
        </w:rPr>
      </w:pPr>
      <w:bookmarkStart w:id="39" w:name="OLE_LINK1"/>
      <w:r>
        <w:rPr>
          <w:rFonts w:hint="eastAsia" w:ascii="宋体" w:hAnsi="宋体"/>
          <w:sz w:val="24"/>
        </w:rPr>
        <w:t>13</w:t>
      </w:r>
      <w:r>
        <w:rPr>
          <w:rFonts w:ascii="宋体" w:hAnsi="宋体"/>
          <w:sz w:val="24"/>
        </w:rPr>
        <w:t>.1</w:t>
      </w:r>
      <w:r>
        <w:rPr>
          <w:rFonts w:hint="eastAsia" w:ascii="宋体" w:hAnsi="宋体"/>
          <w:bCs/>
          <w:sz w:val="24"/>
          <w:lang w:eastAsia="zh-CN"/>
        </w:rPr>
        <w:t>综合部</w:t>
      </w:r>
      <w:r>
        <w:rPr>
          <w:rFonts w:hint="eastAsia" w:ascii="宋体" w:hAnsi="宋体"/>
          <w:bCs/>
          <w:sz w:val="24"/>
        </w:rPr>
        <w:t>和</w:t>
      </w:r>
      <w:r>
        <w:rPr>
          <w:rFonts w:hint="eastAsia" w:ascii="宋体" w:hAnsi="宋体"/>
          <w:bCs/>
          <w:sz w:val="24"/>
          <w:lang w:eastAsia="zh-CN"/>
        </w:rPr>
        <w:t>市场部</w:t>
      </w:r>
      <w:r>
        <w:rPr>
          <w:rFonts w:hint="eastAsia" w:ascii="宋体" w:hAnsi="宋体"/>
          <w:bCs/>
          <w:sz w:val="24"/>
        </w:rPr>
        <w:t>负责组织人员的身体检查、健康档案的建立工作及人员个人卫生的检查工作。</w:t>
      </w:r>
    </w:p>
    <w:p w14:paraId="20502D93">
      <w:pPr>
        <w:spacing w:line="360" w:lineRule="auto"/>
        <w:ind w:firstLine="480" w:firstLineChars="200"/>
        <w:rPr>
          <w:rFonts w:ascii="宋体" w:hAnsi="宋体"/>
          <w:bCs/>
          <w:sz w:val="24"/>
        </w:rPr>
      </w:pPr>
      <w:r>
        <w:rPr>
          <w:rFonts w:hint="eastAsia" w:ascii="宋体" w:hAnsi="宋体"/>
          <w:sz w:val="24"/>
        </w:rPr>
        <w:t>13</w:t>
      </w:r>
      <w:r>
        <w:rPr>
          <w:rFonts w:ascii="宋体" w:hAnsi="宋体"/>
          <w:sz w:val="24"/>
        </w:rPr>
        <w:t>.2</w:t>
      </w:r>
      <w:r>
        <w:rPr>
          <w:rFonts w:hint="eastAsia" w:ascii="宋体" w:hAnsi="宋体"/>
          <w:bCs/>
          <w:sz w:val="24"/>
        </w:rPr>
        <w:t>进入</w:t>
      </w:r>
      <w:r>
        <w:rPr>
          <w:rFonts w:hint="eastAsia" w:ascii="宋体" w:hAnsi="宋体"/>
          <w:bCs/>
          <w:sz w:val="24"/>
          <w:lang w:eastAsia="zh-CN"/>
        </w:rPr>
        <w:t>仓库</w:t>
      </w:r>
      <w:r>
        <w:rPr>
          <w:rFonts w:hint="eastAsia" w:ascii="宋体" w:hAnsi="宋体"/>
          <w:bCs/>
          <w:sz w:val="24"/>
        </w:rPr>
        <w:t>的人员必须遵守正确行为规范。</w:t>
      </w:r>
    </w:p>
    <w:p w14:paraId="6D89D4B4">
      <w:pPr>
        <w:spacing w:line="360" w:lineRule="auto"/>
        <w:ind w:firstLine="480" w:firstLineChars="200"/>
        <w:rPr>
          <w:rFonts w:ascii="宋体" w:hAnsi="宋体"/>
          <w:sz w:val="24"/>
        </w:rPr>
      </w:pPr>
      <w:r>
        <w:rPr>
          <w:rFonts w:ascii="宋体" w:hAnsi="宋体"/>
          <w:sz w:val="24"/>
        </w:rPr>
        <w:t>13.3</w:t>
      </w:r>
      <w:r>
        <w:rPr>
          <w:rFonts w:hint="eastAsia" w:ascii="宋体" w:hAnsi="宋体"/>
          <w:sz w:val="24"/>
        </w:rPr>
        <w:t>健康检查</w:t>
      </w:r>
    </w:p>
    <w:p w14:paraId="43A01C9A">
      <w:pPr>
        <w:spacing w:line="360" w:lineRule="auto"/>
        <w:ind w:firstLine="480" w:firstLineChars="200"/>
        <w:rPr>
          <w:rFonts w:ascii="宋体" w:hAnsi="宋体"/>
          <w:bCs/>
          <w:sz w:val="24"/>
        </w:rPr>
      </w:pPr>
      <w:r>
        <w:rPr>
          <w:rFonts w:ascii="宋体" w:hAnsi="宋体"/>
          <w:sz w:val="24"/>
        </w:rPr>
        <w:t>13.3</w:t>
      </w:r>
      <w:r>
        <w:rPr>
          <w:rFonts w:hint="eastAsia" w:ascii="宋体" w:hAnsi="宋体"/>
          <w:bCs/>
          <w:sz w:val="24"/>
        </w:rPr>
        <w:t>.1所有在职员工每年至少进行一次身体检查，经</w:t>
      </w:r>
      <w:r>
        <w:rPr>
          <w:rFonts w:ascii="宋体" w:hAnsi="宋体"/>
          <w:bCs/>
          <w:sz w:val="24"/>
        </w:rPr>
        <w:t>体检合格，取得</w:t>
      </w:r>
      <w:r>
        <w:rPr>
          <w:rFonts w:hint="eastAsia" w:ascii="宋体" w:hAnsi="宋体"/>
          <w:bCs/>
          <w:sz w:val="24"/>
        </w:rPr>
        <w:t>健康证方可</w:t>
      </w:r>
      <w:r>
        <w:rPr>
          <w:rFonts w:ascii="宋体" w:hAnsi="宋体"/>
          <w:bCs/>
          <w:sz w:val="24"/>
        </w:rPr>
        <w:t>上岗。</w:t>
      </w:r>
    </w:p>
    <w:p w14:paraId="53DA10B3">
      <w:pPr>
        <w:spacing w:line="360" w:lineRule="auto"/>
        <w:ind w:firstLine="480" w:firstLineChars="200"/>
        <w:rPr>
          <w:rFonts w:ascii="宋体" w:hAnsi="宋体"/>
          <w:bCs/>
          <w:sz w:val="24"/>
        </w:rPr>
      </w:pPr>
      <w:r>
        <w:rPr>
          <w:rFonts w:ascii="宋体" w:hAnsi="宋体"/>
          <w:sz w:val="24"/>
        </w:rPr>
        <w:t>13.3</w:t>
      </w:r>
      <w:r>
        <w:rPr>
          <w:rFonts w:hint="eastAsia" w:ascii="宋体" w:hAnsi="宋体"/>
          <w:bCs/>
          <w:sz w:val="24"/>
        </w:rPr>
        <w:t>.2健康检查由</w:t>
      </w:r>
      <w:r>
        <w:rPr>
          <w:rFonts w:hint="eastAsia" w:ascii="宋体" w:hAnsi="宋体"/>
          <w:bCs/>
          <w:sz w:val="24"/>
          <w:lang w:eastAsia="zh-CN"/>
        </w:rPr>
        <w:t>综合部</w:t>
      </w:r>
      <w:r>
        <w:rPr>
          <w:rFonts w:hint="eastAsia" w:ascii="宋体" w:hAnsi="宋体"/>
          <w:bCs/>
          <w:sz w:val="24"/>
        </w:rPr>
        <w:t>组织，并建立《体检档案》。</w:t>
      </w:r>
    </w:p>
    <w:p w14:paraId="4CE1529C">
      <w:pPr>
        <w:spacing w:line="360" w:lineRule="auto"/>
        <w:ind w:firstLine="480" w:firstLineChars="200"/>
        <w:rPr>
          <w:rFonts w:ascii="宋体" w:hAnsi="宋体"/>
          <w:sz w:val="24"/>
        </w:rPr>
      </w:pPr>
      <w:r>
        <w:rPr>
          <w:rFonts w:ascii="宋体" w:hAnsi="宋体"/>
          <w:sz w:val="24"/>
        </w:rPr>
        <w:t>13.4</w:t>
      </w:r>
      <w:r>
        <w:rPr>
          <w:rFonts w:hint="eastAsia" w:ascii="宋体" w:hAnsi="宋体"/>
          <w:sz w:val="24"/>
        </w:rPr>
        <w:t>健康要求</w:t>
      </w:r>
    </w:p>
    <w:p w14:paraId="2C9FCBA8">
      <w:pPr>
        <w:spacing w:line="360" w:lineRule="auto"/>
        <w:ind w:firstLine="480" w:firstLineChars="200"/>
        <w:rPr>
          <w:rFonts w:ascii="宋体" w:hAnsi="宋体"/>
          <w:bCs/>
          <w:sz w:val="24"/>
        </w:rPr>
      </w:pPr>
      <w:r>
        <w:rPr>
          <w:rFonts w:ascii="宋体" w:hAnsi="宋体"/>
          <w:sz w:val="24"/>
        </w:rPr>
        <w:t>13.4</w:t>
      </w:r>
      <w:r>
        <w:rPr>
          <w:rFonts w:hint="eastAsia" w:ascii="宋体" w:hAnsi="宋体"/>
          <w:bCs/>
          <w:sz w:val="24"/>
        </w:rPr>
        <w:t>.1对患有下列病症之一者，不得从事接触食品的工作。</w:t>
      </w:r>
    </w:p>
    <w:p w14:paraId="50F3C3DC">
      <w:pPr>
        <w:numPr>
          <w:ilvl w:val="0"/>
          <w:numId w:val="9"/>
        </w:numPr>
        <w:spacing w:line="360" w:lineRule="auto"/>
        <w:ind w:left="0" w:firstLine="480" w:firstLineChars="200"/>
        <w:rPr>
          <w:rFonts w:ascii="宋体" w:hAnsi="宋体"/>
          <w:bCs/>
          <w:sz w:val="24"/>
        </w:rPr>
      </w:pPr>
      <w:r>
        <w:rPr>
          <w:rFonts w:hint="eastAsia" w:ascii="宋体" w:hAnsi="宋体"/>
          <w:bCs/>
          <w:sz w:val="24"/>
        </w:rPr>
        <w:t>痢疾、伤寒、病毒性肝炎、黄疸等消化道传染病（包括病原携带者）；</w:t>
      </w:r>
    </w:p>
    <w:p w14:paraId="1A46AA71">
      <w:pPr>
        <w:numPr>
          <w:ilvl w:val="0"/>
          <w:numId w:val="9"/>
        </w:numPr>
        <w:spacing w:line="360" w:lineRule="auto"/>
        <w:ind w:left="0" w:firstLine="480" w:firstLineChars="200"/>
        <w:rPr>
          <w:rFonts w:ascii="宋体" w:hAnsi="宋体"/>
          <w:bCs/>
          <w:sz w:val="24"/>
        </w:rPr>
      </w:pPr>
      <w:r>
        <w:rPr>
          <w:rFonts w:hint="eastAsia" w:ascii="宋体" w:hAnsi="宋体"/>
          <w:bCs/>
          <w:sz w:val="24"/>
        </w:rPr>
        <w:t>活动性肺结核、上呼吸道感染；</w:t>
      </w:r>
    </w:p>
    <w:p w14:paraId="2833B81E">
      <w:pPr>
        <w:numPr>
          <w:ilvl w:val="0"/>
          <w:numId w:val="9"/>
        </w:numPr>
        <w:spacing w:line="360" w:lineRule="auto"/>
        <w:ind w:left="0" w:firstLine="480" w:firstLineChars="200"/>
        <w:rPr>
          <w:rFonts w:ascii="宋体" w:hAnsi="宋体"/>
          <w:bCs/>
          <w:sz w:val="24"/>
        </w:rPr>
      </w:pPr>
      <w:r>
        <w:rPr>
          <w:rFonts w:hint="eastAsia" w:ascii="宋体" w:hAnsi="宋体"/>
          <w:bCs/>
          <w:sz w:val="24"/>
        </w:rPr>
        <w:t>化脓性或渗出性皮肤病；</w:t>
      </w:r>
    </w:p>
    <w:p w14:paraId="48584FBE">
      <w:pPr>
        <w:numPr>
          <w:ilvl w:val="0"/>
          <w:numId w:val="9"/>
        </w:numPr>
        <w:spacing w:line="360" w:lineRule="auto"/>
        <w:ind w:left="0" w:firstLine="480" w:firstLineChars="200"/>
        <w:rPr>
          <w:rFonts w:ascii="宋体" w:hAnsi="宋体"/>
          <w:bCs/>
          <w:sz w:val="24"/>
        </w:rPr>
      </w:pPr>
      <w:r>
        <w:rPr>
          <w:rFonts w:hint="eastAsia" w:ascii="宋体" w:hAnsi="宋体"/>
          <w:bCs/>
          <w:sz w:val="24"/>
        </w:rPr>
        <w:t>发烧、呕吐、感冒及其它有碍食品卫生的疾病。</w:t>
      </w:r>
    </w:p>
    <w:p w14:paraId="2D6A7EB2">
      <w:pPr>
        <w:spacing w:line="360" w:lineRule="auto"/>
        <w:ind w:firstLine="480" w:firstLineChars="200"/>
        <w:rPr>
          <w:rFonts w:ascii="宋体" w:hAnsi="宋体"/>
          <w:bCs/>
          <w:sz w:val="24"/>
        </w:rPr>
      </w:pPr>
      <w:r>
        <w:rPr>
          <w:rFonts w:hint="eastAsia" w:ascii="宋体" w:hAnsi="宋体"/>
          <w:bCs/>
          <w:sz w:val="24"/>
        </w:rPr>
        <w:t>4.3.2员工在工作期间发现有上述疾病必须及时治疗，传染性疾病需隔离。康复后如需恢复原岗位工作的必须经过原健康检查的部门重新检查合格后方可从事原工作。</w:t>
      </w:r>
    </w:p>
    <w:p w14:paraId="6FB42DCC">
      <w:pPr>
        <w:spacing w:line="360" w:lineRule="auto"/>
        <w:ind w:firstLine="480" w:firstLineChars="200"/>
        <w:rPr>
          <w:rFonts w:ascii="宋体" w:hAnsi="宋体"/>
          <w:sz w:val="24"/>
        </w:rPr>
      </w:pPr>
      <w:r>
        <w:rPr>
          <w:rFonts w:ascii="宋体" w:hAnsi="宋体"/>
          <w:sz w:val="24"/>
        </w:rPr>
        <w:t>13.4</w:t>
      </w:r>
      <w:r>
        <w:rPr>
          <w:rFonts w:hint="eastAsia" w:ascii="宋体" w:hAnsi="宋体"/>
          <w:sz w:val="24"/>
        </w:rPr>
        <w:t>受伤处理</w:t>
      </w:r>
    </w:p>
    <w:p w14:paraId="38C99567">
      <w:pPr>
        <w:spacing w:line="360" w:lineRule="auto"/>
        <w:ind w:firstLine="480" w:firstLineChars="200"/>
        <w:rPr>
          <w:rFonts w:ascii="宋体" w:hAnsi="宋体" w:cs="宋体"/>
          <w:b/>
          <w:bCs/>
          <w:sz w:val="24"/>
        </w:rPr>
      </w:pPr>
      <w:r>
        <w:rPr>
          <w:rFonts w:hint="eastAsia" w:ascii="宋体" w:hAnsi="宋体"/>
          <w:bCs/>
          <w:sz w:val="24"/>
        </w:rPr>
        <w:t>凡外伤的人员，应立即采取妥善措施包扎防护，且戴一次性手套，否则不得从事接触食品的工作。</w:t>
      </w:r>
    </w:p>
    <w:bookmarkEnd w:id="39"/>
    <w:p w14:paraId="00CEE252">
      <w:pPr>
        <w:pStyle w:val="3"/>
        <w:spacing w:before="156" w:after="78"/>
        <w:ind w:firstLine="482" w:firstLineChars="200"/>
        <w:rPr>
          <w:rFonts w:ascii="宋体" w:hAnsi="宋体"/>
          <w:szCs w:val="24"/>
        </w:rPr>
      </w:pPr>
      <w:bookmarkStart w:id="40" w:name="_Toc106545489"/>
      <w:bookmarkStart w:id="41" w:name="_Toc121751597"/>
      <w:bookmarkStart w:id="42" w:name="_Toc106545839"/>
      <w:r>
        <w:rPr>
          <w:rFonts w:hint="eastAsia" w:ascii="宋体" w:hAnsi="宋体"/>
          <w:szCs w:val="24"/>
        </w:rPr>
        <w:t>场所巡检</w:t>
      </w:r>
      <w:bookmarkEnd w:id="40"/>
      <w:bookmarkEnd w:id="41"/>
      <w:bookmarkEnd w:id="42"/>
    </w:p>
    <w:p w14:paraId="49CE01A0">
      <w:pPr>
        <w:spacing w:line="360" w:lineRule="auto"/>
        <w:ind w:firstLine="480" w:firstLineChars="200"/>
        <w:rPr>
          <w:rFonts w:ascii="宋体" w:hAnsi="宋体"/>
          <w:bCs/>
          <w:sz w:val="24"/>
        </w:rPr>
      </w:pPr>
      <w:r>
        <w:rPr>
          <w:rFonts w:ascii="宋体" w:hAnsi="宋体"/>
          <w:bCs/>
          <w:sz w:val="24"/>
        </w:rPr>
        <w:t>14.1</w:t>
      </w:r>
      <w:r>
        <w:rPr>
          <w:rFonts w:hint="eastAsia" w:ascii="宋体" w:hAnsi="宋体"/>
          <w:bCs/>
          <w:sz w:val="24"/>
          <w:lang w:eastAsia="zh-CN"/>
        </w:rPr>
        <w:t>市场部</w:t>
      </w:r>
      <w:r>
        <w:rPr>
          <w:rFonts w:hint="eastAsia" w:ascii="宋体" w:hAnsi="宋体"/>
          <w:bCs/>
          <w:sz w:val="24"/>
        </w:rPr>
        <w:t>负责各个</w:t>
      </w:r>
      <w:r>
        <w:rPr>
          <w:rFonts w:hint="eastAsia" w:ascii="宋体" w:hAnsi="宋体"/>
          <w:bCs/>
          <w:sz w:val="24"/>
          <w:lang w:eastAsia="zh-CN"/>
        </w:rPr>
        <w:t>销售</w:t>
      </w:r>
      <w:r>
        <w:rPr>
          <w:rFonts w:hint="eastAsia" w:ascii="宋体" w:hAnsi="宋体"/>
          <w:bCs/>
          <w:sz w:val="24"/>
        </w:rPr>
        <w:t>场所和</w:t>
      </w:r>
      <w:r>
        <w:rPr>
          <w:rFonts w:hint="eastAsia" w:ascii="宋体" w:hAnsi="宋体"/>
          <w:bCs/>
          <w:sz w:val="24"/>
          <w:lang w:eastAsia="zh-CN"/>
        </w:rPr>
        <w:t>销售</w:t>
      </w:r>
      <w:r>
        <w:rPr>
          <w:rFonts w:hint="eastAsia" w:ascii="宋体" w:hAnsi="宋体"/>
          <w:bCs/>
          <w:sz w:val="24"/>
        </w:rPr>
        <w:t>过程巡检工作。</w:t>
      </w:r>
    </w:p>
    <w:p w14:paraId="26BEA103">
      <w:pPr>
        <w:spacing w:line="360" w:lineRule="auto"/>
        <w:ind w:firstLine="480" w:firstLineChars="200"/>
        <w:rPr>
          <w:rFonts w:ascii="宋体" w:hAnsi="宋体"/>
          <w:bCs/>
          <w:sz w:val="24"/>
        </w:rPr>
      </w:pPr>
      <w:r>
        <w:rPr>
          <w:rFonts w:ascii="宋体" w:hAnsi="宋体"/>
          <w:bCs/>
          <w:sz w:val="24"/>
        </w:rPr>
        <w:t>14.2</w:t>
      </w:r>
      <w:r>
        <w:rPr>
          <w:rFonts w:hint="eastAsia" w:ascii="宋体" w:hAnsi="宋体"/>
          <w:bCs/>
          <w:sz w:val="24"/>
          <w:lang w:val="en-US" w:eastAsia="zh-CN"/>
        </w:rPr>
        <w:t>销售</w:t>
      </w:r>
      <w:r>
        <w:rPr>
          <w:rFonts w:hint="eastAsia" w:ascii="宋体" w:hAnsi="宋体"/>
          <w:bCs/>
          <w:sz w:val="24"/>
        </w:rPr>
        <w:t>人员依照《作业指导书》操作，无检验要求的需进行自检，有检验要求的工序必须要求检验员检验及确认后方可进行下步工作。</w:t>
      </w:r>
    </w:p>
    <w:p w14:paraId="35858C42">
      <w:pPr>
        <w:spacing w:line="360" w:lineRule="auto"/>
        <w:ind w:firstLine="480" w:firstLineChars="200"/>
        <w:rPr>
          <w:rFonts w:ascii="宋体" w:hAnsi="宋体"/>
          <w:bCs/>
          <w:sz w:val="24"/>
        </w:rPr>
      </w:pPr>
      <w:r>
        <w:rPr>
          <w:rFonts w:ascii="宋体" w:hAnsi="宋体"/>
          <w:bCs/>
          <w:sz w:val="24"/>
        </w:rPr>
        <w:t>14.3</w:t>
      </w:r>
      <w:r>
        <w:rPr>
          <w:rFonts w:hint="eastAsia" w:ascii="宋体" w:hAnsi="宋体"/>
          <w:bCs/>
          <w:sz w:val="24"/>
          <w:lang w:eastAsia="zh-CN"/>
        </w:rPr>
        <w:t>销售</w:t>
      </w:r>
      <w:r>
        <w:rPr>
          <w:rFonts w:hint="eastAsia" w:ascii="宋体" w:hAnsi="宋体"/>
          <w:bCs/>
          <w:sz w:val="24"/>
        </w:rPr>
        <w:t>主管负责检核产线</w:t>
      </w:r>
      <w:r>
        <w:rPr>
          <w:rFonts w:hint="eastAsia" w:ascii="宋体" w:hAnsi="宋体"/>
          <w:bCs/>
          <w:sz w:val="24"/>
          <w:lang w:eastAsia="zh-CN"/>
        </w:rPr>
        <w:t>销售</w:t>
      </w:r>
      <w:r>
        <w:rPr>
          <w:rFonts w:hint="eastAsia" w:ascii="宋体" w:hAnsi="宋体"/>
          <w:bCs/>
          <w:sz w:val="24"/>
        </w:rPr>
        <w:t>前的工艺文件齐备及安全防护等基本操作。</w:t>
      </w:r>
    </w:p>
    <w:p w14:paraId="490D4C29">
      <w:pPr>
        <w:pStyle w:val="3"/>
        <w:spacing w:before="156" w:after="78"/>
        <w:ind w:firstLine="482" w:firstLineChars="200"/>
        <w:rPr>
          <w:rFonts w:ascii="宋体" w:hAnsi="宋体"/>
          <w:szCs w:val="24"/>
        </w:rPr>
      </w:pPr>
      <w:r>
        <w:rPr>
          <w:rFonts w:hint="eastAsia" w:ascii="宋体" w:hAnsi="宋体"/>
          <w:szCs w:val="24"/>
          <w:lang w:eastAsia="zh-CN"/>
        </w:rPr>
        <w:t>返厂</w:t>
      </w:r>
    </w:p>
    <w:p w14:paraId="6894485E">
      <w:pPr>
        <w:spacing w:line="360" w:lineRule="auto"/>
        <w:ind w:firstLine="480" w:firstLineChars="200"/>
        <w:rPr>
          <w:rFonts w:ascii="宋体" w:hAnsi="宋体"/>
          <w:bCs/>
          <w:sz w:val="24"/>
        </w:rPr>
      </w:pPr>
      <w:r>
        <w:rPr>
          <w:rFonts w:ascii="宋体" w:hAnsi="宋体"/>
          <w:bCs/>
          <w:sz w:val="24"/>
        </w:rPr>
        <w:t>15.1</w:t>
      </w:r>
      <w:r>
        <w:rPr>
          <w:rFonts w:hint="eastAsia" w:ascii="宋体" w:hAnsi="宋体"/>
          <w:bCs/>
          <w:sz w:val="24"/>
          <w:lang w:eastAsia="zh-CN"/>
        </w:rPr>
        <w:t>市场部</w:t>
      </w:r>
      <w:r>
        <w:rPr>
          <w:rFonts w:hint="eastAsia" w:ascii="宋体" w:hAnsi="宋体"/>
          <w:bCs/>
          <w:sz w:val="24"/>
        </w:rPr>
        <w:t>负责</w:t>
      </w:r>
      <w:r>
        <w:rPr>
          <w:rFonts w:hint="eastAsia" w:ascii="宋体" w:hAnsi="宋体"/>
          <w:bCs/>
          <w:sz w:val="24"/>
          <w:lang w:eastAsia="zh-CN"/>
        </w:rPr>
        <w:t>返厂</w:t>
      </w:r>
      <w:r>
        <w:rPr>
          <w:rFonts w:hint="eastAsia" w:ascii="宋体" w:hAnsi="宋体"/>
          <w:bCs/>
          <w:sz w:val="24"/>
        </w:rPr>
        <w:t>品的控制，</w:t>
      </w:r>
      <w:r>
        <w:rPr>
          <w:rFonts w:hint="eastAsia" w:ascii="宋体" w:hAnsi="宋体"/>
          <w:bCs/>
          <w:sz w:val="24"/>
          <w:lang w:eastAsia="zh-CN"/>
        </w:rPr>
        <w:t>市场部</w:t>
      </w:r>
      <w:r>
        <w:rPr>
          <w:rFonts w:hint="eastAsia" w:ascii="宋体" w:hAnsi="宋体"/>
          <w:bCs/>
          <w:sz w:val="24"/>
        </w:rPr>
        <w:t>对</w:t>
      </w:r>
      <w:r>
        <w:rPr>
          <w:rFonts w:hint="eastAsia" w:ascii="宋体" w:hAnsi="宋体"/>
          <w:bCs/>
          <w:sz w:val="24"/>
          <w:lang w:eastAsia="zh-CN"/>
        </w:rPr>
        <w:t>返厂</w:t>
      </w:r>
      <w:r>
        <w:rPr>
          <w:rFonts w:hint="eastAsia" w:ascii="宋体" w:hAnsi="宋体"/>
          <w:bCs/>
          <w:sz w:val="24"/>
        </w:rPr>
        <w:t>产品采取纠正和预防措施。</w:t>
      </w:r>
    </w:p>
    <w:p w14:paraId="68518EC4">
      <w:pPr>
        <w:spacing w:line="360" w:lineRule="auto"/>
        <w:ind w:firstLine="480" w:firstLineChars="200"/>
        <w:rPr>
          <w:rFonts w:ascii="宋体" w:hAnsi="宋体"/>
          <w:bCs/>
          <w:sz w:val="24"/>
        </w:rPr>
      </w:pPr>
      <w:r>
        <w:rPr>
          <w:rFonts w:ascii="宋体" w:hAnsi="宋体"/>
          <w:bCs/>
          <w:sz w:val="24"/>
        </w:rPr>
        <w:t>15.2</w:t>
      </w:r>
      <w:r>
        <w:rPr>
          <w:rFonts w:hint="eastAsia" w:ascii="宋体" w:hAnsi="宋体"/>
          <w:bCs/>
          <w:sz w:val="24"/>
        </w:rPr>
        <w:t>不合格品的分类要求。</w:t>
      </w:r>
    </w:p>
    <w:p w14:paraId="05D082D4">
      <w:pPr>
        <w:pStyle w:val="19"/>
        <w:numPr>
          <w:ilvl w:val="0"/>
          <w:numId w:val="10"/>
        </w:numPr>
        <w:spacing w:line="360" w:lineRule="auto"/>
        <w:ind w:left="0" w:firstLine="480"/>
        <w:rPr>
          <w:rFonts w:ascii="宋体" w:hAnsi="宋体"/>
          <w:bCs/>
          <w:sz w:val="24"/>
        </w:rPr>
      </w:pPr>
      <w:r>
        <w:rPr>
          <w:rFonts w:hint="eastAsia" w:ascii="宋体" w:hAnsi="宋体"/>
          <w:bCs/>
          <w:sz w:val="24"/>
        </w:rPr>
        <w:t>A类别：具有食品安全风险，</w:t>
      </w:r>
      <w:r>
        <w:rPr>
          <w:rFonts w:hint="eastAsia" w:ascii="宋体" w:hAnsi="宋体"/>
          <w:bCs/>
          <w:sz w:val="24"/>
          <w:lang w:eastAsia="zh-CN"/>
        </w:rPr>
        <w:t>产品</w:t>
      </w:r>
      <w:r>
        <w:rPr>
          <w:rFonts w:hint="eastAsia" w:ascii="宋体" w:hAnsi="宋体"/>
          <w:bCs/>
          <w:sz w:val="24"/>
        </w:rPr>
        <w:t>不合格引入非法添加、污染物超标、过敏原风险等，不允许</w:t>
      </w:r>
      <w:r>
        <w:rPr>
          <w:rFonts w:hint="eastAsia" w:ascii="宋体" w:hAnsi="宋体"/>
          <w:bCs/>
          <w:sz w:val="24"/>
          <w:lang w:eastAsia="zh-CN"/>
        </w:rPr>
        <w:t>返厂</w:t>
      </w:r>
      <w:r>
        <w:rPr>
          <w:rFonts w:hint="eastAsia" w:ascii="宋体" w:hAnsi="宋体"/>
          <w:bCs/>
          <w:sz w:val="24"/>
        </w:rPr>
        <w:t>，必须报废处理。</w:t>
      </w:r>
    </w:p>
    <w:p w14:paraId="0FC250D0">
      <w:pPr>
        <w:pStyle w:val="19"/>
        <w:numPr>
          <w:ilvl w:val="0"/>
          <w:numId w:val="10"/>
        </w:numPr>
        <w:spacing w:line="360" w:lineRule="auto"/>
        <w:ind w:left="0" w:firstLine="480"/>
        <w:rPr>
          <w:rFonts w:ascii="宋体" w:hAnsi="宋体"/>
          <w:bCs/>
          <w:sz w:val="24"/>
        </w:rPr>
      </w:pPr>
      <w:r>
        <w:rPr>
          <w:rFonts w:hint="eastAsia" w:ascii="宋体" w:hAnsi="宋体"/>
          <w:bCs/>
          <w:sz w:val="24"/>
        </w:rPr>
        <w:t>B类别：</w:t>
      </w:r>
      <w:r>
        <w:rPr>
          <w:rFonts w:hint="eastAsia" w:ascii="宋体" w:hAnsi="宋体"/>
          <w:bCs/>
          <w:sz w:val="24"/>
          <w:lang w:eastAsia="zh-CN"/>
        </w:rPr>
        <w:t>销售</w:t>
      </w:r>
      <w:r>
        <w:rPr>
          <w:rFonts w:hint="eastAsia" w:ascii="宋体" w:hAnsi="宋体"/>
          <w:bCs/>
          <w:sz w:val="24"/>
        </w:rPr>
        <w:t>过程，由于配料或其他操作过程，引入恶性杂质、或配方含量不足以达到产品标准，不允许</w:t>
      </w:r>
      <w:r>
        <w:rPr>
          <w:rFonts w:hint="eastAsia" w:ascii="宋体" w:hAnsi="宋体"/>
          <w:bCs/>
          <w:sz w:val="24"/>
          <w:lang w:eastAsia="zh-CN"/>
        </w:rPr>
        <w:t>返厂</w:t>
      </w:r>
      <w:r>
        <w:rPr>
          <w:rFonts w:hint="eastAsia" w:ascii="宋体" w:hAnsi="宋体"/>
          <w:bCs/>
          <w:sz w:val="24"/>
        </w:rPr>
        <w:t>，必须报废处理。</w:t>
      </w:r>
    </w:p>
    <w:p w14:paraId="6D74D8FC">
      <w:pPr>
        <w:pStyle w:val="19"/>
        <w:numPr>
          <w:ilvl w:val="0"/>
          <w:numId w:val="10"/>
        </w:numPr>
        <w:spacing w:line="360" w:lineRule="auto"/>
        <w:ind w:left="0" w:firstLine="480"/>
        <w:rPr>
          <w:rFonts w:ascii="宋体" w:hAnsi="宋体"/>
          <w:bCs/>
          <w:sz w:val="24"/>
        </w:rPr>
      </w:pPr>
      <w:r>
        <w:rPr>
          <w:rFonts w:hint="eastAsia" w:ascii="宋体" w:hAnsi="宋体"/>
          <w:bCs/>
          <w:sz w:val="24"/>
        </w:rPr>
        <w:t>C类别：由于</w:t>
      </w:r>
      <w:r>
        <w:rPr>
          <w:rFonts w:hint="eastAsia" w:ascii="宋体" w:hAnsi="宋体"/>
          <w:bCs/>
          <w:sz w:val="24"/>
          <w:lang w:val="en-US" w:eastAsia="zh-CN"/>
        </w:rPr>
        <w:t>销售</w:t>
      </w:r>
      <w:r>
        <w:rPr>
          <w:rFonts w:hint="eastAsia" w:ascii="宋体" w:hAnsi="宋体"/>
          <w:bCs/>
          <w:sz w:val="24"/>
        </w:rPr>
        <w:t>过程，断水、断电或其他问题引起</w:t>
      </w:r>
      <w:r>
        <w:rPr>
          <w:rFonts w:hint="eastAsia" w:ascii="宋体" w:hAnsi="宋体"/>
          <w:bCs/>
          <w:sz w:val="24"/>
          <w:lang w:eastAsia="zh-CN"/>
        </w:rPr>
        <w:t>销售</w:t>
      </w:r>
      <w:r>
        <w:rPr>
          <w:rFonts w:hint="eastAsia" w:ascii="宋体" w:hAnsi="宋体"/>
          <w:bCs/>
          <w:sz w:val="24"/>
        </w:rPr>
        <w:t>或灭菌程序中断等情况，恢复</w:t>
      </w:r>
      <w:r>
        <w:rPr>
          <w:rFonts w:hint="eastAsia" w:ascii="宋体" w:hAnsi="宋体"/>
          <w:bCs/>
          <w:sz w:val="24"/>
          <w:lang w:eastAsia="zh-CN"/>
        </w:rPr>
        <w:t>销售</w:t>
      </w:r>
      <w:r>
        <w:rPr>
          <w:rFonts w:hint="eastAsia" w:ascii="宋体" w:hAnsi="宋体"/>
          <w:bCs/>
          <w:sz w:val="24"/>
        </w:rPr>
        <w:t>条件后，进行</w:t>
      </w:r>
      <w:r>
        <w:rPr>
          <w:rFonts w:hint="eastAsia" w:ascii="宋体" w:hAnsi="宋体"/>
          <w:bCs/>
          <w:sz w:val="24"/>
          <w:lang w:eastAsia="zh-CN"/>
        </w:rPr>
        <w:t>返厂</w:t>
      </w:r>
      <w:r>
        <w:rPr>
          <w:rFonts w:hint="eastAsia" w:ascii="宋体" w:hAnsi="宋体"/>
          <w:bCs/>
          <w:sz w:val="24"/>
        </w:rPr>
        <w:t>处理，中间体及成品检测均合格时，允许放行。</w:t>
      </w:r>
    </w:p>
    <w:p w14:paraId="789CE8F6">
      <w:pPr>
        <w:pStyle w:val="19"/>
        <w:numPr>
          <w:ilvl w:val="0"/>
          <w:numId w:val="10"/>
        </w:numPr>
        <w:spacing w:line="360" w:lineRule="auto"/>
        <w:ind w:left="0" w:firstLine="480"/>
        <w:rPr>
          <w:rFonts w:ascii="宋体" w:hAnsi="宋体"/>
          <w:bCs/>
          <w:sz w:val="24"/>
        </w:rPr>
      </w:pPr>
      <w:r>
        <w:rPr>
          <w:rFonts w:ascii="宋体" w:hAnsi="宋体"/>
          <w:bCs/>
          <w:sz w:val="24"/>
        </w:rPr>
        <w:t>D</w:t>
      </w:r>
      <w:r>
        <w:rPr>
          <w:rFonts w:hint="eastAsia" w:ascii="宋体" w:hAnsi="宋体"/>
          <w:bCs/>
          <w:sz w:val="24"/>
        </w:rPr>
        <w:t>类别：外包装污染或标签说明书印刷错误；产品运输中，由于物流损坏外包材、内包材完好；不涉及食品安全风险，允许</w:t>
      </w:r>
      <w:r>
        <w:rPr>
          <w:rFonts w:hint="eastAsia" w:ascii="宋体" w:hAnsi="宋体"/>
          <w:bCs/>
          <w:sz w:val="24"/>
          <w:lang w:eastAsia="zh-CN"/>
        </w:rPr>
        <w:t>返厂</w:t>
      </w:r>
      <w:r>
        <w:rPr>
          <w:rFonts w:hint="eastAsia" w:ascii="宋体" w:hAnsi="宋体"/>
          <w:bCs/>
          <w:sz w:val="24"/>
        </w:rPr>
        <w:t>。</w:t>
      </w:r>
    </w:p>
    <w:p w14:paraId="67C4B6A3">
      <w:pPr>
        <w:spacing w:line="360" w:lineRule="auto"/>
        <w:ind w:firstLine="480" w:firstLineChars="200"/>
        <w:rPr>
          <w:rFonts w:ascii="宋体" w:hAnsi="宋体"/>
          <w:bCs/>
          <w:sz w:val="24"/>
        </w:rPr>
      </w:pPr>
      <w:r>
        <w:rPr>
          <w:rFonts w:ascii="宋体" w:hAnsi="宋体"/>
          <w:bCs/>
          <w:sz w:val="24"/>
        </w:rPr>
        <w:t>15.3</w:t>
      </w:r>
      <w:r>
        <w:rPr>
          <w:rFonts w:hint="eastAsia" w:ascii="宋体" w:hAnsi="宋体"/>
          <w:bCs/>
          <w:sz w:val="24"/>
        </w:rPr>
        <w:t>对于农残检测结果超出国家标准的产品，拒收该批原料；要求供应商提供符合国家标准的产品，达不到要求的考虑更换供应商。</w:t>
      </w:r>
    </w:p>
    <w:p w14:paraId="1C0E4784">
      <w:pPr>
        <w:spacing w:line="360" w:lineRule="auto"/>
        <w:ind w:firstLine="480" w:firstLineChars="200"/>
        <w:rPr>
          <w:rFonts w:ascii="宋体" w:hAnsi="宋体"/>
          <w:bCs/>
          <w:sz w:val="24"/>
        </w:rPr>
      </w:pPr>
      <w:r>
        <w:rPr>
          <w:rFonts w:ascii="宋体" w:hAnsi="宋体"/>
          <w:bCs/>
          <w:sz w:val="24"/>
        </w:rPr>
        <w:t>15.4</w:t>
      </w:r>
      <w:r>
        <w:rPr>
          <w:rFonts w:hint="eastAsia" w:ascii="宋体" w:hAnsi="宋体"/>
          <w:bCs/>
          <w:sz w:val="24"/>
          <w:lang w:eastAsia="zh-CN"/>
        </w:rPr>
        <w:t>返厂</w:t>
      </w:r>
      <w:r>
        <w:rPr>
          <w:rFonts w:hint="eastAsia" w:ascii="宋体" w:hAnsi="宋体"/>
          <w:bCs/>
          <w:sz w:val="24"/>
        </w:rPr>
        <w:t>流程</w:t>
      </w:r>
    </w:p>
    <w:p w14:paraId="577F480B">
      <w:pPr>
        <w:spacing w:line="360" w:lineRule="auto"/>
        <w:ind w:firstLine="480" w:firstLineChars="200"/>
        <w:rPr>
          <w:rFonts w:ascii="宋体" w:hAnsi="宋体"/>
          <w:bCs/>
          <w:sz w:val="24"/>
        </w:rPr>
      </w:pPr>
      <w:r>
        <w:rPr>
          <w:rFonts w:ascii="宋体" w:hAnsi="宋体"/>
          <w:bCs/>
          <w:sz w:val="24"/>
        </w:rPr>
        <w:t>15.4.</w:t>
      </w:r>
      <w:r>
        <w:rPr>
          <w:rFonts w:hint="eastAsia" w:ascii="宋体" w:hAnsi="宋体"/>
          <w:bCs/>
          <w:sz w:val="24"/>
        </w:rPr>
        <w:t>1由</w:t>
      </w:r>
      <w:r>
        <w:rPr>
          <w:rFonts w:hint="eastAsia" w:ascii="宋体" w:hAnsi="宋体"/>
          <w:bCs/>
          <w:sz w:val="24"/>
          <w:lang w:eastAsia="zh-CN"/>
        </w:rPr>
        <w:t>市场部</w:t>
      </w:r>
      <w:r>
        <w:rPr>
          <w:rFonts w:hint="eastAsia" w:ascii="宋体" w:hAnsi="宋体"/>
          <w:bCs/>
          <w:sz w:val="24"/>
        </w:rPr>
        <w:t>和仓库同时确认不合格品的分类及数量。</w:t>
      </w:r>
    </w:p>
    <w:p w14:paraId="7B44F351">
      <w:pPr>
        <w:spacing w:line="360" w:lineRule="auto"/>
        <w:ind w:firstLine="480" w:firstLineChars="200"/>
        <w:rPr>
          <w:rFonts w:ascii="宋体" w:hAnsi="宋体"/>
          <w:bCs/>
          <w:sz w:val="24"/>
        </w:rPr>
      </w:pPr>
      <w:r>
        <w:rPr>
          <w:rFonts w:ascii="宋体" w:hAnsi="宋体"/>
          <w:bCs/>
          <w:sz w:val="24"/>
        </w:rPr>
        <w:t>15.4.2</w:t>
      </w:r>
      <w:r>
        <w:rPr>
          <w:rFonts w:hint="eastAsia" w:ascii="宋体" w:hAnsi="宋体"/>
          <w:bCs/>
          <w:sz w:val="24"/>
        </w:rPr>
        <w:t>确认可进行</w:t>
      </w:r>
      <w:r>
        <w:rPr>
          <w:rFonts w:hint="eastAsia" w:ascii="宋体" w:hAnsi="宋体"/>
          <w:bCs/>
          <w:sz w:val="24"/>
          <w:lang w:eastAsia="zh-CN"/>
        </w:rPr>
        <w:t>返厂</w:t>
      </w:r>
      <w:r>
        <w:rPr>
          <w:rFonts w:hint="eastAsia" w:ascii="宋体" w:hAnsi="宋体"/>
          <w:bCs/>
          <w:sz w:val="24"/>
        </w:rPr>
        <w:t>产品，由仓库单独管理，再库房分区隔离存放。</w:t>
      </w:r>
    </w:p>
    <w:p w14:paraId="407F7DBD">
      <w:pPr>
        <w:spacing w:line="360" w:lineRule="auto"/>
        <w:ind w:firstLine="480" w:firstLineChars="200"/>
        <w:rPr>
          <w:rFonts w:ascii="宋体" w:hAnsi="宋体"/>
          <w:bCs/>
          <w:sz w:val="24"/>
        </w:rPr>
      </w:pPr>
      <w:r>
        <w:rPr>
          <w:rFonts w:ascii="宋体" w:hAnsi="宋体"/>
          <w:bCs/>
          <w:sz w:val="24"/>
        </w:rPr>
        <w:t>15.4.3</w:t>
      </w:r>
      <w:r>
        <w:rPr>
          <w:rFonts w:hint="eastAsia" w:ascii="宋体" w:hAnsi="宋体"/>
          <w:bCs/>
          <w:sz w:val="24"/>
          <w:lang w:eastAsia="zh-CN"/>
        </w:rPr>
        <w:t>市场部</w:t>
      </w:r>
      <w:r>
        <w:rPr>
          <w:rFonts w:hint="eastAsia" w:ascii="宋体" w:hAnsi="宋体"/>
          <w:bCs/>
          <w:sz w:val="24"/>
        </w:rPr>
        <w:t>出具</w:t>
      </w:r>
      <w:r>
        <w:rPr>
          <w:rFonts w:hint="eastAsia" w:ascii="宋体" w:hAnsi="宋体"/>
          <w:bCs/>
          <w:sz w:val="24"/>
          <w:lang w:eastAsia="zh-CN"/>
        </w:rPr>
        <w:t>返厂</w:t>
      </w:r>
      <w:r>
        <w:rPr>
          <w:rFonts w:hint="eastAsia" w:ascii="宋体" w:hAnsi="宋体"/>
          <w:bCs/>
          <w:sz w:val="24"/>
        </w:rPr>
        <w:t>方案，指导执行部门进行</w:t>
      </w:r>
      <w:r>
        <w:rPr>
          <w:rFonts w:hint="eastAsia" w:ascii="宋体" w:hAnsi="宋体"/>
          <w:bCs/>
          <w:sz w:val="24"/>
          <w:lang w:eastAsia="zh-CN"/>
        </w:rPr>
        <w:t>返厂</w:t>
      </w:r>
      <w:r>
        <w:rPr>
          <w:rFonts w:hint="eastAsia" w:ascii="宋体" w:hAnsi="宋体"/>
          <w:bCs/>
          <w:sz w:val="24"/>
        </w:rPr>
        <w:t>操作。</w:t>
      </w:r>
    </w:p>
    <w:p w14:paraId="6E751BC0">
      <w:pPr>
        <w:spacing w:line="360" w:lineRule="auto"/>
        <w:ind w:firstLine="480" w:firstLineChars="200"/>
        <w:rPr>
          <w:rFonts w:ascii="宋体" w:hAnsi="宋体"/>
          <w:bCs/>
          <w:sz w:val="24"/>
        </w:rPr>
      </w:pPr>
      <w:r>
        <w:rPr>
          <w:rFonts w:ascii="宋体" w:hAnsi="宋体"/>
          <w:bCs/>
          <w:sz w:val="24"/>
        </w:rPr>
        <w:t>15.4.4</w:t>
      </w:r>
      <w:r>
        <w:rPr>
          <w:rFonts w:hint="eastAsia" w:ascii="宋体" w:hAnsi="宋体"/>
          <w:bCs/>
          <w:sz w:val="24"/>
        </w:rPr>
        <w:t>整个过程需具备清洗记录文件，批号、批</w:t>
      </w:r>
      <w:r>
        <w:rPr>
          <w:rFonts w:hint="eastAsia" w:ascii="宋体" w:hAnsi="宋体"/>
          <w:bCs/>
          <w:sz w:val="24"/>
          <w:lang w:eastAsia="zh-CN"/>
        </w:rPr>
        <w:t>销售</w:t>
      </w:r>
      <w:r>
        <w:rPr>
          <w:rFonts w:hint="eastAsia" w:ascii="宋体" w:hAnsi="宋体"/>
          <w:bCs/>
          <w:sz w:val="24"/>
        </w:rPr>
        <w:t>记录、</w:t>
      </w:r>
      <w:r>
        <w:rPr>
          <w:rFonts w:hint="eastAsia" w:ascii="宋体" w:hAnsi="宋体"/>
          <w:bCs/>
          <w:sz w:val="24"/>
          <w:lang w:eastAsia="zh-CN"/>
        </w:rPr>
        <w:t>返厂</w:t>
      </w:r>
      <w:r>
        <w:rPr>
          <w:rFonts w:hint="eastAsia" w:ascii="宋体" w:hAnsi="宋体"/>
          <w:bCs/>
          <w:sz w:val="24"/>
        </w:rPr>
        <w:t>记录、库存相关内容准确无误。</w:t>
      </w:r>
    </w:p>
    <w:p w14:paraId="36358658">
      <w:pPr>
        <w:spacing w:line="360" w:lineRule="auto"/>
        <w:ind w:firstLine="480" w:firstLineChars="200"/>
        <w:rPr>
          <w:rFonts w:ascii="宋体" w:hAnsi="宋体"/>
          <w:bCs/>
          <w:sz w:val="24"/>
        </w:rPr>
      </w:pPr>
      <w:r>
        <w:rPr>
          <w:rFonts w:ascii="宋体" w:hAnsi="宋体"/>
          <w:bCs/>
          <w:sz w:val="24"/>
        </w:rPr>
        <w:t>15.4.5</w:t>
      </w:r>
      <w:r>
        <w:rPr>
          <w:rFonts w:hint="eastAsia" w:ascii="宋体" w:hAnsi="宋体"/>
          <w:bCs/>
          <w:sz w:val="24"/>
        </w:rPr>
        <w:t>出厂前</w:t>
      </w:r>
      <w:r>
        <w:rPr>
          <w:rFonts w:hint="eastAsia" w:ascii="宋体" w:hAnsi="宋体"/>
          <w:bCs/>
          <w:sz w:val="24"/>
          <w:lang w:eastAsia="zh-CN"/>
        </w:rPr>
        <w:t>市场部</w:t>
      </w:r>
      <w:r>
        <w:rPr>
          <w:rFonts w:hint="eastAsia" w:ascii="宋体" w:hAnsi="宋体"/>
          <w:bCs/>
          <w:sz w:val="24"/>
        </w:rPr>
        <w:t>再次进行检验，重新出具检验报告，合格放行。</w:t>
      </w:r>
    </w:p>
    <w:p w14:paraId="0FD3942F">
      <w:pPr>
        <w:pStyle w:val="3"/>
        <w:spacing w:before="156" w:after="78"/>
        <w:ind w:firstLine="482" w:firstLineChars="200"/>
        <w:rPr>
          <w:rFonts w:ascii="宋体" w:hAnsi="宋体"/>
          <w:szCs w:val="24"/>
        </w:rPr>
      </w:pPr>
      <w:bookmarkStart w:id="43" w:name="_Toc121751599"/>
      <w:bookmarkStart w:id="44" w:name="_Toc106545491"/>
      <w:bookmarkStart w:id="45" w:name="_Toc106545841"/>
      <w:r>
        <w:rPr>
          <w:rFonts w:hint="eastAsia" w:ascii="宋体" w:hAnsi="宋体"/>
          <w:szCs w:val="24"/>
        </w:rPr>
        <w:t>运输储存</w:t>
      </w:r>
      <w:bookmarkEnd w:id="43"/>
      <w:bookmarkEnd w:id="44"/>
      <w:bookmarkEnd w:id="45"/>
    </w:p>
    <w:p w14:paraId="6E2EA8E5">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6.1</w:t>
      </w:r>
      <w:r>
        <w:rPr>
          <w:rFonts w:hint="eastAsia" w:ascii="宋体" w:hAnsi="宋体"/>
          <w:bCs/>
          <w:sz w:val="24"/>
        </w:rPr>
        <w:t>本程序适用于包装、仓储、运输等各环节。</w:t>
      </w:r>
    </w:p>
    <w:p w14:paraId="1006244F">
      <w:pPr>
        <w:spacing w:line="360" w:lineRule="auto"/>
        <w:ind w:firstLine="480" w:firstLineChars="200"/>
        <w:rPr>
          <w:rFonts w:ascii="宋体" w:hAnsi="宋体"/>
          <w:bCs/>
          <w:sz w:val="24"/>
        </w:rPr>
      </w:pPr>
      <w:r>
        <w:rPr>
          <w:rFonts w:ascii="宋体" w:hAnsi="宋体"/>
          <w:bCs/>
          <w:sz w:val="24"/>
        </w:rPr>
        <w:t>16.2</w:t>
      </w:r>
      <w:r>
        <w:rPr>
          <w:rFonts w:hint="eastAsia" w:ascii="宋体" w:hAnsi="宋体"/>
          <w:bCs/>
          <w:sz w:val="24"/>
        </w:rPr>
        <w:t>包装</w:t>
      </w:r>
    </w:p>
    <w:p w14:paraId="76E1E70F">
      <w:pPr>
        <w:spacing w:line="360" w:lineRule="auto"/>
        <w:ind w:left="480"/>
        <w:rPr>
          <w:rFonts w:ascii="宋体" w:hAnsi="宋体"/>
          <w:bCs/>
          <w:sz w:val="24"/>
        </w:rPr>
      </w:pPr>
      <w:r>
        <w:rPr>
          <w:rFonts w:ascii="宋体" w:hAnsi="宋体"/>
          <w:bCs/>
          <w:sz w:val="24"/>
        </w:rPr>
        <w:t>16.2.1</w:t>
      </w:r>
      <w:r>
        <w:rPr>
          <w:rFonts w:hint="eastAsia" w:ascii="宋体" w:hAnsi="宋体"/>
          <w:bCs/>
          <w:sz w:val="24"/>
        </w:rPr>
        <w:t>包装物料必须符合卫生要求，包装材料是由国家批准可用于食品材料。</w:t>
      </w:r>
    </w:p>
    <w:p w14:paraId="7F5F445A">
      <w:pPr>
        <w:pStyle w:val="19"/>
        <w:spacing w:line="360" w:lineRule="auto"/>
        <w:ind w:firstLine="480"/>
        <w:rPr>
          <w:rFonts w:ascii="宋体" w:hAnsi="宋体"/>
          <w:bCs/>
          <w:sz w:val="24"/>
        </w:rPr>
      </w:pPr>
      <w:r>
        <w:rPr>
          <w:rFonts w:ascii="宋体" w:hAnsi="宋体"/>
          <w:bCs/>
          <w:sz w:val="24"/>
        </w:rPr>
        <w:t>16.2.2</w:t>
      </w:r>
      <w:r>
        <w:rPr>
          <w:rFonts w:hint="eastAsia" w:ascii="宋体" w:hAnsi="宋体"/>
          <w:bCs/>
          <w:sz w:val="24"/>
        </w:rPr>
        <w:t>包装物料间应通风干燥，内外包装材料分别存放、标识清楚，底下用垫板垫起，不得与墙接触，内包装物放置于加有防尘设施的搁架上，库房内有防鼠设施。</w:t>
      </w:r>
    </w:p>
    <w:p w14:paraId="39B49B97">
      <w:pPr>
        <w:pStyle w:val="19"/>
        <w:spacing w:line="360" w:lineRule="auto"/>
        <w:ind w:left="480" w:firstLine="0" w:firstLineChars="0"/>
        <w:rPr>
          <w:rFonts w:ascii="宋体" w:hAnsi="宋体"/>
          <w:bCs/>
          <w:sz w:val="24"/>
        </w:rPr>
      </w:pPr>
      <w:r>
        <w:rPr>
          <w:rFonts w:ascii="宋体" w:hAnsi="宋体"/>
          <w:bCs/>
          <w:sz w:val="24"/>
        </w:rPr>
        <w:t>16.2.3</w:t>
      </w:r>
      <w:r>
        <w:rPr>
          <w:rFonts w:hint="eastAsia" w:ascii="宋体" w:hAnsi="宋体"/>
          <w:bCs/>
          <w:sz w:val="24"/>
        </w:rPr>
        <w:t>成品包装操作要求：</w:t>
      </w:r>
    </w:p>
    <w:p w14:paraId="27EE79F6">
      <w:pPr>
        <w:pStyle w:val="19"/>
        <w:numPr>
          <w:ilvl w:val="0"/>
          <w:numId w:val="11"/>
        </w:numPr>
        <w:spacing w:line="360" w:lineRule="auto"/>
        <w:ind w:firstLineChars="0"/>
        <w:rPr>
          <w:rFonts w:ascii="宋体" w:hAnsi="宋体"/>
          <w:bCs/>
          <w:sz w:val="24"/>
        </w:rPr>
      </w:pPr>
      <w:r>
        <w:rPr>
          <w:rFonts w:hint="eastAsia" w:ascii="宋体" w:hAnsi="宋体"/>
          <w:bCs/>
          <w:sz w:val="24"/>
        </w:rPr>
        <w:t>包装材料符合规定要求，清洁无破损，标识内容完整、无缺陷。</w:t>
      </w:r>
    </w:p>
    <w:p w14:paraId="52127AE5">
      <w:pPr>
        <w:pStyle w:val="19"/>
        <w:numPr>
          <w:ilvl w:val="0"/>
          <w:numId w:val="11"/>
        </w:numPr>
        <w:spacing w:line="360" w:lineRule="auto"/>
        <w:ind w:firstLineChars="0"/>
        <w:rPr>
          <w:rFonts w:ascii="宋体" w:hAnsi="宋体"/>
          <w:bCs/>
          <w:sz w:val="24"/>
        </w:rPr>
      </w:pPr>
      <w:r>
        <w:rPr>
          <w:rFonts w:hint="eastAsia" w:ascii="宋体" w:hAnsi="宋体"/>
          <w:bCs/>
          <w:sz w:val="24"/>
        </w:rPr>
        <w:t>包装时要品名、数量准确无误，形状、色泽、重量达到标准要求。</w:t>
      </w:r>
    </w:p>
    <w:p w14:paraId="12A57C66">
      <w:pPr>
        <w:pStyle w:val="19"/>
        <w:numPr>
          <w:ilvl w:val="0"/>
          <w:numId w:val="11"/>
        </w:numPr>
        <w:spacing w:line="360" w:lineRule="auto"/>
        <w:ind w:firstLineChars="0"/>
        <w:rPr>
          <w:rFonts w:ascii="宋体" w:hAnsi="宋体"/>
          <w:bCs/>
          <w:sz w:val="24"/>
        </w:rPr>
      </w:pPr>
      <w:r>
        <w:rPr>
          <w:rFonts w:hint="eastAsia" w:ascii="宋体" w:hAnsi="宋体"/>
          <w:bCs/>
          <w:sz w:val="24"/>
        </w:rPr>
        <w:t>搬运时以拿轻放，防止内外袋的损坏及产品的破损。</w:t>
      </w:r>
    </w:p>
    <w:p w14:paraId="45A9F8CC">
      <w:pPr>
        <w:pStyle w:val="19"/>
        <w:numPr>
          <w:ilvl w:val="0"/>
          <w:numId w:val="11"/>
        </w:numPr>
        <w:spacing w:line="360" w:lineRule="auto"/>
        <w:ind w:firstLineChars="0"/>
        <w:rPr>
          <w:rFonts w:ascii="宋体" w:hAnsi="宋体"/>
          <w:bCs/>
          <w:sz w:val="24"/>
        </w:rPr>
      </w:pPr>
      <w:r>
        <w:rPr>
          <w:rFonts w:hint="eastAsia" w:ascii="宋体" w:hAnsi="宋体"/>
          <w:bCs/>
          <w:sz w:val="24"/>
        </w:rPr>
        <w:t>使用时运送装备，应能具备产品所需要条件。</w:t>
      </w:r>
    </w:p>
    <w:p w14:paraId="0C75DB5F">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储存</w:t>
      </w:r>
    </w:p>
    <w:p w14:paraId="7714FAAC">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.1成品库、冷藏库的温度符合工艺要求，并做好检查记录，定期对库房进行除霜。</w:t>
      </w:r>
    </w:p>
    <w:p w14:paraId="1C832441">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2</w:t>
      </w:r>
      <w:r>
        <w:rPr>
          <w:rFonts w:hint="eastAsia" w:ascii="宋体" w:hAnsi="宋体"/>
          <w:bCs/>
          <w:sz w:val="24"/>
        </w:rPr>
        <w:t>库内产品堆放整齐、批次清楚，每批、每垛产品设有标识；相互串味的产品、原料与成品，不得同库存放。</w:t>
      </w:r>
    </w:p>
    <w:p w14:paraId="2B6C5F28">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3</w:t>
      </w:r>
      <w:r>
        <w:rPr>
          <w:rFonts w:hint="eastAsia" w:ascii="宋体" w:hAnsi="宋体"/>
          <w:bCs/>
          <w:sz w:val="24"/>
        </w:rPr>
        <w:t>库内物品与墙壁、天花板之间距离不少于10cm，距地面不少于10㎝；库内清洁，无霉、无鼠、无虫害。</w:t>
      </w:r>
    </w:p>
    <w:p w14:paraId="27D2FDA8">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4</w:t>
      </w:r>
      <w:r>
        <w:rPr>
          <w:rFonts w:hint="eastAsia" w:ascii="宋体" w:hAnsi="宋体"/>
          <w:bCs/>
          <w:sz w:val="24"/>
        </w:rPr>
        <w:t>原料冷藏库温度设定</w:t>
      </w:r>
      <w:r>
        <w:rPr>
          <w:rFonts w:ascii="宋体" w:hAnsi="宋体"/>
          <w:bCs/>
          <w:sz w:val="24"/>
        </w:rPr>
        <w:t>2</w:t>
      </w:r>
      <w:r>
        <w:rPr>
          <w:rFonts w:hint="eastAsia" w:ascii="宋体" w:hAnsi="宋体"/>
          <w:bCs/>
          <w:sz w:val="24"/>
        </w:rPr>
        <w:t>－</w:t>
      </w:r>
      <w:r>
        <w:rPr>
          <w:rFonts w:ascii="宋体" w:hAnsi="宋体"/>
          <w:bCs/>
          <w:sz w:val="24"/>
        </w:rPr>
        <w:t>8</w:t>
      </w:r>
      <w:r>
        <w:rPr>
          <w:rFonts w:hint="eastAsia" w:ascii="宋体" w:hAnsi="宋体"/>
          <w:bCs/>
          <w:sz w:val="24"/>
        </w:rPr>
        <w:t>℃。</w:t>
      </w:r>
    </w:p>
    <w:p w14:paraId="243A38A7">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5</w:t>
      </w:r>
      <w:r>
        <w:rPr>
          <w:rFonts w:hint="eastAsia" w:ascii="宋体" w:hAnsi="宋体"/>
          <w:bCs/>
          <w:sz w:val="24"/>
        </w:rPr>
        <w:t>不同品种产品分垛存放、批次清楚，每批每垛产品设有标记。</w:t>
      </w:r>
    </w:p>
    <w:p w14:paraId="7DDBDF69">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6</w:t>
      </w:r>
      <w:r>
        <w:rPr>
          <w:rFonts w:hint="eastAsia" w:ascii="宋体" w:hAnsi="宋体"/>
          <w:bCs/>
          <w:sz w:val="24"/>
        </w:rPr>
        <w:t>冷藏库、成品库根据具体情况不定期除霜，包装间每天工作结束后进行彻底清扫。</w:t>
      </w:r>
    </w:p>
    <w:p w14:paraId="6C53C098">
      <w:pPr>
        <w:spacing w:line="360" w:lineRule="auto"/>
        <w:ind w:firstLine="480" w:firstLineChars="200"/>
        <w:rPr>
          <w:rFonts w:ascii="宋体" w:hAnsi="宋体"/>
          <w:bCs/>
          <w:sz w:val="24"/>
        </w:rPr>
      </w:pPr>
      <w:r>
        <w:rPr>
          <w:rFonts w:ascii="宋体" w:hAnsi="宋体"/>
          <w:bCs/>
          <w:sz w:val="24"/>
        </w:rPr>
        <w:t>16.4</w:t>
      </w:r>
      <w:r>
        <w:rPr>
          <w:rFonts w:hint="eastAsia" w:ascii="宋体" w:hAnsi="宋体"/>
          <w:bCs/>
          <w:sz w:val="24"/>
        </w:rPr>
        <w:t>运输</w:t>
      </w:r>
    </w:p>
    <w:p w14:paraId="308CD8A9">
      <w:pPr>
        <w:spacing w:line="360" w:lineRule="auto"/>
        <w:ind w:firstLine="480" w:firstLineChars="200"/>
        <w:rPr>
          <w:rFonts w:ascii="宋体" w:hAnsi="宋体"/>
          <w:bCs/>
          <w:sz w:val="24"/>
        </w:rPr>
      </w:pPr>
      <w:r>
        <w:rPr>
          <w:rFonts w:ascii="宋体" w:hAnsi="宋体"/>
          <w:bCs/>
          <w:sz w:val="24"/>
        </w:rPr>
        <w:t>16.4.1</w:t>
      </w:r>
      <w:r>
        <w:rPr>
          <w:rFonts w:hint="eastAsia" w:ascii="宋体" w:hAnsi="宋体"/>
          <w:bCs/>
          <w:sz w:val="24"/>
        </w:rPr>
        <w:t>运输车辆必须保持良好的卫生状态。</w:t>
      </w:r>
    </w:p>
    <w:p w14:paraId="7265E6F9">
      <w:pPr>
        <w:spacing w:line="360" w:lineRule="auto"/>
        <w:ind w:firstLine="480" w:firstLineChars="200"/>
        <w:rPr>
          <w:rFonts w:ascii="宋体" w:hAnsi="宋体"/>
          <w:bCs/>
          <w:sz w:val="24"/>
        </w:rPr>
      </w:pPr>
      <w:r>
        <w:rPr>
          <w:rFonts w:ascii="宋体" w:hAnsi="宋体"/>
          <w:bCs/>
          <w:sz w:val="24"/>
        </w:rPr>
        <w:t>16.4.2</w:t>
      </w:r>
      <w:r>
        <w:rPr>
          <w:rFonts w:hint="eastAsia" w:ascii="宋体" w:hAnsi="宋体"/>
          <w:bCs/>
          <w:sz w:val="24"/>
        </w:rPr>
        <w:t>装卸产品时必须轻拿轻放，防止损坏包装、污染食品。</w:t>
      </w:r>
    </w:p>
    <w:p w14:paraId="28A69504">
      <w:pPr>
        <w:spacing w:line="360" w:lineRule="auto"/>
        <w:ind w:firstLine="480" w:firstLineChars="200"/>
        <w:rPr>
          <w:rFonts w:ascii="宋体" w:hAnsi="宋体"/>
          <w:bCs/>
          <w:sz w:val="24"/>
        </w:rPr>
      </w:pPr>
      <w:r>
        <w:rPr>
          <w:rFonts w:ascii="宋体" w:hAnsi="宋体"/>
          <w:bCs/>
          <w:sz w:val="24"/>
        </w:rPr>
        <w:t>16.4.3</w:t>
      </w:r>
      <w:r>
        <w:rPr>
          <w:rFonts w:hint="eastAsia" w:ascii="宋体" w:hAnsi="宋体"/>
          <w:bCs/>
          <w:sz w:val="24"/>
        </w:rPr>
        <w:t>装载垛叠坚实，防止运输途中，倒塌损坏，污染食品。</w:t>
      </w:r>
    </w:p>
    <w:p w14:paraId="1B3BA733">
      <w:pPr>
        <w:pStyle w:val="3"/>
        <w:spacing w:before="156" w:after="78"/>
        <w:ind w:firstLine="482" w:firstLineChars="200"/>
        <w:rPr>
          <w:rFonts w:ascii="宋体" w:hAnsi="宋体"/>
          <w:szCs w:val="24"/>
        </w:rPr>
      </w:pPr>
      <w:bookmarkStart w:id="46" w:name="_Toc121751600"/>
      <w:bookmarkStart w:id="47" w:name="_Toc106545492"/>
      <w:bookmarkStart w:id="48" w:name="_Toc106545842"/>
      <w:r>
        <w:rPr>
          <w:rFonts w:hint="eastAsia" w:ascii="宋体" w:hAnsi="宋体"/>
          <w:szCs w:val="24"/>
        </w:rPr>
        <w:t>来访者</w:t>
      </w:r>
      <w:bookmarkEnd w:id="46"/>
      <w:bookmarkEnd w:id="47"/>
      <w:bookmarkEnd w:id="48"/>
    </w:p>
    <w:p w14:paraId="4914766C">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7.1</w:t>
      </w:r>
      <w:r>
        <w:rPr>
          <w:rFonts w:hint="eastAsia" w:ascii="宋体" w:hAnsi="宋体"/>
          <w:bCs/>
          <w:sz w:val="24"/>
        </w:rPr>
        <w:t>本程序明确了外来人员来访进入厂区流程及相关记录文件。</w:t>
      </w:r>
    </w:p>
    <w:p w14:paraId="4C78C8E2">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7.2</w:t>
      </w:r>
      <w:r>
        <w:rPr>
          <w:rFonts w:hint="eastAsia" w:ascii="宋体" w:hAnsi="宋体"/>
          <w:bCs/>
          <w:sz w:val="24"/>
        </w:rPr>
        <w:t>保安人员负责员工通道来往人员登记。</w:t>
      </w:r>
    </w:p>
    <w:p w14:paraId="19E85166">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7.3</w:t>
      </w:r>
      <w:r>
        <w:rPr>
          <w:rFonts w:hint="eastAsia" w:ascii="宋体" w:hAnsi="宋体"/>
          <w:bCs/>
          <w:sz w:val="24"/>
        </w:rPr>
        <w:t>非本厂人员需在登记簿上登记姓名、工作单位、来访事由、联系电话、车牌号、进出厂区时间等。疫情期间还需全程佩戴口罩、登记健康码、行程码状态及体温实测值。</w:t>
      </w:r>
    </w:p>
    <w:p w14:paraId="3AAE1E15">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7.4</w:t>
      </w:r>
      <w:r>
        <w:rPr>
          <w:rFonts w:hint="eastAsia" w:ascii="宋体" w:hAnsi="宋体"/>
          <w:bCs/>
          <w:sz w:val="24"/>
        </w:rPr>
        <w:t>对于约见</w:t>
      </w:r>
      <w:r>
        <w:rPr>
          <w:rFonts w:hint="eastAsia" w:ascii="宋体" w:hAnsi="宋体"/>
          <w:bCs/>
          <w:sz w:val="24"/>
          <w:lang w:eastAsia="zh-CN"/>
        </w:rPr>
        <w:t>综合部</w:t>
      </w:r>
      <w:r>
        <w:rPr>
          <w:rFonts w:hint="eastAsia" w:ascii="宋体" w:hAnsi="宋体"/>
          <w:bCs/>
          <w:sz w:val="24"/>
        </w:rPr>
        <w:t>人员，面试等，需在门卫处等待接待人员，在接待人员的陪同下进入厂区，不得私下随意走动、闲逛。</w:t>
      </w:r>
    </w:p>
    <w:p w14:paraId="0D28BB7F">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7.5</w:t>
      </w:r>
      <w:r>
        <w:rPr>
          <w:rFonts w:hint="eastAsia" w:ascii="宋体" w:hAnsi="宋体"/>
          <w:bCs/>
          <w:sz w:val="24"/>
        </w:rPr>
        <w:t>领导视察或参观厂区，需登记后专人陪同。如需进入工作区，必须遵照洗手、更衣流程，走参观专用通道，不得进入</w:t>
      </w:r>
      <w:r>
        <w:rPr>
          <w:rFonts w:hint="eastAsia" w:ascii="宋体" w:hAnsi="宋体"/>
          <w:bCs/>
          <w:sz w:val="24"/>
          <w:lang w:eastAsia="zh-CN"/>
        </w:rPr>
        <w:t>仓库</w:t>
      </w:r>
      <w:r>
        <w:rPr>
          <w:rFonts w:hint="eastAsia" w:ascii="宋体" w:hAnsi="宋体"/>
          <w:bCs/>
          <w:sz w:val="24"/>
        </w:rPr>
        <w:t>。</w:t>
      </w:r>
    </w:p>
    <w:p w14:paraId="0DF54BCC">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7.6</w:t>
      </w:r>
      <w:r>
        <w:rPr>
          <w:rFonts w:hint="eastAsia" w:ascii="宋体" w:hAnsi="宋体"/>
          <w:bCs/>
          <w:sz w:val="24"/>
        </w:rPr>
        <w:t>本公司员工不得无故带亲友、家属进入公司，如有特殊情况，在门卫室等待。</w:t>
      </w:r>
    </w:p>
    <w:p w14:paraId="188C71FB">
      <w:pPr>
        <w:spacing w:line="360" w:lineRule="auto"/>
        <w:ind w:firstLine="480" w:firstLineChars="200"/>
        <w:rPr>
          <w:rFonts w:ascii="宋体" w:hAnsi="宋体"/>
          <w:bCs/>
          <w:sz w:val="24"/>
        </w:rPr>
      </w:pPr>
      <w:r>
        <w:rPr>
          <w:rFonts w:ascii="宋体" w:hAnsi="宋体"/>
          <w:bCs/>
          <w:sz w:val="24"/>
        </w:rPr>
        <w:t>17.7</w:t>
      </w:r>
      <w:r>
        <w:rPr>
          <w:rFonts w:hint="eastAsia" w:ascii="宋体" w:hAnsi="宋体"/>
          <w:bCs/>
          <w:sz w:val="24"/>
        </w:rPr>
        <w:t>货运单位、车辆进厂时，除正常登记外，还需仓库负责人员签字，确认车牌及发出货物数量。</w:t>
      </w:r>
    </w:p>
    <w:p w14:paraId="59F41F98">
      <w:pPr>
        <w:spacing w:line="360" w:lineRule="auto"/>
        <w:ind w:firstLine="480" w:firstLineChars="200"/>
        <w:rPr>
          <w:rFonts w:ascii="宋体" w:hAnsi="宋体"/>
          <w:bCs/>
          <w:sz w:val="24"/>
        </w:rPr>
      </w:pPr>
      <w:r>
        <w:rPr>
          <w:rFonts w:ascii="宋体" w:hAnsi="宋体"/>
          <w:bCs/>
          <w:sz w:val="24"/>
        </w:rPr>
        <w:t>17.8</w:t>
      </w:r>
      <w:r>
        <w:rPr>
          <w:rFonts w:hint="eastAsia" w:ascii="宋体" w:hAnsi="宋体"/>
          <w:bCs/>
          <w:sz w:val="24"/>
        </w:rPr>
        <w:t>到厂施工人员，由施工部门负责人清点人数，统一带领。进出场需按照常规手续签字，除工作时间不可在场内滞留。并需遵从场内消防、禁烟管理规定，不造成安全风险隐患。由施工部门负责人统一监管，出现安全问题，由施工部门负责人承担相应责任。</w:t>
      </w:r>
    </w:p>
    <w:p w14:paraId="68F7F636">
      <w:pPr>
        <w:pStyle w:val="3"/>
        <w:spacing w:before="156" w:after="78"/>
        <w:ind w:firstLine="482" w:firstLineChars="200"/>
        <w:rPr>
          <w:rFonts w:ascii="宋体" w:hAnsi="宋体"/>
          <w:szCs w:val="24"/>
        </w:rPr>
      </w:pPr>
      <w:bookmarkStart w:id="49" w:name="_Toc106545843"/>
      <w:bookmarkStart w:id="50" w:name="_Toc106545493"/>
      <w:bookmarkStart w:id="51" w:name="_Toc121751601"/>
      <w:r>
        <w:rPr>
          <w:rFonts w:hint="eastAsia" w:ascii="宋体" w:hAnsi="宋体"/>
          <w:szCs w:val="24"/>
        </w:rPr>
        <w:t>培训</w:t>
      </w:r>
      <w:bookmarkEnd w:id="49"/>
      <w:bookmarkEnd w:id="50"/>
      <w:bookmarkEnd w:id="51"/>
    </w:p>
    <w:p w14:paraId="6352046A">
      <w:pPr>
        <w:spacing w:line="360" w:lineRule="auto"/>
        <w:ind w:firstLine="480" w:firstLineChars="200"/>
        <w:rPr>
          <w:rFonts w:ascii="宋体" w:hAnsi="宋体"/>
          <w:bCs/>
          <w:sz w:val="24"/>
        </w:rPr>
      </w:pPr>
      <w:r>
        <w:rPr>
          <w:rFonts w:ascii="宋体" w:hAnsi="宋体"/>
          <w:bCs/>
          <w:sz w:val="24"/>
        </w:rPr>
        <w:t>18.1</w:t>
      </w:r>
      <w:r>
        <w:rPr>
          <w:rFonts w:hint="eastAsia" w:ascii="宋体" w:hAnsi="宋体"/>
          <w:bCs/>
          <w:sz w:val="24"/>
        </w:rPr>
        <w:t>每年根据企业的需要，由</w:t>
      </w:r>
      <w:r>
        <w:rPr>
          <w:rFonts w:hint="eastAsia" w:ascii="宋体" w:hAnsi="宋体"/>
          <w:bCs/>
          <w:sz w:val="24"/>
          <w:lang w:eastAsia="zh-CN"/>
        </w:rPr>
        <w:t>综合部</w:t>
      </w:r>
      <w:r>
        <w:rPr>
          <w:rFonts w:hint="eastAsia" w:ascii="宋体" w:hAnsi="宋体"/>
          <w:bCs/>
          <w:sz w:val="24"/>
        </w:rPr>
        <w:t>制定</w:t>
      </w:r>
      <w:r>
        <w:rPr>
          <w:rFonts w:hint="eastAsia" w:ascii="宋体" w:hAnsi="宋体"/>
          <w:bCs/>
          <w:sz w:val="24"/>
          <w:lang w:eastAsia="zh-CN"/>
        </w:rPr>
        <w:t>全公司</w:t>
      </w:r>
      <w:r>
        <w:rPr>
          <w:rFonts w:hint="eastAsia" w:ascii="宋体" w:hAnsi="宋体"/>
          <w:bCs/>
          <w:sz w:val="24"/>
        </w:rPr>
        <w:t>的培训计划，包括</w:t>
      </w:r>
      <w:r>
        <w:rPr>
          <w:rFonts w:hint="eastAsia" w:ascii="宋体" w:hAnsi="宋体"/>
          <w:bCs/>
          <w:sz w:val="24"/>
          <w:lang w:eastAsia="zh-CN"/>
        </w:rPr>
        <w:t>全公司</w:t>
      </w:r>
      <w:r>
        <w:rPr>
          <w:rFonts w:hint="eastAsia" w:ascii="宋体" w:hAnsi="宋体"/>
          <w:bCs/>
          <w:sz w:val="24"/>
        </w:rPr>
        <w:t>性各部门各级的培训计划。培训计划制定后，应由企业主管领导批准签字，并颁发到有关部门实施。</w:t>
      </w:r>
    </w:p>
    <w:p w14:paraId="7B992484">
      <w:pPr>
        <w:spacing w:line="360" w:lineRule="auto"/>
        <w:ind w:firstLine="480" w:firstLineChars="200"/>
        <w:rPr>
          <w:rFonts w:ascii="宋体" w:hAnsi="宋体"/>
          <w:bCs/>
          <w:sz w:val="24"/>
        </w:rPr>
      </w:pPr>
      <w:r>
        <w:rPr>
          <w:rFonts w:ascii="宋体" w:hAnsi="宋体"/>
          <w:bCs/>
          <w:sz w:val="24"/>
        </w:rPr>
        <w:t>18.2</w:t>
      </w:r>
      <w:r>
        <w:rPr>
          <w:rFonts w:hint="eastAsia" w:ascii="宋体" w:hAnsi="宋体"/>
          <w:bCs/>
          <w:sz w:val="24"/>
          <w:lang w:eastAsia="zh-CN"/>
        </w:rPr>
        <w:t>销售仓库</w:t>
      </w:r>
      <w:r>
        <w:rPr>
          <w:rFonts w:hint="eastAsia" w:ascii="宋体" w:hAnsi="宋体"/>
          <w:bCs/>
          <w:sz w:val="24"/>
        </w:rPr>
        <w:t>管理人员及工人培训计划由主管</w:t>
      </w:r>
      <w:r>
        <w:rPr>
          <w:rFonts w:hint="eastAsia" w:ascii="宋体" w:hAnsi="宋体"/>
          <w:bCs/>
          <w:sz w:val="24"/>
          <w:lang w:eastAsia="zh-CN"/>
        </w:rPr>
        <w:t>销售</w:t>
      </w:r>
      <w:r>
        <w:rPr>
          <w:rFonts w:hint="eastAsia" w:ascii="宋体" w:hAnsi="宋体"/>
          <w:bCs/>
          <w:sz w:val="24"/>
        </w:rPr>
        <w:t>的负责人制定，内容包括：岗位专业培训、岗位技术培训、</w:t>
      </w:r>
      <w:r>
        <w:rPr>
          <w:rFonts w:ascii="宋体" w:hAnsi="宋体"/>
          <w:bCs/>
          <w:sz w:val="24"/>
        </w:rPr>
        <w:t>GMP</w:t>
      </w:r>
      <w:r>
        <w:rPr>
          <w:rFonts w:hint="eastAsia" w:ascii="宋体" w:hAnsi="宋体"/>
          <w:bCs/>
          <w:sz w:val="24"/>
        </w:rPr>
        <w:t>培训、岗前培训。（包括安全、上岗证、设备使用等）</w:t>
      </w:r>
    </w:p>
    <w:p w14:paraId="30A3A324">
      <w:pPr>
        <w:spacing w:line="360" w:lineRule="auto"/>
        <w:ind w:firstLine="480" w:firstLineChars="200"/>
        <w:rPr>
          <w:rFonts w:ascii="宋体" w:hAnsi="宋体"/>
          <w:bCs/>
          <w:sz w:val="24"/>
        </w:rPr>
      </w:pPr>
      <w:r>
        <w:rPr>
          <w:rFonts w:ascii="宋体" w:hAnsi="宋体"/>
          <w:bCs/>
          <w:sz w:val="24"/>
        </w:rPr>
        <w:t>18.3</w:t>
      </w:r>
      <w:r>
        <w:rPr>
          <w:rFonts w:hint="eastAsia" w:ascii="宋体" w:hAnsi="宋体"/>
          <w:bCs/>
          <w:sz w:val="24"/>
        </w:rPr>
        <w:t>各级管理文件由</w:t>
      </w:r>
      <w:r>
        <w:rPr>
          <w:rFonts w:hint="eastAsia" w:ascii="宋体" w:hAnsi="宋体"/>
          <w:bCs/>
          <w:sz w:val="24"/>
          <w:lang w:eastAsia="zh-CN"/>
        </w:rPr>
        <w:t>综合部</w:t>
      </w:r>
      <w:r>
        <w:rPr>
          <w:rFonts w:hint="eastAsia" w:ascii="宋体" w:hAnsi="宋体"/>
          <w:bCs/>
          <w:sz w:val="24"/>
        </w:rPr>
        <w:t>统一组织对</w:t>
      </w:r>
      <w:r>
        <w:rPr>
          <w:rFonts w:hint="eastAsia" w:ascii="宋体" w:hAnsi="宋体"/>
          <w:bCs/>
          <w:sz w:val="24"/>
          <w:lang w:eastAsia="zh-CN"/>
        </w:rPr>
        <w:t>仓库</w:t>
      </w:r>
      <w:r>
        <w:rPr>
          <w:rFonts w:hint="eastAsia" w:ascii="宋体" w:hAnsi="宋体"/>
          <w:bCs/>
          <w:sz w:val="24"/>
        </w:rPr>
        <w:t>主任、管理人员进行培训；</w:t>
      </w:r>
      <w:r>
        <w:rPr>
          <w:rFonts w:hint="eastAsia" w:ascii="宋体" w:hAnsi="宋体"/>
          <w:bCs/>
          <w:sz w:val="24"/>
          <w:lang w:eastAsia="zh-CN"/>
        </w:rPr>
        <w:t>销售</w:t>
      </w:r>
      <w:r>
        <w:rPr>
          <w:rFonts w:hint="eastAsia" w:ascii="宋体" w:hAnsi="宋体"/>
          <w:bCs/>
          <w:sz w:val="24"/>
        </w:rPr>
        <w:t>作业指导书等与</w:t>
      </w:r>
      <w:r>
        <w:rPr>
          <w:rFonts w:hint="eastAsia" w:ascii="宋体" w:hAnsi="宋体"/>
          <w:bCs/>
          <w:sz w:val="24"/>
          <w:lang w:eastAsia="zh-CN"/>
        </w:rPr>
        <w:t>销售</w:t>
      </w:r>
      <w:r>
        <w:rPr>
          <w:rFonts w:hint="eastAsia" w:ascii="宋体" w:hAnsi="宋体"/>
          <w:bCs/>
          <w:sz w:val="24"/>
        </w:rPr>
        <w:t>相关内容由</w:t>
      </w:r>
      <w:r>
        <w:rPr>
          <w:rFonts w:hint="eastAsia" w:ascii="宋体" w:hAnsi="宋体"/>
          <w:bCs/>
          <w:sz w:val="24"/>
          <w:lang w:eastAsia="zh-CN"/>
        </w:rPr>
        <w:t>市场部</w:t>
      </w:r>
      <w:r>
        <w:rPr>
          <w:rFonts w:hint="eastAsia" w:ascii="宋体" w:hAnsi="宋体"/>
          <w:bCs/>
          <w:sz w:val="24"/>
        </w:rPr>
        <w:t>组织对工人进行培训；设备管理文件</w:t>
      </w:r>
      <w:r>
        <w:rPr>
          <w:rFonts w:hint="eastAsia" w:ascii="宋体" w:hAnsi="宋体"/>
          <w:bCs/>
          <w:sz w:val="24"/>
          <w:lang w:eastAsia="zh-CN"/>
        </w:rPr>
        <w:t>市场部</w:t>
      </w:r>
      <w:r>
        <w:rPr>
          <w:rFonts w:hint="eastAsia" w:ascii="宋体" w:hAnsi="宋体"/>
          <w:bCs/>
          <w:sz w:val="24"/>
        </w:rPr>
        <w:t>组织有关工序人员及部门进行培训。各级别培训均需要做好培训记录，记录内容包括培训日期、部门、培训内容、培训对象、培训人数、授课人培训确认人、记录名称为《部门培训记录》。</w:t>
      </w:r>
    </w:p>
    <w:p w14:paraId="2C9364AC">
      <w:pPr>
        <w:spacing w:line="360" w:lineRule="auto"/>
        <w:ind w:firstLine="480" w:firstLineChars="200"/>
        <w:rPr>
          <w:rFonts w:ascii="宋体" w:hAnsi="宋体"/>
          <w:bCs/>
          <w:sz w:val="24"/>
        </w:rPr>
      </w:pPr>
      <w:r>
        <w:rPr>
          <w:rFonts w:ascii="宋体" w:hAnsi="宋体"/>
          <w:bCs/>
          <w:sz w:val="24"/>
        </w:rPr>
        <w:t>18.4</w:t>
      </w:r>
      <w:r>
        <w:rPr>
          <w:rFonts w:hint="eastAsia" w:ascii="宋体" w:hAnsi="宋体"/>
          <w:bCs/>
          <w:sz w:val="24"/>
          <w:lang w:eastAsia="zh-CN"/>
        </w:rPr>
        <w:t>综合部</w:t>
      </w:r>
      <w:r>
        <w:rPr>
          <w:rFonts w:hint="eastAsia" w:ascii="宋体" w:hAnsi="宋体"/>
          <w:bCs/>
          <w:sz w:val="24"/>
        </w:rPr>
        <w:t>负责对各级别培训记录收集汇总，建立职工培训档案。</w:t>
      </w:r>
    </w:p>
    <w:p w14:paraId="32ED4E46">
      <w:pPr>
        <w:spacing w:line="360" w:lineRule="auto"/>
        <w:ind w:firstLine="480" w:firstLineChars="200"/>
        <w:rPr>
          <w:rFonts w:ascii="宋体" w:hAnsi="宋体"/>
          <w:bCs/>
          <w:sz w:val="24"/>
        </w:rPr>
      </w:pPr>
      <w:r>
        <w:rPr>
          <w:rFonts w:ascii="宋体" w:hAnsi="宋体"/>
          <w:bCs/>
          <w:sz w:val="24"/>
        </w:rPr>
        <w:t>18.5各级别培训结束后</w:t>
      </w:r>
      <w:r>
        <w:rPr>
          <w:rFonts w:hint="eastAsia" w:ascii="宋体" w:hAnsi="宋体"/>
          <w:bCs/>
          <w:sz w:val="24"/>
        </w:rPr>
        <w:t>，</w:t>
      </w:r>
      <w:r>
        <w:rPr>
          <w:rFonts w:ascii="宋体" w:hAnsi="宋体"/>
          <w:bCs/>
          <w:sz w:val="24"/>
        </w:rPr>
        <w:t>通过</w:t>
      </w:r>
      <w:r>
        <w:rPr>
          <w:rFonts w:hint="eastAsia" w:ascii="宋体" w:hAnsi="宋体"/>
          <w:bCs/>
          <w:sz w:val="24"/>
        </w:rPr>
        <w:t>笔试，口头考试，实地操作等考核形式对培训效果进行验证，并由培训员、监考及考核人员认可。</w:t>
      </w:r>
    </w:p>
    <w:p w14:paraId="153FC395">
      <w:pPr>
        <w:ind w:left="91" w:firstLine="420" w:firstLineChars="200"/>
        <w:rPr>
          <w:rFonts w:ascii="黑体" w:hAnsi="黑体" w:eastAsia="黑体" w:cs="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134"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Sim Su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8444">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5D1247F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68E1">
    <w:pPr>
      <w:pStyle w:val="8"/>
      <w:framePr w:wrap="around" w:vAnchor="text" w:hAnchor="margin" w:xAlign="center" w:y="1"/>
      <w:rPr>
        <w:rStyle w:val="16"/>
      </w:rPr>
    </w:pPr>
    <w:r>
      <w:fldChar w:fldCharType="begin"/>
    </w:r>
    <w:r>
      <w:rPr>
        <w:rStyle w:val="16"/>
      </w:rPr>
      <w:instrText xml:space="preserve">PAGE  </w:instrText>
    </w:r>
    <w:r>
      <w:fldChar w:fldCharType="end"/>
    </w:r>
  </w:p>
  <w:p w14:paraId="47770F8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A82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C0D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A53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7CF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E40A7"/>
    <w:multiLevelType w:val="multilevel"/>
    <w:tmpl w:val="0DCE40A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2326FBD"/>
    <w:multiLevelType w:val="multilevel"/>
    <w:tmpl w:val="32326FB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58C0087"/>
    <w:multiLevelType w:val="multilevel"/>
    <w:tmpl w:val="358C008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BA55850"/>
    <w:multiLevelType w:val="multilevel"/>
    <w:tmpl w:val="3BA55850"/>
    <w:lvl w:ilvl="0" w:tentative="0">
      <w:start w:val="1"/>
      <w:numFmt w:val="decimal"/>
      <w:pStyle w:val="3"/>
      <w:lvlText w:val="%1"/>
      <w:lvlJc w:val="left"/>
      <w:pPr>
        <w:ind w:left="420" w:hanging="420"/>
      </w:pPr>
      <w:rPr>
        <w:rFonts w:hint="default" w:ascii="黑体" w:hAnsi="黑体" w:eastAsia="黑体" w:cs="Times New Roman"/>
      </w:rPr>
    </w:lvl>
    <w:lvl w:ilvl="1" w:tentative="0">
      <w:start w:val="1"/>
      <w:numFmt w:val="decimal"/>
      <w:pStyle w:val="4"/>
      <w:isLgl/>
      <w:lvlText w:val="%1.%2"/>
      <w:lvlJc w:val="left"/>
      <w:pPr>
        <w:tabs>
          <w:tab w:val="left" w:pos="680"/>
        </w:tabs>
        <w:ind w:left="576" w:hanging="576"/>
      </w:pPr>
      <w:rPr>
        <w:rFonts w:hint="default" w:ascii="黑体" w:hAnsi="黑体" w:eastAsia="黑体" w:cs="Times New Roman"/>
        <w:b/>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5"/>
      <w:isLgl/>
      <w:lvlText w:val="%1.%2.%3"/>
      <w:lvlJc w:val="left"/>
      <w:pPr>
        <w:tabs>
          <w:tab w:val="left" w:pos="794"/>
        </w:tabs>
        <w:ind w:left="720" w:hanging="720"/>
      </w:pPr>
      <w:rPr>
        <w:rFonts w:hint="default" w:ascii="黑体" w:hAnsi="黑体" w:eastAsia="黑体"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isLgl/>
      <w:lvlText w:val="%1.%2.%3.%4"/>
      <w:lvlJc w:val="left"/>
      <w:pPr>
        <w:tabs>
          <w:tab w:val="left" w:pos="1021"/>
        </w:tabs>
        <w:ind w:left="864" w:hanging="864"/>
      </w:pPr>
      <w:rPr>
        <w:rFonts w:hint="default" w:ascii="Times New Roman" w:hAnsi="Times New Roman" w:eastAsia="楷体"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pPr>
        <w:tabs>
          <w:tab w:val="left" w:pos="1134"/>
        </w:tabs>
        <w:ind w:left="1008" w:hanging="1008"/>
      </w:pPr>
      <w:rPr>
        <w:rFonts w:hint="eastAsia"/>
      </w:rPr>
    </w:lvl>
    <w:lvl w:ilvl="5" w:tentative="0">
      <w:start w:val="1"/>
      <w:numFmt w:val="decimal"/>
      <w:isLgl/>
      <w:lvlText w:val="%1.%2.%3.%4.%5.%6"/>
      <w:lvlJc w:val="left"/>
      <w:pPr>
        <w:tabs>
          <w:tab w:val="left" w:pos="1191"/>
        </w:tabs>
        <w:ind w:left="1152" w:hanging="1152"/>
      </w:pPr>
      <w:rPr>
        <w:rFonts w:hint="default" w:ascii="Times New Roman" w:hAnsi="Times New Roman" w:cs="Times New Roman"/>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default" w:ascii="Times New Roman" w:hAnsi="Times New Roman" w:cs="Times New Roman"/>
      </w:rPr>
    </w:lvl>
    <w:lvl w:ilvl="8" w:tentative="0">
      <w:start w:val="1"/>
      <w:numFmt w:val="decimal"/>
      <w:isLgl/>
      <w:lvlText w:val="%1.%2.%3.%4.%5.%6.%7.%8.%9"/>
      <w:lvlJc w:val="left"/>
      <w:pPr>
        <w:tabs>
          <w:tab w:val="left" w:pos="1584"/>
        </w:tabs>
        <w:ind w:left="1584" w:hanging="1584"/>
      </w:pPr>
      <w:rPr>
        <w:rFonts w:hint="default" w:ascii="Times New Roman" w:hAnsi="Times New Roman" w:cs="Times New Roman"/>
      </w:rPr>
    </w:lvl>
  </w:abstractNum>
  <w:abstractNum w:abstractNumId="4">
    <w:nsid w:val="3DF07055"/>
    <w:multiLevelType w:val="multilevel"/>
    <w:tmpl w:val="3DF07055"/>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F5545CD"/>
    <w:multiLevelType w:val="multilevel"/>
    <w:tmpl w:val="4F5545C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32E4393"/>
    <w:multiLevelType w:val="multilevel"/>
    <w:tmpl w:val="532E4393"/>
    <w:lvl w:ilvl="0" w:tentative="0">
      <w:start w:val="1"/>
      <w:numFmt w:val="decimal"/>
      <w:lvlText w:val="2.%1"/>
      <w:lvlJc w:val="left"/>
      <w:pPr>
        <w:ind w:left="900" w:hanging="420"/>
      </w:pPr>
      <w:rPr>
        <w:rFonts w:hint="eastAsia"/>
      </w:rPr>
    </w:lvl>
    <w:lvl w:ilvl="1" w:tentative="0">
      <w:start w:val="1"/>
      <w:numFmt w:val="decimal"/>
      <w:lvlText w:val="2.%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6926DB"/>
    <w:multiLevelType w:val="multilevel"/>
    <w:tmpl w:val="576926DB"/>
    <w:lvl w:ilvl="0" w:tentative="0">
      <w:start w:val="1"/>
      <w:numFmt w:val="decimal"/>
      <w:lvlText w:val="3.%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5AF2A14"/>
    <w:multiLevelType w:val="multilevel"/>
    <w:tmpl w:val="65AF2A1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8B23D89"/>
    <w:multiLevelType w:val="multilevel"/>
    <w:tmpl w:val="68B23D89"/>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030281D"/>
    <w:multiLevelType w:val="multilevel"/>
    <w:tmpl w:val="7030281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6"/>
  </w:num>
  <w:num w:numId="3">
    <w:abstractNumId w:val="7"/>
  </w:num>
  <w:num w:numId="4">
    <w:abstractNumId w:val="4"/>
  </w:num>
  <w:num w:numId="5">
    <w:abstractNumId w:val="0"/>
  </w:num>
  <w:num w:numId="6">
    <w:abstractNumId w:val="9"/>
  </w:num>
  <w:num w:numId="7">
    <w:abstractNumId w:val="10"/>
  </w:num>
  <w:num w:numId="8">
    <w:abstractNumId w:val="8"/>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YWY4ZjBiMzNiM2M0ZDEyNTUyMDhiYWVmYjAyYTIifQ=="/>
  </w:docVars>
  <w:rsids>
    <w:rsidRoot w:val="001D44C7"/>
    <w:rsid w:val="00020EE5"/>
    <w:rsid w:val="0003358E"/>
    <w:rsid w:val="000364EF"/>
    <w:rsid w:val="000438A5"/>
    <w:rsid w:val="00051C61"/>
    <w:rsid w:val="0006727B"/>
    <w:rsid w:val="000A65B8"/>
    <w:rsid w:val="000A6D29"/>
    <w:rsid w:val="000C52EB"/>
    <w:rsid w:val="000F1267"/>
    <w:rsid w:val="000F3F8E"/>
    <w:rsid w:val="00117FAF"/>
    <w:rsid w:val="00125126"/>
    <w:rsid w:val="0012520D"/>
    <w:rsid w:val="001435AD"/>
    <w:rsid w:val="001524B0"/>
    <w:rsid w:val="0016381A"/>
    <w:rsid w:val="0016673B"/>
    <w:rsid w:val="00174892"/>
    <w:rsid w:val="00177A3F"/>
    <w:rsid w:val="00192123"/>
    <w:rsid w:val="001C71F8"/>
    <w:rsid w:val="001D44C7"/>
    <w:rsid w:val="001F0681"/>
    <w:rsid w:val="001F4D51"/>
    <w:rsid w:val="001F7FC9"/>
    <w:rsid w:val="00203371"/>
    <w:rsid w:val="00216F85"/>
    <w:rsid w:val="002340CD"/>
    <w:rsid w:val="00290B4D"/>
    <w:rsid w:val="00295960"/>
    <w:rsid w:val="002A4308"/>
    <w:rsid w:val="002A7888"/>
    <w:rsid w:val="002B212C"/>
    <w:rsid w:val="002D0473"/>
    <w:rsid w:val="002D55EA"/>
    <w:rsid w:val="00305FE0"/>
    <w:rsid w:val="00310281"/>
    <w:rsid w:val="00313C87"/>
    <w:rsid w:val="00332FE8"/>
    <w:rsid w:val="00350FA8"/>
    <w:rsid w:val="00353452"/>
    <w:rsid w:val="00356F30"/>
    <w:rsid w:val="0036017E"/>
    <w:rsid w:val="00367C12"/>
    <w:rsid w:val="00375B37"/>
    <w:rsid w:val="00376C15"/>
    <w:rsid w:val="003943BE"/>
    <w:rsid w:val="003958FE"/>
    <w:rsid w:val="003A5DA6"/>
    <w:rsid w:val="003B6F76"/>
    <w:rsid w:val="003C5767"/>
    <w:rsid w:val="003D6C21"/>
    <w:rsid w:val="00405230"/>
    <w:rsid w:val="0041089F"/>
    <w:rsid w:val="00411472"/>
    <w:rsid w:val="0041211F"/>
    <w:rsid w:val="00417902"/>
    <w:rsid w:val="00430AFD"/>
    <w:rsid w:val="00434EBD"/>
    <w:rsid w:val="0043595F"/>
    <w:rsid w:val="00435AB9"/>
    <w:rsid w:val="00445508"/>
    <w:rsid w:val="00446877"/>
    <w:rsid w:val="00457CEA"/>
    <w:rsid w:val="00466580"/>
    <w:rsid w:val="00470EB7"/>
    <w:rsid w:val="00495BE8"/>
    <w:rsid w:val="00496560"/>
    <w:rsid w:val="004975D5"/>
    <w:rsid w:val="004B4D85"/>
    <w:rsid w:val="004C082D"/>
    <w:rsid w:val="004D19DF"/>
    <w:rsid w:val="004D398C"/>
    <w:rsid w:val="004D3AEC"/>
    <w:rsid w:val="004E08E5"/>
    <w:rsid w:val="004E2DE3"/>
    <w:rsid w:val="004F10F0"/>
    <w:rsid w:val="004F4DF9"/>
    <w:rsid w:val="00536B10"/>
    <w:rsid w:val="00537361"/>
    <w:rsid w:val="005427E6"/>
    <w:rsid w:val="00552B96"/>
    <w:rsid w:val="0055422F"/>
    <w:rsid w:val="00575A1E"/>
    <w:rsid w:val="00585EE6"/>
    <w:rsid w:val="005911BA"/>
    <w:rsid w:val="0059209E"/>
    <w:rsid w:val="005A0CAB"/>
    <w:rsid w:val="005B4CB8"/>
    <w:rsid w:val="005B5F1E"/>
    <w:rsid w:val="005C4E94"/>
    <w:rsid w:val="005C6772"/>
    <w:rsid w:val="00606FAF"/>
    <w:rsid w:val="00620DC9"/>
    <w:rsid w:val="00622D6F"/>
    <w:rsid w:val="00645CBB"/>
    <w:rsid w:val="00654849"/>
    <w:rsid w:val="00663F2D"/>
    <w:rsid w:val="00665E96"/>
    <w:rsid w:val="00681AD1"/>
    <w:rsid w:val="00692F2D"/>
    <w:rsid w:val="00696237"/>
    <w:rsid w:val="006F7108"/>
    <w:rsid w:val="00706C42"/>
    <w:rsid w:val="00715AB3"/>
    <w:rsid w:val="00735D9E"/>
    <w:rsid w:val="00755AE5"/>
    <w:rsid w:val="0077586F"/>
    <w:rsid w:val="00785EB1"/>
    <w:rsid w:val="007A0BDD"/>
    <w:rsid w:val="007B23EE"/>
    <w:rsid w:val="007C7A47"/>
    <w:rsid w:val="007D34D7"/>
    <w:rsid w:val="007F05CC"/>
    <w:rsid w:val="007F4A2B"/>
    <w:rsid w:val="008455BD"/>
    <w:rsid w:val="008605D7"/>
    <w:rsid w:val="008614F9"/>
    <w:rsid w:val="00864AEE"/>
    <w:rsid w:val="00874234"/>
    <w:rsid w:val="00876BAA"/>
    <w:rsid w:val="00883A17"/>
    <w:rsid w:val="00885F49"/>
    <w:rsid w:val="00891D5F"/>
    <w:rsid w:val="008A3866"/>
    <w:rsid w:val="008A6337"/>
    <w:rsid w:val="008A7435"/>
    <w:rsid w:val="008B6460"/>
    <w:rsid w:val="008D48B7"/>
    <w:rsid w:val="008D7529"/>
    <w:rsid w:val="008E50D6"/>
    <w:rsid w:val="008F12EA"/>
    <w:rsid w:val="009205D6"/>
    <w:rsid w:val="00924337"/>
    <w:rsid w:val="0092464E"/>
    <w:rsid w:val="009315B7"/>
    <w:rsid w:val="00937B7F"/>
    <w:rsid w:val="00940B36"/>
    <w:rsid w:val="00941300"/>
    <w:rsid w:val="009665C6"/>
    <w:rsid w:val="009700E2"/>
    <w:rsid w:val="009736EC"/>
    <w:rsid w:val="009752FF"/>
    <w:rsid w:val="009A0075"/>
    <w:rsid w:val="009A01F1"/>
    <w:rsid w:val="009A2AAF"/>
    <w:rsid w:val="009A3C92"/>
    <w:rsid w:val="009A474F"/>
    <w:rsid w:val="009C5053"/>
    <w:rsid w:val="009D13FF"/>
    <w:rsid w:val="009D342C"/>
    <w:rsid w:val="009E61F9"/>
    <w:rsid w:val="009E698D"/>
    <w:rsid w:val="009F1017"/>
    <w:rsid w:val="00A01D5F"/>
    <w:rsid w:val="00A025B1"/>
    <w:rsid w:val="00A06180"/>
    <w:rsid w:val="00A52189"/>
    <w:rsid w:val="00A55739"/>
    <w:rsid w:val="00A607AD"/>
    <w:rsid w:val="00A70A5C"/>
    <w:rsid w:val="00A94365"/>
    <w:rsid w:val="00A947A4"/>
    <w:rsid w:val="00A978AD"/>
    <w:rsid w:val="00AB4B60"/>
    <w:rsid w:val="00AB4D21"/>
    <w:rsid w:val="00AC081A"/>
    <w:rsid w:val="00AC27C0"/>
    <w:rsid w:val="00AC6044"/>
    <w:rsid w:val="00AE2F68"/>
    <w:rsid w:val="00AE7D5B"/>
    <w:rsid w:val="00AF4957"/>
    <w:rsid w:val="00B1024B"/>
    <w:rsid w:val="00B11305"/>
    <w:rsid w:val="00B261FF"/>
    <w:rsid w:val="00B35140"/>
    <w:rsid w:val="00B3564B"/>
    <w:rsid w:val="00B42D20"/>
    <w:rsid w:val="00B45ABF"/>
    <w:rsid w:val="00B4641D"/>
    <w:rsid w:val="00B55633"/>
    <w:rsid w:val="00B6063C"/>
    <w:rsid w:val="00B72950"/>
    <w:rsid w:val="00B77F64"/>
    <w:rsid w:val="00B816D8"/>
    <w:rsid w:val="00B87D8C"/>
    <w:rsid w:val="00BA4CF1"/>
    <w:rsid w:val="00BA4E7A"/>
    <w:rsid w:val="00BA5123"/>
    <w:rsid w:val="00BB7C51"/>
    <w:rsid w:val="00BC3951"/>
    <w:rsid w:val="00BC6A79"/>
    <w:rsid w:val="00BE6567"/>
    <w:rsid w:val="00BE7A7B"/>
    <w:rsid w:val="00C27AC9"/>
    <w:rsid w:val="00C32108"/>
    <w:rsid w:val="00C32299"/>
    <w:rsid w:val="00C52DE1"/>
    <w:rsid w:val="00C64DD2"/>
    <w:rsid w:val="00C65E8E"/>
    <w:rsid w:val="00C7216F"/>
    <w:rsid w:val="00C733F1"/>
    <w:rsid w:val="00C77348"/>
    <w:rsid w:val="00C82BA3"/>
    <w:rsid w:val="00C83F79"/>
    <w:rsid w:val="00C92E37"/>
    <w:rsid w:val="00C9366F"/>
    <w:rsid w:val="00CA372E"/>
    <w:rsid w:val="00CB1AE6"/>
    <w:rsid w:val="00CC5E8D"/>
    <w:rsid w:val="00CF2C83"/>
    <w:rsid w:val="00CF43A6"/>
    <w:rsid w:val="00CF445F"/>
    <w:rsid w:val="00D01D5C"/>
    <w:rsid w:val="00D066E2"/>
    <w:rsid w:val="00D07D5A"/>
    <w:rsid w:val="00D25712"/>
    <w:rsid w:val="00D264F7"/>
    <w:rsid w:val="00D437E3"/>
    <w:rsid w:val="00D5013D"/>
    <w:rsid w:val="00D51E9C"/>
    <w:rsid w:val="00D524AD"/>
    <w:rsid w:val="00D5689E"/>
    <w:rsid w:val="00D6445E"/>
    <w:rsid w:val="00D64723"/>
    <w:rsid w:val="00D71B3C"/>
    <w:rsid w:val="00D90C41"/>
    <w:rsid w:val="00DB204D"/>
    <w:rsid w:val="00DB3305"/>
    <w:rsid w:val="00DB6405"/>
    <w:rsid w:val="00DC200A"/>
    <w:rsid w:val="00DF105C"/>
    <w:rsid w:val="00E047A6"/>
    <w:rsid w:val="00E32959"/>
    <w:rsid w:val="00E43268"/>
    <w:rsid w:val="00E6473E"/>
    <w:rsid w:val="00E655FE"/>
    <w:rsid w:val="00E7644A"/>
    <w:rsid w:val="00E851E8"/>
    <w:rsid w:val="00EA1857"/>
    <w:rsid w:val="00EA2C70"/>
    <w:rsid w:val="00ED23CC"/>
    <w:rsid w:val="00EE40C7"/>
    <w:rsid w:val="00EE54C5"/>
    <w:rsid w:val="00EF0DE8"/>
    <w:rsid w:val="00EF59D9"/>
    <w:rsid w:val="00F2229B"/>
    <w:rsid w:val="00F227A5"/>
    <w:rsid w:val="00F32448"/>
    <w:rsid w:val="00F37602"/>
    <w:rsid w:val="00F42D3B"/>
    <w:rsid w:val="00F43ECE"/>
    <w:rsid w:val="00F6375E"/>
    <w:rsid w:val="00F6545D"/>
    <w:rsid w:val="00F703E8"/>
    <w:rsid w:val="00F74FB1"/>
    <w:rsid w:val="00F81E67"/>
    <w:rsid w:val="00F902E7"/>
    <w:rsid w:val="00F95204"/>
    <w:rsid w:val="00FA597E"/>
    <w:rsid w:val="00FB2076"/>
    <w:rsid w:val="00FB31CE"/>
    <w:rsid w:val="00FC65FD"/>
    <w:rsid w:val="00FE1699"/>
    <w:rsid w:val="030A3DCF"/>
    <w:rsid w:val="0329606A"/>
    <w:rsid w:val="05550A6B"/>
    <w:rsid w:val="05EE39FC"/>
    <w:rsid w:val="07342A7D"/>
    <w:rsid w:val="0D357EF0"/>
    <w:rsid w:val="11912624"/>
    <w:rsid w:val="11A2733E"/>
    <w:rsid w:val="158C0D40"/>
    <w:rsid w:val="19FD653E"/>
    <w:rsid w:val="211F2902"/>
    <w:rsid w:val="29B12AF6"/>
    <w:rsid w:val="2A434DF6"/>
    <w:rsid w:val="2B0179EF"/>
    <w:rsid w:val="3039655D"/>
    <w:rsid w:val="30503512"/>
    <w:rsid w:val="35083181"/>
    <w:rsid w:val="37D74ECB"/>
    <w:rsid w:val="3C2F4C8A"/>
    <w:rsid w:val="473B18E1"/>
    <w:rsid w:val="49CB433D"/>
    <w:rsid w:val="4A34133E"/>
    <w:rsid w:val="51FD1B79"/>
    <w:rsid w:val="58A26933"/>
    <w:rsid w:val="62877E66"/>
    <w:rsid w:val="62D54450"/>
    <w:rsid w:val="62DF7568"/>
    <w:rsid w:val="65415B32"/>
    <w:rsid w:val="6F794DCB"/>
    <w:rsid w:val="77B736EF"/>
    <w:rsid w:val="7A465E98"/>
    <w:rsid w:val="7ED2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line="360" w:lineRule="auto"/>
      <w:ind w:left="0" w:firstLine="0"/>
      <w:outlineLvl w:val="0"/>
    </w:pPr>
    <w:rPr>
      <w:b/>
      <w:bCs/>
      <w:kern w:val="44"/>
      <w:sz w:val="24"/>
      <w:szCs w:val="44"/>
    </w:rPr>
  </w:style>
  <w:style w:type="paragraph" w:styleId="4">
    <w:name w:val="heading 2"/>
    <w:basedOn w:val="1"/>
    <w:next w:val="1"/>
    <w:autoRedefine/>
    <w:qFormat/>
    <w:uiPriority w:val="0"/>
    <w:pPr>
      <w:keepNext/>
      <w:keepLines/>
      <w:numPr>
        <w:ilvl w:val="1"/>
        <w:numId w:val="1"/>
      </w:numPr>
      <w:spacing w:before="25" w:beforeLines="25" w:after="25" w:afterLines="25"/>
      <w:outlineLvl w:val="1"/>
    </w:pPr>
    <w:rPr>
      <w:b/>
      <w:bCs/>
      <w:szCs w:val="32"/>
    </w:rPr>
  </w:style>
  <w:style w:type="paragraph" w:styleId="5">
    <w:name w:val="heading 3"/>
    <w:basedOn w:val="1"/>
    <w:next w:val="1"/>
    <w:autoRedefine/>
    <w:qFormat/>
    <w:uiPriority w:val="0"/>
    <w:pPr>
      <w:keepNext/>
      <w:keepLines/>
      <w:numPr>
        <w:ilvl w:val="2"/>
        <w:numId w:val="1"/>
      </w:numPr>
      <w:outlineLvl w:val="2"/>
    </w:pPr>
    <w:rPr>
      <w:bCs/>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0"/>
    <w:pPr>
      <w:spacing w:after="120"/>
    </w:pPr>
  </w:style>
  <w:style w:type="paragraph" w:styleId="6">
    <w:name w:val="Date"/>
    <w:basedOn w:val="1"/>
    <w:next w:val="1"/>
    <w:qFormat/>
    <w:uiPriority w:val="0"/>
    <w:pPr>
      <w:ind w:left="100" w:leftChars="2500"/>
    </w:pPr>
    <w:rPr>
      <w:rFonts w:ascii="Times New Roman" w:hAnsi="Times New Roman" w:eastAsia="宋体" w:cs="Times New Roman"/>
      <w:szCs w:val="24"/>
    </w:rPr>
  </w:style>
  <w:style w:type="paragraph" w:styleId="7">
    <w:name w:val="Body Text Indent 2"/>
    <w:basedOn w:val="1"/>
    <w:autoRedefine/>
    <w:qFormat/>
    <w:uiPriority w:val="0"/>
    <w:pPr>
      <w:spacing w:after="120" w:line="480" w:lineRule="auto"/>
      <w:ind w:left="420" w:leftChars="200"/>
    </w:pPr>
    <w:rPr>
      <w:sz w:val="24"/>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rPr>
      <w:rFonts w:ascii="Calibri" w:hAnsi="Calibri"/>
    </w:rPr>
  </w:style>
  <w:style w:type="table" w:styleId="13">
    <w:name w:val="Table Grid"/>
    <w:basedOn w:val="12"/>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bCs/>
    </w:rPr>
  </w:style>
  <w:style w:type="character" w:styleId="16">
    <w:name w:val="page number"/>
    <w:autoRedefine/>
    <w:qFormat/>
    <w:uiPriority w:val="99"/>
  </w:style>
  <w:style w:type="character" w:styleId="17">
    <w:name w:val="Hyperlink"/>
    <w:autoRedefine/>
    <w:unhideWhenUsed/>
    <w:qFormat/>
    <w:uiPriority w:val="99"/>
    <w:rPr>
      <w:color w:val="0563C1"/>
      <w:u w:val="single"/>
    </w:rPr>
  </w:style>
  <w:style w:type="character" w:customStyle="1" w:styleId="18">
    <w:name w:val="页眉 Char"/>
    <w:link w:val="9"/>
    <w:autoRedefine/>
    <w:qFormat/>
    <w:uiPriority w:val="99"/>
    <w:rPr>
      <w:kern w:val="2"/>
      <w:sz w:val="18"/>
      <w:szCs w:val="18"/>
    </w:rPr>
  </w:style>
  <w:style w:type="paragraph" w:styleId="19">
    <w:name w:val="List Paragraph"/>
    <w:basedOn w:val="1"/>
    <w:autoRedefine/>
    <w:qFormat/>
    <w:uiPriority w:val="34"/>
    <w:pPr>
      <w:spacing w:line="0" w:lineRule="atLeast"/>
      <w:ind w:firstLine="420" w:firstLineChars="200"/>
    </w:pPr>
  </w:style>
  <w:style w:type="paragraph" w:customStyle="1" w:styleId="20">
    <w:name w:val="正文首缩"/>
    <w:basedOn w:val="1"/>
    <w:autoRedefine/>
    <w:qFormat/>
    <w:uiPriority w:val="0"/>
    <w:pPr>
      <w:ind w:firstLine="480" w:firstLineChars="200"/>
    </w:pPr>
  </w:style>
  <w:style w:type="paragraph" w:customStyle="1" w:styleId="21">
    <w:name w:val="TOC 标题1"/>
    <w:basedOn w:val="3"/>
    <w:next w:val="1"/>
    <w:autoRedefine/>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2">
    <w:name w:val="页脚 Char"/>
    <w:basedOn w:val="14"/>
    <w:link w:val="8"/>
    <w:autoRedefine/>
    <w:qFormat/>
    <w:uiPriority w:val="99"/>
    <w:rPr>
      <w:kern w:val="2"/>
      <w:sz w:val="18"/>
      <w:szCs w:val="18"/>
    </w:rPr>
  </w:style>
  <w:style w:type="character" w:customStyle="1" w:styleId="23">
    <w:name w:val="正文文本 Char"/>
    <w:basedOn w:val="14"/>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BBB83-AC9A-411A-885C-CB0DA4A6D8CD}">
  <ds:schemaRefs/>
</ds:datastoreItem>
</file>

<file path=docProps/app.xml><?xml version="1.0" encoding="utf-8"?>
<Properties xmlns="http://schemas.openxmlformats.org/officeDocument/2006/extended-properties" xmlns:vt="http://schemas.openxmlformats.org/officeDocument/2006/docPropsVTypes">
  <Template>Normal</Template>
  <Company>q</Company>
  <Pages>13</Pages>
  <Words>1160</Words>
  <Characters>6616</Characters>
  <Lines>55</Lines>
  <Paragraphs>15</Paragraphs>
  <TotalTime>0</TotalTime>
  <ScaleCrop>false</ScaleCrop>
  <LinksUpToDate>false</LinksUpToDate>
  <CharactersWithSpaces>7761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2022-06-27T12:54:00Z</dcterms:created>
  <dc:creator>liaoyu</dc:creator>
  <cp:lastModifiedBy>　大咖丶</cp:lastModifiedBy>
  <cp:lastPrinted>2006-10-12T23:44:00Z</cp:lastPrinted>
  <dcterms:modified xsi:type="dcterms:W3CDTF">2026-03-22T11:12:47Z</dcterms:modified>
  <dc:title>KB</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807237DABA5C49BC8C13337426BF5F80</vt:lpwstr>
  </property>
</Properties>
</file>