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山东厚俞实业有限公司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hint="eastAsia" w:cs="华文仿宋"/>
                <w:szCs w:val="21"/>
                <w:lang w:val="en-US" w:eastAsia="zh-CN"/>
              </w:rPr>
              <w:t>30022-2026</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东营市北二路北侧阜盛路与潍坊路交汇处</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ascii="宋体" w:hAnsi="宋体" w:cs="华文仿宋"/>
                <w:szCs w:val="21"/>
              </w:rPr>
            </w:pPr>
            <w:r>
              <w:rPr>
                <w:rFonts w:hint="eastAsia"/>
              </w:rPr>
              <w:t>东营市北二路北侧阜盛路与潍坊路交汇处</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6A784B1F">
            <w:pPr>
              <w:adjustRightInd w:val="0"/>
              <w:rPr>
                <w:rFonts w:hint="default" w:ascii="宋体" w:hAnsi="宋体" w:eastAsia="宋体"/>
                <w:szCs w:val="21"/>
                <w:u w:val="single"/>
                <w:lang w:val="en-US" w:eastAsia="zh-CN"/>
              </w:rPr>
            </w:pPr>
            <w:r>
              <w:rPr>
                <w:rFonts w:hint="eastAsia"/>
                <w:szCs w:val="21"/>
                <w:u w:val="single"/>
                <w:lang w:val="en-US" w:eastAsia="zh-CN"/>
              </w:rPr>
              <w:t>低压成套开关设备[低压开关柜、低压动力柜、低压配电箱(柜)]、高压成套开关设备[(气体绝缘金属封闭开关柜(GIS开关柜)、高压开关柜、高压电容无功补偿装置、户内外高压断路器]、室内环网柜、室外环网箱、中性点设备、线路补偿装置、变频控制装置、滤波装置、三相不平衡装置、变压器、电力金具、箱式变电站、电缆附件(电缆头)、仪器仪表及配件(涉及资质除外)、石油机械设备(自动系统设备、石油机械钻采专用配件、加药装置、水处理设备)、电机(涉及资质除外)、泵配件、阴保设备(恒电位仪)及配件、组合式变电站、控制柜(油井控制柜、配电馈线终端FTU、母线群控装置、稠油中频加热控制装置、电加热器控制柜、潜油电泵控制柜)、监控杆、绝缘子、牺牲阳极、电缆桥架的生产(需资质许可的除外)。</w:t>
            </w:r>
          </w:p>
          <w:p w14:paraId="0A02D74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60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eastAsia"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4</w:t>
            </w:r>
            <w:r>
              <w:rPr>
                <w:rFonts w:hint="eastAsia" w:ascii="宋体" w:hAnsi="宋体"/>
                <w:szCs w:val="21"/>
                <w:highlight w:val="none"/>
              </w:rPr>
              <w:t>.</w:t>
            </w:r>
            <w:r>
              <w:rPr>
                <w:rFonts w:hint="eastAsia"/>
                <w:szCs w:val="21"/>
                <w:highlight w:val="none"/>
                <w:lang w:val="en-US" w:eastAsia="zh-CN"/>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1.5</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20"/>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10</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4.0</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rFonts w:hint="default"/>
                <w:color w:val="000000"/>
                <w:szCs w:val="21"/>
                <w:highlight w:val="yellow"/>
                <w:lang w:val="en-US" w:eastAsia="zh-CN"/>
              </w:rPr>
            </w:pPr>
            <w:r>
              <w:rPr>
                <w:rFonts w:hint="eastAsia"/>
                <w:color w:val="000000"/>
                <w:szCs w:val="21"/>
                <w:highlight w:val="yellow"/>
                <w:lang w:val="en-US" w:eastAsia="zh-CN"/>
              </w:rPr>
              <w:t>计划审核日期/时间：2026年3月20日8:30至21日17:00</w:t>
            </w:r>
          </w:p>
          <w:p w14:paraId="1C196C17">
            <w:pPr>
              <w:spacing w:line="320" w:lineRule="exact"/>
              <w:rPr>
                <w:rFonts w:hint="eastAsia"/>
                <w:color w:val="000000"/>
                <w:szCs w:val="21"/>
                <w:highlight w:val="yellow"/>
                <w:lang w:val="en-US" w:eastAsia="zh-CN"/>
              </w:rPr>
            </w:pPr>
            <w:r>
              <w:rPr>
                <w:rFonts w:hint="eastAsia"/>
                <w:color w:val="000000"/>
                <w:szCs w:val="21"/>
                <w:highlight w:val="yellow"/>
                <w:lang w:val="en-US" w:eastAsia="zh-CN"/>
              </w:rPr>
              <w:t>审核组：耿丽修（组长），孙小燕（组员）</w:t>
            </w:r>
          </w:p>
          <w:p w14:paraId="02256293">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059938E">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p>
          <w:p w14:paraId="40FD077C">
            <w:pPr>
              <w:spacing w:line="320" w:lineRule="exact"/>
              <w:rPr>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4BB39E5">
            <w:pPr>
              <w:spacing w:line="276" w:lineRule="auto"/>
              <w:rPr>
                <w:rFonts w:hint="eastAsia"/>
                <w:bCs/>
                <w:highlight w:val="yellow"/>
                <w:lang w:val="en-US" w:eastAsia="zh-CN"/>
              </w:rPr>
            </w:pPr>
          </w:p>
          <w:p w14:paraId="651AE451">
            <w:pPr>
              <w:spacing w:line="276" w:lineRule="auto"/>
              <w:rPr>
                <w:rFonts w:hint="default"/>
                <w:bCs/>
                <w:highlight w:val="yellow"/>
                <w:lang w:val="en-US" w:eastAsia="zh-CN"/>
              </w:rPr>
            </w:pPr>
          </w:p>
          <w:p w14:paraId="56D61A69">
            <w:pPr>
              <w:spacing w:line="276" w:lineRule="auto"/>
              <w:rPr>
                <w:bCs/>
              </w:rPr>
            </w:pPr>
            <w:r>
              <w:rPr>
                <w:rFonts w:hint="eastAsia" w:ascii="宋体" w:hAnsi="宋体"/>
                <w:szCs w:val="21"/>
              </w:rPr>
              <w:t>评审人员：</w:t>
            </w:r>
            <w:r>
              <w:rPr>
                <w:rFonts w:hint="eastAsia"/>
                <w:szCs w:val="21"/>
                <w:lang w:val="en-US" w:eastAsia="zh-CN"/>
              </w:rPr>
              <w:t>林刚</w:t>
            </w:r>
            <w:r>
              <w:rPr>
                <w:rFonts w:hint="eastAsia" w:ascii="宋体" w:hAnsi="宋体"/>
                <w:szCs w:val="21"/>
              </w:rPr>
              <w:t xml:space="preserve">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12</w:t>
            </w:r>
            <w:r>
              <w:rPr>
                <w:rFonts w:hint="eastAsia" w:ascii="宋体" w:hAnsi="宋体"/>
                <w:szCs w:val="21"/>
              </w:rPr>
              <w:t>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color w:val="000000"/>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7-2030</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31</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color w:val="000000"/>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color w:val="000000"/>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hint="eastAsia" w:ascii="宋体" w:hAnsi="宋体" w:eastAsia="宋体" w:cs="华文仿宋"/>
                <w:szCs w:val="21"/>
                <w:lang w:eastAsia="zh-CN"/>
              </w:rPr>
            </w:pPr>
            <w:r>
              <w:rPr>
                <w:rFonts w:hint="eastAsia" w:ascii="宋体" w:hAnsi="宋体" w:cs="华文仿宋"/>
                <w:szCs w:val="21"/>
              </w:rPr>
              <w:t>是</w:t>
            </w:r>
            <w:r>
              <w:rPr>
                <w:rFonts w:hint="eastAsia" w:cs="华文仿宋"/>
                <w:szCs w:val="21"/>
                <w:lang w:eastAsia="zh-CN"/>
              </w:rPr>
              <w:t>☑</w:t>
            </w:r>
            <w:r>
              <w:rPr>
                <w:rFonts w:hint="eastAsia" w:ascii="宋体" w:hAnsi="宋体" w:cs="华文仿宋"/>
                <w:szCs w:val="21"/>
              </w:rPr>
              <w:t>　否</w:t>
            </w:r>
            <w:r>
              <w:rPr>
                <w:rFonts w:hint="eastAsia" w:cs="华文仿宋"/>
                <w:szCs w:val="21"/>
                <w:lang w:eastAsia="zh-CN"/>
              </w:rPr>
              <w:t>□</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12</w:t>
            </w:r>
            <w:bookmarkStart w:id="6" w:name="_GoBack"/>
            <w:bookmarkEnd w:id="6"/>
            <w:r>
              <w:rPr>
                <w:rFonts w:hint="eastAsia" w:ascii="宋体" w:hAnsi="宋体"/>
                <w:szCs w:val="21"/>
              </w:rPr>
              <w:t>日</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36E20F9">
            <w:pPr>
              <w:spacing w:line="320" w:lineRule="exact"/>
              <w:rPr>
                <w:rFonts w:hint="eastAsia" w:ascii="宋体" w:hAnsi="宋体" w:cs="华文仿宋"/>
                <w:b/>
                <w:szCs w:val="21"/>
              </w:rPr>
            </w:pP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7C3963DA">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4D996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23D9D2CF">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5EBF0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677" w:type="dxa"/>
            <w:noWrap/>
            <w:vAlign w:val="center"/>
          </w:tcPr>
          <w:p w14:paraId="3D9154DF">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10363A4C">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68F6764">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6C10D2DD">
            <w:pPr>
              <w:ind w:right="420"/>
              <w:rPr>
                <w:rFonts w:ascii="宋体"/>
                <w:bCs/>
                <w:szCs w:val="21"/>
              </w:rPr>
            </w:pPr>
          </w:p>
          <w:p w14:paraId="34016170">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65BBF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22050732">
            <w:pPr>
              <w:spacing w:line="320" w:lineRule="exact"/>
              <w:rPr>
                <w:rFonts w:ascii="宋体" w:hAnsi="宋体" w:cs="华文仿宋"/>
                <w:b/>
                <w:szCs w:val="21"/>
              </w:rPr>
            </w:pPr>
          </w:p>
          <w:p w14:paraId="621AA48A">
            <w:pPr>
              <w:spacing w:line="320" w:lineRule="exact"/>
              <w:rPr>
                <w:rFonts w:ascii="宋体" w:hAnsi="宋体" w:cs="华文仿宋"/>
                <w:b/>
                <w:szCs w:val="21"/>
              </w:rPr>
            </w:pPr>
          </w:p>
          <w:p w14:paraId="48EF7606">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3228257B">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4BAD91DE">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62E00D11">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FD17FB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5B294DB0">
            <w:pPr>
              <w:spacing w:line="320" w:lineRule="exact"/>
              <w:rPr>
                <w:bCs/>
              </w:rPr>
            </w:pPr>
          </w:p>
          <w:p w14:paraId="197582DD">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2A0A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736D99E3">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68B68E48">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963C85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690C3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69265B25">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0A824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677" w:type="dxa"/>
            <w:noWrap/>
            <w:vAlign w:val="center"/>
          </w:tcPr>
          <w:p w14:paraId="6E63D835">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2418F64C">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EE8054C">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5CF859BA">
            <w:pPr>
              <w:ind w:right="420"/>
              <w:rPr>
                <w:rFonts w:ascii="宋体"/>
                <w:bCs/>
                <w:szCs w:val="21"/>
              </w:rPr>
            </w:pPr>
          </w:p>
          <w:p w14:paraId="09AE4CB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5B304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326A6A12">
            <w:pPr>
              <w:spacing w:line="320" w:lineRule="exact"/>
              <w:rPr>
                <w:rFonts w:ascii="宋体" w:hAnsi="宋体" w:cs="华文仿宋"/>
                <w:b/>
                <w:szCs w:val="21"/>
              </w:rPr>
            </w:pPr>
          </w:p>
          <w:p w14:paraId="4A80AC5E">
            <w:pPr>
              <w:spacing w:line="320" w:lineRule="exact"/>
              <w:rPr>
                <w:rFonts w:ascii="宋体" w:hAnsi="宋体" w:cs="华文仿宋"/>
                <w:b/>
                <w:szCs w:val="21"/>
              </w:rPr>
            </w:pPr>
          </w:p>
          <w:p w14:paraId="21B49A9E">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1188BB1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68AA55B1">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7B6474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7E7DB4E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519C8113">
            <w:pPr>
              <w:spacing w:line="320" w:lineRule="exact"/>
              <w:rPr>
                <w:bCs/>
              </w:rPr>
            </w:pPr>
          </w:p>
          <w:p w14:paraId="3D684BFD">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8E0F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3FAAF550">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30DC6DD2">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52116813">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401A0162">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3480188E">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101A49E0"/>
    <w:rsid w:val="17051CA3"/>
    <w:rsid w:val="171B5F00"/>
    <w:rsid w:val="1C5B280E"/>
    <w:rsid w:val="21513C95"/>
    <w:rsid w:val="26C1403D"/>
    <w:rsid w:val="2730339A"/>
    <w:rsid w:val="275B0E2A"/>
    <w:rsid w:val="2B666DE0"/>
    <w:rsid w:val="2E9637FB"/>
    <w:rsid w:val="37E421D8"/>
    <w:rsid w:val="3D002693"/>
    <w:rsid w:val="493F1443"/>
    <w:rsid w:val="4A4F0BE4"/>
    <w:rsid w:val="4D262444"/>
    <w:rsid w:val="50392625"/>
    <w:rsid w:val="5FA8637C"/>
    <w:rsid w:val="63B10A5D"/>
    <w:rsid w:val="663126CD"/>
    <w:rsid w:val="6EB470E9"/>
    <w:rsid w:val="6F8D29E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3157</Words>
  <Characters>3338</Characters>
  <Lines>21</Lines>
  <Paragraphs>6</Paragraphs>
  <TotalTime>5</TotalTime>
  <ScaleCrop>false</ScaleCrop>
  <LinksUpToDate>false</LinksUpToDate>
  <CharactersWithSpaces>3718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2026-03-23T00:47:46Z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