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连云港虹洋热电有限公司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10237-2024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连云港市徐圩新区综合会馆208室</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连云港市徐圩新区石化三路南侧</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szCs w:val="21"/>
                <w:highlight w:val="yellow"/>
                <w:lang w:val="en-US" w:eastAsia="zh-CN"/>
              </w:rPr>
              <w:t xml:space="preserve"> 证书（ISC-2024-1479）有效期至2029-04-27</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6A784B1F">
            <w:pPr>
              <w:adjustRightInd w:val="0"/>
              <w:rPr>
                <w:rFonts w:hint="eastAsia" w:ascii="宋体" w:hAnsi="宋体" w:eastAsia="宋体"/>
                <w:szCs w:val="21"/>
                <w:u w:val="single"/>
                <w:lang w:val="en-US" w:eastAsia="zh-CN"/>
              </w:rPr>
            </w:pPr>
            <w:r>
              <w:rPr>
                <w:b/>
                <w:szCs w:val="21"/>
              </w:rPr>
              <w:t>3、</w:t>
            </w:r>
            <w:r>
              <w:rPr>
                <w:rFonts w:hint="eastAsia" w:ascii="宋体" w:hAnsi="宋体"/>
                <w:b/>
                <w:szCs w:val="21"/>
              </w:rPr>
              <w:t>拟认证范围：</w:t>
            </w:r>
            <w:r>
              <w:rPr>
                <w:rFonts w:hint="eastAsia" w:ascii="宋体" w:hAnsi="宋体"/>
                <w:szCs w:val="21"/>
                <w:u w:val="single"/>
              </w:rPr>
              <w:t>火力发电；蒸汽销售；灰渣、化工原料及化工产品（危险品除外）的销售所涉及的测量管理活动</w:t>
            </w:r>
            <w:r>
              <w:rPr>
                <w:rFonts w:hint="eastAsia"/>
                <w:szCs w:val="21"/>
                <w:u w:val="single"/>
                <w:lang w:eastAsia="zh-CN"/>
              </w:rPr>
              <w:t>。</w:t>
            </w:r>
          </w:p>
          <w:p w14:paraId="461AD3FC">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589</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270人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5</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5.0/4.0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林刚</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2026年3月6日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b/>
                <w:szCs w:val="21"/>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b/>
                <w:szCs w:val="21"/>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5.0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5-2028</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29</w:t>
            </w:r>
            <w:bookmarkStart w:id="6" w:name="_GoBack"/>
            <w:bookmarkEnd w:id="6"/>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2026年3月6日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color w:val="000000"/>
                <w:szCs w:val="21"/>
                <w:highlight w:val="none"/>
              </w:rPr>
              <w:t>人日</w:t>
            </w:r>
            <w:r>
              <w:rPr>
                <w:color w:val="000000"/>
                <w:szCs w:val="21"/>
              </w:rPr>
              <w:t>（</w:t>
            </w:r>
            <w:r>
              <w:rPr>
                <w:color w:val="000000"/>
              </w:rPr>
              <w:t>TΣ</w:t>
            </w:r>
            <w:r>
              <w:rPr>
                <w:color w:val="000000"/>
                <w:szCs w:val="21"/>
              </w:rPr>
              <w:t>X 80% ）</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无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cs="华文仿宋"/>
                <w:color w:val="000000"/>
                <w:szCs w:val="21"/>
                <w:lang w:val="en-US" w:eastAsia="zh-CN"/>
              </w:rPr>
              <w:t>0</w:t>
            </w:r>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1C4CC89">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2026年3月9日</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3.0</w:t>
            </w:r>
            <w:r>
              <w:rPr>
                <w:color w:val="000000"/>
                <w:szCs w:val="21"/>
                <w:highlight w:val="yellow"/>
              </w:rPr>
              <w:t>人日</w:t>
            </w:r>
            <w:r>
              <w:rPr>
                <w:color w:val="000000"/>
                <w:szCs w:val="21"/>
              </w:rPr>
              <w:t>（</w:t>
            </w:r>
            <w:r>
              <w:rPr>
                <w:color w:val="000000"/>
              </w:rPr>
              <w:t>TΣ</w:t>
            </w:r>
            <w:r>
              <w:rPr>
                <w:color w:val="000000"/>
                <w:szCs w:val="21"/>
              </w:rPr>
              <w:t>X 80% ）</w:t>
            </w:r>
          </w:p>
          <w:p w14:paraId="255E5924">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计划审核日期：2026年03月24日 08:30至25日12:00</w:t>
            </w:r>
          </w:p>
          <w:p w14:paraId="7EEC9354">
            <w:pPr>
              <w:spacing w:line="320" w:lineRule="exact"/>
              <w:rPr>
                <w:rFonts w:hint="default"/>
                <w:color w:val="000000"/>
                <w:szCs w:val="21"/>
                <w:lang w:val="en-US"/>
              </w:rPr>
            </w:pPr>
            <w:r>
              <w:rPr>
                <w:rFonts w:hint="eastAsia"/>
                <w:b/>
                <w:bCs/>
                <w:color w:val="000000"/>
                <w:szCs w:val="21"/>
                <w:highlight w:val="yellow"/>
                <w:lang w:val="en-US" w:eastAsia="zh-CN"/>
              </w:rPr>
              <w:t>审核组：吴素平（组长），汪宁艺（组员）</w:t>
            </w:r>
          </w:p>
          <w:p w14:paraId="1970D9ED">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817AB52">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231A9FBB">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2026年3月9日</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5219C389">
            <w:pPr>
              <w:spacing w:line="320" w:lineRule="exact"/>
              <w:rPr>
                <w:rFonts w:hint="default"/>
                <w:color w:val="000000"/>
                <w:szCs w:val="21"/>
                <w:lang w:val="en-US" w:eastAsia="zh-CN"/>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0D30332D">
            <w:pPr>
              <w:spacing w:line="320" w:lineRule="exact"/>
              <w:rPr>
                <w:rFonts w:hint="default"/>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4D04327">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D700BF6"/>
    <w:rsid w:val="0F8317BD"/>
    <w:rsid w:val="17051CA3"/>
    <w:rsid w:val="171B5F00"/>
    <w:rsid w:val="1C5B280E"/>
    <w:rsid w:val="20A20A3A"/>
    <w:rsid w:val="22721CF6"/>
    <w:rsid w:val="26C1403D"/>
    <w:rsid w:val="2B666DE0"/>
    <w:rsid w:val="2C79458B"/>
    <w:rsid w:val="2E9637FB"/>
    <w:rsid w:val="2FEA70BB"/>
    <w:rsid w:val="31C37C30"/>
    <w:rsid w:val="37E421D8"/>
    <w:rsid w:val="3D002693"/>
    <w:rsid w:val="3D476AA7"/>
    <w:rsid w:val="3F040073"/>
    <w:rsid w:val="40517914"/>
    <w:rsid w:val="43C51ACF"/>
    <w:rsid w:val="44E1231A"/>
    <w:rsid w:val="4A4F0BE4"/>
    <w:rsid w:val="4B567DB0"/>
    <w:rsid w:val="4C104B48"/>
    <w:rsid w:val="4FBC5542"/>
    <w:rsid w:val="518B53F7"/>
    <w:rsid w:val="5B7454CA"/>
    <w:rsid w:val="5B9B00A5"/>
    <w:rsid w:val="5D477214"/>
    <w:rsid w:val="5FA8637C"/>
    <w:rsid w:val="60AD2720"/>
    <w:rsid w:val="61121C98"/>
    <w:rsid w:val="62837A4F"/>
    <w:rsid w:val="63B95340"/>
    <w:rsid w:val="68E36D95"/>
    <w:rsid w:val="69B70447"/>
    <w:rsid w:val="6D3952E6"/>
    <w:rsid w:val="6D5E571A"/>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2803</Words>
  <Characters>3004</Characters>
  <Lines>21</Lines>
  <Paragraphs>6</Paragraphs>
  <TotalTime>24</TotalTime>
  <ScaleCrop>false</ScaleCrop>
  <LinksUpToDate>false</LinksUpToDate>
  <CharactersWithSpaces>3316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2026-03-09T09:46:05Z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