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3e3af742744c1" /><Relationship Type="http://schemas.openxmlformats.org/package/2006/relationships/metadata/core-properties" Target="/package/services/metadata/core-properties/78f0c7b2c6d34c6baeaf457cc1edb2d5.psmdcp" Id="Rcfca9b74228d4d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spacing w:before="0" w:after="0" w:line="120" w:lineRule="exact"/>
        <w:ind w:firstLine="0"/>
        <w:jc w:val="both"/>
        <w:rPr>
          <w:sz w:val="8"/>
        </w:rPr>
        <w:rPr>
          <w:rFonts w:hint="eastAsia" w:ascii="SimSun" w:hAnsi="SimSun" w:eastAsia="SimSun"/>
          <w:color w:val="000000"/>
          <w:sz w:val="8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:rsidR="00A23914" w:rsidTr="00A23914">
        <w:trPr>
          <w:trHeight w:val="500"/>
        </w:trPr>
        <w:tc>
          <w:tcPr>
            <w:tcW w:w="8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96" w:after="0" w:line="362" w:lineRule="exact"/>
              <w:ind w:firstLine="14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审批意见：</w:t>
            </w:r>
          </w:p>
        </w:tc>
      </w:tr>
      <w:tr w:rsidR="00A23914" w:rsidTr="00A23914">
        <w:trPr>
          <w:trHeight w:val="13120"/>
        </w:trPr>
        <w:tc>
          <w:tcPr>
            <w:tcW w:w="8320" w:type="dxa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0" w:after="0" w:line="362" w:lineRule="exact"/>
              <w:ind w:firstLine="4400"/>
              <w:jc w:val="right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衡行审字第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2021XM010-00194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号</w:t>
            </w:r>
          </w:p>
          <w:p>
            <w:pPr>
              <w:autoSpaceDE w:val="false"/>
              <w:autoSpaceDN w:val="false"/>
              <w:spacing w:before="126" w:after="0" w:line="362" w:lineRule="exact"/>
              <w:ind w:left="120" w:right="40" w:firstLine="54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河北永联玻璃钢设备有限公司年产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2300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吨玻璃钢制品项目环境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影响报告表收悉。经研究，批复如下：</w:t>
            </w:r>
          </w:p>
          <w:p>
            <w:pPr>
              <w:autoSpaceDE w:val="false"/>
              <w:autoSpaceDN w:val="false"/>
              <w:spacing w:before="126" w:after="0" w:line="362" w:lineRule="exact"/>
              <w:ind w:left="100" w:right="40" w:firstLine="5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、拟建项目位于河北枣强经济开发区东环路西侧，总投资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2200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万元，其中环保投资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30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万元，占总投资的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.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36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％。租赁恒润集团有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限公司二厂区现有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-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06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＃车间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1638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平方米，新上缠绕生产线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条、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搅拌机、修整机、磨光机、天车等共计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16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条／台／套，主要原辅材料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为不饱和树脂、玻璃纤维纱线、固化剂、促进剂等。项目建成后，年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产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2300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吨玻璃钢制品。枣强县工业和信息化局已备案（枣技改备字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［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2021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]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030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号），项目签订土地租赁协议，所租土地具有土地证（枣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国用（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2013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）第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40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号），河北枣强经济开发区管理委员会同意入园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建设，符合产业政策、土地利用规划和园区总体规划。经研究，项目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从环保角度建设可行，同意该环境影响报告表做为项目工程设计、建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设及环境管理的依据。</w:t>
            </w:r>
          </w:p>
          <w:p>
            <w:pPr>
              <w:autoSpaceDE w:val="false"/>
              <w:autoSpaceDN w:val="false"/>
              <w:spacing w:before="96" w:after="0" w:line="362" w:lineRule="exact"/>
              <w:ind w:firstLine="6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、项目建设要重点注意以下内容：</w:t>
            </w:r>
          </w:p>
          <w:p>
            <w:pPr>
              <w:autoSpaceDE w:val="false"/>
              <w:autoSpaceDN w:val="false"/>
              <w:spacing w:before="126" w:after="0" w:line="362" w:lineRule="exact"/>
              <w:ind w:left="120" w:right="80" w:firstLine="54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废水主要措施：项目无生产废水外排；生活污水依托恒润集团有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限公司化粪池处理后，排入枣强县污水处理厂处理。</w:t>
            </w:r>
          </w:p>
          <w:p>
            <w:pPr>
              <w:autoSpaceDE w:val="false"/>
              <w:autoSpaceDN w:val="false"/>
              <w:spacing w:before="124" w:after="0" w:line="362" w:lineRule="exact"/>
              <w:ind w:left="120" w:right="60" w:firstLine="54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废气主要措施：①原料配制、配件生产过程均在二次密闭间内进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行（二次密闭间内加稳压排风系统，使密闭间内保持微负压，二次密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闭间内设置集气罩），缠绕生产过程和装配过程设置侧吸集气罩，原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料配制、配件生产、缠绕生产、配件装配废气经集气装置收集二级活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性炭吸附装置处理后，经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25m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高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1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＃排气筒达标排放；②设置一个密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闭修整间，缠绕人工修整、配件人工修整均在密闭间内进行，密闭间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内设集气装置，废气经收集进入布袋除尘器处理后，经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25m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高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 xml:space="preserve">2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＃排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气筒达标排放。</w:t>
            </w:r>
          </w:p>
          <w:p>
            <w:pPr>
              <w:autoSpaceDE w:val="false"/>
              <w:autoSpaceDN w:val="false"/>
              <w:spacing w:before="0" w:after="0" w:line="320" w:lineRule="exact"/>
              <w:ind w:left="100" w:right="80" w:firstLine="58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固体废物主要措施：玻璃钢下脚料、废包装袋、废塑料膜、落地</w:t>
            </w: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渣、除尘灰、生活垃圾由环卫部门统一收集处理；未损坏的废包装桶</w:t>
            </w:r>
          </w:p>
        </w:tc>
      </w:tr>
    </w:tbl>
    <w:p>
      <w:pPr>
        <w:spacing w:line="1" w:lineRule="exact"/>
        <w:sectPr>
          <w:type w:val="continuous"/>
          <w:pgSz w:w="11900" w:h="16760" w:orient="portrait"/>
          <w:pgMar w:top="1440" w:right="1680" w:bottom="1200" w:left="1680" w:header="720" w:footer="600"/>
          <w:cols w:equalWidth="true" w:num="1"/>
        </w:sectPr>
      </w:pPr>
    </w:p>
    <w:p>
      <w:pPr>
        <w:autoSpaceDE w:val="false"/>
        <w:autoSpaceDN w:val="false"/>
        <w:spacing w:before="0" w:after="0" w:line="200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4546600</wp:posOffset>
            </wp:positionH>
            <wp:positionV relativeFrom="page">
              <wp:posOffset>8128000</wp:posOffset>
            </wp:positionV>
            <wp:extent cx="1460500" cy="14986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4a0bbc8cd564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1400" cy="42926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false"/>
                              <w:autoSpaceDN w:val="false"/>
                              <w:spacing w:before="0" w:after="0" w:line="362" w:lineRule="exact"/>
                              <w:ind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3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、项目污染物总量控制指标为：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COD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: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0t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/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a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；氨氮：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0t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/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a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;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S</w:t>
                            </w:r>
                            <w:r>
                              <w:rPr>
                                <w:rFonts w:hint="eastAsia" w:ascii="SimSun" w:hAnsi="SimSun" w:eastAsia="SimSun"/>
                                <w:color w:val="000000"/>
                                <w:sz w:val="28"/>
                              </w:rPr>
                              <w:t xml:space="preserve">SO2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0.0pt;margin-top:0.0pt;height:338.0pt;width:482.0pt;z-index:639077199336761259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autoSpaceDE w:val="false"/>
                        <w:autoSpaceDN w:val="false"/>
                        <w:spacing w:before="0" w:after="0" w:line="362" w:lineRule="exact"/>
                        <w:ind w:firstLine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3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、项目污染物总量控制指标为：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COD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: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0t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/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a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；氨氮：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0t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/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a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;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S</w:t>
                      </w:r>
                      <w:r>
                        <w:rPr>
                          <w:rFonts w:hint="eastAsia" w:ascii="SimSun" w:hAnsi="SimSun" w:eastAsia="SimSun"/>
                          <w:color w:val="000000"/>
                          <w:sz w:val="28"/>
                        </w:rPr>
                        <w:t xml:space="preserve">SO2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 w:rsidR="00A23914" w:rsidTr="00A23914">
        <w:trPr>
          <w:trHeight w:val="14080"/>
        </w:trPr>
        <w:tc>
          <w:tcPr>
            <w:tcW w:w="8380" w:type="dxa"/>
            <w:tcBorders/>
            <w:vAlign w:val="top"/>
          </w:tcPr>
          <w:p>
            <w:pPr>
              <w:autoSpaceDE w:val="false"/>
              <w:autoSpaceDN w:val="false"/>
              <w:spacing w:before="127" w:after="0" w:line="375" w:lineRule="exact"/>
              <w:ind w:left="100" w:right="20" w:firstLine="0"/>
              <w:jc w:val="both"/>
              <w:rPr>
                <w:sz w:val="29"/>
              </w:rPr>
            </w:pP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密封后暂存于车间，交由厂家周转使用，损坏的废包装桶暂存危废间，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定期交由资质单位处置；未损坏的废油桶密封后暂存于车间，交由厂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家周转使用，损坏的废油桶暂存危废间，定期交由资质单位处置；废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液压油、废活性炭暂存于危废间，定期交由资质单位处置。要落实一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般固废和危险废物临时储存场所的防雨、防日晒、防渗措施，并设置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明显标志。</w:t>
            </w:r>
          </w:p>
          <w:p>
            <w:pPr>
              <w:autoSpaceDE w:val="false"/>
              <w:autoSpaceDN w:val="false"/>
              <w:spacing w:before="130" w:after="0" w:line="375" w:lineRule="exact"/>
              <w:ind w:left="100" w:right="60" w:firstLine="560"/>
              <w:jc w:val="both"/>
              <w:rPr>
                <w:sz w:val="29"/>
              </w:rPr>
            </w:pP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噪声主要措施：噪声污染源主要为缠绕生产线、搅拌机、修整机、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磨光机、天车等设备产生的机械噪声，选用低噪声设备、基础减震、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室内安置等措施降低噪声，确保厂界噪声达标。</w:t>
            </w:r>
          </w:p>
          <w:p>
            <w:pPr>
              <w:autoSpaceDE w:val="false"/>
              <w:autoSpaceDN w:val="false"/>
              <w:spacing w:before="156" w:after="0" w:line="362" w:lineRule="exact"/>
              <w:ind w:firstLine="680"/>
              <w:jc w:val="both"/>
              <w:rPr>
                <w:sz w:val="28"/>
              </w:rPr>
            </w:pPr>
            <w:r>
              <w:rPr>
                <w:rFonts w:hint="eastAsia" w:ascii="SimSun" w:hAnsi="SimSun" w:eastAsia="SimSun"/>
                <w:color w:val="000000"/>
                <w:sz w:val="28"/>
              </w:rPr>
              <w:t xml:space="preserve">以上措施要与主体工程同时设计、同时施工、同时投产使用。</w:t>
            </w:r>
          </w:p>
          <w:p>
            <w:pPr>
              <w:autoSpaceDE w:val="false"/>
              <w:autoSpaceDN w:val="false"/>
              <w:spacing w:before="0" w:after="0" w:line="375" w:lineRule="exact"/>
              <w:ind w:firstLine="0"/>
              <w:jc w:val="both"/>
              <w:rPr>
                <w:sz w:val="29"/>
              </w:rPr>
              <w:rPr>
                <w:rFonts w:hint="eastAsia" w:ascii="SimSun" w:hAnsi="SimSun" w:eastAsia="SimSun"/>
                <w:color w:val="000000"/>
                <w:sz w:val="29"/>
              </w:rPr>
            </w:pPr>
          </w:p>
          <w:p>
            <w:pPr>
              <w:autoSpaceDE w:val="false"/>
              <w:autoSpaceDN w:val="false"/>
              <w:spacing w:before="337" w:after="0" w:line="375" w:lineRule="exact"/>
              <w:ind w:left="100" w:right="220" w:firstLine="0"/>
              <w:jc w:val="both"/>
              <w:rPr>
                <w:sz w:val="29"/>
              </w:rPr>
            </w:pP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Ot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/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a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; 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NOx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: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Ot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/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a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；其他污染物：颗粒物：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0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.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036t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/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a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；非甲烷总烃：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0.0248t/a；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苯乙烯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：0.00124t/a。</w:t>
            </w:r>
          </w:p>
          <w:p>
            <w:pPr>
              <w:autoSpaceDE w:val="false"/>
              <w:autoSpaceDN w:val="false"/>
              <w:spacing w:before="123" w:after="0" w:line="375" w:lineRule="exact"/>
              <w:ind w:left="100" w:right="40" w:firstLine="540"/>
              <w:jc w:val="both"/>
              <w:rPr>
                <w:sz w:val="29"/>
              </w:rPr>
            </w:pP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4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、项目的性质、规模、地点、采用的生产工艺或防治污染、防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治生态破坏的措施发生重大变动，应重新报批环评文件。自环评文件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批准之日起，如超过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5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年方决定工程开工建设的，环评文件应当报我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局重新审核。</w:t>
            </w:r>
          </w:p>
          <w:p>
            <w:pPr>
              <w:autoSpaceDE w:val="false"/>
              <w:autoSpaceDN w:val="false"/>
              <w:spacing w:before="128" w:after="0" w:line="375" w:lineRule="exact"/>
              <w:ind w:left="100" w:right="40" w:firstLine="540"/>
              <w:jc w:val="both"/>
              <w:rPr>
                <w:sz w:val="29"/>
              </w:rPr>
            </w:pP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5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、项目竣工后，你单位应当按照国务院环境保护行政主管部门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规定的标准和程序，对配套建设的环境保护设施进行验收，编制验收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报告，并依法向社会公开。该项目配套建设的环境保护设施经验收合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格，方可投入生产或者使用。</w:t>
            </w:r>
          </w:p>
          <w:p>
            <w:pPr>
              <w:autoSpaceDE w:val="false"/>
              <w:autoSpaceDN w:val="false"/>
              <w:spacing w:before="123" w:after="0" w:line="375" w:lineRule="exact"/>
              <w:ind w:left="100" w:right="60" w:firstLine="540"/>
              <w:jc w:val="both"/>
              <w:rPr>
                <w:sz w:val="29"/>
              </w:rPr>
            </w:pP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6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、你单位应在收到审批意见后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10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个工作日内，将批准后的环境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影响报告表和审批意见送生态环境部门，并按规定接受各级生态环境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部门的日常监督检查。</w:t>
            </w:r>
          </w:p>
          <w:p>
            <w:pPr>
              <w:autoSpaceDE w:val="false"/>
              <w:autoSpaceDN w:val="false"/>
              <w:spacing w:before="123" w:after="0" w:line="375" w:lineRule="exact"/>
              <w:ind w:firstLine="6600"/>
              <w:jc w:val="both"/>
              <w:rPr>
                <w:sz w:val="29"/>
              </w:rPr>
            </w:pP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章</w:t>
            </w:r>
          </w:p>
          <w:p>
            <w:pPr>
              <w:autoSpaceDE w:val="false"/>
              <w:autoSpaceDN w:val="false"/>
              <w:spacing w:before="143" w:after="0" w:line="375" w:lineRule="exact"/>
              <w:ind w:firstLine="5480"/>
              <w:jc w:val="both"/>
              <w:rPr>
                <w:sz w:val="29"/>
              </w:rPr>
            </w:pP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2021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6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月</w:t>
            </w:r>
            <w:r>
              <w:rPr>
                <w:rFonts w:hint="eastAsia" w:ascii="Calibri" w:hAnsi="Calibri" w:eastAsia="Calibri"/>
                <w:color w:val="000000"/>
                <w:sz w:val="29"/>
              </w:rPr>
              <w:t xml:space="preserve">3</w:t>
            </w:r>
            <w:r>
              <w:rPr>
                <w:rFonts w:hint="eastAsia" w:ascii="SimSun" w:hAnsi="SimSun" w:eastAsia="SimSun"/>
                <w:color w:val="000000"/>
                <w:sz w:val="29"/>
              </w:rPr>
              <w:t xml:space="preserve">日</w:t>
            </w:r>
          </w:p>
        </w:tc>
      </w:tr>
    </w:tbl>
    <w:p>
      <w:pPr>
        <w:spacing w:line="1" w:lineRule="exact"/>
      </w:pPr>
    </w:p>
    <w:sectPr>
      <w:type w:val="continuous"/>
      <w:pgSz w:w="11900" w:h="17220" w:orient="portrait"/>
      <w:pgMar w:top="960" w:right="1680" w:bottom="1440" w:left="1680" w:header="480" w:footer="72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d4a0bbc8cd564246" /></Relationships>
</file>