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烟台东方威思顿电气有限公司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0006-2026-R04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山东省烟台市莱山区金都路6号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山东省烟台市莱山区金都路6号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R04</w:t>
            </w:r>
            <w:r>
              <w:rPr>
                <w:rFonts w:ascii="宋体" w:hAnsi="宋体" w:cs="华文仿宋"/>
                <w:szCs w:val="21"/>
              </w:rPr>
              <w:t>:</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pPr>
              <w:rPr>
                <w:rFonts w:hint="default"/>
                <w:lang w:val="en-US"/>
              </w:rPr>
            </w:pPr>
            <w:r>
              <w:rPr>
                <w:b/>
                <w:szCs w:val="21"/>
              </w:rPr>
              <w:t>1、</w:t>
            </w:r>
            <w:r>
              <w:rPr>
                <w:rFonts w:hint="eastAsia" w:ascii="宋体" w:hAnsi="宋体"/>
                <w:b/>
                <w:szCs w:val="21"/>
              </w:rPr>
              <w:t>申请评审类别：</w:t>
            </w:r>
            <w:r>
              <w:rPr>
                <w:rFonts w:hint="eastAsia"/>
                <w:bCs/>
                <w:szCs w:val="21"/>
                <w:lang w:eastAsia="zh-CN"/>
              </w:rPr>
              <w:t>R04：</w:t>
            </w:r>
            <w:r>
              <w:rPr>
                <w:rFonts w:hint="eastAsia"/>
                <w:bCs/>
                <w:szCs w:val="21"/>
                <w:lang w:val="en-US" w:eastAsia="zh-CN"/>
              </w:rPr>
              <w:t>再认证</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60AEAF4">
            <w:pPr>
              <w:adjustRightInd w:val="0"/>
              <w:jc w:val="left"/>
              <w:rPr>
                <w:rFonts w:hint="eastAsia" w:ascii="Calibri" w:hAnsi="Calibri" w:eastAsia="宋体" w:cs="Times New Roman"/>
                <w:kern w:val="0"/>
                <w:lang w:val="zh-CN" w:eastAsia="zh-CN" w:bidi="zh-CN"/>
              </w:rPr>
            </w:pPr>
            <w:r>
              <w:rPr>
                <w:rFonts w:hint="eastAsia"/>
                <w:kern w:val="0"/>
                <w:lang w:val="zh-CN" w:eastAsia="zh-CN" w:bidi="zh-CN"/>
              </w:rPr>
              <w:t>ISC-JSGF-06《</w:t>
            </w:r>
            <w:r>
              <w:rPr>
                <w:rFonts w:hint="eastAsia" w:ascii="Calibri" w:hAnsi="Calibri" w:eastAsia="宋体" w:cs="Times New Roman"/>
                <w:kern w:val="0"/>
                <w:lang w:val="en-US" w:eastAsia="zh-CN" w:bidi="zh-CN"/>
              </w:rPr>
              <w:t>能源计量管理体系认证</w:t>
            </w:r>
            <w:r>
              <w:rPr>
                <w:rFonts w:hint="eastAsia" w:ascii="Calibri" w:hAnsi="Calibri" w:eastAsia="宋体" w:cs="Times New Roman"/>
                <w:kern w:val="0"/>
                <w:lang w:val="zh-CN" w:eastAsia="zh-CN" w:bidi="zh-CN"/>
              </w:rPr>
              <w:t>技术规范》</w:t>
            </w:r>
          </w:p>
          <w:p w14:paraId="6A8B9690">
            <w:pPr>
              <w:adjustRightInd w:val="0"/>
              <w:jc w:val="left"/>
              <w:rPr>
                <w:rFonts w:hint="eastAsia"/>
                <w:kern w:val="0"/>
                <w:lang w:val="zh-CN" w:bidi="zh-CN"/>
              </w:rPr>
            </w:pPr>
            <w:r>
              <w:rPr>
                <w:kern w:val="0"/>
                <w:lang w:val="zh-CN" w:bidi="zh-CN"/>
              </w:rPr>
              <w:t>GB</w:t>
            </w:r>
            <w:r>
              <w:rPr>
                <w:rFonts w:hint="eastAsia"/>
                <w:kern w:val="0"/>
                <w:lang w:val="en-US" w:bidi="zh-CN"/>
              </w:rPr>
              <w:t xml:space="preserve"> </w:t>
            </w:r>
            <w:r>
              <w:rPr>
                <w:kern w:val="0"/>
                <w:lang w:val="zh-CN" w:bidi="zh-CN"/>
              </w:rPr>
              <w:t>17167</w:t>
            </w:r>
            <w:r>
              <w:rPr>
                <w:rFonts w:hint="eastAsia"/>
                <w:kern w:val="0"/>
                <w:lang w:val="zh-CN" w:bidi="zh-CN"/>
              </w:rPr>
              <w:t>《用能单位能源计量器具配备和管理通则》</w:t>
            </w:r>
          </w:p>
          <w:p w14:paraId="0D1B5888">
            <w:pPr>
              <w:adjustRightInd w:val="0"/>
              <w:jc w:val="left"/>
              <w:rPr>
                <w:rFonts w:hint="eastAsia"/>
                <w:color w:val="000000"/>
                <w:szCs w:val="21"/>
                <w:lang w:val="de-DE"/>
              </w:rPr>
            </w:pPr>
            <w:r>
              <w:rPr>
                <w:rFonts w:hint="eastAsia"/>
                <w:kern w:val="0"/>
                <w:lang w:val="zh-CN" w:bidi="zh-CN"/>
              </w:rPr>
              <w:t>JJF 1356《重点用能单位能源计量审查规范》</w:t>
            </w:r>
          </w:p>
          <w:p w14:paraId="6899AD20">
            <w:pPr>
              <w:adjustRightInd w:val="0"/>
              <w:jc w:val="left"/>
              <w:rPr>
                <w:rFonts w:hint="eastAsia"/>
                <w:szCs w:val="21"/>
              </w:rPr>
            </w:pPr>
            <w:r>
              <w:rPr>
                <w:rFonts w:hint="eastAsia"/>
                <w:color w:val="000000"/>
                <w:szCs w:val="21"/>
                <w:lang w:val="de-DE"/>
              </w:rPr>
              <w:t xml:space="preserve"> □</w:t>
            </w:r>
            <w:r>
              <w:rPr>
                <w:rFonts w:hint="eastAsia"/>
                <w:szCs w:val="21"/>
              </w:rPr>
              <w:t>专项技术规范</w:t>
            </w:r>
          </w:p>
          <w:p w14:paraId="0BFC036E">
            <w:pPr>
              <w:adjustRightInd w:val="0"/>
              <w:jc w:val="left"/>
              <w:rPr>
                <w:rFonts w:hint="eastAsia"/>
                <w:szCs w:val="21"/>
                <w:lang w:val="de-DE"/>
              </w:rPr>
            </w:pP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numPr>
                <w:ilvl w:val="0"/>
                <w:numId w:val="1"/>
              </w:numPr>
              <w:adjustRightInd w:val="0"/>
              <w:rPr>
                <w:rFonts w:hint="eastAsia" w:ascii="宋体" w:hAnsi="宋体"/>
                <w:b/>
                <w:szCs w:val="21"/>
              </w:rPr>
            </w:pPr>
            <w:r>
              <w:rPr>
                <w:rFonts w:hint="eastAsia" w:ascii="宋体" w:hAnsi="宋体"/>
                <w:b/>
                <w:szCs w:val="21"/>
              </w:rPr>
              <w:t>拟认证范围：</w:t>
            </w:r>
          </w:p>
          <w:p w14:paraId="7777A644">
            <w:pPr>
              <w:numPr>
                <w:numId w:val="0"/>
              </w:numPr>
              <w:adjustRightInd w:val="0"/>
              <w:rPr>
                <w:rFonts w:hint="eastAsia" w:ascii="宋体" w:hAnsi="宋体" w:eastAsia="宋体"/>
                <w:b/>
                <w:szCs w:val="21"/>
                <w:lang w:eastAsia="zh-CN"/>
              </w:rPr>
            </w:pPr>
            <w:r>
              <w:rPr>
                <w:rFonts w:hint="eastAsia" w:ascii="宋体" w:hAnsi="宋体"/>
                <w:b/>
                <w:szCs w:val="21"/>
              </w:rPr>
              <w:t>电力计量与测控仪器仪表及终端、高压柱上开关控制设备、高压互感器的设计、生产；软件开发；信息系统集成服务</w:t>
            </w:r>
            <w:r>
              <w:rPr>
                <w:rFonts w:hint="eastAsia"/>
                <w:b/>
                <w:szCs w:val="21"/>
                <w:lang w:eastAsia="zh-CN"/>
              </w:rPr>
              <w:t>。</w:t>
            </w:r>
          </w:p>
          <w:p w14:paraId="31E4FFB8">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1929</w:t>
            </w:r>
            <w:r>
              <w:rPr>
                <w:rFonts w:hint="eastAsia" w:hAnsi="宋体"/>
                <w:szCs w:val="21"/>
              </w:rPr>
              <w:t>人；</w:t>
            </w:r>
            <w:r>
              <w:rPr>
                <w:rFonts w:hint="eastAsia" w:ascii="宋体" w:hAnsi="宋体"/>
                <w:b/>
                <w:szCs w:val="21"/>
              </w:rPr>
              <w:t>有效员工人数：</w:t>
            </w:r>
            <w:r>
              <w:rPr>
                <w:rFonts w:hint="eastAsia"/>
                <w:b w:val="0"/>
                <w:bCs/>
                <w:szCs w:val="21"/>
                <w:lang w:val="en-US" w:eastAsia="zh-CN"/>
              </w:rPr>
              <w:t>R04 870</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R04</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hint="default" w:ascii="宋体" w:hAnsi="宋体" w:eastAsia="宋体"/>
                <w:szCs w:val="21"/>
                <w:highlight w:val="none"/>
                <w:u w:val="single"/>
                <w:lang w:val="en-US" w:eastAsia="zh-CN"/>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8CEC565">
            <w:pPr>
              <w:adjustRightInd w:val="0"/>
              <w:rPr>
                <w:rFonts w:hint="eastAsia" w:ascii="宋体" w:hAnsi="宋体"/>
                <w:szCs w:val="21"/>
                <w:highlight w:val="none"/>
                <w:u w:val="single"/>
              </w:rPr>
            </w:pPr>
            <w:r>
              <w:rPr>
                <w:rFonts w:hint="eastAsia" w:ascii="宋体" w:hAnsi="宋体"/>
                <w:szCs w:val="21"/>
                <w:highlight w:val="none"/>
                <w:u w:val="single"/>
              </w:rPr>
              <w:t>减少理由：</w:t>
            </w:r>
            <w:bookmarkStart w:id="5" w:name="减少理由"/>
            <w:bookmarkEnd w:id="5"/>
          </w:p>
          <w:p w14:paraId="71D5EB79">
            <w:pPr>
              <w:numPr>
                <w:ilvl w:val="0"/>
                <w:numId w:val="2"/>
              </w:numPr>
              <w:adjustRightInd w:val="0"/>
              <w:rPr>
                <w:rFonts w:hint="eastAsia"/>
                <w:szCs w:val="21"/>
                <w:highlight w:val="none"/>
                <w:u w:val="single"/>
                <w:lang w:val="en-US" w:eastAsia="zh-CN"/>
              </w:rPr>
            </w:pPr>
            <w:r>
              <w:rPr>
                <w:rFonts w:hint="eastAsia"/>
                <w:szCs w:val="21"/>
                <w:highlight w:val="none"/>
                <w:u w:val="single"/>
                <w:lang w:val="en-US" w:eastAsia="zh-CN"/>
              </w:rPr>
              <w:t>企业年能源消耗不足0.1万吨标煤，且不属于重点用能单位，故再认证二阶段现场审核人日较初次认证二阶段现场审核减少0.5人日。</w:t>
            </w:r>
          </w:p>
          <w:p w14:paraId="659E31AB">
            <w:pPr>
              <w:numPr>
                <w:ilvl w:val="0"/>
                <w:numId w:val="2"/>
              </w:numPr>
              <w:adjustRightInd w:val="0"/>
              <w:rPr>
                <w:rFonts w:hint="default"/>
                <w:szCs w:val="21"/>
                <w:highlight w:val="none"/>
                <w:u w:val="single"/>
                <w:lang w:val="en-US" w:eastAsia="zh-CN"/>
              </w:rPr>
            </w:pPr>
            <w:r>
              <w:rPr>
                <w:rFonts w:hint="eastAsia"/>
                <w:szCs w:val="21"/>
                <w:highlight w:val="none"/>
                <w:u w:val="single"/>
                <w:lang w:val="en-US" w:eastAsia="zh-CN"/>
              </w:rPr>
              <w:t>企业能源计量管理体系成熟。</w:t>
            </w:r>
          </w:p>
          <w:p w14:paraId="02B1D6FC">
            <w:pPr>
              <w:numPr>
                <w:ilvl w:val="0"/>
                <w:numId w:val="2"/>
              </w:numPr>
              <w:adjustRightInd w:val="0"/>
              <w:rPr>
                <w:rFonts w:hint="default"/>
                <w:szCs w:val="21"/>
                <w:highlight w:val="none"/>
                <w:u w:val="single"/>
                <w:lang w:val="en-US" w:eastAsia="zh-CN"/>
              </w:rPr>
            </w:pPr>
            <w:r>
              <w:rPr>
                <w:rFonts w:hint="eastAsia"/>
                <w:szCs w:val="21"/>
                <w:highlight w:val="none"/>
                <w:u w:val="single"/>
                <w:lang w:val="en-US" w:eastAsia="zh-CN"/>
              </w:rPr>
              <w:t>本机构对企业体系运行状况了解程度较好。</w:t>
            </w:r>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2026年1月22日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val="en-US" w:eastAsia="zh-CN"/>
              </w:rPr>
              <w:t>M</w:t>
            </w:r>
            <w:r>
              <w:rPr>
                <w:szCs w:val="21"/>
              </w:rPr>
              <w:t>S低风险 、E</w:t>
            </w:r>
            <w:r>
              <w:rPr>
                <w:rFonts w:hint="eastAsia"/>
                <w:szCs w:val="21"/>
                <w:lang w:val="en-US" w:eastAsia="zh-CN"/>
              </w:rPr>
              <w:t>M</w:t>
            </w:r>
            <w:r>
              <w:rPr>
                <w:szCs w:val="21"/>
              </w:rPr>
              <w:t>S低风险 、OHS</w:t>
            </w:r>
            <w:r>
              <w:rPr>
                <w:rFonts w:hint="eastAsia"/>
                <w:szCs w:val="21"/>
                <w:lang w:val="en-US" w:eastAsia="zh-CN"/>
              </w:rPr>
              <w:t>M</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22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1.5</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b/>
                <w:bCs/>
                <w:color w:val="000000"/>
                <w:szCs w:val="21"/>
                <w:highlight w:val="none"/>
                <w:lang w:val="en-US" w:eastAsia="zh-CN"/>
              </w:rPr>
            </w:pPr>
            <w:r>
              <w:rPr>
                <w:rFonts w:hint="eastAsia"/>
                <w:b/>
                <w:bCs/>
                <w:color w:val="000000"/>
                <w:szCs w:val="21"/>
                <w:highlight w:val="none"/>
                <w:lang w:val="en-US" w:eastAsia="zh-CN"/>
              </w:rPr>
              <w:t>计划审核日期：</w:t>
            </w:r>
          </w:p>
          <w:p w14:paraId="70E0B93D">
            <w:pPr>
              <w:spacing w:line="320" w:lineRule="exact"/>
              <w:rPr>
                <w:rFonts w:hint="eastAsia"/>
                <w:b/>
                <w:bCs/>
                <w:color w:val="000000"/>
                <w:szCs w:val="21"/>
                <w:highlight w:val="none"/>
                <w:lang w:val="en-US" w:eastAsia="zh-CN"/>
              </w:rPr>
            </w:pPr>
            <w:r>
              <w:rPr>
                <w:rFonts w:hint="eastAsia"/>
                <w:b/>
                <w:bCs/>
                <w:color w:val="000000"/>
                <w:szCs w:val="21"/>
                <w:highlight w:val="none"/>
                <w:lang w:val="en-US" w:eastAsia="zh-CN"/>
              </w:rPr>
              <w:t>2026年01月29日13:30至30日17:00，1.5人日</w:t>
            </w:r>
          </w:p>
          <w:p w14:paraId="3DA27533">
            <w:pPr>
              <w:spacing w:line="320" w:lineRule="exact"/>
              <w:rPr>
                <w:rFonts w:hint="default"/>
                <w:b/>
                <w:bCs/>
                <w:color w:val="000000"/>
                <w:szCs w:val="21"/>
                <w:highlight w:val="none"/>
                <w:lang w:val="en-US" w:eastAsia="zh-CN"/>
              </w:rPr>
            </w:pPr>
            <w:r>
              <w:rPr>
                <w:rFonts w:hint="eastAsia"/>
                <w:b/>
                <w:bCs/>
                <w:color w:val="000000"/>
                <w:szCs w:val="21"/>
                <w:highlight w:val="none"/>
                <w:lang w:val="en-US" w:eastAsia="zh-CN"/>
              </w:rPr>
              <w:t>审核组：于养奇（组长）</w:t>
            </w:r>
            <w:bookmarkStart w:id="6" w:name="_GoBack"/>
            <w:bookmarkEnd w:id="6"/>
          </w:p>
          <w:p w14:paraId="036AEA92">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6C1598DC">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default" w:eastAsia="宋体"/>
                <w:b/>
                <w:bCs w:val="0"/>
                <w:lang w:val="en-US" w:eastAsia="zh-CN"/>
              </w:rPr>
            </w:pPr>
            <w:r>
              <w:rPr>
                <w:rFonts w:hint="eastAsia"/>
                <w:b/>
                <w:bCs w:val="0"/>
                <w:lang w:val="en-US" w:eastAsia="zh-CN"/>
              </w:rPr>
              <w:t>上述信息无变化。</w:t>
            </w:r>
          </w:p>
          <w:p w14:paraId="04BB39E5">
            <w:pPr>
              <w:spacing w:line="276" w:lineRule="auto"/>
              <w:rPr>
                <w:bCs/>
              </w:rPr>
            </w:pPr>
          </w:p>
          <w:p w14:paraId="56D61A69">
            <w:pPr>
              <w:spacing w:line="276" w:lineRule="auto"/>
              <w:rPr>
                <w:bCs/>
              </w:rPr>
            </w:pPr>
            <w:r>
              <w:rPr>
                <w:rFonts w:hint="eastAsia" w:ascii="宋体" w:hAnsi="宋体"/>
                <w:szCs w:val="21"/>
              </w:rPr>
              <w:t xml:space="preserve">评审人员： </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年1月</w:t>
            </w:r>
            <w:r>
              <w:rPr>
                <w:rFonts w:hint="eastAsia"/>
                <w:szCs w:val="21"/>
                <w:lang w:val="en-US" w:eastAsia="zh-CN"/>
              </w:rPr>
              <w:t>22</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eastAsia" w:eastAsia="宋体"/>
                <w:szCs w:val="21"/>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1</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eastAsia" w:eastAsia="宋体"/>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1</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eastAsia" w:eastAsia="宋体"/>
                <w:szCs w:val="21"/>
                <w:highlight w:val="none"/>
                <w:lang w:val="en-US" w:eastAsia="zh-CN"/>
              </w:rPr>
            </w:pPr>
            <w:r>
              <w:rPr>
                <w:szCs w:val="21"/>
                <w:highlight w:val="none"/>
              </w:rPr>
              <w:t>202</w:t>
            </w:r>
            <w:r>
              <w:rPr>
                <w:rFonts w:hint="eastAsia"/>
                <w:szCs w:val="21"/>
                <w:highlight w:val="none"/>
                <w:lang w:val="en-US" w:eastAsia="zh-CN"/>
              </w:rPr>
              <w:t>7-2028</w:t>
            </w:r>
            <w:r>
              <w:rPr>
                <w:szCs w:val="21"/>
                <w:highlight w:val="none"/>
              </w:rPr>
              <w:t>.</w:t>
            </w:r>
            <w:r>
              <w:rPr>
                <w:rFonts w:hint="eastAsia"/>
                <w:szCs w:val="21"/>
                <w:highlight w:val="none"/>
                <w:lang w:val="en-US" w:eastAsia="zh-CN"/>
              </w:rPr>
              <w:t>1</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eastAsia" w:eastAsia="宋体"/>
                <w:szCs w:val="21"/>
                <w:lang w:val="en-US" w:eastAsia="zh-CN"/>
              </w:rPr>
            </w:pPr>
            <w:r>
              <w:rPr>
                <w:szCs w:val="21"/>
              </w:rPr>
              <w:t>20</w:t>
            </w:r>
            <w:r>
              <w:rPr>
                <w:rFonts w:hint="eastAsia"/>
                <w:szCs w:val="21"/>
                <w:lang w:val="en-US" w:eastAsia="zh-CN"/>
              </w:rPr>
              <w:t>29</w:t>
            </w:r>
            <w:r>
              <w:rPr>
                <w:szCs w:val="21"/>
              </w:rPr>
              <w:t>.</w:t>
            </w:r>
            <w:r>
              <w:rPr>
                <w:rFonts w:hint="eastAsia"/>
                <w:szCs w:val="21"/>
                <w:lang w:val="en-US" w:eastAsia="zh-CN"/>
              </w:rPr>
              <w:t>1</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20" w:lineRule="exact"/>
              <w:rPr>
                <w:rFonts w:ascii="宋体" w:hAnsi="宋体" w:cs="华文仿宋"/>
                <w:b/>
                <w:szCs w:val="21"/>
              </w:rPr>
            </w:pPr>
            <w:r>
              <w:rPr>
                <w:rFonts w:hint="eastAsia" w:ascii="宋体" w:hAnsi="宋体" w:cs="华文仿宋"/>
                <w:b/>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2026.1.22</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9ED200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A6744"/>
    <w:multiLevelType w:val="singleLevel"/>
    <w:tmpl w:val="49FA6744"/>
    <w:lvl w:ilvl="0" w:tentative="0">
      <w:start w:val="1"/>
      <w:numFmt w:val="decimal"/>
      <w:suff w:val="nothing"/>
      <w:lvlText w:val="%1、"/>
      <w:lvlJc w:val="left"/>
    </w:lvl>
  </w:abstractNum>
  <w:abstractNum w:abstractNumId="1">
    <w:nsid w:val="6BA2A87D"/>
    <w:multiLevelType w:val="singleLevel"/>
    <w:tmpl w:val="6BA2A87D"/>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18326E1"/>
    <w:rsid w:val="03473306"/>
    <w:rsid w:val="04E6508F"/>
    <w:rsid w:val="06ED5F73"/>
    <w:rsid w:val="076A2348"/>
    <w:rsid w:val="07A64FBA"/>
    <w:rsid w:val="07BB36BE"/>
    <w:rsid w:val="092E2FE0"/>
    <w:rsid w:val="0B125101"/>
    <w:rsid w:val="0C767A2F"/>
    <w:rsid w:val="0D965958"/>
    <w:rsid w:val="0E404143"/>
    <w:rsid w:val="14A96450"/>
    <w:rsid w:val="150B59D2"/>
    <w:rsid w:val="17051CA3"/>
    <w:rsid w:val="171B5F00"/>
    <w:rsid w:val="19633C34"/>
    <w:rsid w:val="1B9262CF"/>
    <w:rsid w:val="1C5B280E"/>
    <w:rsid w:val="260B3835"/>
    <w:rsid w:val="26C1403D"/>
    <w:rsid w:val="2B666DE0"/>
    <w:rsid w:val="2E9637FB"/>
    <w:rsid w:val="34924C38"/>
    <w:rsid w:val="356871E3"/>
    <w:rsid w:val="37414D8F"/>
    <w:rsid w:val="374562A3"/>
    <w:rsid w:val="37E421D8"/>
    <w:rsid w:val="396A0D26"/>
    <w:rsid w:val="3B936B4F"/>
    <w:rsid w:val="3D002693"/>
    <w:rsid w:val="3FD85C17"/>
    <w:rsid w:val="44B47378"/>
    <w:rsid w:val="4A4F0BE4"/>
    <w:rsid w:val="4A5E7E8B"/>
    <w:rsid w:val="4A9215F0"/>
    <w:rsid w:val="4E7F6289"/>
    <w:rsid w:val="565D21CA"/>
    <w:rsid w:val="574F5BC8"/>
    <w:rsid w:val="5C5E4E9C"/>
    <w:rsid w:val="5E8B0390"/>
    <w:rsid w:val="5FA8637C"/>
    <w:rsid w:val="5FD70E51"/>
    <w:rsid w:val="664B4ECB"/>
    <w:rsid w:val="6E55366C"/>
    <w:rsid w:val="6EB470E9"/>
    <w:rsid w:val="6F8D29ED"/>
    <w:rsid w:val="6FFA0DFA"/>
    <w:rsid w:val="72D76CFE"/>
    <w:rsid w:val="74407F7B"/>
    <w:rsid w:val="74455A67"/>
    <w:rsid w:val="78F77CBF"/>
    <w:rsid w:val="798A723B"/>
    <w:rsid w:val="7CE7227B"/>
    <w:rsid w:val="7DE707C8"/>
    <w:rsid w:val="7F096792"/>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2399</Words>
  <Characters>2592</Characters>
  <Lines>21</Lines>
  <Paragraphs>6</Paragraphs>
  <TotalTime>24</TotalTime>
  <ScaleCrop>false</ScaleCrop>
  <LinksUpToDate>false</LinksUpToDate>
  <CharactersWithSpaces>2872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2026-01-22T05:40:17Z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