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val="en-US" w:eastAsia="zh-CN"/>
              </w:rPr>
              <w:t>江西富龙皇冠实业有限公司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统一社会信用代码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9136078259375689X0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张勉伟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叶蕾蕾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经理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</w:rPr>
            </w:pPr>
            <w:bookmarkStart w:id="0" w:name="OLE_LINK1"/>
            <w:r>
              <w:rPr>
                <w:rFonts w:hint="eastAsia"/>
              </w:rPr>
              <w:t>18179749203</w:t>
            </w:r>
            <w:bookmarkEnd w:id="0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18179749203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19725SE00001R000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□缩小认证范围</w:t>
            </w:r>
          </w:p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□扩大</w:t>
            </w:r>
            <w:bookmarkStart w:id="1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认证范围</w:t>
            </w:r>
            <w:bookmarkEnd w:id="1"/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变更认证范围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□企业名称</w:t>
            </w:r>
            <w:bookmarkStart w:id="2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color w:val="000000" w:themeColor="text1"/>
                <w:szCs w:val="21"/>
              </w:rPr>
              <w:t>企业注册地址</w:t>
            </w:r>
            <w:bookmarkStart w:id="3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3"/>
          </w:p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□企业生产经营地址变更</w:t>
            </w:r>
          </w:p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□认证标准或依据变更</w:t>
            </w:r>
          </w:p>
          <w:p>
            <w:pPr>
              <w:spacing w:line="360" w:lineRule="auto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□认可标志变更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eastAsia="zh-CN"/>
              </w:rPr>
              <w:t>漏字</w:t>
            </w:r>
          </w:p>
          <w:p>
            <w:pPr>
              <w:spacing w:line="312" w:lineRule="auto"/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变更前：</w:t>
            </w:r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成熟度 (十星级)</w:t>
            </w:r>
          </w:p>
          <w:p>
            <w:pPr>
              <w:spacing w:line="312" w:lineRule="auto"/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bookmarkStart w:id="4" w:name="_GoBack"/>
            <w:bookmarkEnd w:id="4"/>
          </w:p>
          <w:p>
            <w:pPr>
              <w:spacing w:line="312" w:lineRule="auto"/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Helvetica" w:hAnsi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变更后：木</w:t>
            </w:r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成熟度 (十星级)</w:t>
            </w:r>
          </w:p>
          <w:p>
            <w:pPr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年   月 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4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4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384.25pt;margin-top:9.15pt;height:19.85pt;width:103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ISC-QR-R-32</w:t>
                </w:r>
                <w:r>
                  <w:rPr>
                    <w:rFonts w:hint="eastAsia"/>
                    <w:szCs w:val="21"/>
                  </w:rPr>
                  <w:t>（A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4"/>
        <w:rFonts w:hint="default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495.75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4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225D5FD0"/>
    <w:rsid w:val="2B2634E6"/>
    <w:rsid w:val="3E4370B4"/>
    <w:rsid w:val="40C73EFF"/>
    <w:rsid w:val="46A3477B"/>
    <w:rsid w:val="4C72097F"/>
    <w:rsid w:val="53F244BC"/>
    <w:rsid w:val="5EF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0">
    <w:name w:val="页眉 Char1"/>
    <w:basedOn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183</Characters>
  <Lines>1</Lines>
  <Paragraphs>1</Paragraphs>
  <TotalTime>1</TotalTime>
  <ScaleCrop>false</ScaleCrop>
  <LinksUpToDate>false</LinksUpToDate>
  <CharactersWithSpaces>213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Administrator</cp:lastModifiedBy>
  <dcterms:modified xsi:type="dcterms:W3CDTF">2026-01-09T04:05:07Z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