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1867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36E615D3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</w:t>
      </w:r>
      <w:r>
        <w:rPr>
          <w:rFonts w:hint="eastAsia" w:ascii="华文中宋" w:hAnsi="华文中宋" w:eastAsia="华文中宋"/>
          <w:b/>
          <w:sz w:val="28"/>
          <w:szCs w:val="28"/>
          <w:highlight w:val="yellow"/>
        </w:rPr>
        <w:t>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2967C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2498AF08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A72E172">
            <w:pPr>
              <w:pStyle w:val="22"/>
              <w:jc w:val="center"/>
              <w:rPr>
                <w:sz w:val="18"/>
              </w:rPr>
            </w:pPr>
          </w:p>
          <w:p w14:paraId="7F903843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3F5B4055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478B4029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7849BFC2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2353831B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3521DB52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7572BDE7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5F38EDE9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0D75DF3C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49B05D28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541A5845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09372733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57ECB979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107503D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038040BB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209AE7F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67DCD721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22D04A5C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3B8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1AE79CD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4362AD2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东胜公司-滨博接转站运维项目</w:t>
            </w:r>
          </w:p>
        </w:tc>
        <w:tc>
          <w:tcPr>
            <w:tcW w:w="1312" w:type="dxa"/>
          </w:tcPr>
          <w:p w14:paraId="2ECCC775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2人</w:t>
            </w:r>
          </w:p>
        </w:tc>
        <w:tc>
          <w:tcPr>
            <w:tcW w:w="2655" w:type="dxa"/>
          </w:tcPr>
          <w:p w14:paraId="53D59992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cs="Tahoma"/>
                <w:color w:val="000000"/>
                <w:sz w:val="21"/>
                <w:szCs w:val="21"/>
                <w:highlight w:val="none"/>
              </w:rPr>
              <w:t>套管气回收及罐顶气回收设备运维、通用设备修理</w:t>
            </w:r>
          </w:p>
        </w:tc>
        <w:tc>
          <w:tcPr>
            <w:tcW w:w="1275" w:type="dxa"/>
          </w:tcPr>
          <w:p w14:paraId="1AB21B99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淄博市桓台县塘坊镇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71E9C838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8点-17点</w:t>
            </w:r>
          </w:p>
        </w:tc>
        <w:tc>
          <w:tcPr>
            <w:tcW w:w="2505" w:type="dxa"/>
          </w:tcPr>
          <w:p w14:paraId="29741072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2325" w:type="dxa"/>
          </w:tcPr>
          <w:p w14:paraId="5E65F472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275" w:type="dxa"/>
          </w:tcPr>
          <w:p w14:paraId="077AE838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驾车1小时</w:t>
            </w:r>
          </w:p>
        </w:tc>
      </w:tr>
      <w:tr w14:paraId="23D33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3F8B738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9ECBB2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5996E6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7A860E7D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32F98D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B3B34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B28356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48034A7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6767B61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28CEC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3ACD63C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1CB156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15A290A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44D4D25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998F11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334CC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00374D3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4B54801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962FC2D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67C9B35B"/>
    <w:p w14:paraId="2A8C4F42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6BA5F87E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7434B8A0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20AD0482">
      <w:pPr>
        <w:pStyle w:val="3"/>
        <w:tabs>
          <w:tab w:val="left" w:pos="11021"/>
          <w:tab w:val="left" w:pos="14807"/>
        </w:tabs>
        <w:spacing w:before="160"/>
        <w:rPr>
          <w:color w:val="0000FF"/>
          <w:szCs w:val="21"/>
        </w:rPr>
      </w:pPr>
      <w:r>
        <w:rPr>
          <w:color w:val="0000FF"/>
          <w:szCs w:val="21"/>
        </w:rPr>
        <w:t>单位授权人：</w:t>
      </w:r>
      <w:r>
        <w:rPr>
          <w:rFonts w:hint="eastAsia"/>
          <w:color w:val="0000FF"/>
          <w:szCs w:val="21"/>
        </w:rPr>
        <w:t xml:space="preserve">                                </w:t>
      </w:r>
      <w:r>
        <w:rPr>
          <w:color w:val="0000FF"/>
          <w:szCs w:val="21"/>
        </w:rPr>
        <w:t>单位：（单位盖章）</w:t>
      </w:r>
      <w:r>
        <w:rPr>
          <w:rFonts w:hint="eastAsia"/>
          <w:color w:val="0000FF"/>
          <w:szCs w:val="21"/>
        </w:rPr>
        <w:t xml:space="preserve">                         时间</w:t>
      </w:r>
      <w:r>
        <w:rPr>
          <w:color w:val="0000FF"/>
          <w:szCs w:val="21"/>
        </w:rPr>
        <w:t>：</w:t>
      </w:r>
    </w:p>
    <w:p w14:paraId="3DACA948"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 w14:paraId="6EDBC95A"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 w14:paraId="1A32A72A"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 w14:paraId="5540F485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</w:t>
      </w:r>
      <w:r>
        <w:rPr>
          <w:rFonts w:hint="eastAsia" w:ascii="华文中宋" w:hAnsi="华文中宋" w:eastAsia="华文中宋"/>
          <w:b/>
          <w:sz w:val="28"/>
          <w:szCs w:val="28"/>
          <w:highlight w:val="yellow"/>
        </w:rPr>
        <w:t>固定多场所</w:t>
      </w:r>
      <w:r>
        <w:rPr>
          <w:rFonts w:hint="eastAsia" w:ascii="华文中宋" w:hAnsi="华文中宋" w:eastAsia="华文中宋"/>
          <w:b/>
          <w:sz w:val="28"/>
          <w:szCs w:val="28"/>
        </w:rPr>
        <w:t>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72814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6D24CB22">
            <w:pPr>
              <w:pStyle w:val="22"/>
              <w:rPr>
                <w:sz w:val="18"/>
              </w:rPr>
            </w:pPr>
          </w:p>
          <w:p w14:paraId="60780E0E">
            <w:pPr>
              <w:pStyle w:val="22"/>
              <w:spacing w:before="1"/>
              <w:rPr>
                <w:sz w:val="15"/>
              </w:rPr>
            </w:pPr>
          </w:p>
          <w:p w14:paraId="68125705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63513C50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3235844A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548BDF83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BDC1069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7583952C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0DCE3CB8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FEE6563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40F524E6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60630A6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789EDFE5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408101B2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23034CC2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7541650B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4E8F7C62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170B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5622910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08ED59F4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生产车间</w:t>
            </w:r>
          </w:p>
        </w:tc>
        <w:tc>
          <w:tcPr>
            <w:tcW w:w="2351" w:type="dxa"/>
            <w:vAlign w:val="center"/>
          </w:tcPr>
          <w:p w14:paraId="0FC65647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山东省东营市东营区胜园街道现河路36号东营百华石油技术开发有限 公司院内</w:t>
            </w:r>
          </w:p>
        </w:tc>
        <w:tc>
          <w:tcPr>
            <w:tcW w:w="2254" w:type="dxa"/>
            <w:vAlign w:val="center"/>
          </w:tcPr>
          <w:p w14:paraId="1E694666">
            <w:pPr>
              <w:rPr>
                <w:rFonts w:cs="Tahoma"/>
                <w:color w:val="000000"/>
                <w:sz w:val="21"/>
                <w:szCs w:val="21"/>
                <w:highlight w:val="none"/>
              </w:rPr>
            </w:pPr>
            <w:r>
              <w:rPr>
                <w:rFonts w:cs="Tahoma"/>
                <w:color w:val="000000"/>
                <w:sz w:val="21"/>
                <w:szCs w:val="21"/>
                <w:highlight w:val="none"/>
              </w:rPr>
              <w:t>通用设备</w:t>
            </w:r>
            <w:r>
              <w:rPr>
                <w:rFonts w:hint="eastAsia" w:cs="Tahoma"/>
                <w:color w:val="000000"/>
                <w:sz w:val="21"/>
                <w:szCs w:val="21"/>
                <w:highlight w:val="none"/>
                <w:lang w:val="en-US" w:eastAsia="zh-CN"/>
              </w:rPr>
              <w:t>（制冷设备、通风机、</w:t>
            </w:r>
            <w:r>
              <w:rPr>
                <w:rFonts w:hint="eastAsia" w:cs="Tahoma"/>
                <w:color w:val="0000FF"/>
                <w:sz w:val="21"/>
                <w:szCs w:val="21"/>
                <w:highlight w:val="none"/>
                <w:lang w:val="en-US" w:eastAsia="zh-CN"/>
              </w:rPr>
              <w:t>通风柜</w:t>
            </w:r>
            <w:r>
              <w:rPr>
                <w:rFonts w:hint="eastAsia" w:cs="Tahoma"/>
                <w:color w:val="000000"/>
                <w:sz w:val="21"/>
                <w:szCs w:val="21"/>
                <w:highlight w:val="none"/>
                <w:lang w:val="en-US" w:eastAsia="zh-CN"/>
              </w:rPr>
              <w:t>、定压补水装置、供水设备、一体化泵站、喷洒装置、溢油回收设备、换热机组、冷却塔、水处理设备、水处理撬块、过滤器、加药装置、气体液体分离及纯净设备、冷干机）、</w:t>
            </w:r>
            <w:r>
              <w:rPr>
                <w:rFonts w:cs="Tahoma"/>
                <w:color w:val="000000"/>
                <w:sz w:val="21"/>
                <w:szCs w:val="21"/>
                <w:highlight w:val="none"/>
              </w:rPr>
              <w:t>专用设备</w:t>
            </w:r>
            <w:r>
              <w:rPr>
                <w:rFonts w:hint="eastAsia" w:cs="Tahoma"/>
                <w:color w:val="000000"/>
                <w:sz w:val="21"/>
                <w:szCs w:val="21"/>
                <w:highlight w:val="none"/>
                <w:lang w:val="en-US" w:eastAsia="zh-CN"/>
              </w:rPr>
              <w:t>（油气回收及处理装置、油气分离计量装置、石油钻采专用设备及配件、气囊浮动装置）、</w:t>
            </w:r>
            <w:r>
              <w:rPr>
                <w:rFonts w:cs="Tahoma"/>
                <w:color w:val="000000"/>
                <w:sz w:val="21"/>
                <w:szCs w:val="21"/>
                <w:highlight w:val="none"/>
              </w:rPr>
              <w:t>环境保护专用设备</w:t>
            </w:r>
            <w:r>
              <w:rPr>
                <w:rFonts w:hint="eastAsia" w:cs="Tahoma"/>
                <w:color w:val="000000"/>
                <w:sz w:val="21"/>
                <w:szCs w:val="21"/>
                <w:highlight w:val="none"/>
                <w:lang w:val="en-US" w:eastAsia="zh-CN"/>
              </w:rPr>
              <w:t>（噪音污染防治设备及配件、隔声屏障、隔声罩板、噪声与振动控制设备及配件）、</w:t>
            </w:r>
            <w:r>
              <w:rPr>
                <w:rFonts w:cs="Tahoma"/>
                <w:color w:val="000000"/>
                <w:sz w:val="21"/>
                <w:szCs w:val="21"/>
                <w:highlight w:val="none"/>
              </w:rPr>
              <w:t>石化专用配件、仪器仪表及配件、金属结构</w:t>
            </w:r>
            <w:r>
              <w:rPr>
                <w:rFonts w:hint="eastAsia" w:cs="Tahoma"/>
                <w:color w:val="000000"/>
                <w:sz w:val="21"/>
                <w:szCs w:val="21"/>
                <w:highlight w:val="none"/>
                <w:lang w:val="en-US" w:eastAsia="zh-CN"/>
              </w:rPr>
              <w:t>（野营房、活动板房、移动厕所、废弃物存储间、护栏、</w:t>
            </w:r>
          </w:p>
          <w:p w14:paraId="5BDC46EE">
            <w:pPr>
              <w:rPr>
                <w:rFonts w:ascii="Times New Roman"/>
                <w:sz w:val="20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highlight w:val="none"/>
                <w:lang w:val="en-US" w:eastAsia="zh-CN"/>
              </w:rPr>
              <w:t>浮盘）、</w:t>
            </w:r>
            <w:r>
              <w:rPr>
                <w:rFonts w:cs="Tahoma"/>
                <w:color w:val="000000"/>
                <w:sz w:val="21"/>
                <w:szCs w:val="21"/>
                <w:highlight w:val="none"/>
              </w:rPr>
              <w:t>物联网设备</w:t>
            </w:r>
            <w:r>
              <w:rPr>
                <w:rFonts w:hint="eastAsia" w:cs="Tahoma"/>
                <w:color w:val="000000"/>
                <w:sz w:val="21"/>
                <w:szCs w:val="21"/>
                <w:highlight w:val="none"/>
                <w:lang w:val="en-US" w:eastAsia="zh-CN"/>
              </w:rPr>
              <w:t>（智能远程控制物联网设备、智能流量调节装置）的生产；</w:t>
            </w:r>
          </w:p>
        </w:tc>
        <w:tc>
          <w:tcPr>
            <w:tcW w:w="1232" w:type="dxa"/>
            <w:vAlign w:val="center"/>
          </w:tcPr>
          <w:p w14:paraId="0500E9F5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10人</w:t>
            </w:r>
          </w:p>
        </w:tc>
        <w:tc>
          <w:tcPr>
            <w:tcW w:w="1862" w:type="dxa"/>
            <w:vAlign w:val="center"/>
          </w:tcPr>
          <w:p w14:paraId="4EE0F1F7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2030" w:type="dxa"/>
            <w:vAlign w:val="center"/>
          </w:tcPr>
          <w:p w14:paraId="34AA4DA6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8点-17点</w:t>
            </w:r>
          </w:p>
        </w:tc>
        <w:tc>
          <w:tcPr>
            <w:tcW w:w="1328" w:type="dxa"/>
            <w:vAlign w:val="center"/>
          </w:tcPr>
          <w:p w14:paraId="186405CE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417" w:type="dxa"/>
            <w:vAlign w:val="center"/>
          </w:tcPr>
          <w:p w14:paraId="1A2C414B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驾车15分钟</w:t>
            </w:r>
          </w:p>
        </w:tc>
      </w:tr>
      <w:tr w14:paraId="703B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9795E7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078C04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C64295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E7F03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748CCA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5D4A25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87FAFD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1E615CB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F343F13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015AF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4592BB8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2D81028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A71926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2E259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457B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7489553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3D2DAB2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F44435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9E9EBDE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036EA217"/>
    <w:p w14:paraId="37A5BE85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4C768DC5">
      <w:pPr>
        <w:spacing w:line="360" w:lineRule="auto"/>
        <w:rPr>
          <w:color w:val="0000FF"/>
        </w:rPr>
      </w:pPr>
      <w:r>
        <w:rPr>
          <w:rFonts w:hint="eastAsia"/>
          <w:color w:val="0000FF"/>
        </w:rPr>
        <w:t>单位授权人：                                             单位：（单位盖章）                         时间：</w:t>
      </w:r>
    </w:p>
    <w:p w14:paraId="1D55A615"/>
    <w:p w14:paraId="309EED84"/>
    <w:p w14:paraId="275849F7"/>
    <w:p w14:paraId="58E66860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1B664588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EABD2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D775C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B6480F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EB1C7A7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4D336864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  <w:rsid w:val="66864786"/>
    <w:rsid w:val="690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562</Words>
  <Characters>562</Characters>
  <Lines>5</Lines>
  <Paragraphs>1</Paragraphs>
  <TotalTime>1</TotalTime>
  <ScaleCrop>false</ScaleCrop>
  <LinksUpToDate>false</LinksUpToDate>
  <CharactersWithSpaces>693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臧德运15866898683</cp:lastModifiedBy>
  <dcterms:modified xsi:type="dcterms:W3CDTF">2025-10-22T08:00:00Z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eyJoZGlkIjoiNWMyYmUyNDA5MjJhZTE1YzJkMGEwZmM3YmUyZmQ3ZGEiLCJ1c2VySWQiOiIzNTc1NTQzNDkifQ==</vt:lpwstr>
  </property>
  <property fmtid="{D5CDD505-2E9C-101B-9397-08002B2CF9AE}" pid="4" name="ICV">
    <vt:lpwstr>74B66BCF9FBC4B9E9AF05C015C1363B1_12</vt:lpwstr>
  </property>
</Properties>
</file>