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14:paraId="42FA9E3F">
      <w:pPr>
        <w:jc w:val="center"/>
        <w:rPr>
          <w:rFonts w:ascii="宋体" w:cs="宋体"/>
          <w:b/>
          <w:kern w:val="0"/>
          <w:sz w:val="32"/>
          <w:szCs w:val="32"/>
          <w:highlight w:val="none"/>
        </w:rPr>
      </w:pPr>
      <w:r>
        <w:rPr>
          <w:rFonts w:ascii="宋体" w:cs="宋体" w:hint="eastAsia"/>
          <w:b/>
          <w:kern w:val="0"/>
          <w:sz w:val="32"/>
          <w:szCs w:val="32"/>
          <w:highlight w:val="none"/>
        </w:rPr>
        <w:t>食品安全防护计划</w:t>
      </w:r>
    </w:p>
    <w:p w14:paraId="2E6492CB">
      <w:pPr>
        <w:pStyle w:val="Header"/>
        <w:pBdr>
          <w:bottom w:val="none" w:sz="0" w:space="1" w:color="auto"/>
        </w:pBdr>
        <w:jc w:val="right"/>
        <w:rPr>
          <w:highlight w:val="none"/>
        </w:rPr>
      </w:pPr>
      <w:r>
        <w:rPr>
          <w:rFonts w:hint="eastAsia"/>
          <w:highlight w:val="none"/>
        </w:rPr>
        <w:t>编号：</w:t>
      </w:r>
      <w:r>
        <w:rPr>
          <w:rFonts w:ascii="宋体" w:hAnsi="宋体" w:cs="宋体" w:hint="eastAsia"/>
          <w:highlight w:val="none"/>
          <w:lang w:eastAsia="zh-CN"/>
        </w:rPr>
        <w:t>PTK</w:t>
      </w:r>
      <w:r>
        <w:rPr>
          <w:rFonts w:ascii="宋体" w:hAnsi="宋体" w:cs="宋体" w:hint="eastAsia"/>
          <w:highlight w:val="none"/>
        </w:rPr>
        <w:t>-FSMS-B-04-04</w:t>
      </w:r>
    </w:p>
    <w:p w14:paraId="2135620A">
      <w:pPr>
        <w:autoSpaceDE w:val="0"/>
        <w:autoSpaceDN w:val="0"/>
        <w:adjustRightInd w:val="0"/>
        <w:spacing w:line="440" w:lineRule="exact"/>
        <w:jc w:val="left"/>
        <w:rPr>
          <w:rFonts w:ascii="宋体" w:hAnsi="宋体" w:cs="宋体"/>
          <w:b/>
          <w:kern w:val="0"/>
          <w:szCs w:val="21"/>
          <w:highlight w:val="none"/>
        </w:rPr>
      </w:pPr>
      <w:r>
        <w:rPr>
          <w:rFonts w:ascii="宋体" w:hAnsi="宋体"/>
          <w:b/>
          <w:kern w:val="0"/>
          <w:szCs w:val="21"/>
          <w:highlight w:val="none"/>
        </w:rPr>
        <w:t xml:space="preserve">1 </w:t>
      </w:r>
      <w:r>
        <w:rPr>
          <w:rFonts w:ascii="宋体" w:hAnsi="宋体" w:hint="eastAsia"/>
          <w:b/>
          <w:kern w:val="0"/>
          <w:szCs w:val="21"/>
          <w:highlight w:val="none"/>
        </w:rPr>
        <w:t xml:space="preserve"> </w:t>
      </w:r>
      <w:r>
        <w:rPr>
          <w:rFonts w:ascii="宋体" w:hAnsi="宋体" w:cs="宋体" w:hint="eastAsia"/>
          <w:b/>
          <w:kern w:val="0"/>
          <w:szCs w:val="21"/>
          <w:highlight w:val="none"/>
        </w:rPr>
        <w:t>目的</w:t>
      </w:r>
    </w:p>
    <w:p w14:paraId="3A5EB105">
      <w:pPr>
        <w:autoSpaceDE w:val="0"/>
        <w:autoSpaceDN w:val="0"/>
        <w:adjustRightInd w:val="0"/>
        <w:spacing w:line="440" w:lineRule="exact"/>
        <w:ind w:left="359" w:leftChars="171"/>
        <w:jc w:val="left"/>
        <w:rPr>
          <w:rFonts w:ascii="宋体" w:hAnsi="宋体" w:cs="宋体"/>
          <w:kern w:val="0"/>
          <w:szCs w:val="21"/>
          <w:highlight w:val="none"/>
        </w:rPr>
      </w:pPr>
      <w:r>
        <w:rPr>
          <w:rFonts w:ascii="宋体" w:hAnsi="宋体" w:cs="宋体" w:hint="eastAsia"/>
          <w:kern w:val="0"/>
          <w:szCs w:val="21"/>
          <w:highlight w:val="none"/>
        </w:rPr>
        <w:t>为了将对公司食品可能遭受到的恶意、蓄意的污染或破坏的危险以及恐怖活动等等事件降低到最小或最低程度，提高公司食品安全应对整体能力，避免食品安全事故的发生，特制定本程序。</w:t>
      </w:r>
    </w:p>
    <w:p w14:paraId="2BB461CC">
      <w:pPr>
        <w:autoSpaceDE w:val="0"/>
        <w:autoSpaceDN w:val="0"/>
        <w:adjustRightInd w:val="0"/>
        <w:spacing w:line="440" w:lineRule="exact"/>
        <w:jc w:val="left"/>
        <w:rPr>
          <w:rFonts w:ascii="宋体" w:hAnsi="宋体" w:cs="宋体"/>
          <w:b/>
          <w:kern w:val="0"/>
          <w:szCs w:val="21"/>
          <w:highlight w:val="none"/>
        </w:rPr>
      </w:pPr>
      <w:r>
        <w:rPr>
          <w:rFonts w:ascii="宋体" w:hAnsi="宋体"/>
          <w:b/>
          <w:kern w:val="0"/>
          <w:szCs w:val="21"/>
          <w:highlight w:val="none"/>
        </w:rPr>
        <w:t xml:space="preserve">2 </w:t>
      </w:r>
      <w:r>
        <w:rPr>
          <w:rFonts w:ascii="宋体" w:hAnsi="宋体" w:hint="eastAsia"/>
          <w:b/>
          <w:kern w:val="0"/>
          <w:szCs w:val="21"/>
          <w:highlight w:val="none"/>
        </w:rPr>
        <w:t xml:space="preserve"> </w:t>
      </w:r>
      <w:r>
        <w:rPr>
          <w:rFonts w:ascii="宋体" w:hAnsi="宋体" w:cs="宋体" w:hint="eastAsia"/>
          <w:b/>
          <w:kern w:val="0"/>
          <w:szCs w:val="21"/>
          <w:highlight w:val="none"/>
        </w:rPr>
        <w:t>范围</w:t>
      </w:r>
    </w:p>
    <w:p w14:paraId="0D578CBD">
      <w:pPr>
        <w:autoSpaceDE w:val="0"/>
        <w:autoSpaceDN w:val="0"/>
        <w:adjustRightInd w:val="0"/>
        <w:spacing w:line="440" w:lineRule="exact"/>
        <w:ind w:left="359" w:leftChars="171"/>
        <w:jc w:val="left"/>
        <w:rPr>
          <w:rFonts w:ascii="宋体" w:hAnsi="宋体" w:cs="宋体"/>
          <w:kern w:val="0"/>
          <w:szCs w:val="21"/>
          <w:highlight w:val="none"/>
        </w:rPr>
      </w:pPr>
      <w:r>
        <w:rPr>
          <w:rFonts w:ascii="宋体" w:hAnsi="宋体" w:cs="宋体" w:hint="eastAsia"/>
          <w:kern w:val="0"/>
          <w:szCs w:val="21"/>
          <w:highlight w:val="none"/>
        </w:rPr>
        <w:t>围绕原料入厂到成品出厂的物流链所涉及到的人员管理、公司安全管理和信息安全管理。</w:t>
      </w:r>
    </w:p>
    <w:p w14:paraId="20BDAFC0">
      <w:pPr>
        <w:autoSpaceDE w:val="0"/>
        <w:autoSpaceDN w:val="0"/>
        <w:adjustRightInd w:val="0"/>
        <w:spacing w:line="440" w:lineRule="exact"/>
        <w:jc w:val="left"/>
        <w:rPr>
          <w:rFonts w:ascii="宋体" w:hAnsi="宋体" w:cs="宋体"/>
          <w:b/>
          <w:kern w:val="0"/>
          <w:szCs w:val="21"/>
          <w:highlight w:val="none"/>
        </w:rPr>
      </w:pPr>
      <w:r>
        <w:rPr>
          <w:rFonts w:ascii="宋体" w:hAnsi="宋体"/>
          <w:b/>
          <w:kern w:val="0"/>
          <w:szCs w:val="21"/>
          <w:highlight w:val="none"/>
        </w:rPr>
        <w:t xml:space="preserve">3 </w:t>
      </w:r>
      <w:r>
        <w:rPr>
          <w:rFonts w:ascii="宋体" w:hAnsi="宋体" w:cs="宋体" w:hint="eastAsia"/>
          <w:b/>
          <w:kern w:val="0"/>
          <w:szCs w:val="21"/>
          <w:highlight w:val="none"/>
        </w:rPr>
        <w:t>术语及定义</w:t>
      </w:r>
    </w:p>
    <w:p w14:paraId="2F5F94BA">
      <w:pPr>
        <w:autoSpaceDE w:val="0"/>
        <w:autoSpaceDN w:val="0"/>
        <w:adjustRightInd w:val="0"/>
        <w:spacing w:line="440" w:lineRule="exact"/>
        <w:ind w:firstLine="315" w:firstLineChars="150"/>
        <w:jc w:val="left"/>
        <w:rPr>
          <w:rFonts w:ascii="宋体" w:hAnsi="宋体" w:cs="宋体"/>
          <w:kern w:val="0"/>
          <w:szCs w:val="21"/>
          <w:highlight w:val="none"/>
        </w:rPr>
      </w:pPr>
      <w:r>
        <w:rPr>
          <w:rFonts w:ascii="宋体" w:hAnsi="宋体" w:cs="宋体" w:hint="eastAsia"/>
          <w:kern w:val="0"/>
          <w:szCs w:val="21"/>
          <w:highlight w:val="none"/>
        </w:rPr>
        <w:t>原料：本程序所指原料为从供方采购的原料、辅料、添加剂、包装材料等。</w:t>
      </w:r>
    </w:p>
    <w:p w14:paraId="2BA74420">
      <w:pPr>
        <w:autoSpaceDE w:val="0"/>
        <w:autoSpaceDN w:val="0"/>
        <w:adjustRightInd w:val="0"/>
        <w:spacing w:line="440" w:lineRule="exact"/>
        <w:ind w:firstLine="315" w:firstLineChars="150"/>
        <w:jc w:val="left"/>
        <w:rPr>
          <w:rFonts w:ascii="宋体" w:hAnsi="宋体" w:cs="宋体"/>
          <w:kern w:val="0"/>
          <w:szCs w:val="21"/>
          <w:highlight w:val="none"/>
        </w:rPr>
      </w:pPr>
      <w:r>
        <w:rPr>
          <w:rFonts w:ascii="宋体" w:hAnsi="宋体" w:cs="宋体" w:hint="eastAsia"/>
          <w:kern w:val="0"/>
          <w:szCs w:val="21"/>
          <w:highlight w:val="none"/>
        </w:rPr>
        <w:t>成品：本程序指公司制作完成的食品。</w:t>
      </w:r>
    </w:p>
    <w:p w14:paraId="5D574BBE">
      <w:pPr>
        <w:autoSpaceDE w:val="0"/>
        <w:autoSpaceDN w:val="0"/>
        <w:adjustRightInd w:val="0"/>
        <w:spacing w:line="440" w:lineRule="exact"/>
        <w:jc w:val="left"/>
        <w:rPr>
          <w:rFonts w:ascii="宋体" w:hAnsi="宋体" w:cs="宋体"/>
          <w:b/>
          <w:kern w:val="0"/>
          <w:szCs w:val="21"/>
          <w:highlight w:val="none"/>
        </w:rPr>
      </w:pPr>
      <w:r>
        <w:rPr>
          <w:rFonts w:ascii="宋体" w:hAnsi="宋体"/>
          <w:b/>
          <w:kern w:val="0"/>
          <w:szCs w:val="21"/>
          <w:highlight w:val="none"/>
        </w:rPr>
        <w:t xml:space="preserve">4 </w:t>
      </w:r>
      <w:r>
        <w:rPr>
          <w:rFonts w:ascii="宋体" w:hAnsi="宋体" w:cs="宋体" w:hint="eastAsia"/>
          <w:b/>
          <w:kern w:val="0"/>
          <w:szCs w:val="21"/>
          <w:highlight w:val="none"/>
        </w:rPr>
        <w:t>食品安全防护小组</w:t>
      </w:r>
    </w:p>
    <w:p w14:paraId="573163EA">
      <w:pPr>
        <w:spacing w:line="440" w:lineRule="exact"/>
        <w:rPr>
          <w:rFonts w:ascii="宋体" w:hAnsi="宋体" w:cs="宋体"/>
          <w:kern w:val="0"/>
          <w:sz w:val="24"/>
          <w:highlight w:val="none"/>
        </w:rPr>
      </w:pPr>
      <w:r>
        <w:rPr>
          <w:rFonts w:ascii="宋体" w:hAnsi="宋体"/>
          <w:kern w:val="0"/>
          <w:szCs w:val="21"/>
          <w:highlight w:val="none"/>
        </w:rPr>
        <w:t xml:space="preserve">4.1 </w:t>
      </w:r>
      <w:r>
        <w:rPr>
          <w:rFonts w:ascii="宋体" w:hAnsi="宋体" w:cs="宋体" w:hint="eastAsia"/>
          <w:kern w:val="0"/>
          <w:szCs w:val="21"/>
          <w:highlight w:val="none"/>
        </w:rPr>
        <w:t>食品安全防护小组组织结构</w:t>
      </w:r>
    </w:p>
    <w:p w14:paraId="79A8AB5B">
      <w:pPr>
        <w:rPr>
          <w:rFonts w:ascii="宋体" w:cs="宋体"/>
          <w:kern w:val="0"/>
          <w:sz w:val="24"/>
          <w:highlight w:val="none"/>
        </w:rPr>
      </w:pPr>
      <w:r>
        <w:rPr>
          <w:rFonts w:ascii="宋体" w:cs="宋体" w:hint="eastAsia"/>
          <w:kern w:val="0"/>
          <w:sz w:val="24"/>
          <w:highlight w:val="none"/>
        </w:rPr>
        <w:t xml:space="preserve">    </w:t>
      </w:r>
      <w:r>
        <w:rPr>
          <w:rFonts w:ascii="宋体" w:hAnsi="宋体" w:cs="宋体"/>
          <w:b/>
          <w:bCs/>
          <w:sz w:val="24"/>
          <w:highlight w:val="none"/>
        </w:rPr>
        <w:drawing>
          <wp:inline distT="0" distB="0" distL="0" distR="0">
            <wp:extent cx="5486400" cy="2035175"/>
            <wp:effectExtent l="0" t="0" r="0" b="22225"/>
            <wp:docPr id="1"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A5C3DED">
      <w:pPr>
        <w:rPr>
          <w:highlight w:val="none"/>
        </w:rPr>
      </w:pPr>
    </w:p>
    <w:p w14:paraId="69C86DF5">
      <w:pPr>
        <w:autoSpaceDE w:val="0"/>
        <w:autoSpaceDN w:val="0"/>
        <w:adjustRightInd w:val="0"/>
        <w:spacing w:line="440" w:lineRule="exact"/>
        <w:jc w:val="left"/>
        <w:rPr>
          <w:rFonts w:ascii="宋体" w:hAnsi="宋体" w:cs="宋体"/>
          <w:kern w:val="0"/>
          <w:szCs w:val="21"/>
          <w:highlight w:val="none"/>
        </w:rPr>
      </w:pPr>
      <w:r>
        <w:rPr>
          <w:rFonts w:ascii="宋体" w:hAnsi="宋体"/>
          <w:kern w:val="0"/>
          <w:szCs w:val="21"/>
          <w:highlight w:val="none"/>
        </w:rPr>
        <w:t xml:space="preserve">4.2 </w:t>
      </w:r>
      <w:r>
        <w:rPr>
          <w:rFonts w:ascii="宋体" w:hAnsi="宋体" w:cs="宋体" w:hint="eastAsia"/>
          <w:kern w:val="0"/>
          <w:szCs w:val="21"/>
          <w:highlight w:val="none"/>
        </w:rPr>
        <w:t>职责</w:t>
      </w:r>
    </w:p>
    <w:p w14:paraId="64C53396">
      <w:pPr>
        <w:autoSpaceDE w:val="0"/>
        <w:autoSpaceDN w:val="0"/>
        <w:adjustRightInd w:val="0"/>
        <w:spacing w:line="440" w:lineRule="exact"/>
        <w:ind w:left="479" w:leftChars="228"/>
        <w:jc w:val="left"/>
        <w:rPr>
          <w:rFonts w:ascii="宋体" w:hAnsi="宋体" w:cs="宋体"/>
          <w:kern w:val="0"/>
          <w:szCs w:val="21"/>
          <w:highlight w:val="none"/>
        </w:rPr>
      </w:pPr>
      <w:r>
        <w:rPr>
          <w:rFonts w:ascii="宋体" w:hAnsi="宋体" w:cs="宋体" w:hint="eastAsia"/>
          <w:kern w:val="0"/>
          <w:szCs w:val="21"/>
          <w:highlight w:val="none"/>
        </w:rPr>
        <w:t>食品安全防护小组：全面负责食品安全防护的评估，安排属下落实各项防护要求，提供有效资源，监督食品安全防护措施实施情况，确保食品安全防护计划有效。</w:t>
      </w:r>
    </w:p>
    <w:p w14:paraId="586DBA0C">
      <w:pPr>
        <w:autoSpaceDE w:val="0"/>
        <w:autoSpaceDN w:val="0"/>
        <w:adjustRightInd w:val="0"/>
        <w:spacing w:line="440" w:lineRule="exact"/>
        <w:ind w:firstLine="420" w:firstLineChars="200"/>
        <w:jc w:val="left"/>
        <w:rPr>
          <w:rFonts w:ascii="宋体" w:hAnsi="宋体" w:cs="宋体"/>
          <w:kern w:val="0"/>
          <w:szCs w:val="21"/>
          <w:highlight w:val="none"/>
        </w:rPr>
      </w:pPr>
      <w:r>
        <w:rPr>
          <w:rFonts w:ascii="宋体" w:hAnsi="宋体" w:cs="宋体" w:hint="eastAsia"/>
          <w:kern w:val="0"/>
          <w:szCs w:val="21"/>
          <w:highlight w:val="none"/>
        </w:rPr>
        <w:t>组长：</w:t>
      </w:r>
      <w:r>
        <w:rPr>
          <w:rFonts w:ascii="宋体" w:hAnsi="宋体" w:cs="宋体"/>
          <w:kern w:val="0"/>
          <w:szCs w:val="21"/>
          <w:highlight w:val="none"/>
        </w:rPr>
        <w:t xml:space="preserve"> </w:t>
      </w:r>
      <w:r>
        <w:rPr>
          <w:rFonts w:ascii="宋体" w:hAnsi="宋体" w:cs="宋体" w:hint="eastAsia"/>
          <w:kern w:val="0"/>
          <w:szCs w:val="21"/>
          <w:highlight w:val="none"/>
        </w:rPr>
        <w:t>为本公司食品安全防护之最高领导者。</w:t>
      </w:r>
    </w:p>
    <w:p w14:paraId="13E919E6">
      <w:pPr>
        <w:autoSpaceDE w:val="0"/>
        <w:autoSpaceDN w:val="0"/>
        <w:adjustRightInd w:val="0"/>
        <w:spacing w:line="440" w:lineRule="exact"/>
        <w:ind w:left="1529" w:hanging="1050" w:leftChars="228" w:hangingChars="500"/>
        <w:jc w:val="left"/>
        <w:rPr>
          <w:rFonts w:ascii="宋体" w:hAnsi="宋体" w:cs="宋体"/>
          <w:kern w:val="0"/>
          <w:szCs w:val="21"/>
          <w:highlight w:val="none"/>
        </w:rPr>
      </w:pPr>
      <w:r>
        <w:rPr>
          <w:rFonts w:ascii="宋体" w:hAnsi="宋体" w:cs="宋体" w:hint="eastAsia"/>
          <w:kern w:val="0"/>
          <w:szCs w:val="21"/>
          <w:highlight w:val="none"/>
        </w:rPr>
        <w:t>执行组长：全面负责食品安全防护的管理，统筹协调安排部门食品安全防护的各项工作。</w:t>
      </w:r>
    </w:p>
    <w:p w14:paraId="56D26100">
      <w:pPr>
        <w:autoSpaceDE w:val="0"/>
        <w:autoSpaceDN w:val="0"/>
        <w:adjustRightInd w:val="0"/>
        <w:spacing w:line="440" w:lineRule="exact"/>
        <w:ind w:firstLine="420" w:firstLineChars="200"/>
        <w:jc w:val="left"/>
        <w:rPr>
          <w:rFonts w:ascii="宋体" w:hAnsi="宋体" w:cs="宋体"/>
          <w:kern w:val="0"/>
          <w:szCs w:val="21"/>
          <w:highlight w:val="none"/>
        </w:rPr>
      </w:pPr>
      <w:r>
        <w:rPr>
          <w:rFonts w:ascii="宋体" w:hAnsi="宋体" w:cs="宋体" w:hint="eastAsia"/>
          <w:kern w:val="0"/>
          <w:szCs w:val="21"/>
          <w:highlight w:val="none"/>
        </w:rPr>
        <w:t>各部门负责人：负责本部门食品安全防护所涉及到的各项管理要求。</w:t>
      </w:r>
    </w:p>
    <w:p w14:paraId="65388051">
      <w:pPr>
        <w:autoSpaceDE w:val="0"/>
        <w:autoSpaceDN w:val="0"/>
        <w:adjustRightInd w:val="0"/>
        <w:spacing w:line="440" w:lineRule="exact"/>
        <w:ind w:firstLine="420" w:firstLineChars="200"/>
        <w:jc w:val="left"/>
        <w:rPr>
          <w:rFonts w:ascii="宋体" w:hAnsi="宋体" w:cs="宋体"/>
          <w:kern w:val="0"/>
          <w:szCs w:val="21"/>
          <w:highlight w:val="none"/>
        </w:rPr>
      </w:pPr>
      <w:r>
        <w:rPr>
          <w:rFonts w:ascii="宋体" w:hAnsi="宋体" w:cs="宋体" w:hint="eastAsia"/>
          <w:kern w:val="0"/>
          <w:szCs w:val="21"/>
          <w:highlight w:val="none"/>
        </w:rPr>
        <w:t>关键小组负责人</w:t>
      </w:r>
      <w:r>
        <w:rPr>
          <w:rFonts w:ascii="宋体" w:hAnsi="宋体"/>
          <w:kern w:val="0"/>
          <w:szCs w:val="21"/>
          <w:highlight w:val="none"/>
        </w:rPr>
        <w:t>/</w:t>
      </w:r>
      <w:r>
        <w:rPr>
          <w:rFonts w:ascii="宋体" w:hAnsi="宋体" w:cs="宋体" w:hint="eastAsia"/>
          <w:kern w:val="0"/>
          <w:szCs w:val="21"/>
          <w:highlight w:val="none"/>
        </w:rPr>
        <w:t>主任：负责小组</w:t>
      </w:r>
      <w:r>
        <w:rPr>
          <w:rFonts w:ascii="宋体" w:hAnsi="宋体"/>
          <w:kern w:val="0"/>
          <w:szCs w:val="21"/>
          <w:highlight w:val="none"/>
        </w:rPr>
        <w:t>/</w:t>
      </w:r>
      <w:r>
        <w:rPr>
          <w:rFonts w:ascii="宋体" w:hAnsi="宋体" w:cs="宋体" w:hint="eastAsia"/>
          <w:kern w:val="0"/>
          <w:szCs w:val="21"/>
          <w:highlight w:val="none"/>
        </w:rPr>
        <w:t>区域食品安全防护的各项管理要求。</w:t>
      </w:r>
    </w:p>
    <w:p w14:paraId="7DA23FBD">
      <w:pPr>
        <w:autoSpaceDE w:val="0"/>
        <w:autoSpaceDN w:val="0"/>
        <w:adjustRightInd w:val="0"/>
        <w:spacing w:line="440" w:lineRule="exact"/>
        <w:jc w:val="left"/>
        <w:rPr>
          <w:rFonts w:ascii="宋体" w:hAnsi="宋体" w:cs="宋体"/>
          <w:b/>
          <w:kern w:val="0"/>
          <w:szCs w:val="21"/>
          <w:highlight w:val="none"/>
        </w:rPr>
      </w:pPr>
      <w:r>
        <w:rPr>
          <w:rFonts w:ascii="宋体" w:hAnsi="宋体"/>
          <w:b/>
          <w:kern w:val="0"/>
          <w:szCs w:val="21"/>
          <w:highlight w:val="none"/>
        </w:rPr>
        <w:t xml:space="preserve">5. </w:t>
      </w:r>
      <w:r>
        <w:rPr>
          <w:rFonts w:ascii="宋体" w:hAnsi="宋体" w:cs="宋体" w:hint="eastAsia"/>
          <w:b/>
          <w:kern w:val="0"/>
          <w:szCs w:val="21"/>
          <w:highlight w:val="none"/>
        </w:rPr>
        <w:t>食品安全防护计划体系</w:t>
      </w:r>
    </w:p>
    <w:p w14:paraId="30582CC9">
      <w:pPr>
        <w:spacing w:line="440" w:lineRule="exact"/>
        <w:rPr>
          <w:rFonts w:ascii="宋体" w:hAnsi="宋体" w:cs="宋体"/>
          <w:kern w:val="0"/>
          <w:sz w:val="24"/>
          <w:highlight w:val="none"/>
        </w:rPr>
      </w:pPr>
      <w:r>
        <w:rPr>
          <w:rFonts w:ascii="宋体" w:hAnsi="宋体"/>
          <w:kern w:val="0"/>
          <w:szCs w:val="21"/>
          <w:highlight w:val="none"/>
        </w:rPr>
        <w:t xml:space="preserve">5.1 </w:t>
      </w:r>
      <w:r>
        <w:rPr>
          <w:rFonts w:ascii="宋体" w:hAnsi="宋体" w:cs="宋体" w:hint="eastAsia"/>
          <w:kern w:val="0"/>
          <w:szCs w:val="21"/>
          <w:highlight w:val="none"/>
        </w:rPr>
        <w:t>本公司食品安全防护计划体系，分为四个层级，层级关系见下图：</w:t>
      </w:r>
    </w:p>
    <w:p w14:paraId="7BCC0AEB">
      <w:pPr>
        <w:spacing w:line="440" w:lineRule="exact"/>
        <w:rPr>
          <w:rFonts w:ascii="宋体" w:hAnsi="宋体" w:cs="宋体"/>
          <w:kern w:val="0"/>
          <w:sz w:val="24"/>
          <w:highlight w:val="none"/>
        </w:rPr>
      </w:pPr>
    </w:p>
    <w:p w14:paraId="6E2CBDA3">
      <w:pPr>
        <w:rPr>
          <w:rFonts w:ascii="宋体" w:hAnsi="宋体" w:cs="宋体"/>
          <w:kern w:val="0"/>
          <w:sz w:val="24"/>
          <w:highlight w:val="none"/>
        </w:rPr>
      </w:pPr>
      <w:r>
        <w:rPr>
          <w:rFonts w:ascii="宋体" w:hAnsi="宋体" w:cs="宋体" w:hint="eastAsia"/>
          <w:kern w:val="0"/>
          <w:sz w:val="24"/>
          <w:highlight w:val="none"/>
        </w:rPr>
        <w:t xml:space="preserve">          </w:t>
      </w:r>
      <w:r>
        <w:rPr>
          <w:rFonts w:ascii="宋体" w:hAnsi="宋体" w:cs="宋体"/>
          <w:kern w:val="0"/>
          <w:sz w:val="24"/>
          <w:highlight w:val="none"/>
        </w:rPr>
        <w:drawing>
          <wp:inline distT="0" distB="0" distL="0" distR="0">
            <wp:extent cx="4114800" cy="2843530"/>
            <wp:effectExtent l="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xmlns:r="http://schemas.openxmlformats.org/officeDocument/2006/relationships" r:embed="rId9" cstate="print"/>
                    <a:stretch>
                      <a:fillRect/>
                    </a:stretch>
                  </pic:blipFill>
                  <pic:spPr>
                    <a:xfrm>
                      <a:off x="0" y="0"/>
                      <a:ext cx="4114800" cy="2843530"/>
                    </a:xfrm>
                    <a:prstGeom prst="rect">
                      <a:avLst/>
                    </a:prstGeom>
                    <a:ln>
                      <a:noFill/>
                    </a:ln>
                  </pic:spPr>
                </pic:pic>
              </a:graphicData>
            </a:graphic>
          </wp:inline>
        </w:drawing>
      </w:r>
    </w:p>
    <w:p w14:paraId="736C79A7">
      <w:pPr>
        <w:rPr>
          <w:rFonts w:ascii="宋体" w:hAnsi="宋体" w:cs="宋体"/>
          <w:kern w:val="0"/>
          <w:sz w:val="24"/>
          <w:highlight w:val="none"/>
        </w:rPr>
      </w:pPr>
    </w:p>
    <w:p w14:paraId="3E9DB368">
      <w:pPr>
        <w:autoSpaceDE w:val="0"/>
        <w:autoSpaceDN w:val="0"/>
        <w:adjustRightInd w:val="0"/>
        <w:spacing w:line="440" w:lineRule="exact"/>
        <w:jc w:val="left"/>
        <w:rPr>
          <w:rFonts w:ascii="宋体" w:hAnsi="宋体" w:cs="宋体"/>
          <w:kern w:val="0"/>
          <w:szCs w:val="21"/>
          <w:highlight w:val="none"/>
        </w:rPr>
      </w:pPr>
      <w:r>
        <w:rPr>
          <w:rFonts w:ascii="宋体" w:hAnsi="宋体"/>
          <w:kern w:val="0"/>
          <w:szCs w:val="21"/>
          <w:highlight w:val="none"/>
        </w:rPr>
        <w:t xml:space="preserve">5.2 </w:t>
      </w:r>
      <w:r>
        <w:rPr>
          <w:rFonts w:ascii="宋体" w:hAnsi="宋体" w:cs="宋体" w:hint="eastAsia"/>
          <w:kern w:val="0"/>
          <w:szCs w:val="21"/>
          <w:highlight w:val="none"/>
        </w:rPr>
        <w:t>食品安全防护计划体系各层级内容</w:t>
      </w:r>
    </w:p>
    <w:p w14:paraId="1BC6C8AD">
      <w:pPr>
        <w:autoSpaceDE w:val="0"/>
        <w:autoSpaceDN w:val="0"/>
        <w:adjustRightInd w:val="0"/>
        <w:spacing w:line="440" w:lineRule="exact"/>
        <w:jc w:val="left"/>
        <w:rPr>
          <w:rFonts w:ascii="宋体" w:hAnsi="宋体" w:cs="宋体"/>
          <w:kern w:val="0"/>
          <w:szCs w:val="21"/>
          <w:highlight w:val="none"/>
        </w:rPr>
      </w:pPr>
      <w:r>
        <w:rPr>
          <w:rFonts w:ascii="宋体" w:hAnsi="宋体"/>
          <w:kern w:val="0"/>
          <w:szCs w:val="21"/>
          <w:highlight w:val="none"/>
        </w:rPr>
        <w:t xml:space="preserve">5.2.1 </w:t>
      </w:r>
      <w:r>
        <w:rPr>
          <w:rFonts w:ascii="宋体" w:hAnsi="宋体" w:cs="宋体" w:hint="eastAsia"/>
          <w:kern w:val="0"/>
          <w:szCs w:val="21"/>
          <w:highlight w:val="none"/>
        </w:rPr>
        <w:t>预防性措施</w:t>
      </w:r>
    </w:p>
    <w:p w14:paraId="6123127B">
      <w:pPr>
        <w:autoSpaceDE w:val="0"/>
        <w:autoSpaceDN w:val="0"/>
        <w:adjustRightInd w:val="0"/>
        <w:spacing w:line="440" w:lineRule="exact"/>
        <w:ind w:firstLine="420" w:firstLineChars="200"/>
        <w:jc w:val="left"/>
        <w:rPr>
          <w:rFonts w:ascii="宋体" w:hAnsi="宋体" w:cs="宋体"/>
          <w:kern w:val="0"/>
          <w:szCs w:val="21"/>
          <w:highlight w:val="none"/>
        </w:rPr>
      </w:pPr>
      <w:r>
        <w:rPr>
          <w:rFonts w:ascii="宋体" w:hAnsi="宋体"/>
          <w:kern w:val="0"/>
          <w:szCs w:val="21"/>
          <w:highlight w:val="none"/>
        </w:rPr>
        <w:t xml:space="preserve">A. </w:t>
      </w:r>
      <w:r>
        <w:rPr>
          <w:rFonts w:ascii="宋体" w:hAnsi="宋体" w:cs="宋体" w:hint="eastAsia"/>
          <w:kern w:val="0"/>
          <w:szCs w:val="21"/>
          <w:highlight w:val="none"/>
        </w:rPr>
        <w:t>人员管理</w:t>
      </w:r>
    </w:p>
    <w:p w14:paraId="2C8E21E3">
      <w:pPr>
        <w:autoSpaceDE w:val="0"/>
        <w:autoSpaceDN w:val="0"/>
        <w:adjustRightInd w:val="0"/>
        <w:spacing w:line="440" w:lineRule="exact"/>
        <w:ind w:left="1153" w:hanging="315" w:leftChars="399" w:hangingChars="150"/>
        <w:jc w:val="left"/>
        <w:rPr>
          <w:rFonts w:ascii="宋体" w:hAnsi="宋体" w:cs="宋体"/>
          <w:kern w:val="0"/>
          <w:szCs w:val="21"/>
          <w:highlight w:val="none"/>
        </w:rPr>
      </w:pPr>
      <w:r>
        <w:rPr>
          <w:rFonts w:ascii="宋体" w:hAnsi="宋体"/>
          <w:kern w:val="0"/>
          <w:szCs w:val="21"/>
          <w:highlight w:val="none"/>
        </w:rPr>
        <w:t xml:space="preserve">A1 </w:t>
      </w:r>
      <w:r>
        <w:rPr>
          <w:rFonts w:ascii="宋体" w:hAnsi="宋体" w:cs="宋体" w:hint="eastAsia"/>
          <w:kern w:val="0"/>
          <w:szCs w:val="21"/>
          <w:highlight w:val="none"/>
        </w:rPr>
        <w:t>公司员工的管理，按照公司员工规章和公司人力资源管理制度之奖惩条例执行。</w:t>
      </w:r>
    </w:p>
    <w:p w14:paraId="0B9D546D">
      <w:pPr>
        <w:tabs>
          <w:tab w:val="left" w:pos="900"/>
        </w:tabs>
        <w:autoSpaceDE w:val="0"/>
        <w:autoSpaceDN w:val="0"/>
        <w:adjustRightInd w:val="0"/>
        <w:spacing w:line="440" w:lineRule="exact"/>
        <w:ind w:firstLine="840" w:firstLineChars="400"/>
        <w:jc w:val="left"/>
        <w:rPr>
          <w:rFonts w:ascii="宋体" w:hAnsi="宋体" w:cs="宋体"/>
          <w:kern w:val="0"/>
          <w:szCs w:val="21"/>
          <w:highlight w:val="none"/>
        </w:rPr>
      </w:pPr>
      <w:r>
        <w:rPr>
          <w:rFonts w:ascii="宋体" w:hAnsi="宋体"/>
          <w:kern w:val="0"/>
          <w:szCs w:val="21"/>
          <w:highlight w:val="none"/>
        </w:rPr>
        <w:t xml:space="preserve">A2 </w:t>
      </w:r>
      <w:r>
        <w:rPr>
          <w:rFonts w:ascii="宋体" w:hAnsi="宋体" w:cs="宋体" w:hint="eastAsia"/>
          <w:kern w:val="0"/>
          <w:szCs w:val="21"/>
          <w:highlight w:val="none"/>
        </w:rPr>
        <w:t>外包员工的管理，按照安全管理协议书和岗位规章制度执行。</w:t>
      </w:r>
    </w:p>
    <w:p w14:paraId="1583C425">
      <w:pPr>
        <w:autoSpaceDE w:val="0"/>
        <w:autoSpaceDN w:val="0"/>
        <w:adjustRightInd w:val="0"/>
        <w:spacing w:line="440" w:lineRule="exact"/>
        <w:ind w:left="1153" w:hanging="315" w:leftChars="399" w:hangingChars="150"/>
        <w:jc w:val="left"/>
        <w:rPr>
          <w:rFonts w:ascii="宋体" w:hAnsi="宋体" w:cs="宋体"/>
          <w:kern w:val="0"/>
          <w:szCs w:val="21"/>
          <w:highlight w:val="none"/>
        </w:rPr>
      </w:pPr>
      <w:r>
        <w:rPr>
          <w:rFonts w:ascii="宋体" w:hAnsi="宋体"/>
          <w:kern w:val="0"/>
          <w:szCs w:val="21"/>
          <w:highlight w:val="none"/>
        </w:rPr>
        <w:t xml:space="preserve">A3 </w:t>
      </w:r>
      <w:r>
        <w:rPr>
          <w:rFonts w:ascii="宋体" w:hAnsi="宋体" w:cs="宋体" w:hint="eastAsia"/>
          <w:kern w:val="0"/>
          <w:szCs w:val="21"/>
          <w:highlight w:val="none"/>
        </w:rPr>
        <w:t>临时进出公司的客户、经销商、供应商、外来检查人员等需进行登记。</w:t>
      </w:r>
    </w:p>
    <w:p w14:paraId="7925139F">
      <w:pPr>
        <w:autoSpaceDE w:val="0"/>
        <w:autoSpaceDN w:val="0"/>
        <w:adjustRightInd w:val="0"/>
        <w:spacing w:line="440" w:lineRule="exact"/>
        <w:ind w:left="1033" w:hanging="315" w:leftChars="342" w:hangingChars="150"/>
        <w:jc w:val="left"/>
        <w:rPr>
          <w:rFonts w:ascii="宋体" w:hAnsi="宋体" w:cs="宋体"/>
          <w:kern w:val="0"/>
          <w:szCs w:val="21"/>
          <w:highlight w:val="none"/>
        </w:rPr>
      </w:pPr>
      <w:r>
        <w:rPr>
          <w:rFonts w:ascii="宋体" w:hAnsi="宋体"/>
          <w:kern w:val="0"/>
          <w:szCs w:val="21"/>
          <w:highlight w:val="none"/>
        </w:rPr>
        <w:t xml:space="preserve">A4 </w:t>
      </w:r>
      <w:r>
        <w:rPr>
          <w:rFonts w:ascii="宋体" w:hAnsi="宋体" w:cs="宋体" w:hint="eastAsia"/>
          <w:kern w:val="0"/>
          <w:szCs w:val="21"/>
          <w:highlight w:val="none"/>
        </w:rPr>
        <w:t>人员对没有主管级以上员工陪同进入的陌生人必须进行阻止，并向主管汇报。</w:t>
      </w:r>
    </w:p>
    <w:p w14:paraId="172356C4">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B.</w:t>
      </w:r>
      <w:r>
        <w:rPr>
          <w:rFonts w:ascii="宋体" w:hAnsi="宋体" w:hint="eastAsia"/>
          <w:kern w:val="0"/>
          <w:szCs w:val="21"/>
          <w:highlight w:val="none"/>
        </w:rPr>
        <w:t xml:space="preserve"> 公司安全管理</w:t>
      </w:r>
    </w:p>
    <w:p w14:paraId="121316CF">
      <w:pPr>
        <w:autoSpaceDE w:val="0"/>
        <w:autoSpaceDN w:val="0"/>
        <w:adjustRightInd w:val="0"/>
        <w:spacing w:line="440" w:lineRule="exact"/>
        <w:ind w:firstLine="735" w:firstLineChars="350"/>
        <w:jc w:val="left"/>
        <w:rPr>
          <w:rFonts w:ascii="宋体" w:hAnsi="宋体" w:cs="宋体"/>
          <w:kern w:val="0"/>
          <w:szCs w:val="21"/>
          <w:highlight w:val="none"/>
        </w:rPr>
      </w:pPr>
      <w:r>
        <w:rPr>
          <w:rFonts w:ascii="宋体" w:hAnsi="宋体"/>
          <w:kern w:val="0"/>
          <w:szCs w:val="21"/>
          <w:highlight w:val="none"/>
        </w:rPr>
        <w:t xml:space="preserve">B1 </w:t>
      </w:r>
      <w:r>
        <w:rPr>
          <w:rFonts w:ascii="宋体" w:hAnsi="宋体" w:cs="宋体" w:hint="eastAsia"/>
          <w:kern w:val="0"/>
          <w:szCs w:val="21"/>
          <w:highlight w:val="none"/>
        </w:rPr>
        <w:t>安全生产管理，参照公司安全管理制度进行。</w:t>
      </w:r>
    </w:p>
    <w:p w14:paraId="4821744A">
      <w:pPr>
        <w:autoSpaceDE w:val="0"/>
        <w:autoSpaceDN w:val="0"/>
        <w:adjustRightInd w:val="0"/>
        <w:spacing w:line="440" w:lineRule="exact"/>
        <w:ind w:left="1153" w:hanging="315" w:leftChars="399" w:hangingChars="150"/>
        <w:jc w:val="left"/>
        <w:rPr>
          <w:rFonts w:ascii="宋体" w:hAnsi="宋体" w:cs="宋体"/>
          <w:kern w:val="0"/>
          <w:szCs w:val="21"/>
          <w:highlight w:val="none"/>
        </w:rPr>
      </w:pPr>
      <w:r>
        <w:rPr>
          <w:rFonts w:ascii="宋体" w:hAnsi="宋体"/>
          <w:kern w:val="0"/>
          <w:szCs w:val="21"/>
          <w:highlight w:val="none"/>
        </w:rPr>
        <w:t xml:space="preserve">B2 </w:t>
      </w:r>
      <w:r>
        <w:rPr>
          <w:rFonts w:ascii="宋体" w:hAnsi="宋体" w:cs="宋体" w:hint="eastAsia"/>
          <w:kern w:val="0"/>
          <w:szCs w:val="21"/>
          <w:highlight w:val="none"/>
        </w:rPr>
        <w:t>进出车辆</w:t>
      </w:r>
      <w:r>
        <w:rPr>
          <w:rFonts w:ascii="宋体" w:hAnsi="宋体"/>
          <w:kern w:val="0"/>
          <w:szCs w:val="21"/>
          <w:highlight w:val="none"/>
        </w:rPr>
        <w:t>/</w:t>
      </w:r>
      <w:r>
        <w:rPr>
          <w:rFonts w:ascii="宋体" w:hAnsi="宋体" w:cs="宋体" w:hint="eastAsia"/>
          <w:kern w:val="0"/>
          <w:szCs w:val="21"/>
          <w:highlight w:val="none"/>
        </w:rPr>
        <w:t>物品</w:t>
      </w:r>
      <w:r>
        <w:rPr>
          <w:rFonts w:ascii="宋体" w:hAnsi="宋体"/>
          <w:kern w:val="0"/>
          <w:szCs w:val="21"/>
          <w:highlight w:val="none"/>
        </w:rPr>
        <w:t>/</w:t>
      </w:r>
      <w:r>
        <w:rPr>
          <w:rFonts w:ascii="宋体" w:hAnsi="宋体" w:cs="宋体" w:hint="eastAsia"/>
          <w:kern w:val="0"/>
          <w:szCs w:val="21"/>
          <w:highlight w:val="none"/>
        </w:rPr>
        <w:t>邮件的管理，参照公司安全管理制度进行。</w:t>
      </w:r>
    </w:p>
    <w:p w14:paraId="6080B9C0">
      <w:pPr>
        <w:spacing w:line="440" w:lineRule="exact"/>
        <w:ind w:left="1153" w:hanging="315" w:leftChars="399" w:hangingChars="150"/>
        <w:rPr>
          <w:rFonts w:ascii="宋体" w:hAnsi="宋体" w:cs="宋体"/>
          <w:kern w:val="0"/>
          <w:szCs w:val="21"/>
          <w:highlight w:val="none"/>
        </w:rPr>
      </w:pPr>
      <w:r>
        <w:rPr>
          <w:rFonts w:ascii="宋体" w:hAnsi="宋体"/>
          <w:kern w:val="0"/>
          <w:szCs w:val="21"/>
          <w:highlight w:val="none"/>
        </w:rPr>
        <w:t xml:space="preserve">B3 </w:t>
      </w:r>
      <w:r>
        <w:rPr>
          <w:rFonts w:ascii="宋体" w:hAnsi="宋体" w:cs="宋体" w:hint="eastAsia"/>
          <w:kern w:val="0"/>
          <w:szCs w:val="21"/>
          <w:highlight w:val="none"/>
        </w:rPr>
        <w:t>有毒化学品的管理，采取独立存放，上双锁，使用申请审批，两人在场发放，按照有毒化学品规定进行。</w:t>
      </w:r>
    </w:p>
    <w:p w14:paraId="656F0F2F">
      <w:pPr>
        <w:autoSpaceDE w:val="0"/>
        <w:autoSpaceDN w:val="0"/>
        <w:adjustRightInd w:val="0"/>
        <w:spacing w:line="440" w:lineRule="exact"/>
        <w:ind w:left="1258" w:hanging="420" w:leftChars="399" w:hangingChars="200"/>
        <w:jc w:val="left"/>
        <w:rPr>
          <w:rFonts w:ascii="宋体" w:hAnsi="宋体" w:cs="宋体"/>
          <w:kern w:val="0"/>
          <w:szCs w:val="21"/>
          <w:highlight w:val="none"/>
        </w:rPr>
      </w:pPr>
      <w:r>
        <w:rPr>
          <w:rFonts w:ascii="宋体" w:hAnsi="宋体"/>
          <w:kern w:val="0"/>
          <w:szCs w:val="21"/>
          <w:highlight w:val="none"/>
        </w:rPr>
        <w:t>B4</w:t>
      </w:r>
      <w:r>
        <w:rPr>
          <w:rFonts w:ascii="宋体" w:hAnsi="宋体" w:hint="eastAsia"/>
          <w:kern w:val="0"/>
          <w:szCs w:val="21"/>
          <w:highlight w:val="none"/>
        </w:rPr>
        <w:t xml:space="preserve"> </w:t>
      </w:r>
      <w:r>
        <w:rPr>
          <w:rFonts w:ascii="宋体" w:hAnsi="宋体" w:cs="宋体" w:hint="eastAsia"/>
          <w:kern w:val="0"/>
          <w:szCs w:val="21"/>
          <w:highlight w:val="none"/>
        </w:rPr>
        <w:t>人员一旦发现不安全物质（比如类似于消毒剂、油漆等）、异常物（平日没有见到过的）等等，必须及时向主任汇报，隔离该物质。</w:t>
      </w:r>
    </w:p>
    <w:p w14:paraId="5AAC9AD1">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C. </w:t>
      </w:r>
      <w:r>
        <w:rPr>
          <w:rFonts w:ascii="宋体" w:hAnsi="宋体" w:hint="eastAsia"/>
          <w:kern w:val="0"/>
          <w:szCs w:val="21"/>
          <w:highlight w:val="none"/>
        </w:rPr>
        <w:t>信息安全管理</w:t>
      </w:r>
    </w:p>
    <w:p w14:paraId="32849A34">
      <w:pPr>
        <w:autoSpaceDE w:val="0"/>
        <w:autoSpaceDN w:val="0"/>
        <w:adjustRightInd w:val="0"/>
        <w:spacing w:line="440" w:lineRule="exact"/>
        <w:ind w:firstLine="735" w:firstLineChars="350"/>
        <w:jc w:val="left"/>
        <w:rPr>
          <w:rFonts w:ascii="宋体" w:hAnsi="宋体"/>
          <w:kern w:val="0"/>
          <w:szCs w:val="21"/>
          <w:highlight w:val="none"/>
        </w:rPr>
      </w:pPr>
      <w:r>
        <w:rPr>
          <w:rFonts w:ascii="宋体" w:hAnsi="宋体"/>
          <w:kern w:val="0"/>
          <w:szCs w:val="21"/>
          <w:highlight w:val="none"/>
        </w:rPr>
        <w:t xml:space="preserve">C1 </w:t>
      </w:r>
      <w:r>
        <w:rPr>
          <w:rFonts w:ascii="宋体" w:hAnsi="宋体" w:hint="eastAsia"/>
          <w:kern w:val="0"/>
          <w:szCs w:val="21"/>
          <w:highlight w:val="none"/>
        </w:rPr>
        <w:t>网络信息安全管理，按照公司电脑管理制度进行。</w:t>
      </w:r>
    </w:p>
    <w:p w14:paraId="4E6377CD">
      <w:pPr>
        <w:autoSpaceDE w:val="0"/>
        <w:autoSpaceDN w:val="0"/>
        <w:adjustRightInd w:val="0"/>
        <w:spacing w:line="440" w:lineRule="exact"/>
        <w:ind w:left="1153" w:hanging="315" w:leftChars="399" w:hangingChars="150"/>
        <w:jc w:val="left"/>
        <w:rPr>
          <w:rFonts w:ascii="宋体" w:hAnsi="宋体"/>
          <w:kern w:val="0"/>
          <w:szCs w:val="21"/>
          <w:highlight w:val="none"/>
        </w:rPr>
      </w:pPr>
      <w:r>
        <w:rPr>
          <w:rFonts w:ascii="宋体" w:hAnsi="宋体"/>
          <w:kern w:val="0"/>
          <w:szCs w:val="21"/>
          <w:highlight w:val="none"/>
        </w:rPr>
        <w:t xml:space="preserve">C2 </w:t>
      </w:r>
      <w:r>
        <w:rPr>
          <w:rFonts w:ascii="宋体" w:hAnsi="宋体" w:hint="eastAsia"/>
          <w:kern w:val="0"/>
          <w:szCs w:val="21"/>
          <w:highlight w:val="none"/>
        </w:rPr>
        <w:t>质量</w:t>
      </w:r>
      <w:r>
        <w:rPr>
          <w:rFonts w:ascii="宋体" w:hAnsi="宋体"/>
          <w:kern w:val="0"/>
          <w:szCs w:val="21"/>
          <w:highlight w:val="none"/>
        </w:rPr>
        <w:t>/</w:t>
      </w:r>
      <w:r>
        <w:rPr>
          <w:rFonts w:ascii="宋体" w:hAnsi="宋体" w:hint="eastAsia"/>
          <w:kern w:val="0"/>
          <w:szCs w:val="21"/>
          <w:highlight w:val="none"/>
        </w:rPr>
        <w:t>管理</w:t>
      </w:r>
      <w:r>
        <w:rPr>
          <w:rFonts w:ascii="宋体" w:hAnsi="宋体"/>
          <w:kern w:val="0"/>
          <w:szCs w:val="21"/>
          <w:highlight w:val="none"/>
        </w:rPr>
        <w:t>/</w:t>
      </w:r>
      <w:r>
        <w:rPr>
          <w:rFonts w:ascii="宋体" w:hAnsi="宋体" w:hint="eastAsia"/>
          <w:kern w:val="0"/>
          <w:szCs w:val="21"/>
          <w:highlight w:val="none"/>
        </w:rPr>
        <w:t>技术等信息安全管理，按照食品安全管理体系沟通交流程序和公司保密管理制度执行。</w:t>
      </w:r>
    </w:p>
    <w:p w14:paraId="3A0C7133">
      <w:pPr>
        <w:autoSpaceDE w:val="0"/>
        <w:autoSpaceDN w:val="0"/>
        <w:adjustRightInd w:val="0"/>
        <w:spacing w:line="440" w:lineRule="exact"/>
        <w:jc w:val="left"/>
        <w:rPr>
          <w:rFonts w:ascii="宋体" w:hAnsi="宋体" w:cs="宋体"/>
          <w:kern w:val="0"/>
          <w:szCs w:val="21"/>
          <w:highlight w:val="none"/>
        </w:rPr>
      </w:pPr>
      <w:r>
        <w:rPr>
          <w:rFonts w:ascii="宋体" w:hAnsi="宋体"/>
          <w:kern w:val="0"/>
          <w:szCs w:val="21"/>
          <w:highlight w:val="none"/>
        </w:rPr>
        <w:t xml:space="preserve">5.2.2 </w:t>
      </w:r>
      <w:r>
        <w:rPr>
          <w:rFonts w:ascii="宋体" w:hAnsi="宋体" w:cs="宋体" w:hint="eastAsia"/>
          <w:kern w:val="0"/>
          <w:szCs w:val="21"/>
          <w:highlight w:val="none"/>
        </w:rPr>
        <w:t>食品防护评估内容</w:t>
      </w:r>
    </w:p>
    <w:p w14:paraId="476558BB">
      <w:pPr>
        <w:autoSpaceDE w:val="0"/>
        <w:autoSpaceDN w:val="0"/>
        <w:adjustRightInd w:val="0"/>
        <w:spacing w:line="440" w:lineRule="exact"/>
        <w:ind w:left="479" w:leftChars="228"/>
        <w:jc w:val="left"/>
        <w:rPr>
          <w:rFonts w:ascii="宋体" w:hAnsi="宋体" w:cs="宋体"/>
          <w:kern w:val="0"/>
          <w:szCs w:val="21"/>
          <w:highlight w:val="none"/>
        </w:rPr>
      </w:pPr>
      <w:r>
        <w:rPr>
          <w:rFonts w:ascii="宋体" w:hAnsi="宋体" w:cs="宋体" w:hint="eastAsia"/>
          <w:kern w:val="0"/>
          <w:szCs w:val="21"/>
          <w:highlight w:val="none"/>
        </w:rPr>
        <w:t>食品安全防护小组每年秘密进行一次食品安全防护评估，在紧急或特殊情况下，也可由执行组长临时通知组织评估，主要针对以下方面进行：</w:t>
      </w:r>
    </w:p>
    <w:p w14:paraId="14C1C254">
      <w:pPr>
        <w:autoSpaceDE w:val="0"/>
        <w:autoSpaceDN w:val="0"/>
        <w:adjustRightInd w:val="0"/>
        <w:spacing w:line="440" w:lineRule="exact"/>
        <w:ind w:firstLine="420" w:firstLineChars="200"/>
        <w:jc w:val="left"/>
        <w:rPr>
          <w:rFonts w:ascii="宋体" w:hAnsi="宋体" w:cs="宋体"/>
          <w:kern w:val="0"/>
          <w:szCs w:val="21"/>
          <w:highlight w:val="none"/>
        </w:rPr>
      </w:pPr>
      <w:r>
        <w:rPr>
          <w:rFonts w:ascii="宋体" w:hAnsi="宋体"/>
          <w:kern w:val="0"/>
          <w:szCs w:val="21"/>
          <w:highlight w:val="none"/>
        </w:rPr>
        <w:t xml:space="preserve">A. </w:t>
      </w:r>
      <w:r>
        <w:rPr>
          <w:rFonts w:ascii="宋体" w:hAnsi="宋体" w:cs="宋体" w:hint="eastAsia"/>
          <w:kern w:val="0"/>
          <w:szCs w:val="21"/>
          <w:highlight w:val="none"/>
        </w:rPr>
        <w:t>公司外部安全；</w:t>
      </w:r>
    </w:p>
    <w:p w14:paraId="0BF04A8E">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B. </w:t>
      </w:r>
      <w:r>
        <w:rPr>
          <w:rFonts w:ascii="宋体" w:hAnsi="宋体" w:hint="eastAsia"/>
          <w:kern w:val="0"/>
          <w:szCs w:val="21"/>
          <w:highlight w:val="none"/>
        </w:rPr>
        <w:t>公司内部安全；</w:t>
      </w:r>
    </w:p>
    <w:p w14:paraId="001E217F">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C. </w:t>
      </w:r>
      <w:r>
        <w:rPr>
          <w:rFonts w:ascii="宋体" w:hAnsi="宋体" w:hint="eastAsia"/>
          <w:kern w:val="0"/>
          <w:szCs w:val="21"/>
          <w:highlight w:val="none"/>
        </w:rPr>
        <w:t>加工安全；</w:t>
      </w:r>
    </w:p>
    <w:p w14:paraId="1B543232">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D. </w:t>
      </w:r>
      <w:r>
        <w:rPr>
          <w:rFonts w:ascii="宋体" w:hAnsi="宋体" w:hint="eastAsia"/>
          <w:kern w:val="0"/>
          <w:szCs w:val="21"/>
          <w:highlight w:val="none"/>
        </w:rPr>
        <w:t>原料库</w:t>
      </w:r>
      <w:r>
        <w:rPr>
          <w:rFonts w:ascii="宋体" w:hAnsi="宋体"/>
          <w:kern w:val="0"/>
          <w:szCs w:val="21"/>
          <w:highlight w:val="none"/>
        </w:rPr>
        <w:t>/</w:t>
      </w:r>
      <w:r>
        <w:rPr>
          <w:rFonts w:ascii="宋体" w:hAnsi="宋体" w:hint="eastAsia"/>
          <w:kern w:val="0"/>
          <w:szCs w:val="21"/>
          <w:highlight w:val="none"/>
        </w:rPr>
        <w:t>安全；</w:t>
      </w:r>
    </w:p>
    <w:p w14:paraId="243AE3EA">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E. </w:t>
      </w:r>
      <w:r>
        <w:rPr>
          <w:rFonts w:ascii="宋体" w:hAnsi="宋体" w:hint="eastAsia"/>
          <w:kern w:val="0"/>
          <w:szCs w:val="21"/>
          <w:highlight w:val="none"/>
        </w:rPr>
        <w:t>接收</w:t>
      </w:r>
      <w:r>
        <w:rPr>
          <w:rFonts w:ascii="宋体" w:hAnsi="宋体"/>
          <w:kern w:val="0"/>
          <w:szCs w:val="21"/>
          <w:highlight w:val="none"/>
        </w:rPr>
        <w:t>/</w:t>
      </w:r>
      <w:r>
        <w:rPr>
          <w:rFonts w:ascii="宋体" w:hAnsi="宋体" w:hint="eastAsia"/>
          <w:kern w:val="0"/>
          <w:szCs w:val="21"/>
          <w:highlight w:val="none"/>
        </w:rPr>
        <w:t>运送安全；</w:t>
      </w:r>
    </w:p>
    <w:p w14:paraId="10C6792D">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F. </w:t>
      </w:r>
      <w:r>
        <w:rPr>
          <w:rFonts w:ascii="宋体" w:hAnsi="宋体" w:hint="eastAsia"/>
          <w:kern w:val="0"/>
          <w:szCs w:val="21"/>
          <w:highlight w:val="none"/>
        </w:rPr>
        <w:t>水的安全；</w:t>
      </w:r>
    </w:p>
    <w:p w14:paraId="2ADF5B23">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G. </w:t>
      </w:r>
      <w:r>
        <w:rPr>
          <w:rFonts w:ascii="宋体" w:hAnsi="宋体" w:hint="eastAsia"/>
          <w:kern w:val="0"/>
          <w:szCs w:val="21"/>
          <w:highlight w:val="none"/>
        </w:rPr>
        <w:t>人员安全；</w:t>
      </w:r>
    </w:p>
    <w:p w14:paraId="1FF54F15">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H. </w:t>
      </w:r>
      <w:r>
        <w:rPr>
          <w:rFonts w:ascii="宋体" w:hAnsi="宋体" w:hint="eastAsia"/>
          <w:kern w:val="0"/>
          <w:szCs w:val="21"/>
          <w:highlight w:val="none"/>
        </w:rPr>
        <w:t>信息安全</w:t>
      </w:r>
    </w:p>
    <w:p w14:paraId="11EBCE5C">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kern w:val="0"/>
          <w:szCs w:val="21"/>
          <w:highlight w:val="none"/>
        </w:rPr>
        <w:t xml:space="preserve">I. </w:t>
      </w:r>
      <w:r>
        <w:rPr>
          <w:rFonts w:ascii="宋体" w:hAnsi="宋体" w:hint="eastAsia"/>
          <w:kern w:val="0"/>
          <w:szCs w:val="21"/>
          <w:highlight w:val="none"/>
        </w:rPr>
        <w:t>供应链安全；</w:t>
      </w:r>
    </w:p>
    <w:p w14:paraId="2FE96913">
      <w:pPr>
        <w:autoSpaceDE w:val="0"/>
        <w:autoSpaceDN w:val="0"/>
        <w:adjustRightInd w:val="0"/>
        <w:spacing w:line="440" w:lineRule="exact"/>
        <w:ind w:firstLine="420" w:firstLineChars="200"/>
        <w:jc w:val="left"/>
        <w:rPr>
          <w:rFonts w:ascii="宋体" w:hAnsi="宋体"/>
          <w:kern w:val="0"/>
          <w:szCs w:val="21"/>
          <w:highlight w:val="none"/>
        </w:rPr>
      </w:pPr>
      <w:r>
        <w:rPr>
          <w:rFonts w:ascii="宋体" w:hAnsi="宋体" w:hint="eastAsia"/>
          <w:kern w:val="0"/>
          <w:szCs w:val="21"/>
          <w:highlight w:val="none"/>
        </w:rPr>
        <w:t>J</w:t>
      </w:r>
      <w:r>
        <w:rPr>
          <w:rFonts w:ascii="宋体" w:hAnsi="宋体"/>
          <w:kern w:val="0"/>
          <w:szCs w:val="21"/>
          <w:highlight w:val="none"/>
        </w:rPr>
        <w:t xml:space="preserve">. </w:t>
      </w:r>
      <w:r>
        <w:rPr>
          <w:rFonts w:ascii="宋体" w:hAnsi="宋体" w:hint="eastAsia"/>
          <w:kern w:val="0"/>
          <w:szCs w:val="21"/>
          <w:highlight w:val="none"/>
        </w:rPr>
        <w:t>其它可能对食品安全产生危害的情况。</w:t>
      </w:r>
    </w:p>
    <w:p w14:paraId="502EFA39">
      <w:pPr>
        <w:autoSpaceDE w:val="0"/>
        <w:autoSpaceDN w:val="0"/>
        <w:adjustRightInd w:val="0"/>
        <w:spacing w:line="440" w:lineRule="exact"/>
        <w:ind w:left="838" w:leftChars="399"/>
        <w:jc w:val="left"/>
        <w:rPr>
          <w:rFonts w:ascii="宋体" w:hAnsi="宋体"/>
          <w:kern w:val="0"/>
          <w:szCs w:val="21"/>
          <w:highlight w:val="none"/>
        </w:rPr>
      </w:pPr>
      <w:r>
        <w:rPr>
          <w:rFonts w:ascii="宋体" w:hAnsi="宋体" w:hint="eastAsia"/>
          <w:kern w:val="0"/>
          <w:szCs w:val="21"/>
          <w:highlight w:val="none"/>
        </w:rPr>
        <w:t>评估结束后，由食品防护小组执行组长将评估可操作性方面形成《食品安全防护计划》文件，交由相关部门负责人落实到具体岗位人员执行，由部门负责人进行日常操作监督。</w:t>
      </w:r>
    </w:p>
    <w:p w14:paraId="7585173D">
      <w:pPr>
        <w:autoSpaceDE w:val="0"/>
        <w:autoSpaceDN w:val="0"/>
        <w:adjustRightInd w:val="0"/>
        <w:spacing w:line="440" w:lineRule="exact"/>
        <w:jc w:val="left"/>
        <w:rPr>
          <w:rFonts w:ascii="宋体" w:hAnsi="宋体" w:cs="宋体"/>
          <w:kern w:val="0"/>
          <w:szCs w:val="21"/>
          <w:highlight w:val="none"/>
        </w:rPr>
      </w:pPr>
      <w:r>
        <w:rPr>
          <w:rFonts w:ascii="宋体" w:hAnsi="宋体"/>
          <w:kern w:val="0"/>
          <w:szCs w:val="21"/>
          <w:highlight w:val="none"/>
        </w:rPr>
        <w:t xml:space="preserve">5.2.3 </w:t>
      </w:r>
      <w:r>
        <w:rPr>
          <w:rFonts w:ascii="宋体" w:hAnsi="宋体" w:cs="宋体" w:hint="eastAsia"/>
          <w:kern w:val="0"/>
          <w:szCs w:val="21"/>
          <w:highlight w:val="none"/>
        </w:rPr>
        <w:t>食品安全防护计划</w:t>
      </w:r>
    </w:p>
    <w:p w14:paraId="7665ACFE">
      <w:pPr>
        <w:spacing w:line="440" w:lineRule="exact"/>
        <w:ind w:firstLine="210" w:firstLineChars="100"/>
        <w:rPr>
          <w:rFonts w:ascii="宋体" w:hAnsi="宋体" w:cs="宋体"/>
          <w:kern w:val="0"/>
          <w:sz w:val="24"/>
          <w:highlight w:val="none"/>
        </w:rPr>
      </w:pPr>
      <w:r>
        <w:rPr>
          <w:rFonts w:ascii="宋体" w:hAnsi="宋体" w:cs="宋体" w:hint="eastAsia"/>
          <w:kern w:val="0"/>
          <w:szCs w:val="21"/>
          <w:highlight w:val="none"/>
        </w:rPr>
        <w:t>该计划将根据每年的或临时评估的结果进行更新，目前公司食品安全防护计划如下：</w:t>
      </w:r>
    </w:p>
    <w:tbl>
      <w:tblPr>
        <w:tblStyle w:val="TableNormal"/>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9"/>
        <w:gridCol w:w="2342"/>
        <w:gridCol w:w="3979"/>
        <w:gridCol w:w="2324"/>
      </w:tblGrid>
      <w:tr w14:paraId="10E295F7">
        <w:tblPrEx>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98"/>
        </w:trPr>
        <w:tc>
          <w:tcPr>
            <w:tcW w:w="649" w:type="dxa"/>
            <w:vAlign w:val="center"/>
          </w:tcPr>
          <w:p w14:paraId="332B5B0D">
            <w:pPr>
              <w:spacing w:line="360" w:lineRule="auto"/>
              <w:jc w:val="center"/>
              <w:rPr>
                <w:rFonts w:ascii="宋体" w:cs="宋体"/>
                <w:kern w:val="0"/>
                <w:sz w:val="21"/>
                <w:szCs w:val="21"/>
                <w:highlight w:val="none"/>
              </w:rPr>
            </w:pPr>
            <w:r>
              <w:rPr>
                <w:rFonts w:ascii="宋体" w:cs="宋体" w:hint="eastAsia"/>
                <w:kern w:val="0"/>
                <w:sz w:val="21"/>
                <w:szCs w:val="21"/>
                <w:highlight w:val="none"/>
              </w:rPr>
              <w:t>序号</w:t>
            </w:r>
          </w:p>
        </w:tc>
        <w:tc>
          <w:tcPr>
            <w:tcW w:w="2342" w:type="dxa"/>
            <w:vAlign w:val="center"/>
          </w:tcPr>
          <w:p w14:paraId="096C09A8">
            <w:pPr>
              <w:spacing w:line="360" w:lineRule="auto"/>
              <w:jc w:val="center"/>
              <w:rPr>
                <w:rFonts w:ascii="宋体" w:cs="宋体"/>
                <w:kern w:val="0"/>
                <w:sz w:val="21"/>
                <w:szCs w:val="21"/>
                <w:highlight w:val="none"/>
              </w:rPr>
            </w:pPr>
            <w:r>
              <w:rPr>
                <w:rFonts w:ascii="宋体" w:cs="宋体" w:hint="eastAsia"/>
                <w:kern w:val="0"/>
                <w:sz w:val="21"/>
                <w:szCs w:val="21"/>
                <w:highlight w:val="none"/>
              </w:rPr>
              <w:t>区域</w:t>
            </w:r>
          </w:p>
        </w:tc>
        <w:tc>
          <w:tcPr>
            <w:tcW w:w="3979" w:type="dxa"/>
            <w:vAlign w:val="center"/>
          </w:tcPr>
          <w:p w14:paraId="1426C2C9">
            <w:pPr>
              <w:spacing w:line="360" w:lineRule="auto"/>
              <w:jc w:val="center"/>
              <w:rPr>
                <w:rFonts w:ascii="宋体" w:cs="宋体"/>
                <w:kern w:val="0"/>
                <w:sz w:val="21"/>
                <w:szCs w:val="21"/>
                <w:highlight w:val="none"/>
              </w:rPr>
            </w:pPr>
            <w:r>
              <w:rPr>
                <w:rFonts w:ascii="宋体" w:cs="宋体" w:hint="eastAsia"/>
                <w:kern w:val="0"/>
                <w:sz w:val="21"/>
                <w:szCs w:val="21"/>
                <w:highlight w:val="none"/>
              </w:rPr>
              <w:t>防护手段</w:t>
            </w:r>
          </w:p>
        </w:tc>
        <w:tc>
          <w:tcPr>
            <w:tcW w:w="2324" w:type="dxa"/>
            <w:vAlign w:val="center"/>
          </w:tcPr>
          <w:p w14:paraId="415462CA">
            <w:pPr>
              <w:spacing w:line="360" w:lineRule="auto"/>
              <w:jc w:val="center"/>
              <w:rPr>
                <w:sz w:val="21"/>
                <w:szCs w:val="21"/>
                <w:highlight w:val="none"/>
              </w:rPr>
            </w:pPr>
            <w:r>
              <w:rPr>
                <w:rFonts w:ascii="宋体" w:cs="宋体" w:hint="eastAsia"/>
                <w:kern w:val="0"/>
                <w:sz w:val="21"/>
                <w:szCs w:val="21"/>
                <w:highlight w:val="none"/>
              </w:rPr>
              <w:t>执行岗位</w:t>
            </w:r>
          </w:p>
        </w:tc>
      </w:tr>
      <w:tr w14:paraId="45987983">
        <w:tblPrEx>
          <w:tblW w:w="0" w:type="auto"/>
          <w:tblInd w:w="-116" w:type="dxa"/>
          <w:tblLayout w:type="fixed"/>
          <w:tblCellMar>
            <w:top w:w="0" w:type="dxa"/>
            <w:left w:w="108" w:type="dxa"/>
            <w:bottom w:w="0" w:type="dxa"/>
            <w:right w:w="108" w:type="dxa"/>
          </w:tblCellMar>
        </w:tblPrEx>
        <w:trPr>
          <w:trHeight w:val="1428"/>
        </w:trPr>
        <w:tc>
          <w:tcPr>
            <w:tcW w:w="649" w:type="dxa"/>
            <w:vAlign w:val="center"/>
          </w:tcPr>
          <w:p w14:paraId="3472DFB7">
            <w:pPr>
              <w:numPr>
                <w:ilvl w:val="0"/>
                <w:numId w:val="1"/>
              </w:numPr>
              <w:spacing w:line="360" w:lineRule="auto"/>
              <w:ind w:left="425" w:hanging="425" w:leftChars="0" w:firstLineChars="0"/>
              <w:jc w:val="center"/>
              <w:rPr>
                <w:rFonts w:ascii="宋体" w:cs="宋体"/>
                <w:kern w:val="0"/>
                <w:sz w:val="21"/>
                <w:szCs w:val="21"/>
                <w:highlight w:val="none"/>
              </w:rPr>
            </w:pPr>
          </w:p>
        </w:tc>
        <w:tc>
          <w:tcPr>
            <w:tcW w:w="2342" w:type="dxa"/>
            <w:vMerge w:val="restart"/>
            <w:vAlign w:val="center"/>
          </w:tcPr>
          <w:p w14:paraId="44117DD3">
            <w:pPr>
              <w:autoSpaceDE w:val="0"/>
              <w:autoSpaceDN w:val="0"/>
              <w:adjustRightInd w:val="0"/>
              <w:spacing w:line="360" w:lineRule="auto"/>
              <w:jc w:val="center"/>
              <w:rPr>
                <w:rFonts w:ascii="宋体" w:cs="宋体"/>
                <w:kern w:val="0"/>
                <w:sz w:val="21"/>
                <w:szCs w:val="21"/>
                <w:highlight w:val="none"/>
              </w:rPr>
            </w:pPr>
            <w:r>
              <w:rPr>
                <w:rFonts w:ascii="宋体" w:cs="宋体" w:hint="eastAsia"/>
                <w:kern w:val="0"/>
                <w:sz w:val="21"/>
                <w:szCs w:val="21"/>
                <w:highlight w:val="none"/>
              </w:rPr>
              <w:t>全公司外</w:t>
            </w:r>
            <w:r>
              <w:rPr>
                <w:kern w:val="0"/>
                <w:sz w:val="21"/>
                <w:szCs w:val="21"/>
                <w:highlight w:val="none"/>
              </w:rPr>
              <w:t>/</w:t>
            </w:r>
            <w:r>
              <w:rPr>
                <w:rFonts w:ascii="宋体" w:cs="宋体" w:hint="eastAsia"/>
                <w:kern w:val="0"/>
                <w:sz w:val="21"/>
                <w:szCs w:val="21"/>
                <w:highlight w:val="none"/>
              </w:rPr>
              <w:t>内部</w:t>
            </w:r>
          </w:p>
        </w:tc>
        <w:tc>
          <w:tcPr>
            <w:tcW w:w="3979" w:type="dxa"/>
          </w:tcPr>
          <w:p w14:paraId="56EA758F">
            <w:pPr>
              <w:autoSpaceDE w:val="0"/>
              <w:autoSpaceDN w:val="0"/>
              <w:adjustRightInd w:val="0"/>
              <w:spacing w:line="360" w:lineRule="auto"/>
              <w:ind w:firstLine="315" w:firstLineChars="150"/>
              <w:rPr>
                <w:rFonts w:ascii="宋体" w:cs="宋体"/>
                <w:kern w:val="0"/>
                <w:sz w:val="21"/>
                <w:szCs w:val="21"/>
                <w:highlight w:val="none"/>
              </w:rPr>
            </w:pPr>
            <w:r>
              <w:rPr>
                <w:rFonts w:ascii="宋体" w:cs="宋体" w:hint="eastAsia"/>
                <w:kern w:val="0"/>
                <w:sz w:val="21"/>
                <w:szCs w:val="21"/>
                <w:highlight w:val="none"/>
              </w:rPr>
              <w:t>建立安全管理策略，对损害和其它恶意的、蓄意的、或恐怖活动的威胁和真实时间做出反应，包括判断、隔离和对受到安全威胁的保护。</w:t>
            </w:r>
          </w:p>
        </w:tc>
        <w:tc>
          <w:tcPr>
            <w:tcW w:w="2324" w:type="dxa"/>
            <w:vAlign w:val="center"/>
          </w:tcPr>
          <w:p w14:paraId="6731739B">
            <w:pPr>
              <w:autoSpaceDE w:val="0"/>
              <w:autoSpaceDN w:val="0"/>
              <w:adjustRightInd w:val="0"/>
              <w:spacing w:line="360" w:lineRule="auto"/>
              <w:ind w:firstLine="105" w:firstLineChars="50"/>
              <w:jc w:val="center"/>
              <w:rPr>
                <w:rFonts w:ascii="宋体" w:cs="宋体"/>
                <w:kern w:val="0"/>
                <w:sz w:val="21"/>
                <w:szCs w:val="21"/>
                <w:highlight w:val="none"/>
              </w:rPr>
            </w:pPr>
            <w:r>
              <w:rPr>
                <w:rFonts w:ascii="宋体" w:cs="宋体" w:hint="eastAsia"/>
                <w:kern w:val="0"/>
                <w:sz w:val="21"/>
                <w:szCs w:val="21"/>
                <w:highlight w:val="none"/>
              </w:rPr>
              <w:t>总经理</w:t>
            </w:r>
            <w:r>
              <w:rPr>
                <w:kern w:val="0"/>
                <w:sz w:val="21"/>
                <w:szCs w:val="21"/>
                <w:highlight w:val="none"/>
              </w:rPr>
              <w:t>/</w:t>
            </w:r>
            <w:r>
              <w:rPr>
                <w:rFonts w:ascii="宋体" w:cs="宋体" w:hint="eastAsia"/>
                <w:kern w:val="0"/>
                <w:sz w:val="21"/>
                <w:szCs w:val="21"/>
                <w:highlight w:val="none"/>
              </w:rPr>
              <w:t>部门负责人</w:t>
            </w:r>
          </w:p>
        </w:tc>
      </w:tr>
      <w:tr w14:paraId="2EBADD84">
        <w:tblPrEx>
          <w:tblW w:w="0" w:type="auto"/>
          <w:tblInd w:w="-116" w:type="dxa"/>
          <w:tblLayout w:type="fixed"/>
          <w:tblCellMar>
            <w:top w:w="0" w:type="dxa"/>
            <w:left w:w="108" w:type="dxa"/>
            <w:bottom w:w="0" w:type="dxa"/>
            <w:right w:w="108" w:type="dxa"/>
          </w:tblCellMar>
        </w:tblPrEx>
        <w:trPr>
          <w:trHeight w:val="1071"/>
        </w:trPr>
        <w:tc>
          <w:tcPr>
            <w:tcW w:w="649" w:type="dxa"/>
            <w:vAlign w:val="center"/>
          </w:tcPr>
          <w:p w14:paraId="4542FDDE">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tcPr>
          <w:p w14:paraId="1F77D472">
            <w:pPr>
              <w:spacing w:line="360" w:lineRule="auto"/>
              <w:rPr>
                <w:rFonts w:ascii="宋体" w:hAnsi="宋体" w:cs="宋体"/>
                <w:kern w:val="0"/>
                <w:sz w:val="21"/>
                <w:szCs w:val="21"/>
                <w:highlight w:val="none"/>
              </w:rPr>
            </w:pPr>
          </w:p>
        </w:tc>
        <w:tc>
          <w:tcPr>
            <w:tcW w:w="3979" w:type="dxa"/>
          </w:tcPr>
          <w:p w14:paraId="222F6A24">
            <w:pPr>
              <w:spacing w:line="360" w:lineRule="auto"/>
              <w:ind w:firstLine="315" w:firstLineChars="150"/>
              <w:rPr>
                <w:rFonts w:ascii="宋体" w:hAnsi="宋体" w:cs="宋体"/>
                <w:kern w:val="0"/>
                <w:sz w:val="21"/>
                <w:szCs w:val="21"/>
                <w:highlight w:val="none"/>
              </w:rPr>
            </w:pPr>
            <w:r>
              <w:rPr>
                <w:rFonts w:ascii="宋体" w:cs="宋体" w:hint="eastAsia"/>
                <w:kern w:val="0"/>
                <w:sz w:val="21"/>
                <w:szCs w:val="21"/>
                <w:highlight w:val="none"/>
              </w:rPr>
              <w:t>成立法律组，对于损坏、伪造或其它恶意的、蓄意的或恐怖活动迹象及时向有关法律部门和公共卫生权威机构报告。</w:t>
            </w:r>
          </w:p>
        </w:tc>
        <w:tc>
          <w:tcPr>
            <w:tcW w:w="2324" w:type="dxa"/>
            <w:vAlign w:val="center"/>
          </w:tcPr>
          <w:p w14:paraId="3CB6C769">
            <w:pPr>
              <w:autoSpaceDE w:val="0"/>
              <w:autoSpaceDN w:val="0"/>
              <w:adjustRightInd w:val="0"/>
              <w:spacing w:line="360" w:lineRule="auto"/>
              <w:ind w:firstLine="210" w:firstLineChars="100"/>
              <w:jc w:val="center"/>
              <w:rPr>
                <w:rFonts w:ascii="宋体" w:cs="宋体"/>
                <w:kern w:val="0"/>
                <w:sz w:val="21"/>
                <w:szCs w:val="21"/>
                <w:highlight w:val="none"/>
              </w:rPr>
            </w:pPr>
            <w:r>
              <w:rPr>
                <w:rFonts w:ascii="宋体" w:cs="宋体" w:hint="eastAsia"/>
                <w:kern w:val="0"/>
                <w:sz w:val="21"/>
                <w:szCs w:val="21"/>
                <w:highlight w:val="none"/>
                <w:lang w:eastAsia="zh-CN"/>
              </w:rPr>
              <w:t>综合部</w:t>
            </w:r>
            <w:r>
              <w:rPr>
                <w:rFonts w:ascii="宋体" w:cs="宋体" w:hint="eastAsia"/>
                <w:kern w:val="0"/>
                <w:sz w:val="21"/>
                <w:szCs w:val="21"/>
                <w:highlight w:val="none"/>
              </w:rPr>
              <w:t>主管</w:t>
            </w:r>
          </w:p>
          <w:p w14:paraId="39CDAA94">
            <w:pPr>
              <w:spacing w:line="360" w:lineRule="auto"/>
              <w:ind w:firstLine="105" w:firstLineChars="50"/>
              <w:jc w:val="center"/>
              <w:rPr>
                <w:rFonts w:ascii="宋体" w:hAnsi="宋体" w:cs="宋体"/>
                <w:kern w:val="0"/>
                <w:sz w:val="21"/>
                <w:szCs w:val="21"/>
                <w:highlight w:val="none"/>
              </w:rPr>
            </w:pPr>
            <w:r>
              <w:rPr>
                <w:kern w:val="0"/>
                <w:sz w:val="21"/>
                <w:szCs w:val="21"/>
                <w:highlight w:val="none"/>
              </w:rPr>
              <w:t>/</w:t>
            </w:r>
            <w:r>
              <w:rPr>
                <w:rFonts w:ascii="宋体" w:cs="宋体" w:hint="eastAsia"/>
                <w:kern w:val="0"/>
                <w:sz w:val="21"/>
                <w:szCs w:val="21"/>
                <w:highlight w:val="none"/>
              </w:rPr>
              <w:t>部门负责人</w:t>
            </w:r>
          </w:p>
        </w:tc>
      </w:tr>
      <w:tr w14:paraId="609BAF2C">
        <w:tblPrEx>
          <w:tblW w:w="0" w:type="auto"/>
          <w:tblInd w:w="-116" w:type="dxa"/>
          <w:tblLayout w:type="fixed"/>
          <w:tblCellMar>
            <w:top w:w="0" w:type="dxa"/>
            <w:left w:w="108" w:type="dxa"/>
            <w:bottom w:w="0" w:type="dxa"/>
            <w:right w:w="108" w:type="dxa"/>
          </w:tblCellMar>
        </w:tblPrEx>
        <w:trPr>
          <w:trHeight w:val="734"/>
        </w:trPr>
        <w:tc>
          <w:tcPr>
            <w:tcW w:w="649" w:type="dxa"/>
            <w:vAlign w:val="center"/>
          </w:tcPr>
          <w:p w14:paraId="64CA94E3">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tcPr>
          <w:p w14:paraId="4990437E">
            <w:pPr>
              <w:spacing w:line="360" w:lineRule="auto"/>
              <w:rPr>
                <w:rFonts w:ascii="宋体" w:hAnsi="宋体" w:cs="宋体"/>
                <w:kern w:val="0"/>
                <w:sz w:val="21"/>
                <w:szCs w:val="21"/>
                <w:highlight w:val="none"/>
              </w:rPr>
            </w:pPr>
          </w:p>
        </w:tc>
        <w:tc>
          <w:tcPr>
            <w:tcW w:w="3979" w:type="dxa"/>
          </w:tcPr>
          <w:p w14:paraId="7A9E8D85">
            <w:pPr>
              <w:autoSpaceDE w:val="0"/>
              <w:autoSpaceDN w:val="0"/>
              <w:adjustRightInd w:val="0"/>
              <w:spacing w:line="360" w:lineRule="auto"/>
              <w:jc w:val="left"/>
              <w:rPr>
                <w:rFonts w:ascii="宋体" w:cs="宋体"/>
                <w:kern w:val="0"/>
                <w:sz w:val="21"/>
                <w:szCs w:val="21"/>
                <w:highlight w:val="none"/>
              </w:rPr>
            </w:pPr>
            <w:r>
              <w:rPr>
                <w:rFonts w:ascii="宋体" w:cs="宋体" w:hint="eastAsia"/>
                <w:kern w:val="0"/>
                <w:sz w:val="21"/>
                <w:szCs w:val="21"/>
                <w:highlight w:val="none"/>
              </w:rPr>
              <w:t>建立紧急撤离计划，包括撤离期间防止违背安全的事件发生。</w:t>
            </w:r>
          </w:p>
        </w:tc>
        <w:tc>
          <w:tcPr>
            <w:tcW w:w="2324" w:type="dxa"/>
            <w:vAlign w:val="center"/>
          </w:tcPr>
          <w:p w14:paraId="472DD60D">
            <w:pPr>
              <w:spacing w:line="360" w:lineRule="auto"/>
              <w:jc w:val="center"/>
              <w:rPr>
                <w:rFonts w:ascii="宋体" w:hAnsi="宋体" w:cs="宋体"/>
                <w:kern w:val="0"/>
                <w:sz w:val="21"/>
                <w:szCs w:val="21"/>
                <w:highlight w:val="none"/>
              </w:rPr>
            </w:pPr>
            <w:r>
              <w:rPr>
                <w:rFonts w:ascii="宋体" w:cs="宋体" w:hint="eastAsia"/>
                <w:kern w:val="0"/>
                <w:sz w:val="21"/>
                <w:szCs w:val="21"/>
                <w:highlight w:val="none"/>
                <w:lang w:eastAsia="zh-CN"/>
              </w:rPr>
              <w:t>综合部</w:t>
            </w:r>
            <w:r>
              <w:rPr>
                <w:rFonts w:ascii="宋体" w:cs="宋体" w:hint="eastAsia"/>
                <w:kern w:val="0"/>
                <w:sz w:val="21"/>
                <w:szCs w:val="21"/>
                <w:highlight w:val="none"/>
              </w:rPr>
              <w:t>负责人</w:t>
            </w:r>
          </w:p>
        </w:tc>
      </w:tr>
      <w:tr w14:paraId="048F87DC">
        <w:tblPrEx>
          <w:tblW w:w="0" w:type="auto"/>
          <w:tblInd w:w="-116" w:type="dxa"/>
          <w:tblLayout w:type="fixed"/>
          <w:tblCellMar>
            <w:top w:w="0" w:type="dxa"/>
            <w:left w:w="108" w:type="dxa"/>
            <w:bottom w:w="0" w:type="dxa"/>
            <w:right w:w="108" w:type="dxa"/>
          </w:tblCellMar>
        </w:tblPrEx>
        <w:trPr>
          <w:trHeight w:val="1083"/>
        </w:trPr>
        <w:tc>
          <w:tcPr>
            <w:tcW w:w="649" w:type="dxa"/>
            <w:vAlign w:val="center"/>
          </w:tcPr>
          <w:p w14:paraId="64CDA8BA">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tcPr>
          <w:p w14:paraId="58A17414">
            <w:pPr>
              <w:spacing w:line="360" w:lineRule="auto"/>
              <w:rPr>
                <w:rFonts w:ascii="宋体" w:hAnsi="宋体" w:cs="宋体"/>
                <w:kern w:val="0"/>
                <w:sz w:val="21"/>
                <w:szCs w:val="21"/>
                <w:highlight w:val="none"/>
              </w:rPr>
            </w:pPr>
          </w:p>
        </w:tc>
        <w:tc>
          <w:tcPr>
            <w:tcW w:w="3979" w:type="dxa"/>
          </w:tcPr>
          <w:p w14:paraId="1278AFF7">
            <w:pPr>
              <w:autoSpaceDE w:val="0"/>
              <w:autoSpaceDN w:val="0"/>
              <w:adjustRightInd w:val="0"/>
              <w:spacing w:line="360" w:lineRule="auto"/>
              <w:ind w:firstLine="210" w:firstLineChars="100"/>
              <w:jc w:val="left"/>
              <w:rPr>
                <w:rFonts w:ascii="宋体" w:cs="宋体"/>
                <w:kern w:val="0"/>
                <w:sz w:val="21"/>
                <w:szCs w:val="21"/>
                <w:highlight w:val="none"/>
              </w:rPr>
            </w:pPr>
            <w:r>
              <w:rPr>
                <w:rFonts w:ascii="宋体" w:cs="宋体" w:hint="eastAsia"/>
                <w:kern w:val="0"/>
                <w:sz w:val="21"/>
                <w:szCs w:val="21"/>
                <w:highlight w:val="none"/>
              </w:rPr>
              <w:t>设立应急指示灯、紧急出口、紧急撤离聚集地、张贴标志，做到有计划、有组织的安全撤离。</w:t>
            </w:r>
          </w:p>
        </w:tc>
        <w:tc>
          <w:tcPr>
            <w:tcW w:w="2324" w:type="dxa"/>
            <w:vAlign w:val="center"/>
          </w:tcPr>
          <w:p w14:paraId="65AC81BF">
            <w:pPr>
              <w:autoSpaceDE w:val="0"/>
              <w:autoSpaceDN w:val="0"/>
              <w:adjustRightInd w:val="0"/>
              <w:spacing w:line="360" w:lineRule="auto"/>
              <w:jc w:val="center"/>
              <w:rPr>
                <w:kern w:val="0"/>
                <w:sz w:val="21"/>
                <w:szCs w:val="21"/>
                <w:highlight w:val="none"/>
              </w:rPr>
            </w:pPr>
            <w:r>
              <w:rPr>
                <w:rFonts w:ascii="宋体" w:cs="宋体" w:hint="eastAsia"/>
                <w:kern w:val="0"/>
                <w:sz w:val="21"/>
                <w:szCs w:val="21"/>
                <w:highlight w:val="none"/>
                <w:lang w:eastAsia="zh-CN"/>
              </w:rPr>
              <w:t>综合部</w:t>
            </w:r>
            <w:r>
              <w:rPr>
                <w:rFonts w:ascii="宋体" w:cs="宋体" w:hint="eastAsia"/>
                <w:kern w:val="0"/>
                <w:sz w:val="21"/>
                <w:szCs w:val="21"/>
                <w:highlight w:val="none"/>
              </w:rPr>
              <w:t>负责人</w:t>
            </w:r>
            <w:r>
              <w:rPr>
                <w:kern w:val="0"/>
                <w:sz w:val="21"/>
                <w:szCs w:val="21"/>
                <w:highlight w:val="none"/>
              </w:rPr>
              <w:t>/</w:t>
            </w:r>
          </w:p>
          <w:p w14:paraId="6AEBC934">
            <w:pPr>
              <w:spacing w:line="360" w:lineRule="auto"/>
              <w:jc w:val="center"/>
              <w:rPr>
                <w:rFonts w:ascii="宋体" w:hAnsi="宋体" w:cs="宋体"/>
                <w:kern w:val="0"/>
                <w:sz w:val="21"/>
                <w:szCs w:val="21"/>
                <w:highlight w:val="none"/>
              </w:rPr>
            </w:pPr>
            <w:r>
              <w:rPr>
                <w:rFonts w:ascii="宋体" w:cs="宋体" w:hint="eastAsia"/>
                <w:kern w:val="0"/>
                <w:sz w:val="21"/>
                <w:szCs w:val="21"/>
                <w:highlight w:val="none"/>
              </w:rPr>
              <w:t>机修</w:t>
            </w:r>
          </w:p>
        </w:tc>
      </w:tr>
      <w:tr w14:paraId="2C0C0A35">
        <w:tblPrEx>
          <w:tblW w:w="0" w:type="auto"/>
          <w:tblInd w:w="-116" w:type="dxa"/>
          <w:tblLayout w:type="fixed"/>
          <w:tblCellMar>
            <w:top w:w="0" w:type="dxa"/>
            <w:left w:w="108" w:type="dxa"/>
            <w:bottom w:w="0" w:type="dxa"/>
            <w:right w:w="108" w:type="dxa"/>
          </w:tblCellMar>
        </w:tblPrEx>
        <w:trPr>
          <w:trHeight w:val="714"/>
        </w:trPr>
        <w:tc>
          <w:tcPr>
            <w:tcW w:w="649" w:type="dxa"/>
            <w:vAlign w:val="center"/>
          </w:tcPr>
          <w:p w14:paraId="23EDE70C">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tcPr>
          <w:p w14:paraId="479D8558">
            <w:pPr>
              <w:spacing w:line="360" w:lineRule="auto"/>
              <w:rPr>
                <w:rFonts w:ascii="宋体" w:hAnsi="宋体" w:cs="宋体"/>
                <w:kern w:val="0"/>
                <w:sz w:val="21"/>
                <w:szCs w:val="21"/>
                <w:highlight w:val="none"/>
              </w:rPr>
            </w:pPr>
          </w:p>
        </w:tc>
        <w:tc>
          <w:tcPr>
            <w:tcW w:w="3979" w:type="dxa"/>
          </w:tcPr>
          <w:p w14:paraId="5F6CF929">
            <w:pPr>
              <w:spacing w:line="360" w:lineRule="auto"/>
              <w:rPr>
                <w:rFonts w:ascii="宋体" w:hAnsi="宋体" w:cs="宋体"/>
                <w:kern w:val="0"/>
                <w:sz w:val="21"/>
                <w:szCs w:val="21"/>
                <w:highlight w:val="none"/>
              </w:rPr>
            </w:pPr>
            <w:r>
              <w:rPr>
                <w:rFonts w:ascii="宋体" w:cs="宋体" w:hint="eastAsia"/>
                <w:kern w:val="0"/>
                <w:sz w:val="21"/>
                <w:szCs w:val="21"/>
                <w:highlight w:val="none"/>
              </w:rPr>
              <w:t>建立</w:t>
            </w:r>
            <w:r>
              <w:rPr>
                <w:kern w:val="0"/>
                <w:sz w:val="21"/>
                <w:szCs w:val="21"/>
                <w:highlight w:val="none"/>
              </w:rPr>
              <w:t xml:space="preserve">24 </w:t>
            </w:r>
            <w:r>
              <w:rPr>
                <w:rFonts w:ascii="宋体" w:cs="宋体" w:hint="eastAsia"/>
                <w:kern w:val="0"/>
                <w:sz w:val="21"/>
                <w:szCs w:val="21"/>
                <w:highlight w:val="none"/>
              </w:rPr>
              <w:t>小时应急联系信息网，包括总机、</w:t>
            </w:r>
            <w:r>
              <w:rPr>
                <w:rFonts w:ascii="宋体" w:cs="宋体" w:hint="eastAsia"/>
                <w:kern w:val="0"/>
                <w:sz w:val="21"/>
                <w:szCs w:val="21"/>
                <w:highlight w:val="none"/>
                <w:lang w:eastAsia="zh-CN"/>
              </w:rPr>
              <w:t>综合部</w:t>
            </w:r>
            <w:r>
              <w:rPr>
                <w:rFonts w:ascii="宋体" w:cs="宋体" w:hint="eastAsia"/>
                <w:kern w:val="0"/>
                <w:sz w:val="21"/>
                <w:szCs w:val="21"/>
                <w:highlight w:val="none"/>
              </w:rPr>
              <w:t>负责人、管理层人员的手机等号码。</w:t>
            </w:r>
          </w:p>
        </w:tc>
        <w:tc>
          <w:tcPr>
            <w:tcW w:w="2324" w:type="dxa"/>
            <w:vAlign w:val="center"/>
          </w:tcPr>
          <w:p w14:paraId="41A2166C">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eastAsia="zh-CN"/>
              </w:rPr>
              <w:t>综合部</w:t>
            </w:r>
            <w:r>
              <w:rPr>
                <w:rFonts w:ascii="宋体" w:hAnsi="宋体" w:cs="宋体" w:hint="eastAsia"/>
                <w:kern w:val="0"/>
                <w:sz w:val="21"/>
                <w:szCs w:val="21"/>
                <w:highlight w:val="none"/>
              </w:rPr>
              <w:t>主管</w:t>
            </w:r>
          </w:p>
        </w:tc>
      </w:tr>
      <w:tr w14:paraId="39F3BB1D">
        <w:tblPrEx>
          <w:tblW w:w="0" w:type="auto"/>
          <w:tblInd w:w="-116" w:type="dxa"/>
          <w:tblLayout w:type="fixed"/>
          <w:tblCellMar>
            <w:top w:w="0" w:type="dxa"/>
            <w:left w:w="108" w:type="dxa"/>
            <w:bottom w:w="0" w:type="dxa"/>
            <w:right w:w="108" w:type="dxa"/>
          </w:tblCellMar>
        </w:tblPrEx>
        <w:trPr>
          <w:trHeight w:val="1277"/>
        </w:trPr>
        <w:tc>
          <w:tcPr>
            <w:tcW w:w="649" w:type="dxa"/>
            <w:tcBorders>
              <w:left w:val="single" w:sz="4" w:space="0" w:color="auto"/>
            </w:tcBorders>
            <w:vAlign w:val="center"/>
          </w:tcPr>
          <w:p w14:paraId="61C0D448">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tcPr>
          <w:p w14:paraId="71418866">
            <w:pPr>
              <w:spacing w:line="360" w:lineRule="auto"/>
              <w:rPr>
                <w:rFonts w:ascii="宋体" w:hAnsi="宋体" w:cs="宋体"/>
                <w:kern w:val="0"/>
                <w:sz w:val="21"/>
                <w:szCs w:val="21"/>
                <w:highlight w:val="none"/>
              </w:rPr>
            </w:pPr>
          </w:p>
        </w:tc>
        <w:tc>
          <w:tcPr>
            <w:tcW w:w="3979" w:type="dxa"/>
          </w:tcPr>
          <w:p w14:paraId="516C7231">
            <w:pPr>
              <w:autoSpaceDE w:val="0"/>
              <w:autoSpaceDN w:val="0"/>
              <w:adjustRightInd w:val="0"/>
              <w:spacing w:line="360" w:lineRule="auto"/>
              <w:ind w:firstLine="210" w:firstLineChars="100"/>
              <w:jc w:val="left"/>
              <w:rPr>
                <w:rFonts w:ascii="宋体" w:cs="宋体"/>
                <w:kern w:val="0"/>
                <w:sz w:val="21"/>
                <w:szCs w:val="21"/>
                <w:highlight w:val="none"/>
              </w:rPr>
            </w:pPr>
            <w:r>
              <w:rPr>
                <w:rFonts w:ascii="宋体" w:cs="宋体" w:hint="eastAsia"/>
                <w:kern w:val="0"/>
                <w:sz w:val="21"/>
                <w:szCs w:val="21"/>
                <w:highlight w:val="none"/>
              </w:rPr>
              <w:t>定期进行全员安全培训，加强安全意识，提高全员应急反应能力，将警察</w:t>
            </w:r>
            <w:r>
              <w:rPr>
                <w:kern w:val="0"/>
                <w:sz w:val="21"/>
                <w:szCs w:val="21"/>
                <w:highlight w:val="none"/>
              </w:rPr>
              <w:t>/</w:t>
            </w:r>
            <w:r>
              <w:rPr>
                <w:rFonts w:ascii="宋体" w:cs="宋体" w:hint="eastAsia"/>
                <w:kern w:val="0"/>
                <w:sz w:val="21"/>
                <w:szCs w:val="21"/>
                <w:highlight w:val="none"/>
              </w:rPr>
              <w:t>火警</w:t>
            </w:r>
            <w:r>
              <w:rPr>
                <w:kern w:val="0"/>
                <w:sz w:val="21"/>
                <w:szCs w:val="21"/>
                <w:highlight w:val="none"/>
              </w:rPr>
              <w:t>/</w:t>
            </w:r>
            <w:r>
              <w:rPr>
                <w:rFonts w:ascii="宋体" w:cs="宋体" w:hint="eastAsia"/>
                <w:kern w:val="0"/>
                <w:sz w:val="21"/>
                <w:szCs w:val="21"/>
                <w:highlight w:val="none"/>
              </w:rPr>
              <w:t>接援电话植于保安</w:t>
            </w:r>
            <w:r>
              <w:rPr>
                <w:kern w:val="0"/>
                <w:sz w:val="21"/>
                <w:szCs w:val="21"/>
                <w:highlight w:val="none"/>
              </w:rPr>
              <w:t>/</w:t>
            </w:r>
            <w:r>
              <w:rPr>
                <w:rFonts w:ascii="宋体" w:cs="宋体" w:hint="eastAsia"/>
                <w:kern w:val="0"/>
                <w:sz w:val="21"/>
                <w:szCs w:val="21"/>
                <w:highlight w:val="none"/>
              </w:rPr>
              <w:t>全员的意识中。</w:t>
            </w:r>
          </w:p>
        </w:tc>
        <w:tc>
          <w:tcPr>
            <w:tcW w:w="2324" w:type="dxa"/>
            <w:vAlign w:val="center"/>
          </w:tcPr>
          <w:p w14:paraId="3F51C5FD">
            <w:pPr>
              <w:spacing w:line="360" w:lineRule="auto"/>
              <w:jc w:val="center"/>
              <w:rPr>
                <w:rFonts w:ascii="宋体" w:hAnsi="宋体" w:cs="宋体"/>
                <w:kern w:val="0"/>
                <w:sz w:val="21"/>
                <w:szCs w:val="21"/>
                <w:highlight w:val="none"/>
              </w:rPr>
            </w:pPr>
            <w:r>
              <w:rPr>
                <w:rFonts w:ascii="宋体" w:cs="宋体" w:hint="eastAsia"/>
                <w:kern w:val="0"/>
                <w:sz w:val="21"/>
                <w:szCs w:val="21"/>
                <w:highlight w:val="none"/>
                <w:lang w:eastAsia="zh-CN"/>
              </w:rPr>
              <w:t>综合部</w:t>
            </w:r>
            <w:r>
              <w:rPr>
                <w:rFonts w:ascii="宋体" w:cs="宋体" w:hint="eastAsia"/>
                <w:kern w:val="0"/>
                <w:sz w:val="21"/>
                <w:szCs w:val="21"/>
                <w:highlight w:val="none"/>
              </w:rPr>
              <w:t>负责人</w:t>
            </w:r>
          </w:p>
        </w:tc>
      </w:tr>
      <w:tr w14:paraId="25A8073C">
        <w:tblPrEx>
          <w:tblW w:w="0" w:type="auto"/>
          <w:tblInd w:w="-116" w:type="dxa"/>
          <w:tblLayout w:type="fixed"/>
          <w:tblCellMar>
            <w:top w:w="0" w:type="dxa"/>
            <w:left w:w="108" w:type="dxa"/>
            <w:bottom w:w="0" w:type="dxa"/>
            <w:right w:w="108" w:type="dxa"/>
          </w:tblCellMar>
        </w:tblPrEx>
        <w:trPr>
          <w:trHeight w:val="1549"/>
        </w:trPr>
        <w:tc>
          <w:tcPr>
            <w:tcW w:w="649" w:type="dxa"/>
            <w:tcBorders>
              <w:left w:val="single" w:sz="4" w:space="0" w:color="auto"/>
            </w:tcBorders>
            <w:vAlign w:val="center"/>
          </w:tcPr>
          <w:p w14:paraId="059D4E0A">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3B8161F3">
            <w:pPr>
              <w:autoSpaceDE w:val="0"/>
              <w:autoSpaceDN w:val="0"/>
              <w:adjustRightInd w:val="0"/>
              <w:spacing w:line="360" w:lineRule="auto"/>
              <w:jc w:val="center"/>
              <w:rPr>
                <w:rFonts w:ascii="宋体" w:hAnsi="宋体" w:cs="宋体"/>
                <w:kern w:val="0"/>
                <w:sz w:val="21"/>
                <w:szCs w:val="21"/>
                <w:highlight w:val="none"/>
              </w:rPr>
            </w:pPr>
          </w:p>
        </w:tc>
        <w:tc>
          <w:tcPr>
            <w:tcW w:w="3979" w:type="dxa"/>
            <w:vAlign w:val="center"/>
          </w:tcPr>
          <w:p w14:paraId="3F40E114">
            <w:pPr>
              <w:autoSpaceDE w:val="0"/>
              <w:autoSpaceDN w:val="0"/>
              <w:adjustRightInd w:val="0"/>
              <w:spacing w:line="360" w:lineRule="auto"/>
              <w:rPr>
                <w:rFonts w:ascii="宋体" w:hAnsi="宋体" w:cs="宋体"/>
                <w:kern w:val="0"/>
                <w:sz w:val="21"/>
                <w:szCs w:val="21"/>
                <w:highlight w:val="none"/>
              </w:rPr>
            </w:pPr>
            <w:r>
              <w:rPr>
                <w:rFonts w:ascii="宋体" w:hAnsi="宋体" w:cs="宋体" w:hint="eastAsia"/>
                <w:kern w:val="0"/>
                <w:sz w:val="21"/>
                <w:szCs w:val="21"/>
                <w:highlight w:val="none"/>
              </w:rPr>
              <w:t>定期进行食品安全培训，提升食品安全意识，鼓励全体员工发现任何破坏或其他恶意、蓄意的恐怖活动或易发生活动的区域及时发出警报，并报告其发现。</w:t>
            </w:r>
          </w:p>
        </w:tc>
        <w:tc>
          <w:tcPr>
            <w:tcW w:w="2324" w:type="dxa"/>
            <w:vAlign w:val="center"/>
          </w:tcPr>
          <w:p w14:paraId="17EAB04E">
            <w:pPr>
              <w:autoSpaceDE w:val="0"/>
              <w:autoSpaceDN w:val="0"/>
              <w:adjustRightInd w:val="0"/>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食品安全小组组长</w:t>
            </w:r>
          </w:p>
        </w:tc>
      </w:tr>
      <w:tr w14:paraId="5EA3055C">
        <w:tblPrEx>
          <w:tblW w:w="0" w:type="auto"/>
          <w:tblInd w:w="-116" w:type="dxa"/>
          <w:tblLayout w:type="fixed"/>
          <w:tblCellMar>
            <w:top w:w="0" w:type="dxa"/>
            <w:left w:w="108" w:type="dxa"/>
            <w:bottom w:w="0" w:type="dxa"/>
            <w:right w:w="108" w:type="dxa"/>
          </w:tblCellMar>
        </w:tblPrEx>
        <w:trPr>
          <w:trHeight w:val="1230"/>
        </w:trPr>
        <w:tc>
          <w:tcPr>
            <w:tcW w:w="649" w:type="dxa"/>
            <w:tcBorders>
              <w:left w:val="single" w:sz="4" w:space="0" w:color="auto"/>
            </w:tcBorders>
            <w:vAlign w:val="center"/>
          </w:tcPr>
          <w:p w14:paraId="34AB93C2">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restart"/>
            <w:vAlign w:val="center"/>
          </w:tcPr>
          <w:p w14:paraId="630BD65F">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加工安全</w:t>
            </w:r>
          </w:p>
        </w:tc>
        <w:tc>
          <w:tcPr>
            <w:tcW w:w="3979" w:type="dxa"/>
          </w:tcPr>
          <w:p w14:paraId="01F30A7F">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要求供应商每年提供卫生部门或具有仲裁资格的第三方检测机构的原料的安全性能检测报告。</w:t>
            </w:r>
          </w:p>
        </w:tc>
        <w:tc>
          <w:tcPr>
            <w:tcW w:w="2324" w:type="dxa"/>
            <w:vAlign w:val="center"/>
          </w:tcPr>
          <w:p w14:paraId="368FFD4F">
            <w:pPr>
              <w:spacing w:line="360" w:lineRule="auto"/>
              <w:jc w:val="center"/>
              <w:rPr>
                <w:rFonts w:ascii="宋体" w:eastAsia="宋体" w:hAnsi="宋体" w:cs="宋体" w:hint="default"/>
                <w:kern w:val="0"/>
                <w:sz w:val="21"/>
                <w:szCs w:val="21"/>
                <w:highlight w:val="none"/>
                <w:lang w:val="en-US" w:eastAsia="zh-CN"/>
              </w:rPr>
            </w:pPr>
            <w:r>
              <w:rPr>
                <w:rFonts w:ascii="宋体" w:hAnsi="宋体" w:cs="宋体" w:hint="eastAsia"/>
                <w:kern w:val="0"/>
                <w:sz w:val="21"/>
                <w:szCs w:val="21"/>
                <w:highlight w:val="none"/>
                <w:lang w:val="en-US" w:eastAsia="zh-CN"/>
              </w:rPr>
              <w:t>综合部</w:t>
            </w:r>
          </w:p>
        </w:tc>
      </w:tr>
      <w:tr w14:paraId="74561AA3">
        <w:tblPrEx>
          <w:tblW w:w="0" w:type="auto"/>
          <w:tblInd w:w="-116" w:type="dxa"/>
          <w:tblLayout w:type="fixed"/>
          <w:tblCellMar>
            <w:top w:w="0" w:type="dxa"/>
            <w:left w:w="108" w:type="dxa"/>
            <w:bottom w:w="0" w:type="dxa"/>
            <w:right w:w="108" w:type="dxa"/>
          </w:tblCellMar>
        </w:tblPrEx>
        <w:trPr>
          <w:trHeight w:val="450"/>
        </w:trPr>
        <w:tc>
          <w:tcPr>
            <w:tcW w:w="649" w:type="dxa"/>
            <w:tcBorders>
              <w:left w:val="single" w:sz="4" w:space="0" w:color="auto"/>
            </w:tcBorders>
            <w:vAlign w:val="center"/>
          </w:tcPr>
          <w:p w14:paraId="1C966DA6">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27BE8A73">
            <w:pPr>
              <w:spacing w:line="360" w:lineRule="auto"/>
              <w:jc w:val="center"/>
              <w:rPr>
                <w:rFonts w:ascii="宋体" w:hAnsi="宋体" w:cs="宋体"/>
                <w:kern w:val="0"/>
                <w:sz w:val="21"/>
                <w:szCs w:val="21"/>
                <w:highlight w:val="none"/>
              </w:rPr>
            </w:pPr>
          </w:p>
        </w:tc>
        <w:tc>
          <w:tcPr>
            <w:tcW w:w="3979" w:type="dxa"/>
          </w:tcPr>
          <w:p w14:paraId="68B832E3">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采用双锁，钥匙由主管和品控人员分别保管使用和监控</w:t>
            </w:r>
          </w:p>
        </w:tc>
        <w:tc>
          <w:tcPr>
            <w:tcW w:w="2324" w:type="dxa"/>
            <w:vAlign w:val="center"/>
          </w:tcPr>
          <w:p w14:paraId="70CC835C">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综合部</w:t>
            </w:r>
          </w:p>
        </w:tc>
      </w:tr>
      <w:tr w14:paraId="1C1295B5">
        <w:tblPrEx>
          <w:tblW w:w="0" w:type="auto"/>
          <w:tblInd w:w="-116" w:type="dxa"/>
          <w:tblLayout w:type="fixed"/>
          <w:tblCellMar>
            <w:top w:w="0" w:type="dxa"/>
            <w:left w:w="108" w:type="dxa"/>
            <w:bottom w:w="0" w:type="dxa"/>
            <w:right w:w="108" w:type="dxa"/>
          </w:tblCellMar>
        </w:tblPrEx>
        <w:trPr>
          <w:trHeight w:val="770"/>
        </w:trPr>
        <w:tc>
          <w:tcPr>
            <w:tcW w:w="649" w:type="dxa"/>
            <w:vAlign w:val="center"/>
          </w:tcPr>
          <w:p w14:paraId="3B095D1A">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restart"/>
            <w:vAlign w:val="center"/>
          </w:tcPr>
          <w:p w14:paraId="6568E683">
            <w:pPr>
              <w:spacing w:line="360" w:lineRule="auto"/>
              <w:jc w:val="center"/>
              <w:rPr>
                <w:rFonts w:ascii="宋体" w:hAnsi="宋体" w:cs="宋体"/>
                <w:kern w:val="0"/>
                <w:sz w:val="21"/>
                <w:szCs w:val="21"/>
                <w:highlight w:val="none"/>
              </w:rPr>
            </w:pPr>
            <w:bookmarkStart w:id="0" w:name="_GoBack"/>
            <w:bookmarkEnd w:id="0"/>
            <w:r>
              <w:rPr>
                <w:rFonts w:ascii="宋体" w:hAnsi="宋体" w:cs="宋体" w:hint="eastAsia"/>
                <w:kern w:val="0"/>
                <w:sz w:val="21"/>
                <w:szCs w:val="21"/>
                <w:highlight w:val="none"/>
              </w:rPr>
              <w:t>原料库</w:t>
            </w:r>
            <w:r>
              <w:rPr>
                <w:rFonts w:ascii="宋体" w:hAnsi="宋体"/>
                <w:kern w:val="0"/>
                <w:sz w:val="21"/>
                <w:szCs w:val="21"/>
                <w:highlight w:val="none"/>
              </w:rPr>
              <w:t>/</w:t>
            </w:r>
            <w:r>
              <w:rPr>
                <w:rFonts w:ascii="宋体" w:hAnsi="宋体" w:cs="宋体" w:hint="eastAsia"/>
                <w:kern w:val="0"/>
                <w:sz w:val="21"/>
                <w:szCs w:val="21"/>
                <w:highlight w:val="none"/>
              </w:rPr>
              <w:t>安全</w:t>
            </w:r>
          </w:p>
        </w:tc>
        <w:tc>
          <w:tcPr>
            <w:tcW w:w="3979" w:type="dxa"/>
          </w:tcPr>
          <w:p w14:paraId="17ADFCBC">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食品、接受数量与订单食品和数量保持一致，且食品和数量列入发票和货运单据中，在开具收据前应考虑到任何已发生的取样。</w:t>
            </w:r>
          </w:p>
        </w:tc>
        <w:tc>
          <w:tcPr>
            <w:tcW w:w="2324" w:type="dxa"/>
            <w:vAlign w:val="center"/>
          </w:tcPr>
          <w:p w14:paraId="73F9F87F">
            <w:pPr>
              <w:spacing w:line="360" w:lineRule="auto"/>
              <w:ind w:firstLine="630" w:firstLineChars="300"/>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303DC8C7">
        <w:tblPrEx>
          <w:tblW w:w="0" w:type="auto"/>
          <w:tblInd w:w="-116" w:type="dxa"/>
          <w:tblLayout w:type="fixed"/>
          <w:tblCellMar>
            <w:top w:w="0" w:type="dxa"/>
            <w:left w:w="108" w:type="dxa"/>
            <w:bottom w:w="0" w:type="dxa"/>
            <w:right w:w="108" w:type="dxa"/>
          </w:tblCellMar>
        </w:tblPrEx>
        <w:trPr>
          <w:trHeight w:val="565"/>
        </w:trPr>
        <w:tc>
          <w:tcPr>
            <w:tcW w:w="649" w:type="dxa"/>
            <w:vAlign w:val="center"/>
          </w:tcPr>
          <w:p w14:paraId="25501D02">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48A9EAFC">
            <w:pPr>
              <w:spacing w:line="360" w:lineRule="auto"/>
              <w:jc w:val="center"/>
              <w:rPr>
                <w:rFonts w:ascii="宋体" w:hAnsi="宋体" w:cs="宋体"/>
                <w:kern w:val="0"/>
                <w:sz w:val="21"/>
                <w:szCs w:val="21"/>
                <w:highlight w:val="none"/>
              </w:rPr>
            </w:pPr>
          </w:p>
        </w:tc>
        <w:tc>
          <w:tcPr>
            <w:tcW w:w="3979" w:type="dxa"/>
          </w:tcPr>
          <w:p w14:paraId="6B6AACD6">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调查货运单据的可疑更改。</w:t>
            </w:r>
          </w:p>
        </w:tc>
        <w:tc>
          <w:tcPr>
            <w:tcW w:w="2324" w:type="dxa"/>
            <w:vAlign w:val="center"/>
          </w:tcPr>
          <w:p w14:paraId="67D96AC6">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41596EF2">
        <w:tblPrEx>
          <w:tblW w:w="0" w:type="auto"/>
          <w:tblInd w:w="-116" w:type="dxa"/>
          <w:tblLayout w:type="fixed"/>
          <w:tblCellMar>
            <w:top w:w="0" w:type="dxa"/>
            <w:left w:w="108" w:type="dxa"/>
            <w:bottom w:w="0" w:type="dxa"/>
            <w:right w:w="108" w:type="dxa"/>
          </w:tblCellMar>
        </w:tblPrEx>
        <w:trPr>
          <w:trHeight w:val="770"/>
        </w:trPr>
        <w:tc>
          <w:tcPr>
            <w:tcW w:w="649" w:type="dxa"/>
            <w:vAlign w:val="center"/>
          </w:tcPr>
          <w:p w14:paraId="4B4039C7">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0D628582">
            <w:pPr>
              <w:spacing w:line="360" w:lineRule="auto"/>
              <w:jc w:val="center"/>
              <w:rPr>
                <w:rFonts w:ascii="宋体" w:hAnsi="宋体" w:cs="宋体"/>
                <w:kern w:val="0"/>
                <w:sz w:val="21"/>
                <w:szCs w:val="21"/>
                <w:highlight w:val="none"/>
              </w:rPr>
            </w:pPr>
          </w:p>
        </w:tc>
        <w:tc>
          <w:tcPr>
            <w:tcW w:w="3979" w:type="dxa"/>
          </w:tcPr>
          <w:p w14:paraId="713373CB">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检查到原料，发现损坏或污染，存在潜在的食品安全问题，以退货处理。</w:t>
            </w:r>
          </w:p>
        </w:tc>
        <w:tc>
          <w:tcPr>
            <w:tcW w:w="2324" w:type="dxa"/>
            <w:vAlign w:val="center"/>
          </w:tcPr>
          <w:p w14:paraId="5BB35FEE">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0E540230">
        <w:tblPrEx>
          <w:tblW w:w="0" w:type="auto"/>
          <w:tblInd w:w="-116" w:type="dxa"/>
          <w:tblLayout w:type="fixed"/>
          <w:tblCellMar>
            <w:top w:w="0" w:type="dxa"/>
            <w:left w:w="108" w:type="dxa"/>
            <w:bottom w:w="0" w:type="dxa"/>
            <w:right w:w="108" w:type="dxa"/>
          </w:tblCellMar>
        </w:tblPrEx>
        <w:trPr>
          <w:trHeight w:val="1156"/>
        </w:trPr>
        <w:tc>
          <w:tcPr>
            <w:tcW w:w="649" w:type="dxa"/>
            <w:vAlign w:val="center"/>
          </w:tcPr>
          <w:p w14:paraId="154ABA9D">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43B41C0D">
            <w:pPr>
              <w:spacing w:line="360" w:lineRule="auto"/>
              <w:jc w:val="center"/>
              <w:rPr>
                <w:rFonts w:ascii="宋体" w:hAnsi="宋体" w:cs="宋体"/>
                <w:kern w:val="0"/>
                <w:sz w:val="21"/>
                <w:szCs w:val="21"/>
                <w:highlight w:val="none"/>
              </w:rPr>
            </w:pPr>
          </w:p>
        </w:tc>
        <w:tc>
          <w:tcPr>
            <w:tcW w:w="3979" w:type="dxa"/>
          </w:tcPr>
          <w:p w14:paraId="32CCBA64">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对原料</w:t>
            </w:r>
            <w:r>
              <w:rPr>
                <w:rFonts w:ascii="宋体" w:hAnsi="宋体"/>
                <w:kern w:val="0"/>
                <w:sz w:val="21"/>
                <w:szCs w:val="21"/>
                <w:highlight w:val="none"/>
              </w:rPr>
              <w:t>/</w:t>
            </w:r>
            <w:r>
              <w:rPr>
                <w:rFonts w:ascii="宋体" w:hAnsi="宋体" w:cs="宋体" w:hint="eastAsia"/>
                <w:kern w:val="0"/>
                <w:sz w:val="21"/>
                <w:szCs w:val="21"/>
                <w:highlight w:val="none"/>
              </w:rPr>
              <w:t>成品进行适当的唯一性标识，保证物料、成品的可追溯性，防止混料、误用和误发。</w:t>
            </w:r>
          </w:p>
        </w:tc>
        <w:tc>
          <w:tcPr>
            <w:tcW w:w="2324" w:type="dxa"/>
            <w:vAlign w:val="center"/>
          </w:tcPr>
          <w:p w14:paraId="6FC4C081">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val="en-US" w:eastAsia="zh-CN"/>
              </w:rPr>
              <w:t>销售部</w:t>
            </w:r>
          </w:p>
        </w:tc>
      </w:tr>
      <w:tr w14:paraId="2CD77F8B">
        <w:tblPrEx>
          <w:tblW w:w="0" w:type="auto"/>
          <w:tblInd w:w="-116" w:type="dxa"/>
          <w:tblLayout w:type="fixed"/>
          <w:tblCellMar>
            <w:top w:w="0" w:type="dxa"/>
            <w:left w:w="108" w:type="dxa"/>
            <w:bottom w:w="0" w:type="dxa"/>
            <w:right w:w="108" w:type="dxa"/>
          </w:tblCellMar>
        </w:tblPrEx>
        <w:trPr>
          <w:trHeight w:val="852"/>
        </w:trPr>
        <w:tc>
          <w:tcPr>
            <w:tcW w:w="649" w:type="dxa"/>
            <w:vAlign w:val="center"/>
          </w:tcPr>
          <w:p w14:paraId="3225A89E">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60AD15AD">
            <w:pPr>
              <w:spacing w:line="360" w:lineRule="auto"/>
              <w:jc w:val="center"/>
              <w:rPr>
                <w:rFonts w:ascii="宋体" w:hAnsi="宋体" w:cs="宋体"/>
                <w:kern w:val="0"/>
                <w:sz w:val="21"/>
                <w:szCs w:val="21"/>
                <w:highlight w:val="none"/>
              </w:rPr>
            </w:pPr>
          </w:p>
        </w:tc>
        <w:tc>
          <w:tcPr>
            <w:tcW w:w="3979" w:type="dxa"/>
          </w:tcPr>
          <w:p w14:paraId="362F2908">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发货时应检查运输车辆的卫生、虫害、异物等问题，合格后方可装货。</w:t>
            </w:r>
          </w:p>
        </w:tc>
        <w:tc>
          <w:tcPr>
            <w:tcW w:w="2324" w:type="dxa"/>
            <w:vAlign w:val="center"/>
          </w:tcPr>
          <w:p w14:paraId="12E3689B">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val="en-US" w:eastAsia="zh-CN"/>
              </w:rPr>
              <w:t>销售部</w:t>
            </w:r>
          </w:p>
        </w:tc>
      </w:tr>
      <w:tr w14:paraId="783E1175">
        <w:tblPrEx>
          <w:tblW w:w="0" w:type="auto"/>
          <w:tblInd w:w="-116" w:type="dxa"/>
          <w:tblLayout w:type="fixed"/>
          <w:tblCellMar>
            <w:top w:w="0" w:type="dxa"/>
            <w:left w:w="108" w:type="dxa"/>
            <w:bottom w:w="0" w:type="dxa"/>
            <w:right w:w="108" w:type="dxa"/>
          </w:tblCellMar>
        </w:tblPrEx>
        <w:trPr>
          <w:trHeight w:val="774"/>
        </w:trPr>
        <w:tc>
          <w:tcPr>
            <w:tcW w:w="649" w:type="dxa"/>
            <w:vAlign w:val="center"/>
          </w:tcPr>
          <w:p w14:paraId="3D3C8FD2">
            <w:pPr>
              <w:numPr>
                <w:ilvl w:val="0"/>
                <w:numId w:val="1"/>
              </w:numPr>
              <w:spacing w:line="360" w:lineRule="auto"/>
              <w:ind w:left="425" w:hanging="425" w:leftChars="0" w:firstLineChars="0"/>
              <w:jc w:val="center"/>
              <w:rPr>
                <w:rFonts w:ascii="宋体" w:cs="宋体"/>
                <w:kern w:val="0"/>
                <w:sz w:val="21"/>
                <w:szCs w:val="21"/>
                <w:highlight w:val="none"/>
              </w:rPr>
            </w:pPr>
          </w:p>
        </w:tc>
        <w:tc>
          <w:tcPr>
            <w:tcW w:w="2342" w:type="dxa"/>
            <w:vMerge w:val="restart"/>
            <w:vAlign w:val="center"/>
          </w:tcPr>
          <w:p w14:paraId="11F44734">
            <w:pPr>
              <w:spacing w:line="360" w:lineRule="auto"/>
              <w:jc w:val="center"/>
              <w:rPr>
                <w:rFonts w:ascii="宋体" w:hAnsi="宋体" w:cs="宋体"/>
                <w:kern w:val="0"/>
                <w:sz w:val="21"/>
                <w:szCs w:val="21"/>
                <w:highlight w:val="none"/>
              </w:rPr>
            </w:pPr>
            <w:r>
              <w:rPr>
                <w:rFonts w:ascii="宋体" w:cs="宋体" w:hint="eastAsia"/>
                <w:kern w:val="0"/>
                <w:sz w:val="21"/>
                <w:szCs w:val="21"/>
                <w:highlight w:val="none"/>
              </w:rPr>
              <w:t>人员安全</w:t>
            </w:r>
          </w:p>
        </w:tc>
        <w:tc>
          <w:tcPr>
            <w:tcW w:w="3979" w:type="dxa"/>
            <w:vAlign w:val="center"/>
          </w:tcPr>
          <w:p w14:paraId="3AE28DFF">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在大门口</w:t>
            </w:r>
            <w:r>
              <w:rPr>
                <w:rFonts w:ascii="宋体" w:hAnsi="宋体"/>
                <w:kern w:val="0"/>
                <w:sz w:val="21"/>
                <w:szCs w:val="21"/>
                <w:highlight w:val="none"/>
              </w:rPr>
              <w:t>/</w:t>
            </w:r>
            <w:r>
              <w:rPr>
                <w:rFonts w:ascii="宋体" w:hAnsi="宋体" w:hint="eastAsia"/>
                <w:kern w:val="0"/>
                <w:sz w:val="21"/>
                <w:szCs w:val="21"/>
                <w:highlight w:val="none"/>
              </w:rPr>
              <w:t>原料仓库/</w:t>
            </w:r>
            <w:r>
              <w:rPr>
                <w:rFonts w:ascii="宋体" w:hAnsi="宋体" w:cs="宋体" w:hint="eastAsia"/>
                <w:kern w:val="0"/>
                <w:sz w:val="21"/>
                <w:szCs w:val="21"/>
                <w:highlight w:val="none"/>
              </w:rPr>
              <w:t>等处采用摄像监控。</w:t>
            </w:r>
          </w:p>
        </w:tc>
        <w:tc>
          <w:tcPr>
            <w:tcW w:w="2324" w:type="dxa"/>
            <w:vAlign w:val="center"/>
          </w:tcPr>
          <w:p w14:paraId="2BCD25FE">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25A97212">
        <w:tblPrEx>
          <w:tblW w:w="0" w:type="auto"/>
          <w:tblInd w:w="-116" w:type="dxa"/>
          <w:tblLayout w:type="fixed"/>
          <w:tblCellMar>
            <w:top w:w="0" w:type="dxa"/>
            <w:left w:w="108" w:type="dxa"/>
            <w:bottom w:w="0" w:type="dxa"/>
            <w:right w:w="108" w:type="dxa"/>
          </w:tblCellMar>
        </w:tblPrEx>
        <w:trPr>
          <w:trHeight w:val="1227"/>
        </w:trPr>
        <w:tc>
          <w:tcPr>
            <w:tcW w:w="649" w:type="dxa"/>
            <w:vAlign w:val="center"/>
          </w:tcPr>
          <w:p w14:paraId="3D7C016D">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45AB2942">
            <w:pPr>
              <w:spacing w:line="360" w:lineRule="auto"/>
              <w:jc w:val="center"/>
              <w:rPr>
                <w:rFonts w:ascii="宋体" w:hAnsi="宋体" w:cs="宋体"/>
                <w:kern w:val="0"/>
                <w:sz w:val="21"/>
                <w:szCs w:val="21"/>
                <w:highlight w:val="none"/>
              </w:rPr>
            </w:pPr>
          </w:p>
        </w:tc>
        <w:tc>
          <w:tcPr>
            <w:tcW w:w="3979" w:type="dxa"/>
            <w:vAlign w:val="center"/>
          </w:tcPr>
          <w:p w14:paraId="2C92CAF8">
            <w:pPr>
              <w:spacing w:line="360" w:lineRule="auto"/>
              <w:rPr>
                <w:rFonts w:ascii="宋体" w:hAnsi="宋体" w:cs="宋体"/>
                <w:kern w:val="0"/>
                <w:sz w:val="21"/>
                <w:szCs w:val="21"/>
                <w:highlight w:val="none"/>
              </w:rPr>
            </w:pPr>
            <w:r>
              <w:rPr>
                <w:rFonts w:ascii="宋体" w:hAnsi="宋体" w:cs="宋体" w:hint="eastAsia"/>
                <w:kern w:val="0"/>
                <w:sz w:val="21"/>
                <w:szCs w:val="21"/>
                <w:highlight w:val="none"/>
              </w:rPr>
              <w:t>对所有雇员实施适当的监督，包括清洁和维修员工、合同工人、数据输入和计算机维护人员，尤其是新员工。</w:t>
            </w:r>
          </w:p>
        </w:tc>
        <w:tc>
          <w:tcPr>
            <w:tcW w:w="2324" w:type="dxa"/>
            <w:vAlign w:val="center"/>
          </w:tcPr>
          <w:p w14:paraId="6CA390F0">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eastAsia="zh-CN"/>
              </w:rPr>
              <w:t>综合部</w:t>
            </w:r>
            <w:r>
              <w:rPr>
                <w:rFonts w:ascii="宋体" w:hAnsi="宋体" w:cs="宋体" w:hint="eastAsia"/>
                <w:kern w:val="0"/>
                <w:sz w:val="21"/>
                <w:szCs w:val="21"/>
                <w:highlight w:val="none"/>
              </w:rPr>
              <w:t>主管</w:t>
            </w:r>
          </w:p>
        </w:tc>
      </w:tr>
      <w:tr w14:paraId="4788DF23">
        <w:tblPrEx>
          <w:tblW w:w="0" w:type="auto"/>
          <w:tblInd w:w="-116" w:type="dxa"/>
          <w:tblLayout w:type="fixed"/>
          <w:tblCellMar>
            <w:top w:w="0" w:type="dxa"/>
            <w:left w:w="108" w:type="dxa"/>
            <w:bottom w:w="0" w:type="dxa"/>
            <w:right w:w="108" w:type="dxa"/>
          </w:tblCellMar>
        </w:tblPrEx>
        <w:trPr>
          <w:trHeight w:val="615"/>
        </w:trPr>
        <w:tc>
          <w:tcPr>
            <w:tcW w:w="649" w:type="dxa"/>
            <w:vAlign w:val="center"/>
          </w:tcPr>
          <w:p w14:paraId="3D3CD3DF">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39234A75">
            <w:pPr>
              <w:spacing w:line="360" w:lineRule="auto"/>
              <w:jc w:val="center"/>
              <w:rPr>
                <w:rFonts w:ascii="宋体" w:hAnsi="宋体" w:cs="宋体"/>
                <w:kern w:val="0"/>
                <w:sz w:val="21"/>
                <w:szCs w:val="21"/>
                <w:highlight w:val="none"/>
              </w:rPr>
            </w:pPr>
          </w:p>
        </w:tc>
        <w:tc>
          <w:tcPr>
            <w:tcW w:w="3979" w:type="dxa"/>
          </w:tcPr>
          <w:p w14:paraId="2D4D8A34">
            <w:pPr>
              <w:spacing w:line="360" w:lineRule="auto"/>
              <w:ind w:firstLine="210" w:firstLineChars="100"/>
              <w:rPr>
                <w:rFonts w:ascii="宋体" w:hAnsi="宋体" w:cs="宋体"/>
                <w:kern w:val="0"/>
                <w:sz w:val="21"/>
                <w:szCs w:val="21"/>
                <w:highlight w:val="none"/>
              </w:rPr>
            </w:pPr>
            <w:r>
              <w:rPr>
                <w:rFonts w:ascii="宋体" w:cs="宋体" w:hint="eastAsia"/>
                <w:kern w:val="0"/>
                <w:sz w:val="21"/>
                <w:szCs w:val="21"/>
                <w:highlight w:val="none"/>
              </w:rPr>
              <w:t>新员工的招聘需精心筛选，了解其背景，建立员工个人档案，通过入职培训、上岗培训确定其适合的职位和工作区域及所受到的适当监督。</w:t>
            </w:r>
          </w:p>
        </w:tc>
        <w:tc>
          <w:tcPr>
            <w:tcW w:w="2324" w:type="dxa"/>
            <w:vAlign w:val="center"/>
          </w:tcPr>
          <w:p w14:paraId="138FC6C7">
            <w:pPr>
              <w:autoSpaceDE w:val="0"/>
              <w:autoSpaceDN w:val="0"/>
              <w:adjustRightInd w:val="0"/>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eastAsia="zh-CN"/>
              </w:rPr>
              <w:t>综合部</w:t>
            </w:r>
            <w:r>
              <w:rPr>
                <w:rFonts w:ascii="宋体" w:hAnsi="宋体" w:cs="宋体" w:hint="eastAsia"/>
                <w:kern w:val="0"/>
                <w:sz w:val="21"/>
                <w:szCs w:val="21"/>
                <w:highlight w:val="none"/>
              </w:rPr>
              <w:t>主管/各部门</w:t>
            </w:r>
          </w:p>
          <w:p w14:paraId="27F8A2E7">
            <w:pPr>
              <w:spacing w:line="360" w:lineRule="auto"/>
              <w:ind w:firstLine="105" w:firstLineChars="50"/>
              <w:jc w:val="center"/>
              <w:rPr>
                <w:rFonts w:ascii="宋体" w:hAnsi="宋体" w:cs="宋体"/>
                <w:kern w:val="0"/>
                <w:sz w:val="21"/>
                <w:szCs w:val="21"/>
                <w:highlight w:val="none"/>
              </w:rPr>
            </w:pPr>
            <w:r>
              <w:rPr>
                <w:rFonts w:ascii="宋体" w:hAnsi="宋体" w:cs="宋体" w:hint="eastAsia"/>
                <w:kern w:val="0"/>
                <w:sz w:val="21"/>
                <w:szCs w:val="21"/>
                <w:highlight w:val="none"/>
              </w:rPr>
              <w:t>负责人</w:t>
            </w:r>
          </w:p>
        </w:tc>
      </w:tr>
      <w:tr w14:paraId="0F438D25">
        <w:tblPrEx>
          <w:tblW w:w="0" w:type="auto"/>
          <w:tblInd w:w="-116" w:type="dxa"/>
          <w:tblLayout w:type="fixed"/>
          <w:tblCellMar>
            <w:top w:w="0" w:type="dxa"/>
            <w:left w:w="108" w:type="dxa"/>
            <w:bottom w:w="0" w:type="dxa"/>
            <w:right w:w="108" w:type="dxa"/>
          </w:tblCellMar>
        </w:tblPrEx>
        <w:trPr>
          <w:trHeight w:val="1515"/>
        </w:trPr>
        <w:tc>
          <w:tcPr>
            <w:tcW w:w="649" w:type="dxa"/>
            <w:vAlign w:val="center"/>
          </w:tcPr>
          <w:p w14:paraId="25C727D6">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781AC5B1">
            <w:pPr>
              <w:spacing w:line="360" w:lineRule="auto"/>
              <w:jc w:val="center"/>
              <w:rPr>
                <w:rFonts w:ascii="宋体" w:hAnsi="宋体" w:cs="宋体"/>
                <w:kern w:val="0"/>
                <w:sz w:val="21"/>
                <w:szCs w:val="21"/>
                <w:highlight w:val="none"/>
              </w:rPr>
            </w:pPr>
          </w:p>
        </w:tc>
        <w:tc>
          <w:tcPr>
            <w:tcW w:w="3979" w:type="dxa"/>
          </w:tcPr>
          <w:p w14:paraId="17C58AE8">
            <w:pPr>
              <w:spacing w:line="360" w:lineRule="auto"/>
              <w:ind w:firstLine="210" w:firstLineChars="100"/>
              <w:rPr>
                <w:rFonts w:ascii="宋体" w:hAnsi="宋体" w:cs="宋体"/>
                <w:kern w:val="0"/>
                <w:sz w:val="21"/>
                <w:szCs w:val="21"/>
                <w:highlight w:val="none"/>
              </w:rPr>
            </w:pPr>
            <w:r>
              <w:rPr>
                <w:rFonts w:ascii="宋体" w:cs="宋体" w:hint="eastAsia"/>
                <w:kern w:val="0"/>
                <w:sz w:val="21"/>
                <w:szCs w:val="21"/>
                <w:highlight w:val="none"/>
              </w:rPr>
              <w:t>员工必须佩戴印有个人编号和照片的识别卡进入公司，员工进出要刷卡登记，员工离职时要收回其识别卡并销毁。</w:t>
            </w:r>
          </w:p>
        </w:tc>
        <w:tc>
          <w:tcPr>
            <w:tcW w:w="2324" w:type="dxa"/>
            <w:vAlign w:val="center"/>
          </w:tcPr>
          <w:p w14:paraId="5528A654">
            <w:pPr>
              <w:spacing w:line="360" w:lineRule="auto"/>
              <w:jc w:val="center"/>
              <w:rPr>
                <w:rFonts w:ascii="宋体" w:eastAsia="宋体" w:hAnsi="宋体" w:cs="宋体" w:hint="eastAsia"/>
                <w:kern w:val="0"/>
                <w:sz w:val="21"/>
                <w:szCs w:val="21"/>
                <w:highlight w:val="none"/>
                <w:lang w:eastAsia="zh-CN"/>
              </w:rPr>
            </w:pPr>
            <w:r>
              <w:rPr>
                <w:rFonts w:ascii="宋体" w:cs="宋体" w:hint="eastAsia"/>
                <w:kern w:val="0"/>
                <w:sz w:val="21"/>
                <w:szCs w:val="21"/>
                <w:highlight w:val="none"/>
                <w:lang w:val="en-US" w:eastAsia="zh-CN"/>
              </w:rPr>
              <w:t>综合部</w:t>
            </w:r>
          </w:p>
        </w:tc>
      </w:tr>
      <w:tr w14:paraId="0CF0BB5B">
        <w:tblPrEx>
          <w:tblW w:w="0" w:type="auto"/>
          <w:tblInd w:w="-116" w:type="dxa"/>
          <w:tblLayout w:type="fixed"/>
          <w:tblCellMar>
            <w:top w:w="0" w:type="dxa"/>
            <w:left w:w="108" w:type="dxa"/>
            <w:bottom w:w="0" w:type="dxa"/>
            <w:right w:w="108" w:type="dxa"/>
          </w:tblCellMar>
        </w:tblPrEx>
        <w:trPr>
          <w:trHeight w:val="598"/>
        </w:trPr>
        <w:tc>
          <w:tcPr>
            <w:tcW w:w="649" w:type="dxa"/>
            <w:vAlign w:val="center"/>
          </w:tcPr>
          <w:p w14:paraId="675F5CEF">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4FB5657D">
            <w:pPr>
              <w:spacing w:line="360" w:lineRule="auto"/>
              <w:jc w:val="center"/>
              <w:rPr>
                <w:rFonts w:ascii="宋体" w:hAnsi="宋体" w:cs="宋体"/>
                <w:kern w:val="0"/>
                <w:sz w:val="21"/>
                <w:szCs w:val="21"/>
                <w:highlight w:val="none"/>
              </w:rPr>
            </w:pPr>
          </w:p>
        </w:tc>
        <w:tc>
          <w:tcPr>
            <w:tcW w:w="3979" w:type="dxa"/>
          </w:tcPr>
          <w:p w14:paraId="69ADED6F">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员工个人物品应放在专用的储物柜中，严禁带入食品加工和储藏区域。</w:t>
            </w:r>
          </w:p>
        </w:tc>
        <w:tc>
          <w:tcPr>
            <w:tcW w:w="2324" w:type="dxa"/>
            <w:vAlign w:val="center"/>
          </w:tcPr>
          <w:p w14:paraId="607D18F1">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1E698F61">
        <w:tblPrEx>
          <w:tblW w:w="0" w:type="auto"/>
          <w:tblInd w:w="-116" w:type="dxa"/>
          <w:tblLayout w:type="fixed"/>
          <w:tblCellMar>
            <w:top w:w="0" w:type="dxa"/>
            <w:left w:w="108" w:type="dxa"/>
            <w:bottom w:w="0" w:type="dxa"/>
            <w:right w:w="108" w:type="dxa"/>
          </w:tblCellMar>
        </w:tblPrEx>
        <w:trPr>
          <w:trHeight w:val="285"/>
        </w:trPr>
        <w:tc>
          <w:tcPr>
            <w:tcW w:w="649" w:type="dxa"/>
            <w:vAlign w:val="center"/>
          </w:tcPr>
          <w:p w14:paraId="1CE92765">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7144CC39">
            <w:pPr>
              <w:spacing w:line="360" w:lineRule="auto"/>
              <w:jc w:val="center"/>
              <w:rPr>
                <w:rFonts w:ascii="宋体" w:hAnsi="宋体" w:cs="宋体"/>
                <w:kern w:val="0"/>
                <w:sz w:val="21"/>
                <w:szCs w:val="21"/>
                <w:highlight w:val="none"/>
              </w:rPr>
            </w:pPr>
          </w:p>
        </w:tc>
        <w:tc>
          <w:tcPr>
            <w:tcW w:w="3979" w:type="dxa"/>
          </w:tcPr>
          <w:p w14:paraId="336532E3">
            <w:pPr>
              <w:spacing w:line="360" w:lineRule="auto"/>
              <w:ind w:firstLine="210" w:firstLineChars="100"/>
              <w:rPr>
                <w:rFonts w:ascii="宋体" w:hAnsi="宋体" w:cs="宋体"/>
                <w:kern w:val="0"/>
                <w:sz w:val="21"/>
                <w:szCs w:val="21"/>
                <w:highlight w:val="none"/>
              </w:rPr>
            </w:pPr>
            <w:r>
              <w:rPr>
                <w:rFonts w:ascii="宋体" w:cs="宋体" w:hint="eastAsia"/>
                <w:kern w:val="0"/>
                <w:sz w:val="21"/>
                <w:szCs w:val="21"/>
                <w:highlight w:val="none"/>
              </w:rPr>
              <w:t>来访人员应经过身份验证或公司相关人员的带领下方可进入公司。对于进入和离开的可疑的交通工具、包裹和公文包进行检查，对不相称的或可疑的物品或行为转交专业机构。</w:t>
            </w:r>
          </w:p>
        </w:tc>
        <w:tc>
          <w:tcPr>
            <w:tcW w:w="2324" w:type="dxa"/>
            <w:vAlign w:val="center"/>
          </w:tcPr>
          <w:p w14:paraId="77796CA9">
            <w:pPr>
              <w:spacing w:line="360" w:lineRule="auto"/>
              <w:jc w:val="center"/>
              <w:rPr>
                <w:rFonts w:ascii="宋体" w:eastAsia="宋体" w:hAnsi="宋体" w:cs="宋体" w:hint="eastAsia"/>
                <w:kern w:val="0"/>
                <w:sz w:val="21"/>
                <w:szCs w:val="21"/>
                <w:highlight w:val="none"/>
                <w:lang w:eastAsia="zh-CN"/>
              </w:rPr>
            </w:pPr>
            <w:r>
              <w:rPr>
                <w:rFonts w:ascii="宋体" w:cs="宋体" w:hint="eastAsia"/>
                <w:kern w:val="0"/>
                <w:sz w:val="21"/>
                <w:szCs w:val="21"/>
                <w:highlight w:val="none"/>
                <w:lang w:eastAsia="zh-CN"/>
              </w:rPr>
              <w:t>综合部</w:t>
            </w:r>
          </w:p>
        </w:tc>
      </w:tr>
      <w:tr w14:paraId="488B588E">
        <w:tblPrEx>
          <w:tblW w:w="0" w:type="auto"/>
          <w:tblInd w:w="-116" w:type="dxa"/>
          <w:tblLayout w:type="fixed"/>
          <w:tblCellMar>
            <w:top w:w="0" w:type="dxa"/>
            <w:left w:w="108" w:type="dxa"/>
            <w:bottom w:w="0" w:type="dxa"/>
            <w:right w:w="108" w:type="dxa"/>
          </w:tblCellMar>
        </w:tblPrEx>
        <w:trPr>
          <w:trHeight w:val="331"/>
        </w:trPr>
        <w:tc>
          <w:tcPr>
            <w:tcW w:w="649" w:type="dxa"/>
            <w:vAlign w:val="center"/>
          </w:tcPr>
          <w:p w14:paraId="50E637BF">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Merge/>
            <w:vAlign w:val="center"/>
          </w:tcPr>
          <w:p w14:paraId="59A24F35">
            <w:pPr>
              <w:autoSpaceDE w:val="0"/>
              <w:autoSpaceDN w:val="0"/>
              <w:adjustRightInd w:val="0"/>
              <w:spacing w:line="360" w:lineRule="auto"/>
              <w:jc w:val="center"/>
              <w:rPr>
                <w:rFonts w:ascii="宋体" w:hAnsi="宋体" w:cs="宋体"/>
                <w:kern w:val="0"/>
                <w:sz w:val="21"/>
                <w:szCs w:val="21"/>
                <w:highlight w:val="none"/>
              </w:rPr>
            </w:pPr>
          </w:p>
        </w:tc>
        <w:tc>
          <w:tcPr>
            <w:tcW w:w="3979" w:type="dxa"/>
            <w:vAlign w:val="center"/>
          </w:tcPr>
          <w:p w14:paraId="1DB02DE1">
            <w:pPr>
              <w:autoSpaceDE w:val="0"/>
              <w:autoSpaceDN w:val="0"/>
              <w:adjustRightInd w:val="0"/>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实施例行安全检查，包括计算机数据库系统，以便及时发现危害现象；公司人员出口和货车出口分开，出入车辆检查后放行；加强夜间的安全保卫工作；提供适宜的照明设备，包括应急灯，以便值勤人员察觉可以或异常的行为或现象</w:t>
            </w:r>
          </w:p>
        </w:tc>
        <w:tc>
          <w:tcPr>
            <w:tcW w:w="2324" w:type="dxa"/>
            <w:vAlign w:val="center"/>
          </w:tcPr>
          <w:p w14:paraId="4F7AFCAF">
            <w:pPr>
              <w:autoSpaceDE w:val="0"/>
              <w:autoSpaceDN w:val="0"/>
              <w:adjustRightInd w:val="0"/>
              <w:spacing w:line="360" w:lineRule="auto"/>
              <w:jc w:val="center"/>
              <w:rPr>
                <w:rFonts w:ascii="宋体" w:eastAsia="宋体" w:hAnsi="宋体" w:cs="宋体" w:hint="eastAsia"/>
                <w:kern w:val="0"/>
                <w:sz w:val="21"/>
                <w:szCs w:val="21"/>
                <w:highlight w:val="none"/>
                <w:lang w:eastAsia="zh-CN"/>
              </w:rPr>
            </w:pPr>
            <w:r>
              <w:rPr>
                <w:rFonts w:ascii="宋体" w:cs="宋体" w:hint="eastAsia"/>
                <w:kern w:val="0"/>
                <w:sz w:val="21"/>
                <w:szCs w:val="21"/>
                <w:highlight w:val="none"/>
                <w:lang w:eastAsia="zh-CN"/>
              </w:rPr>
              <w:t>综合部</w:t>
            </w:r>
          </w:p>
        </w:tc>
      </w:tr>
      <w:tr w14:paraId="66A1375F">
        <w:tblPrEx>
          <w:tblW w:w="0" w:type="auto"/>
          <w:tblInd w:w="-116" w:type="dxa"/>
          <w:tblLayout w:type="fixed"/>
          <w:tblCellMar>
            <w:top w:w="0" w:type="dxa"/>
            <w:left w:w="108" w:type="dxa"/>
            <w:bottom w:w="0" w:type="dxa"/>
            <w:right w:w="108" w:type="dxa"/>
          </w:tblCellMar>
        </w:tblPrEx>
        <w:trPr>
          <w:trHeight w:val="192"/>
        </w:trPr>
        <w:tc>
          <w:tcPr>
            <w:tcW w:w="649" w:type="dxa"/>
            <w:vAlign w:val="center"/>
          </w:tcPr>
          <w:p w14:paraId="664D1CFD">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Align w:val="center"/>
          </w:tcPr>
          <w:p w14:paraId="45998E04">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信息安全</w:t>
            </w:r>
          </w:p>
        </w:tc>
        <w:tc>
          <w:tcPr>
            <w:tcW w:w="3979" w:type="dxa"/>
          </w:tcPr>
          <w:p w14:paraId="48BBB0FD">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采用计算机管制处理控制系统和关键数据系统，设置个人权限和密码使用制度，定期请专业人士维护和调整。员工离职后消除其计算机进入权限。加强电脑的病毒防护和放黑客攻击，及时做好电脑关键基本数据库系统的备份工作。</w:t>
            </w:r>
          </w:p>
        </w:tc>
        <w:tc>
          <w:tcPr>
            <w:tcW w:w="2324" w:type="dxa"/>
            <w:vAlign w:val="center"/>
          </w:tcPr>
          <w:p w14:paraId="45EE8528">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lang w:eastAsia="zh-CN"/>
              </w:rPr>
              <w:t>综合部</w:t>
            </w:r>
            <w:r>
              <w:rPr>
                <w:rFonts w:ascii="宋体" w:hAnsi="宋体" w:cs="宋体" w:hint="eastAsia"/>
                <w:kern w:val="0"/>
                <w:sz w:val="21"/>
                <w:szCs w:val="21"/>
                <w:highlight w:val="none"/>
              </w:rPr>
              <w:t>电脑维护员</w:t>
            </w:r>
          </w:p>
        </w:tc>
      </w:tr>
      <w:tr w14:paraId="335B9F0E">
        <w:tblPrEx>
          <w:tblW w:w="0" w:type="auto"/>
          <w:tblInd w:w="-116" w:type="dxa"/>
          <w:tblLayout w:type="fixed"/>
          <w:tblCellMar>
            <w:top w:w="0" w:type="dxa"/>
            <w:left w:w="108" w:type="dxa"/>
            <w:bottom w:w="0" w:type="dxa"/>
            <w:right w:w="108" w:type="dxa"/>
          </w:tblCellMar>
        </w:tblPrEx>
        <w:trPr>
          <w:trHeight w:val="157"/>
        </w:trPr>
        <w:tc>
          <w:tcPr>
            <w:tcW w:w="649" w:type="dxa"/>
            <w:vAlign w:val="center"/>
          </w:tcPr>
          <w:p w14:paraId="2AF84021">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Align w:val="center"/>
          </w:tcPr>
          <w:p w14:paraId="0E986C9F">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供应链安全</w:t>
            </w:r>
          </w:p>
        </w:tc>
        <w:tc>
          <w:tcPr>
            <w:tcW w:w="3979" w:type="dxa"/>
          </w:tcPr>
          <w:p w14:paraId="1B5F03C1">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每年对上游供应商至少进行一次审核评估，包括但不限于生产资质、食品安全、信誉度、到货及时率、配合度等。</w:t>
            </w:r>
          </w:p>
        </w:tc>
        <w:tc>
          <w:tcPr>
            <w:tcW w:w="2324" w:type="dxa"/>
            <w:vAlign w:val="center"/>
          </w:tcPr>
          <w:p w14:paraId="2A312782">
            <w:pPr>
              <w:spacing w:line="360" w:lineRule="auto"/>
              <w:jc w:val="center"/>
              <w:rPr>
                <w:rFonts w:ascii="宋体" w:eastAsia="宋体" w:hAnsi="宋体" w:cs="宋体" w:hint="eastAsia"/>
                <w:kern w:val="0"/>
                <w:sz w:val="21"/>
                <w:szCs w:val="21"/>
                <w:highlight w:val="none"/>
                <w:lang w:eastAsia="zh-CN"/>
              </w:rPr>
            </w:pPr>
            <w:r>
              <w:rPr>
                <w:rFonts w:ascii="宋体" w:cs="宋体" w:hint="eastAsia"/>
                <w:kern w:val="0"/>
                <w:sz w:val="21"/>
                <w:szCs w:val="21"/>
                <w:highlight w:val="none"/>
                <w:lang w:eastAsia="zh-CN"/>
              </w:rPr>
              <w:t>综合部</w:t>
            </w:r>
          </w:p>
        </w:tc>
      </w:tr>
      <w:tr w14:paraId="19EFC578">
        <w:tblPrEx>
          <w:tblW w:w="0" w:type="auto"/>
          <w:tblInd w:w="-116" w:type="dxa"/>
          <w:tblLayout w:type="fixed"/>
          <w:tblCellMar>
            <w:top w:w="0" w:type="dxa"/>
            <w:left w:w="108" w:type="dxa"/>
            <w:bottom w:w="0" w:type="dxa"/>
            <w:right w:w="108" w:type="dxa"/>
          </w:tblCellMar>
        </w:tblPrEx>
        <w:trPr>
          <w:trHeight w:val="819"/>
        </w:trPr>
        <w:tc>
          <w:tcPr>
            <w:tcW w:w="649" w:type="dxa"/>
            <w:vAlign w:val="center"/>
          </w:tcPr>
          <w:p w14:paraId="1AADB502">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Align w:val="center"/>
          </w:tcPr>
          <w:p w14:paraId="03D6A2FE">
            <w:pPr>
              <w:spacing w:line="360" w:lineRule="auto"/>
              <w:jc w:val="center"/>
              <w:rPr>
                <w:rFonts w:ascii="宋体" w:hAnsi="宋体" w:cs="宋体"/>
                <w:kern w:val="0"/>
                <w:sz w:val="21"/>
                <w:szCs w:val="21"/>
                <w:highlight w:val="none"/>
              </w:rPr>
            </w:pPr>
          </w:p>
        </w:tc>
        <w:tc>
          <w:tcPr>
            <w:tcW w:w="3979" w:type="dxa"/>
          </w:tcPr>
          <w:p w14:paraId="4D5137C7">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检验员要严格按照检验设备标准操作，非专职操作人员不得随意触动。</w:t>
            </w:r>
          </w:p>
        </w:tc>
        <w:tc>
          <w:tcPr>
            <w:tcW w:w="2324" w:type="dxa"/>
            <w:vAlign w:val="center"/>
          </w:tcPr>
          <w:p w14:paraId="14F42282">
            <w:pPr>
              <w:spacing w:line="360" w:lineRule="auto"/>
              <w:jc w:val="center"/>
              <w:rPr>
                <w:rFonts w:ascii="宋体" w:eastAsia="宋体" w:hAnsi="宋体" w:cs="宋体" w:hint="eastAsia"/>
                <w:kern w:val="0"/>
                <w:sz w:val="21"/>
                <w:szCs w:val="21"/>
                <w:highlight w:val="none"/>
                <w:lang w:eastAsia="zh-CN"/>
              </w:rPr>
            </w:pPr>
            <w:r>
              <w:rPr>
                <w:rFonts w:ascii="宋体" w:hAnsi="宋体" w:cs="宋体" w:hint="eastAsia"/>
                <w:kern w:val="0"/>
                <w:sz w:val="21"/>
                <w:szCs w:val="21"/>
                <w:highlight w:val="none"/>
                <w:lang w:val="en-US" w:eastAsia="zh-CN"/>
              </w:rPr>
              <w:t>销售部</w:t>
            </w:r>
          </w:p>
        </w:tc>
      </w:tr>
      <w:tr w14:paraId="28671D59">
        <w:tblPrEx>
          <w:tblW w:w="0" w:type="auto"/>
          <w:tblInd w:w="-116" w:type="dxa"/>
          <w:tblLayout w:type="fixed"/>
          <w:tblCellMar>
            <w:top w:w="0" w:type="dxa"/>
            <w:left w:w="108" w:type="dxa"/>
            <w:bottom w:w="0" w:type="dxa"/>
            <w:right w:w="108" w:type="dxa"/>
          </w:tblCellMar>
        </w:tblPrEx>
        <w:trPr>
          <w:trHeight w:val="1254"/>
        </w:trPr>
        <w:tc>
          <w:tcPr>
            <w:tcW w:w="649" w:type="dxa"/>
            <w:vAlign w:val="center"/>
          </w:tcPr>
          <w:p w14:paraId="6D774304">
            <w:pPr>
              <w:numPr>
                <w:ilvl w:val="0"/>
                <w:numId w:val="1"/>
              </w:numPr>
              <w:spacing w:line="360" w:lineRule="auto"/>
              <w:ind w:left="425" w:hanging="425" w:leftChars="0" w:firstLineChars="0"/>
              <w:jc w:val="center"/>
              <w:rPr>
                <w:rFonts w:ascii="宋体" w:hAnsi="宋体" w:cs="宋体"/>
                <w:kern w:val="0"/>
                <w:sz w:val="21"/>
                <w:szCs w:val="21"/>
                <w:highlight w:val="none"/>
              </w:rPr>
            </w:pPr>
          </w:p>
        </w:tc>
        <w:tc>
          <w:tcPr>
            <w:tcW w:w="2342" w:type="dxa"/>
            <w:vAlign w:val="center"/>
          </w:tcPr>
          <w:p w14:paraId="1978CBE9">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其它</w:t>
            </w:r>
          </w:p>
        </w:tc>
        <w:tc>
          <w:tcPr>
            <w:tcW w:w="3979" w:type="dxa"/>
          </w:tcPr>
          <w:p w14:paraId="46EFED45">
            <w:pPr>
              <w:spacing w:line="360" w:lineRule="auto"/>
              <w:ind w:firstLine="210" w:firstLineChars="100"/>
              <w:rPr>
                <w:rFonts w:ascii="宋体" w:hAnsi="宋体" w:cs="宋体"/>
                <w:kern w:val="0"/>
                <w:sz w:val="21"/>
                <w:szCs w:val="21"/>
                <w:highlight w:val="none"/>
              </w:rPr>
            </w:pPr>
            <w:r>
              <w:rPr>
                <w:rFonts w:ascii="宋体" w:hAnsi="宋体" w:cs="宋体" w:hint="eastAsia"/>
                <w:kern w:val="0"/>
                <w:sz w:val="21"/>
                <w:szCs w:val="21"/>
                <w:highlight w:val="none"/>
              </w:rPr>
              <w:t>公司安排专人负责邮件和包裹的收发，远离生产区、储存区。发现异常问题及时上报。</w:t>
            </w:r>
          </w:p>
        </w:tc>
        <w:tc>
          <w:tcPr>
            <w:tcW w:w="2324" w:type="dxa"/>
            <w:vAlign w:val="center"/>
          </w:tcPr>
          <w:p w14:paraId="054C42A2">
            <w:pPr>
              <w:spacing w:line="360" w:lineRule="auto"/>
              <w:jc w:val="center"/>
              <w:rPr>
                <w:rFonts w:ascii="宋体" w:hAnsi="宋体" w:cs="宋体"/>
                <w:kern w:val="0"/>
                <w:sz w:val="21"/>
                <w:szCs w:val="21"/>
                <w:highlight w:val="none"/>
              </w:rPr>
            </w:pPr>
            <w:r>
              <w:rPr>
                <w:rFonts w:ascii="宋体" w:hAnsi="宋体" w:cs="宋体" w:hint="eastAsia"/>
                <w:kern w:val="0"/>
                <w:sz w:val="21"/>
                <w:szCs w:val="21"/>
                <w:highlight w:val="none"/>
              </w:rPr>
              <w:t>文员</w:t>
            </w:r>
          </w:p>
        </w:tc>
      </w:tr>
    </w:tbl>
    <w:p w14:paraId="351B6762">
      <w:pPr>
        <w:autoSpaceDE w:val="0"/>
        <w:autoSpaceDN w:val="0"/>
        <w:adjustRightInd w:val="0"/>
        <w:spacing w:line="420" w:lineRule="exact"/>
        <w:jc w:val="left"/>
        <w:rPr>
          <w:rFonts w:ascii="宋体" w:hAnsi="宋体" w:cs="宋体"/>
          <w:kern w:val="0"/>
          <w:szCs w:val="21"/>
          <w:highlight w:val="none"/>
        </w:rPr>
      </w:pPr>
      <w:r>
        <w:rPr>
          <w:rFonts w:ascii="宋体" w:hAnsi="宋体"/>
          <w:kern w:val="0"/>
          <w:szCs w:val="21"/>
          <w:highlight w:val="none"/>
        </w:rPr>
        <w:t xml:space="preserve">5.2.4 </w:t>
      </w:r>
      <w:r>
        <w:rPr>
          <w:rFonts w:ascii="宋体" w:hAnsi="宋体" w:cs="宋体" w:hint="eastAsia"/>
          <w:kern w:val="0"/>
          <w:szCs w:val="21"/>
          <w:highlight w:val="none"/>
        </w:rPr>
        <w:t>应急预案</w:t>
      </w:r>
    </w:p>
    <w:p w14:paraId="198E8844">
      <w:pPr>
        <w:autoSpaceDE w:val="0"/>
        <w:autoSpaceDN w:val="0"/>
        <w:adjustRightInd w:val="0"/>
        <w:spacing w:line="420" w:lineRule="exact"/>
        <w:ind w:left="420" w:hanging="420" w:hangingChars="200"/>
        <w:jc w:val="left"/>
        <w:rPr>
          <w:rFonts w:ascii="宋体" w:hAnsi="宋体" w:cs="宋体"/>
          <w:kern w:val="0"/>
          <w:szCs w:val="21"/>
          <w:highlight w:val="none"/>
        </w:rPr>
      </w:pPr>
      <w:r>
        <w:rPr>
          <w:rFonts w:ascii="宋体" w:hAnsi="宋体"/>
          <w:kern w:val="0"/>
          <w:szCs w:val="21"/>
          <w:highlight w:val="none"/>
        </w:rPr>
        <w:t xml:space="preserve">5.2.4.1 </w:t>
      </w:r>
      <w:r>
        <w:rPr>
          <w:rFonts w:ascii="宋体" w:hAnsi="宋体" w:cs="宋体" w:hint="eastAsia"/>
          <w:kern w:val="0"/>
          <w:szCs w:val="21"/>
          <w:highlight w:val="none"/>
        </w:rPr>
        <w:t>食品安全演练：每年模拟进行一次演练，由</w:t>
      </w:r>
      <w:r>
        <w:rPr>
          <w:rFonts w:ascii="宋体" w:hAnsi="宋体" w:cs="宋体" w:hint="eastAsia"/>
          <w:kern w:val="0"/>
          <w:szCs w:val="21"/>
          <w:highlight w:val="none"/>
          <w:lang w:eastAsia="zh-CN"/>
        </w:rPr>
        <w:t>销售部</w:t>
      </w:r>
      <w:r>
        <w:rPr>
          <w:rFonts w:ascii="宋体" w:hAnsi="宋体" w:cs="宋体" w:hint="eastAsia"/>
          <w:kern w:val="0"/>
          <w:szCs w:val="21"/>
          <w:highlight w:val="none"/>
        </w:rPr>
        <w:t>策划，策划内容包括：实施时间、参与人员、防护人员、评估人员、抽样项目、合格评定方法，并组织相关部门主任以上人员进行评估，评估包括：演练过程、演练反映的问题及改善措施、食品安全防护计划有效性。</w:t>
      </w:r>
    </w:p>
    <w:p w14:paraId="1C7D1B39">
      <w:pPr>
        <w:autoSpaceDE w:val="0"/>
        <w:autoSpaceDN w:val="0"/>
        <w:adjustRightInd w:val="0"/>
        <w:spacing w:line="420" w:lineRule="exact"/>
        <w:jc w:val="left"/>
        <w:rPr>
          <w:rFonts w:ascii="宋体" w:hAnsi="宋体" w:cs="宋体"/>
          <w:kern w:val="0"/>
          <w:szCs w:val="21"/>
          <w:highlight w:val="none"/>
        </w:rPr>
      </w:pPr>
      <w:r>
        <w:rPr>
          <w:rFonts w:ascii="宋体" w:hAnsi="宋体"/>
          <w:kern w:val="0"/>
          <w:szCs w:val="21"/>
          <w:highlight w:val="none"/>
        </w:rPr>
        <w:t xml:space="preserve">5.2.4.2 </w:t>
      </w:r>
      <w:r>
        <w:rPr>
          <w:rFonts w:ascii="宋体" w:hAnsi="宋体" w:cs="宋体" w:hint="eastAsia"/>
          <w:kern w:val="0"/>
          <w:szCs w:val="21"/>
          <w:highlight w:val="none"/>
        </w:rPr>
        <w:t>食品回收策略</w:t>
      </w:r>
    </w:p>
    <w:p w14:paraId="7F2EB104">
      <w:pPr>
        <w:autoSpaceDE w:val="0"/>
        <w:autoSpaceDN w:val="0"/>
        <w:adjustRightInd w:val="0"/>
        <w:spacing w:line="420" w:lineRule="exact"/>
        <w:ind w:left="359" w:leftChars="171"/>
        <w:jc w:val="left"/>
        <w:rPr>
          <w:rFonts w:ascii="宋体" w:hAnsi="宋体" w:cs="宋体"/>
          <w:kern w:val="0"/>
          <w:szCs w:val="21"/>
          <w:highlight w:val="none"/>
        </w:rPr>
      </w:pPr>
      <w:r>
        <w:rPr>
          <w:rFonts w:ascii="宋体" w:hAnsi="宋体" w:cs="宋体" w:hint="eastAsia"/>
          <w:kern w:val="0"/>
          <w:szCs w:val="21"/>
          <w:highlight w:val="none"/>
        </w:rPr>
        <w:t>建立食品回收制度，目的在于一旦发生潜在威胁时，能够迅速停止销售或撤出市场，以保障消费者的健康。必要时，对回收的食品要进行销毁。</w:t>
      </w:r>
    </w:p>
    <w:p w14:paraId="7C46EE57">
      <w:pPr>
        <w:autoSpaceDE w:val="0"/>
        <w:autoSpaceDN w:val="0"/>
        <w:adjustRightInd w:val="0"/>
        <w:spacing w:line="420" w:lineRule="exact"/>
        <w:ind w:left="359" w:leftChars="171"/>
        <w:jc w:val="left"/>
        <w:rPr>
          <w:rFonts w:ascii="宋体" w:hAnsi="宋体" w:cs="宋体"/>
          <w:kern w:val="0"/>
          <w:szCs w:val="21"/>
          <w:highlight w:val="none"/>
        </w:rPr>
      </w:pPr>
      <w:r>
        <w:rPr>
          <w:rFonts w:ascii="宋体" w:hAnsi="宋体" w:cs="宋体" w:hint="eastAsia"/>
          <w:kern w:val="0"/>
          <w:szCs w:val="21"/>
          <w:highlight w:val="none"/>
        </w:rPr>
        <w:t>公司</w:t>
      </w:r>
      <w:r>
        <w:rPr>
          <w:rFonts w:ascii="宋体" w:hAnsi="宋体" w:cs="宋体" w:hint="eastAsia"/>
          <w:kern w:val="0"/>
          <w:szCs w:val="21"/>
          <w:highlight w:val="none"/>
          <w:lang w:eastAsia="zh-CN"/>
        </w:rPr>
        <w:t>销售部</w:t>
      </w:r>
      <w:r>
        <w:rPr>
          <w:rFonts w:ascii="宋体" w:hAnsi="宋体" w:cs="宋体" w:hint="eastAsia"/>
          <w:kern w:val="0"/>
          <w:szCs w:val="21"/>
          <w:highlight w:val="none"/>
        </w:rPr>
        <w:t>每年组织一次或两次食品的模拟回收，确保一旦需要回收时，能够迅速组织人员采取相关的措施，在</w:t>
      </w:r>
      <w:r>
        <w:rPr>
          <w:rFonts w:ascii="宋体" w:hAnsi="宋体"/>
          <w:kern w:val="0"/>
          <w:szCs w:val="21"/>
          <w:highlight w:val="none"/>
        </w:rPr>
        <w:t xml:space="preserve">24 </w:t>
      </w:r>
      <w:r>
        <w:rPr>
          <w:rFonts w:ascii="宋体" w:hAnsi="宋体" w:cs="宋体" w:hint="eastAsia"/>
          <w:kern w:val="0"/>
          <w:szCs w:val="21"/>
          <w:highlight w:val="none"/>
        </w:rPr>
        <w:t>小时内回收所有食品（包括停止销售）。</w:t>
      </w:r>
    </w:p>
    <w:p w14:paraId="74F0241E">
      <w:pPr>
        <w:autoSpaceDE w:val="0"/>
        <w:autoSpaceDN w:val="0"/>
        <w:adjustRightInd w:val="0"/>
        <w:spacing w:line="420" w:lineRule="exact"/>
        <w:jc w:val="left"/>
        <w:rPr>
          <w:rFonts w:ascii="宋体" w:hAnsi="宋体" w:cs="宋体"/>
          <w:kern w:val="0"/>
          <w:szCs w:val="21"/>
          <w:highlight w:val="none"/>
        </w:rPr>
      </w:pPr>
      <w:r>
        <w:rPr>
          <w:rFonts w:ascii="宋体" w:hAnsi="宋体"/>
          <w:kern w:val="0"/>
          <w:szCs w:val="21"/>
          <w:highlight w:val="none"/>
        </w:rPr>
        <w:t xml:space="preserve">5.2.4.3 </w:t>
      </w:r>
      <w:r>
        <w:rPr>
          <w:rFonts w:ascii="宋体" w:hAnsi="宋体" w:cs="宋体" w:hint="eastAsia"/>
          <w:kern w:val="0"/>
          <w:szCs w:val="21"/>
          <w:highlight w:val="none"/>
        </w:rPr>
        <w:t>紧急突发事件的处理和响应</w:t>
      </w:r>
    </w:p>
    <w:p w14:paraId="507BCEC1">
      <w:pPr>
        <w:autoSpaceDE w:val="0"/>
        <w:autoSpaceDN w:val="0"/>
        <w:adjustRightInd w:val="0"/>
        <w:spacing w:line="420" w:lineRule="exact"/>
        <w:ind w:left="420" w:hanging="420" w:hangingChars="200"/>
        <w:jc w:val="left"/>
        <w:rPr>
          <w:rFonts w:ascii="宋体" w:hAnsi="宋体" w:cs="宋体"/>
          <w:kern w:val="0"/>
          <w:szCs w:val="21"/>
          <w:highlight w:val="none"/>
        </w:rPr>
      </w:pPr>
      <w:r>
        <w:rPr>
          <w:rFonts w:ascii="宋体" w:hAnsi="宋体"/>
          <w:kern w:val="0"/>
          <w:szCs w:val="21"/>
          <w:highlight w:val="none"/>
        </w:rPr>
        <w:t xml:space="preserve">5.2.4.3.1 </w:t>
      </w:r>
      <w:r>
        <w:rPr>
          <w:rFonts w:ascii="宋体" w:hAnsi="宋体" w:cs="宋体" w:hint="eastAsia"/>
          <w:kern w:val="0"/>
          <w:szCs w:val="21"/>
          <w:highlight w:val="none"/>
        </w:rPr>
        <w:t>突发事件界定：是指突然发生，造成或者可能造成公司信誉、实体、人员、财物等严重损害的重大事件。</w:t>
      </w:r>
    </w:p>
    <w:p w14:paraId="1F912155">
      <w:pPr>
        <w:autoSpaceDE w:val="0"/>
        <w:autoSpaceDN w:val="0"/>
        <w:adjustRightInd w:val="0"/>
        <w:spacing w:line="420" w:lineRule="exact"/>
        <w:ind w:left="420" w:hanging="420" w:hangingChars="200"/>
        <w:jc w:val="left"/>
        <w:rPr>
          <w:rFonts w:ascii="宋体" w:hAnsi="宋体" w:cs="宋体"/>
          <w:kern w:val="0"/>
          <w:szCs w:val="21"/>
          <w:highlight w:val="none"/>
        </w:rPr>
      </w:pPr>
      <w:r>
        <w:rPr>
          <w:rFonts w:ascii="宋体" w:hAnsi="宋体"/>
          <w:kern w:val="0"/>
          <w:szCs w:val="21"/>
          <w:highlight w:val="none"/>
        </w:rPr>
        <w:t xml:space="preserve">5.2.4.3.2 </w:t>
      </w:r>
      <w:r>
        <w:rPr>
          <w:rFonts w:ascii="宋体" w:hAnsi="宋体" w:cs="宋体" w:hint="eastAsia"/>
          <w:kern w:val="0"/>
          <w:szCs w:val="21"/>
          <w:highlight w:val="none"/>
        </w:rPr>
        <w:t>突发事件处理原则：保证信息畅通、全员反应快捷、领导指挥有力、积极寻求对应公共部门和外界的支持和帮助。</w:t>
      </w:r>
    </w:p>
    <w:p w14:paraId="5049A219">
      <w:pPr>
        <w:autoSpaceDE w:val="0"/>
        <w:autoSpaceDN w:val="0"/>
        <w:adjustRightInd w:val="0"/>
        <w:spacing w:line="420" w:lineRule="exact"/>
        <w:jc w:val="left"/>
        <w:rPr>
          <w:rFonts w:ascii="宋体" w:hAnsi="宋体" w:cs="宋体"/>
          <w:kern w:val="0"/>
          <w:szCs w:val="21"/>
          <w:highlight w:val="none"/>
        </w:rPr>
      </w:pPr>
      <w:r>
        <w:rPr>
          <w:rFonts w:ascii="宋体" w:hAnsi="宋体"/>
          <w:kern w:val="0"/>
          <w:szCs w:val="21"/>
          <w:highlight w:val="none"/>
        </w:rPr>
        <w:t xml:space="preserve">5.2.4.3.3 </w:t>
      </w:r>
      <w:r>
        <w:rPr>
          <w:rFonts w:ascii="宋体" w:hAnsi="宋体" w:cs="宋体" w:hint="eastAsia"/>
          <w:kern w:val="0"/>
          <w:szCs w:val="21"/>
          <w:highlight w:val="none"/>
        </w:rPr>
        <w:t>突发事件的类别和响应：</w:t>
      </w:r>
    </w:p>
    <w:p w14:paraId="4D4BF23B">
      <w:pPr>
        <w:autoSpaceDE w:val="0"/>
        <w:autoSpaceDN w:val="0"/>
        <w:adjustRightInd w:val="0"/>
        <w:spacing w:line="420" w:lineRule="exact"/>
        <w:ind w:left="794" w:hanging="315" w:leftChars="228" w:hangingChars="150"/>
        <w:jc w:val="left"/>
        <w:rPr>
          <w:rFonts w:ascii="宋体" w:hAnsi="宋体" w:cs="宋体"/>
          <w:kern w:val="0"/>
          <w:szCs w:val="21"/>
          <w:highlight w:val="none"/>
        </w:rPr>
      </w:pPr>
      <w:r>
        <w:rPr>
          <w:rFonts w:ascii="宋体" w:hAnsi="宋体" w:cs="宋体"/>
          <w:kern w:val="0"/>
          <w:szCs w:val="21"/>
          <w:highlight w:val="none"/>
        </w:rPr>
        <w:t xml:space="preserve">A. </w:t>
      </w:r>
      <w:r>
        <w:rPr>
          <w:rFonts w:ascii="宋体" w:hAnsi="宋体" w:cs="宋体" w:hint="eastAsia"/>
          <w:kern w:val="0"/>
          <w:szCs w:val="21"/>
          <w:highlight w:val="none"/>
        </w:rPr>
        <w:t>当发生洪水、火灾、风暴、雪灾、地震、海啸、恐怖活动或其它不可抗力事件，由公司现场最高职位人员向最高管理层报告，同时立即组织现场人员做好相应措施，联络对应公共部门和上级主管部门，积极做好响应，尽可能将事件损失降低到最低。</w:t>
      </w:r>
    </w:p>
    <w:p w14:paraId="2BCE100C">
      <w:pPr>
        <w:autoSpaceDE w:val="0"/>
        <w:autoSpaceDN w:val="0"/>
        <w:adjustRightInd w:val="0"/>
        <w:spacing w:line="420" w:lineRule="exact"/>
        <w:ind w:left="794" w:hanging="315" w:leftChars="228" w:hangingChars="150"/>
        <w:jc w:val="left"/>
        <w:rPr>
          <w:rFonts w:ascii="宋体" w:hAnsi="宋体" w:cs="宋体"/>
          <w:kern w:val="0"/>
          <w:szCs w:val="21"/>
          <w:highlight w:val="none"/>
        </w:rPr>
      </w:pPr>
      <w:r>
        <w:rPr>
          <w:rFonts w:ascii="宋体" w:hAnsi="宋体" w:cs="宋体"/>
          <w:kern w:val="0"/>
          <w:szCs w:val="21"/>
          <w:highlight w:val="none"/>
        </w:rPr>
        <w:t xml:space="preserve">B. </w:t>
      </w:r>
      <w:r>
        <w:rPr>
          <w:rFonts w:ascii="宋体" w:hAnsi="宋体" w:cs="宋体" w:hint="eastAsia"/>
          <w:kern w:val="0"/>
          <w:szCs w:val="21"/>
          <w:highlight w:val="none"/>
        </w:rPr>
        <w:t>当外界媒体对本公司作了不恰当的报道，第一发现人或相应部门负责人应立即向公司的最高管理层汇报，由最高管理层商讨进行澄清或提交法律诉讼。</w:t>
      </w:r>
    </w:p>
    <w:p w14:paraId="3B782E52">
      <w:pPr>
        <w:autoSpaceDE w:val="0"/>
        <w:autoSpaceDN w:val="0"/>
        <w:adjustRightInd w:val="0"/>
        <w:spacing w:line="420" w:lineRule="exact"/>
        <w:ind w:left="794" w:hanging="315" w:leftChars="228" w:hangingChars="150"/>
        <w:jc w:val="left"/>
        <w:rPr>
          <w:rFonts w:ascii="宋体" w:hAnsi="宋体" w:cs="宋体"/>
          <w:kern w:val="0"/>
          <w:szCs w:val="21"/>
          <w:highlight w:val="none"/>
        </w:rPr>
      </w:pPr>
      <w:r>
        <w:rPr>
          <w:rFonts w:ascii="宋体" w:hAnsi="宋体" w:cs="宋体"/>
          <w:kern w:val="0"/>
          <w:szCs w:val="21"/>
          <w:highlight w:val="none"/>
        </w:rPr>
        <w:t xml:space="preserve">C. </w:t>
      </w:r>
      <w:r>
        <w:rPr>
          <w:rFonts w:ascii="宋体" w:hAnsi="宋体" w:cs="宋体" w:hint="eastAsia"/>
          <w:kern w:val="0"/>
          <w:szCs w:val="21"/>
          <w:highlight w:val="none"/>
        </w:rPr>
        <w:t>当周围环境发生，例如因不当作业造成的有毒有害物体的泄露、周边车辆装载有毒有害物体途经公司门口泄露等等情况，或如公司内发生火灾、漏电、公司内有毒物体泄漏等突发事件，按照公司的安全管理制度进行处理，并对处理的措施进行评估，评估报告报公司管理层会议或管理评审会议。</w:t>
      </w:r>
    </w:p>
    <w:p w14:paraId="2C7C49D2">
      <w:pPr>
        <w:autoSpaceDE w:val="0"/>
        <w:autoSpaceDN w:val="0"/>
        <w:adjustRightInd w:val="0"/>
        <w:spacing w:line="420" w:lineRule="exact"/>
        <w:ind w:left="794" w:hanging="315" w:leftChars="228" w:hangingChars="150"/>
        <w:jc w:val="left"/>
        <w:rPr>
          <w:rFonts w:ascii="宋体" w:hAnsi="宋体" w:cs="宋体"/>
          <w:kern w:val="0"/>
          <w:szCs w:val="21"/>
          <w:highlight w:val="none"/>
        </w:rPr>
      </w:pPr>
      <w:r>
        <w:rPr>
          <w:rFonts w:ascii="宋体" w:hAnsi="宋体" w:cs="宋体"/>
          <w:kern w:val="0"/>
          <w:szCs w:val="21"/>
          <w:highlight w:val="none"/>
        </w:rPr>
        <w:t xml:space="preserve">D. </w:t>
      </w:r>
      <w:r>
        <w:rPr>
          <w:rFonts w:ascii="宋体" w:hAnsi="宋体" w:cs="宋体" w:hint="eastAsia"/>
          <w:kern w:val="0"/>
          <w:szCs w:val="21"/>
          <w:highlight w:val="none"/>
        </w:rPr>
        <w:t>当发生不可预见的疫情，如植物疫情等，由检验员和市质监、商检部门密切联系，公司各部门、人员积极配合，按照质监、检验检疫要求处理；当发生非典等类疫情，由</w:t>
      </w:r>
      <w:r>
        <w:rPr>
          <w:rFonts w:ascii="宋体" w:hAnsi="宋体" w:cs="宋体" w:hint="eastAsia"/>
          <w:kern w:val="0"/>
          <w:szCs w:val="21"/>
          <w:highlight w:val="none"/>
          <w:lang w:eastAsia="zh-CN"/>
        </w:rPr>
        <w:t>综合部</w:t>
      </w:r>
      <w:r>
        <w:rPr>
          <w:rFonts w:ascii="宋体" w:hAnsi="宋体" w:cs="宋体" w:hint="eastAsia"/>
          <w:kern w:val="0"/>
          <w:szCs w:val="21"/>
          <w:highlight w:val="none"/>
        </w:rPr>
        <w:t>按照食药部门的相关预案处理。所有的事件必须形成报告向公司的管理层汇报或输入管理评审会议。</w:t>
      </w:r>
    </w:p>
    <w:p w14:paraId="07FA0D72">
      <w:pPr>
        <w:autoSpaceDE w:val="0"/>
        <w:autoSpaceDN w:val="0"/>
        <w:adjustRightInd w:val="0"/>
        <w:spacing w:line="420" w:lineRule="exact"/>
        <w:ind w:left="794" w:hanging="315" w:leftChars="228" w:hangingChars="150"/>
        <w:jc w:val="left"/>
        <w:rPr>
          <w:rFonts w:ascii="宋体" w:hAnsi="宋体" w:cs="宋体"/>
          <w:kern w:val="0"/>
          <w:szCs w:val="21"/>
          <w:highlight w:val="none"/>
        </w:rPr>
      </w:pPr>
      <w:r>
        <w:rPr>
          <w:rFonts w:ascii="宋体" w:hAnsi="宋体" w:cs="宋体"/>
          <w:kern w:val="0"/>
          <w:szCs w:val="21"/>
          <w:highlight w:val="none"/>
        </w:rPr>
        <w:t xml:space="preserve">E. </w:t>
      </w:r>
      <w:r>
        <w:rPr>
          <w:rFonts w:ascii="宋体" w:hAnsi="宋体" w:cs="宋体" w:hint="eastAsia"/>
          <w:kern w:val="0"/>
          <w:szCs w:val="21"/>
          <w:highlight w:val="none"/>
        </w:rPr>
        <w:t>当发生停水、停电（预先有通知安排的除外）、持续的高温天气，各部门</w:t>
      </w:r>
      <w:r>
        <w:rPr>
          <w:rFonts w:ascii="宋体" w:hAnsi="宋体" w:cs="宋体"/>
          <w:kern w:val="0"/>
          <w:szCs w:val="21"/>
          <w:highlight w:val="none"/>
        </w:rPr>
        <w:t>/</w:t>
      </w:r>
      <w:r>
        <w:rPr>
          <w:rFonts w:ascii="宋体" w:hAnsi="宋体" w:cs="宋体" w:hint="eastAsia"/>
          <w:kern w:val="0"/>
          <w:szCs w:val="21"/>
          <w:highlight w:val="none"/>
        </w:rPr>
        <w:t>班组责任人应妥善做好相应的生产安全、原料和成品安全、人员安全等预防措施；</w:t>
      </w:r>
      <w:r>
        <w:rPr>
          <w:rFonts w:ascii="宋体" w:hAnsi="宋体" w:cs="宋体" w:hint="eastAsia"/>
          <w:kern w:val="0"/>
          <w:szCs w:val="21"/>
          <w:highlight w:val="none"/>
          <w:lang w:eastAsia="zh-CN"/>
        </w:rPr>
        <w:t>销售部</w:t>
      </w:r>
      <w:r>
        <w:rPr>
          <w:rFonts w:ascii="宋体" w:hAnsi="宋体" w:cs="宋体" w:hint="eastAsia"/>
          <w:kern w:val="0"/>
          <w:szCs w:val="21"/>
          <w:highlight w:val="none"/>
        </w:rPr>
        <w:t>负责对预防措施进行评估，并加强对原料、成品的安全性（如微生物等反应）进行评估和跟踪处理，相关的事件和处理必须向公司管理层报告或输入管理评审会议。</w:t>
      </w:r>
    </w:p>
    <w:p w14:paraId="1839BD2B">
      <w:pPr>
        <w:autoSpaceDE w:val="0"/>
        <w:autoSpaceDN w:val="0"/>
        <w:adjustRightInd w:val="0"/>
        <w:spacing w:line="420" w:lineRule="exact"/>
        <w:ind w:left="794" w:hanging="315" w:leftChars="228" w:hangingChars="150"/>
        <w:jc w:val="left"/>
        <w:rPr>
          <w:rFonts w:ascii="宋体" w:hAnsi="宋体" w:cs="宋体"/>
          <w:kern w:val="0"/>
          <w:sz w:val="24"/>
          <w:highlight w:val="none"/>
        </w:rPr>
      </w:pPr>
      <w:r>
        <w:rPr>
          <w:rFonts w:ascii="宋体" w:hAnsi="宋体" w:cs="宋体"/>
          <w:kern w:val="0"/>
          <w:szCs w:val="21"/>
          <w:highlight w:val="none"/>
        </w:rPr>
        <w:t xml:space="preserve">F </w:t>
      </w:r>
      <w:r>
        <w:rPr>
          <w:rFonts w:ascii="宋体" w:hAnsi="宋体" w:cs="宋体" w:hint="eastAsia"/>
          <w:kern w:val="0"/>
          <w:szCs w:val="21"/>
          <w:highlight w:val="none"/>
        </w:rPr>
        <w:t>其它目前未预测到的突发事件按照突发事件处理原则的要求处理。</w:t>
      </w:r>
    </w:p>
    <w:sectPr>
      <w:footerReference w:type="even" r:id="rId10"/>
      <w:footerReference w:type="default" r:id="rId11"/>
      <w:pgSz w:w="11906" w:h="16838"/>
      <w:pgMar w:top="1418" w:right="1418" w:bottom="1418" w:left="1418"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2AA897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46E6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EEBC55">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3</w:t>
    </w:r>
    <w:r>
      <w:fldChar w:fldCharType="end"/>
    </w:r>
  </w:p>
  <w:p w14:paraId="5A5A321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10F1BC"/>
    <w:multiLevelType w:val="singleLevel"/>
    <w:tmpl w:val="3110F1B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69"/>
    <w:rsid w:val="001D7969"/>
    <w:rsid w:val="003B6331"/>
    <w:rsid w:val="00773C79"/>
    <w:rsid w:val="009C2669"/>
    <w:rsid w:val="00B93785"/>
    <w:rsid w:val="00BE0C02"/>
    <w:rsid w:val="00EE6220"/>
    <w:rsid w:val="053A4078"/>
    <w:rsid w:val="0ABE4A14"/>
    <w:rsid w:val="16E35E53"/>
    <w:rsid w:val="1AF916A0"/>
    <w:rsid w:val="2079190C"/>
    <w:rsid w:val="2A921F48"/>
    <w:rsid w:val="34F211E2"/>
    <w:rsid w:val="37441A9D"/>
    <w:rsid w:val="43E753C3"/>
    <w:rsid w:val="50E63615"/>
    <w:rsid w:val="5533270B"/>
    <w:rsid w:val="634F1970"/>
    <w:rsid w:val="65BD19C4"/>
    <w:rsid w:val="70E5328D"/>
    <w:rsid w:val="7EFA14C8"/>
  </w:rsids>
  <w:docVars>
    <w:docVar w:name="commondata" w:val="eyJoZGlkIjoiMGMxY2QwOTRmMjIwOWQ5NmNhMDIyODAyM2IwOTMwN2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
    <w:name w:val="Body Text First Indent"/>
    <w:basedOn w:val="BodyText"/>
    <w:qFormat/>
    <w:pPr>
      <w:ind w:firstLine="420" w:firstLineChars="100"/>
    </w:pPr>
    <w:rPr>
      <w:rFonts w:ascii="宋体" w:hAnsi="宋体" w:hint="eastAsia"/>
    </w:rPr>
  </w:style>
  <w:style w:type="paragraph" w:styleId="BodyText">
    <w:name w:val="Body Text"/>
    <w:basedOn w:val="Normal"/>
    <w:autoRedefine/>
    <w:uiPriority w:val="99"/>
    <w:qFormat/>
    <w:pPr>
      <w:spacing w:after="120"/>
    </w:pPr>
  </w:style>
  <w:style w:type="paragraph" w:styleId="BalloonText">
    <w:name w:val="Balloon Text"/>
    <w:basedOn w:val="Normal"/>
    <w:link w:val="Char0"/>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Char"/>
    <w:autoRedefine/>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autoRedefine/>
    <w:qFormat/>
  </w:style>
  <w:style w:type="character" w:customStyle="1" w:styleId="Char">
    <w:name w:val="页眉 Char"/>
    <w:link w:val="Header"/>
    <w:autoRedefine/>
    <w:qFormat/>
    <w:rPr>
      <w:kern w:val="2"/>
      <w:sz w:val="18"/>
      <w:szCs w:val="18"/>
    </w:rPr>
  </w:style>
  <w:style w:type="character" w:customStyle="1" w:styleId="Char0">
    <w:name w:val="批注框文本 Char"/>
    <w:basedOn w:val="DefaultParagraphFont"/>
    <w:link w:val="BalloonText"/>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07/relationships/diagramDrawing" Target="diagrams/drawing1.xml" /><Relationship Id="rId5" Type="http://schemas.openxmlformats.org/officeDocument/2006/relationships/diagramData" Target="diagrams/data1.xml" /><Relationship Id="rId6" Type="http://schemas.openxmlformats.org/officeDocument/2006/relationships/diagramLayout" Target="diagrams/layout1.xml" /><Relationship Id="rId7" Type="http://schemas.openxmlformats.org/officeDocument/2006/relationships/diagramQuickStyle" Target="diagrams/quickStyle1.xml" /><Relationship Id="rId8" Type="http://schemas.openxmlformats.org/officeDocument/2006/relationships/diagramColors" Target="diagrams/colors1.xml" /><Relationship Id="rId9" Type="http://schemas.openxmlformats.org/officeDocument/2006/relationships/image" Target="media/image1.emf"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FDF1337-01F7-4DA2-92AC-A9BCAF00E1ED}"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2E999AA9-ADA5-4FAB-8083-128E1AB8C334}">
      <dgm:prSet phldrT="[文本]" custT="1"/>
      <dgm:spPr/>
      <dgm:t>
        <a:bodyPr/>
        <a:lstStyle/>
        <a:p>
          <a:r>
            <a:rPr lang="zh-CN" altLang="en-US" sz="1100"/>
            <a:t>总经理</a:t>
          </a:r>
        </a:p>
      </dgm:t>
    </dgm:pt>
    <dgm:pt modelId="{5CC8C9F6-4E04-43C5-B216-186B8B65B6A3}" type="parTrans" cxnId="{EEF958E4-6564-4B4B-8B1F-C0B747F3CD63}">
      <dgm:prSet/>
      <dgm:spPr/>
      <dgm:t>
        <a:bodyPr/>
        <a:lstStyle/>
        <a:p>
          <a:endParaRPr lang="zh-CN" altLang="en-US" sz="1000"/>
        </a:p>
      </dgm:t>
    </dgm:pt>
    <dgm:pt modelId="{C7931784-90F8-4B05-9930-C064E3AC6A87}" type="sibTrans" cxnId="{EEF958E4-6564-4B4B-8B1F-C0B747F3CD63}">
      <dgm:prSet/>
      <dgm:spPr/>
      <dgm:t>
        <a:bodyPr/>
        <a:lstStyle/>
        <a:p>
          <a:endParaRPr lang="zh-CN" altLang="en-US" sz="1000"/>
        </a:p>
      </dgm:t>
    </dgm:pt>
    <dgm:pt modelId="{9C738A8E-ACAC-43C0-8940-19586A188E8D}" type="asst">
      <dgm:prSet phldrT="[文本]" custT="1"/>
      <dgm:spPr/>
      <dgm:t>
        <a:bodyPr/>
        <a:lstStyle/>
        <a:p>
          <a:r>
            <a:rPr lang="zh-CN" altLang="en-US" sz="1100"/>
            <a:t>食安小组</a:t>
          </a:r>
        </a:p>
      </dgm:t>
    </dgm:pt>
    <dgm:pt modelId="{EA90AB9B-0EFB-4B1A-88E3-12014E7D35A3}" type="parTrans" cxnId="{5F04C21D-41E5-4D28-BDAC-1065AF11EF2D}">
      <dgm:prSet/>
      <dgm:spPr/>
      <dgm:t>
        <a:bodyPr/>
        <a:lstStyle/>
        <a:p>
          <a:endParaRPr lang="zh-CN" altLang="en-US" sz="1000"/>
        </a:p>
      </dgm:t>
    </dgm:pt>
    <dgm:pt modelId="{B9DA12E8-28B0-4469-B463-E0195F759676}" type="sibTrans" cxnId="{5F04C21D-41E5-4D28-BDAC-1065AF11EF2D}">
      <dgm:prSet/>
      <dgm:spPr/>
      <dgm:t>
        <a:bodyPr/>
        <a:lstStyle/>
        <a:p>
          <a:endParaRPr lang="zh-CN" altLang="en-US" sz="1000"/>
        </a:p>
      </dgm:t>
    </dgm:pt>
    <dgm:pt modelId="{AEC804A6-5C92-461D-8790-854836E0BA2E}">
      <dgm:prSet phldrT="[文本]" phldr="0" custT="1"/>
      <dgm:spPr/>
      <dgm:t>
        <a:bodyPr vert="horz" wrap="square"/>
        <a:lstStyle/>
        <a:p>
          <a:pPr>
            <a:lnSpc>
              <a:spcPct val="100000"/>
            </a:lnSpc>
            <a:spcBef>
              <a:spcPct val="0"/>
            </a:spcBef>
            <a:spcAft>
              <a:spcPct val="35000"/>
            </a:spcAft>
          </a:pPr>
          <a:r>
            <a:rPr lang="zh-CN" altLang="en-US" sz="1100"/>
            <a:t>综合部</a:t>
          </a:r>
          <a:r>
            <a:rPr sz="6500"/>
            <a:t/>
          </a:r>
          <a:endParaRPr sz="6500"/>
        </a:p>
      </dgm:t>
    </dgm:pt>
    <dgm:pt modelId="{5EB76ACB-ED6D-4E45-B8F4-D7BBFA09B8A3}" type="parTrans" cxnId="{99B21617-146A-4B75-AA16-1CE71579191E}">
      <dgm:prSet/>
      <dgm:spPr/>
      <dgm:t>
        <a:bodyPr/>
        <a:lstStyle/>
        <a:p>
          <a:endParaRPr lang="zh-CN" altLang="en-US" sz="1000"/>
        </a:p>
      </dgm:t>
    </dgm:pt>
    <dgm:pt modelId="{99578932-95C1-4C62-8FAC-EB363A5B96D9}" type="sibTrans" cxnId="{99B21617-146A-4B75-AA16-1CE71579191E}">
      <dgm:prSet/>
      <dgm:spPr/>
      <dgm:t>
        <a:bodyPr/>
        <a:lstStyle/>
        <a:p>
          <a:endParaRPr lang="zh-CN" altLang="en-US" sz="1000"/>
        </a:p>
      </dgm:t>
    </dgm:pt>
    <dgm:pt modelId="{6E0DD3BD-1C3B-4711-A169-85575F33E2EE}">
      <dgm:prSet phldrT="[文本]" phldr="0" custT="1"/>
      <dgm:spPr/>
      <dgm:t>
        <a:bodyPr vert="horz" wrap="square"/>
        <a:lstStyle/>
        <a:p>
          <a:pPr>
            <a:lnSpc>
              <a:spcPct val="100000"/>
            </a:lnSpc>
            <a:spcBef>
              <a:spcPct val="0"/>
            </a:spcBef>
            <a:spcAft>
              <a:spcPct val="35000"/>
            </a:spcAft>
          </a:pPr>
          <a:r>
            <a:rPr lang="zh-CN" altLang="en-US" sz="1100"/>
            <a:t>销售</a:t>
          </a:r>
          <a:r>
            <a:rPr lang="zh-CN" altLang="en-US" sz="1100"/>
            <a:t>部</a:t>
          </a:r>
          <a:r>
            <a:rPr sz="6500"/>
            <a:t/>
          </a:r>
          <a:endParaRPr sz="6500"/>
        </a:p>
      </dgm:t>
    </dgm:pt>
    <dgm:pt modelId="{3B21B4B9-4144-4B99-B409-B80571047B5B}" type="parTrans" cxnId="{9557B8D4-D532-46B8-A5D2-BA0F339988AA}">
      <dgm:prSet/>
      <dgm:spPr/>
      <dgm:t>
        <a:bodyPr/>
        <a:lstStyle/>
        <a:p>
          <a:endParaRPr lang="zh-CN" altLang="en-US" sz="1000"/>
        </a:p>
      </dgm:t>
    </dgm:pt>
    <dgm:pt modelId="{AC659424-0E00-467E-B928-04D101F1D65B}" type="sibTrans" cxnId="{9557B8D4-D532-46B8-A5D2-BA0F339988AA}">
      <dgm:prSet/>
      <dgm:spPr/>
      <dgm:t>
        <a:bodyPr/>
        <a:lstStyle/>
        <a:p>
          <a:endParaRPr lang="zh-CN" altLang="en-US" sz="1000"/>
        </a:p>
      </dgm:t>
    </dgm:pt>
    <dgm:pt modelId="{55BBB558-F0A9-4C11-B7E3-BD29BE7978C2}" type="pres">
      <dgm:prSet presAssocID="{2FDF1337-01F7-4DA2-92AC-A9BCAF00E1ED}" presName="hierChild1" presStyleCnt="0">
        <dgm:presLayoutVars>
          <dgm:orgChart val="1"/>
          <dgm:chPref val="1"/>
          <dgm:dir val="norm"/>
          <dgm:animOne val="branch"/>
          <dgm:animLvl val="lvl"/>
          <dgm:resizeHandles val="rel"/>
        </dgm:presLayoutVars>
      </dgm:prSet>
      <dgm:spPr/>
      <dgm:t>
        <a:bodyPr/>
        <a:lstStyle/>
        <a:p>
          <a:endParaRPr lang="zh-CN" altLang="en-US"/>
        </a:p>
      </dgm:t>
    </dgm:pt>
    <dgm:pt modelId="{AD503D59-DF62-4CD3-8665-13C95D2D2000}" type="pres">
      <dgm:prSet presAssocID="{2E999AA9-ADA5-4FAB-8083-128E1AB8C334}" presName="hierRoot1" presStyleCnt="0">
        <dgm:presLayoutVars>
          <dgm:hierBranch val="init"/>
        </dgm:presLayoutVars>
      </dgm:prSet>
      <dgm:spPr/>
    </dgm:pt>
    <dgm:pt modelId="{1AD32AA1-1FE3-4250-8E8C-3740E11C872D}" type="pres">
      <dgm:prSet presAssocID="{2E999AA9-ADA5-4FAB-8083-128E1AB8C334}" presName="rootComposite1" presStyleCnt="0"/>
      <dgm:spPr/>
    </dgm:pt>
    <dgm:pt modelId="{0931ED49-FC18-4D15-B204-14134F10B400}" type="pres">
      <dgm:prSet presAssocID="{2E999AA9-ADA5-4FAB-8083-128E1AB8C334}" presName="rootText1" presStyleLbl="node0" presStyleIdx="0" presStyleCnt="1">
        <dgm:presLayoutVars>
          <dgm:chPref val="3"/>
        </dgm:presLayoutVars>
      </dgm:prSet>
      <dgm:spPr/>
      <dgm:t>
        <a:bodyPr/>
        <a:lstStyle/>
        <a:p>
          <a:endParaRPr lang="zh-CN" altLang="en-US"/>
        </a:p>
      </dgm:t>
    </dgm:pt>
    <dgm:pt modelId="{0812E6D2-85F4-4214-9508-65AA64B41D48}" type="pres">
      <dgm:prSet presAssocID="{2E999AA9-ADA5-4FAB-8083-128E1AB8C334}" presName="rootConnector1" presStyleCnt="0"/>
      <dgm:spPr/>
      <dgm:t>
        <a:bodyPr/>
        <a:lstStyle/>
        <a:p>
          <a:endParaRPr lang="zh-CN" altLang="en-US"/>
        </a:p>
      </dgm:t>
    </dgm:pt>
    <dgm:pt modelId="{148FE6CA-E1FC-4304-B2F6-42A43C17CBFE}" type="pres">
      <dgm:prSet presAssocID="{2E999AA9-ADA5-4FAB-8083-128E1AB8C334}" presName="hierChild2" presStyleCnt="0"/>
      <dgm:spPr/>
    </dgm:pt>
    <dgm:pt modelId="{10412D81-5D48-42AF-8F8F-18C09991D526}" type="pres">
      <dgm:prSet presAssocID="{5EB76ACB-ED6D-4E45-B8F4-D7BBFA09B8A3}" presName="Name37" presStyleLbl="parChTrans1D2" presStyleIdx="0" presStyleCnt="3"/>
      <dgm:spPr/>
      <dgm:t>
        <a:bodyPr/>
        <a:lstStyle/>
        <a:p>
          <a:endParaRPr lang="zh-CN" altLang="en-US"/>
        </a:p>
      </dgm:t>
    </dgm:pt>
    <dgm:pt modelId="{90D4C615-65C3-4DA5-9FE7-3EC2D0C5730F}" type="pres">
      <dgm:prSet presAssocID="{AEC804A6-5C92-461D-8790-854836E0BA2E}" presName="hierRoot2" presStyleCnt="0">
        <dgm:presLayoutVars>
          <dgm:hierBranch val="std"/>
        </dgm:presLayoutVars>
      </dgm:prSet>
      <dgm:spPr/>
    </dgm:pt>
    <dgm:pt modelId="{6E31CDE3-CB9D-4EB8-A97C-7342DFB65B93}" type="pres">
      <dgm:prSet presAssocID="{AEC804A6-5C92-461D-8790-854836E0BA2E}" presName="rootComposite" presStyleCnt="0"/>
      <dgm:spPr/>
    </dgm:pt>
    <dgm:pt modelId="{DD31C1A0-1801-4F7F-8D2E-31B3435FE7D7}" type="pres">
      <dgm:prSet presAssocID="{AEC804A6-5C92-461D-8790-854836E0BA2E}" presName="rootText" presStyleLbl="node2" presStyleIdx="0" presStyleCnt="2">
        <dgm:presLayoutVars>
          <dgm:chPref val="3"/>
        </dgm:presLayoutVars>
      </dgm:prSet>
      <dgm:spPr/>
      <dgm:t>
        <a:bodyPr/>
        <a:lstStyle/>
        <a:p>
          <a:endParaRPr lang="zh-CN" altLang="en-US"/>
        </a:p>
      </dgm:t>
    </dgm:pt>
    <dgm:pt modelId="{ABF29367-C55E-4EE3-98DD-B75491C4F55E}" type="pres">
      <dgm:prSet presAssocID="{AEC804A6-5C92-461D-8790-854836E0BA2E}" presName="rootConnector" presStyleCnt="0"/>
      <dgm:spPr/>
      <dgm:t>
        <a:bodyPr/>
        <a:lstStyle/>
        <a:p>
          <a:endParaRPr lang="zh-CN" altLang="en-US"/>
        </a:p>
      </dgm:t>
    </dgm:pt>
    <dgm:pt modelId="{D584861A-CA3A-4382-954F-204B008AE523}" type="pres">
      <dgm:prSet presAssocID="{AEC804A6-5C92-461D-8790-854836E0BA2E}" presName="hierChild4" presStyleCnt="0"/>
      <dgm:spPr/>
    </dgm:pt>
    <dgm:pt modelId="{28CA7957-9657-4D82-A7DB-3504F061FBBC}" type="pres">
      <dgm:prSet presAssocID="{AEC804A6-5C92-461D-8790-854836E0BA2E}" presName="hierChild5" presStyleCnt="0"/>
      <dgm:spPr/>
    </dgm:pt>
    <dgm:pt modelId="{55ADC6AD-A629-4AF8-B6BE-44138A14E066}" type="pres">
      <dgm:prSet presAssocID="{3B21B4B9-4144-4B99-B409-B80571047B5B}" presName="Name37" presStyleLbl="parChTrans1D2" presStyleIdx="1" presStyleCnt="3"/>
      <dgm:spPr/>
      <dgm:t>
        <a:bodyPr/>
        <a:lstStyle/>
        <a:p>
          <a:endParaRPr lang="zh-CN" altLang="en-US"/>
        </a:p>
      </dgm:t>
    </dgm:pt>
    <dgm:pt modelId="{BC8A4C60-5525-43E5-966E-DDF333FE9EB8}" type="pres">
      <dgm:prSet presAssocID="{6E0DD3BD-1C3B-4711-A169-85575F33E2EE}" presName="hierRoot2" presStyleCnt="0">
        <dgm:presLayoutVars>
          <dgm:hierBranch val="std"/>
        </dgm:presLayoutVars>
      </dgm:prSet>
      <dgm:spPr/>
    </dgm:pt>
    <dgm:pt modelId="{18802934-351B-4A28-A344-2BF36B4A8F8A}" type="pres">
      <dgm:prSet presAssocID="{6E0DD3BD-1C3B-4711-A169-85575F33E2EE}" presName="rootComposite" presStyleCnt="0"/>
      <dgm:spPr/>
    </dgm:pt>
    <dgm:pt modelId="{66AE70E5-73D2-4399-9798-845F587934E1}" type="pres">
      <dgm:prSet presAssocID="{6E0DD3BD-1C3B-4711-A169-85575F33E2EE}" presName="rootText" presStyleLbl="node2" presStyleIdx="1" presStyleCnt="2">
        <dgm:presLayoutVars>
          <dgm:chPref val="3"/>
        </dgm:presLayoutVars>
      </dgm:prSet>
      <dgm:spPr/>
      <dgm:t>
        <a:bodyPr/>
        <a:lstStyle/>
        <a:p>
          <a:endParaRPr lang="zh-CN" altLang="en-US"/>
        </a:p>
      </dgm:t>
    </dgm:pt>
    <dgm:pt modelId="{CEC5F2A3-64D9-4E26-859F-428123F9A7CA}" type="pres">
      <dgm:prSet presAssocID="{6E0DD3BD-1C3B-4711-A169-85575F33E2EE}" presName="rootConnector" presStyleCnt="0"/>
      <dgm:spPr/>
      <dgm:t>
        <a:bodyPr/>
        <a:lstStyle/>
        <a:p>
          <a:endParaRPr lang="zh-CN" altLang="en-US"/>
        </a:p>
      </dgm:t>
    </dgm:pt>
    <dgm:pt modelId="{C2A784DE-7CAD-4A32-8621-EF5D5E66ECAA}" type="pres">
      <dgm:prSet presAssocID="{6E0DD3BD-1C3B-4711-A169-85575F33E2EE}" presName="hierChild4" presStyleCnt="0"/>
      <dgm:spPr/>
    </dgm:pt>
    <dgm:pt modelId="{74A52383-427D-4553-893A-FD8E6FDF842E}" type="pres">
      <dgm:prSet presAssocID="{6E0DD3BD-1C3B-4711-A169-85575F33E2EE}" presName="hierChild5" presStyleCnt="0"/>
      <dgm:spPr/>
    </dgm:pt>
    <dgm:pt modelId="{60CF4D90-51F1-4AFD-9064-52D33075D9CA}" type="pres">
      <dgm:prSet presAssocID="{2E999AA9-ADA5-4FAB-8083-128E1AB8C334}" presName="hierChild3" presStyleCnt="0"/>
      <dgm:spPr/>
    </dgm:pt>
    <dgm:pt modelId="{4EFAA151-9D26-4C9B-B050-C4E6007D91ED}" type="pres">
      <dgm:prSet presAssocID="{EA90AB9B-0EFB-4B1A-88E3-12014E7D35A3}" presName="Name111" presStyleLbl="parChTrans1D2" presStyleIdx="2" presStyleCnt="3"/>
      <dgm:spPr/>
      <dgm:t>
        <a:bodyPr/>
        <a:lstStyle/>
        <a:p>
          <a:endParaRPr lang="zh-CN" altLang="en-US"/>
        </a:p>
      </dgm:t>
    </dgm:pt>
    <dgm:pt modelId="{7E1C7B5E-CD63-4BA1-94A5-4A8B5307C103}" type="pres">
      <dgm:prSet presAssocID="{9C738A8E-ACAC-43C0-8940-19586A188E8D}" presName="hierRoot3" presStyleCnt="0">
        <dgm:presLayoutVars>
          <dgm:hierBranch val="init"/>
        </dgm:presLayoutVars>
      </dgm:prSet>
      <dgm:spPr/>
    </dgm:pt>
    <dgm:pt modelId="{5753EDB6-B747-46ED-BA2F-CA21F371595F}" type="pres">
      <dgm:prSet presAssocID="{9C738A8E-ACAC-43C0-8940-19586A188E8D}" presName="rootComposite3" presStyleCnt="0"/>
      <dgm:spPr/>
    </dgm:pt>
    <dgm:pt modelId="{6FA526E5-A9F6-4BBC-A74E-D64D9364CEDC}" type="pres">
      <dgm:prSet presAssocID="{9C738A8E-ACAC-43C0-8940-19586A188E8D}" presName="rootText3" presStyleLbl="asst1" presStyleIdx="0" presStyleCnt="1">
        <dgm:presLayoutVars>
          <dgm:chPref val="3"/>
        </dgm:presLayoutVars>
      </dgm:prSet>
      <dgm:spPr/>
      <dgm:t>
        <a:bodyPr/>
        <a:lstStyle/>
        <a:p>
          <a:endParaRPr lang="zh-CN" altLang="en-US"/>
        </a:p>
      </dgm:t>
    </dgm:pt>
    <dgm:pt modelId="{43201F80-68A0-44E0-801E-3687618E9CA7}" type="pres">
      <dgm:prSet presAssocID="{9C738A8E-ACAC-43C0-8940-19586A188E8D}" presName="rootConnector3" presStyleCnt="0"/>
      <dgm:spPr/>
      <dgm:t>
        <a:bodyPr/>
        <a:lstStyle/>
        <a:p>
          <a:endParaRPr lang="zh-CN" altLang="en-US"/>
        </a:p>
      </dgm:t>
    </dgm:pt>
    <dgm:pt modelId="{E8E7E65E-D02B-40F5-9994-CB8B059B43A6}" type="pres">
      <dgm:prSet presAssocID="{9C738A8E-ACAC-43C0-8940-19586A188E8D}" presName="hierChild6" presStyleCnt="0"/>
      <dgm:spPr/>
    </dgm:pt>
    <dgm:pt modelId="{83E88F7C-EE5A-49DD-A284-F42844EDD556}" type="pres">
      <dgm:prSet presAssocID="{9C738A8E-ACAC-43C0-8940-19586A188E8D}" presName="hierChild7" presStyleCnt="0"/>
      <dgm:spPr/>
    </dgm:pt>
  </dgm:ptLst>
  <dgm:cxnLst>
    <dgm:cxn modelId="{EEF958E4-6564-4B4B-8B1F-C0B747F3CD63}" srcId="{2FDF1337-01F7-4DA2-92AC-A9BCAF00E1ED}" destId="{2E999AA9-ADA5-4FAB-8083-128E1AB8C334}" srcOrd="0" destOrd="0" parTransId="{5CC8C9F6-4E04-43C5-B216-186B8B65B6A3}" sibTransId="{C7931784-90F8-4B05-9930-C064E3AC6A87}"/>
    <dgm:cxn modelId="{5F04C21D-41E5-4D28-BDAC-1065AF11EF2D}" srcId="{2E999AA9-ADA5-4FAB-8083-128E1AB8C334}" destId="{9C738A8E-ACAC-43C0-8940-19586A188E8D}" srcOrd="0" destOrd="0" parTransId="{EA90AB9B-0EFB-4B1A-88E3-12014E7D35A3}" sibTransId="{B9DA12E8-28B0-4469-B463-E0195F759676}"/>
    <dgm:cxn modelId="{99B21617-146A-4B75-AA16-1CE71579191E}" srcId="{2E999AA9-ADA5-4FAB-8083-128E1AB8C334}" destId="{AEC804A6-5C92-461D-8790-854836E0BA2E}" srcOrd="1" destOrd="0" parTransId="{5EB76ACB-ED6D-4E45-B8F4-D7BBFA09B8A3}" sibTransId="{99578932-95C1-4C62-8FAC-EB363A5B96D9}"/>
    <dgm:cxn modelId="{9557B8D4-D532-46B8-A5D2-BA0F339988AA}" srcId="{2E999AA9-ADA5-4FAB-8083-128E1AB8C334}" destId="{6E0DD3BD-1C3B-4711-A169-85575F33E2EE}" srcOrd="2" destOrd="0" parTransId="{3B21B4B9-4144-4B99-B409-B80571047B5B}" sibTransId="{AC659424-0E00-467E-B928-04D101F1D65B}"/>
    <dgm:cxn modelId="{2A411956-D188-4CF6-8FD1-E8EE8DB6DB75}" type="presOf" srcId="{2FDF1337-01F7-4DA2-92AC-A9BCAF00E1ED}" destId="{55BBB558-F0A9-4C11-B7E3-BD29BE7978C2}" srcOrd="0" destOrd="0" presId="urn:microsoft.com/office/officeart/2005/8/layout/orgChart1#1"/>
    <dgm:cxn modelId="{9DD833FD-F3F4-4773-B7F0-B886F1DF1437}" type="presParOf" srcId="{55BBB558-F0A9-4C11-B7E3-BD29BE7978C2}" destId="{AD503D59-DF62-4CD3-8665-13C95D2D2000}" srcOrd="0" destOrd="0" presId="urn:microsoft.com/office/officeart/2005/8/layout/orgChart1#1"/>
    <dgm:cxn modelId="{EE1795EF-D91A-45A1-94A6-87DA52A5A556}" type="presParOf" srcId="{AD503D59-DF62-4CD3-8665-13C95D2D2000}" destId="{1AD32AA1-1FE3-4250-8E8C-3740E11C872D}" srcOrd="0" destOrd="0" presId="urn:microsoft.com/office/officeart/2005/8/layout/orgChart1#1"/>
    <dgm:cxn modelId="{18E3D7DB-4FB9-4ECB-B2E1-A7570EAAC0D7}" type="presOf" srcId="{2E999AA9-ADA5-4FAB-8083-128E1AB8C334}" destId="{1AD32AA1-1FE3-4250-8E8C-3740E11C872D}" srcOrd="0" destOrd="0" presId="urn:microsoft.com/office/officeart/2005/8/layout/orgChart1#1"/>
    <dgm:cxn modelId="{1EACFDF5-C86C-4982-AB2E-AF434F1D40BE}" type="presParOf" srcId="{1AD32AA1-1FE3-4250-8E8C-3740E11C872D}" destId="{0931ED49-FC18-4D15-B204-14134F10B400}" srcOrd="0" destOrd="0" presId="urn:microsoft.com/office/officeart/2005/8/layout/orgChart1#1"/>
    <dgm:cxn modelId="{D21F648E-C941-4BCF-938F-B91C0399CBD2}" type="presOf" srcId="{2E999AA9-ADA5-4FAB-8083-128E1AB8C334}" destId="{0931ED49-FC18-4D15-B204-14134F10B400}" srcOrd="0" destOrd="0" presId="urn:microsoft.com/office/officeart/2005/8/layout/orgChart1#1"/>
    <dgm:cxn modelId="{A862535E-81CE-44DF-9DE9-B51B2D64D729}" type="presParOf" srcId="{1AD32AA1-1FE3-4250-8E8C-3740E11C872D}" destId="{0812E6D2-85F4-4214-9508-65AA64B41D48}" srcOrd="1" destOrd="0" presId="urn:microsoft.com/office/officeart/2005/8/layout/orgChart1#1"/>
    <dgm:cxn modelId="{4906DD0D-9F30-46C5-B105-B791D24B3743}" type="presOf" srcId="{2E999AA9-ADA5-4FAB-8083-128E1AB8C334}" destId="{0812E6D2-85F4-4214-9508-65AA64B41D48}" srcOrd="0" destOrd="0" presId="urn:microsoft.com/office/officeart/2005/8/layout/orgChart1#1"/>
    <dgm:cxn modelId="{9CA09A8A-0005-43E7-AC1F-8845454CD764}" type="presParOf" srcId="{AD503D59-DF62-4CD3-8665-13C95D2D2000}" destId="{148FE6CA-E1FC-4304-B2F6-42A43C17CBFE}" srcOrd="1" destOrd="0" presId="urn:microsoft.com/office/officeart/2005/8/layout/orgChart1#1"/>
    <dgm:cxn modelId="{AE38DD17-050D-40AA-948E-45510A8EF39B}" type="presParOf" srcId="{148FE6CA-E1FC-4304-B2F6-42A43C17CBFE}" destId="{10412D81-5D48-42AF-8F8F-18C09991D526}" srcOrd="0" destOrd="1" presId="urn:microsoft.com/office/officeart/2005/8/layout/orgChart1#1"/>
    <dgm:cxn modelId="{7C799FD3-D34F-4F4A-B3F6-751970C26E4F}" type="presOf" srcId="{5EB76ACB-ED6D-4E45-B8F4-D7BBFA09B8A3}" destId="{10412D81-5D48-42AF-8F8F-18C09991D526}" srcOrd="0" destOrd="0" presId="urn:microsoft.com/office/officeart/2005/8/layout/orgChart1#1"/>
    <dgm:cxn modelId="{3A8E8868-D941-46E2-8310-FF9B1739FCCE}" type="presParOf" srcId="{148FE6CA-E1FC-4304-B2F6-42A43C17CBFE}" destId="{90D4C615-65C3-4DA5-9FE7-3EC2D0C5730F}" srcOrd="1" destOrd="1" presId="urn:microsoft.com/office/officeart/2005/8/layout/orgChart1#1"/>
    <dgm:cxn modelId="{7DED9FC4-9B82-4C37-8975-78328553FDAD}" type="presParOf" srcId="{90D4C615-65C3-4DA5-9FE7-3EC2D0C5730F}" destId="{6E31CDE3-CB9D-4EB8-A97C-7342DFB65B93}" srcOrd="0" destOrd="1" presId="urn:microsoft.com/office/officeart/2005/8/layout/orgChart1#1"/>
    <dgm:cxn modelId="{86BF00D9-14C6-4799-9FC7-33C15F1B2016}" type="presOf" srcId="{AEC804A6-5C92-461D-8790-854836E0BA2E}" destId="{6E31CDE3-CB9D-4EB8-A97C-7342DFB65B93}" srcOrd="0" destOrd="0" presId="urn:microsoft.com/office/officeart/2005/8/layout/orgChart1#1"/>
    <dgm:cxn modelId="{A935846B-A064-454E-89B9-591540BB0F62}" type="presParOf" srcId="{6E31CDE3-CB9D-4EB8-A97C-7342DFB65B93}" destId="{DD31C1A0-1801-4F7F-8D2E-31B3435FE7D7}" srcOrd="0" destOrd="0" presId="urn:microsoft.com/office/officeart/2005/8/layout/orgChart1#1"/>
    <dgm:cxn modelId="{2A6BD2EE-6934-454A-A183-13BCC5A3EBA3}" type="presOf" srcId="{AEC804A6-5C92-461D-8790-854836E0BA2E}" destId="{DD31C1A0-1801-4F7F-8D2E-31B3435FE7D7}" srcOrd="0" destOrd="0" presId="urn:microsoft.com/office/officeart/2005/8/layout/orgChart1#1"/>
    <dgm:cxn modelId="{1BE55B9B-B517-4EB6-A898-F67778DDB5F9}" type="presParOf" srcId="{6E31CDE3-CB9D-4EB8-A97C-7342DFB65B93}" destId="{ABF29367-C55E-4EE3-98DD-B75491C4F55E}" srcOrd="1" destOrd="0" presId="urn:microsoft.com/office/officeart/2005/8/layout/orgChart1#1"/>
    <dgm:cxn modelId="{8968EF90-4037-42F5-9EB4-1A250A15057B}" type="presOf" srcId="{AEC804A6-5C92-461D-8790-854836E0BA2E}" destId="{ABF29367-C55E-4EE3-98DD-B75491C4F55E}" srcOrd="0" destOrd="0" presId="urn:microsoft.com/office/officeart/2005/8/layout/orgChart1#1"/>
    <dgm:cxn modelId="{31C09369-BF28-4277-B9C6-CEB5605BB92A}" type="presParOf" srcId="{90D4C615-65C3-4DA5-9FE7-3EC2D0C5730F}" destId="{D584861A-CA3A-4382-954F-204B008AE523}" srcOrd="1" destOrd="1" presId="urn:microsoft.com/office/officeart/2005/8/layout/orgChart1#1"/>
    <dgm:cxn modelId="{A47E8277-3679-4820-9319-8E925AF2BFB2}" type="presParOf" srcId="{90D4C615-65C3-4DA5-9FE7-3EC2D0C5730F}" destId="{28CA7957-9657-4D82-A7DB-3504F061FBBC}" srcOrd="2" destOrd="1" presId="urn:microsoft.com/office/officeart/2005/8/layout/orgChart1#1"/>
    <dgm:cxn modelId="{C5F135CD-6310-4E5C-9E83-3658711D640F}" type="presParOf" srcId="{148FE6CA-E1FC-4304-B2F6-42A43C17CBFE}" destId="{55ADC6AD-A629-4AF8-B6BE-44138A14E066}" srcOrd="2" destOrd="1" presId="urn:microsoft.com/office/officeart/2005/8/layout/orgChart1#1"/>
    <dgm:cxn modelId="{C025927D-05F1-4735-B499-4325AB9DA067}" type="presOf" srcId="{3B21B4B9-4144-4B99-B409-B80571047B5B}" destId="{55ADC6AD-A629-4AF8-B6BE-44138A14E066}" srcOrd="0" destOrd="0" presId="urn:microsoft.com/office/officeart/2005/8/layout/orgChart1#1"/>
    <dgm:cxn modelId="{A2AF861A-B20A-4DC3-8950-5A02D0BA3170}" type="presParOf" srcId="{148FE6CA-E1FC-4304-B2F6-42A43C17CBFE}" destId="{BC8A4C60-5525-43E5-966E-DDF333FE9EB8}" srcOrd="3" destOrd="1" presId="urn:microsoft.com/office/officeart/2005/8/layout/orgChart1#1"/>
    <dgm:cxn modelId="{AB05A31B-FAE3-4689-8E87-16ADDED500E9}" type="presParOf" srcId="{BC8A4C60-5525-43E5-966E-DDF333FE9EB8}" destId="{18802934-351B-4A28-A344-2BF36B4A8F8A}" srcOrd="0" destOrd="3" presId="urn:microsoft.com/office/officeart/2005/8/layout/orgChart1#1"/>
    <dgm:cxn modelId="{2172F72A-1304-4B4A-A744-7C4E48283CC2}" type="presOf" srcId="{6E0DD3BD-1C3B-4711-A169-85575F33E2EE}" destId="{18802934-351B-4A28-A344-2BF36B4A8F8A}" srcOrd="0" destOrd="0" presId="urn:microsoft.com/office/officeart/2005/8/layout/orgChart1#1"/>
    <dgm:cxn modelId="{94833879-9DBA-4B4B-84BB-431418716D53}" type="presParOf" srcId="{18802934-351B-4A28-A344-2BF36B4A8F8A}" destId="{66AE70E5-73D2-4399-9798-845F587934E1}" srcOrd="0" destOrd="0" presId="urn:microsoft.com/office/officeart/2005/8/layout/orgChart1#1"/>
    <dgm:cxn modelId="{26942078-C442-425A-B718-20AFA1E2ED57}" type="presOf" srcId="{6E0DD3BD-1C3B-4711-A169-85575F33E2EE}" destId="{66AE70E5-73D2-4399-9798-845F587934E1}" srcOrd="0" destOrd="0" presId="urn:microsoft.com/office/officeart/2005/8/layout/orgChart1#1"/>
    <dgm:cxn modelId="{D2CACDE5-EAA7-4C02-BF09-6E46E305C432}" type="presParOf" srcId="{18802934-351B-4A28-A344-2BF36B4A8F8A}" destId="{CEC5F2A3-64D9-4E26-859F-428123F9A7CA}" srcOrd="1" destOrd="0" presId="urn:microsoft.com/office/officeart/2005/8/layout/orgChart1#1"/>
    <dgm:cxn modelId="{E2BC96E1-03AB-477A-93D7-6E148ABE1328}" type="presOf" srcId="{6E0DD3BD-1C3B-4711-A169-85575F33E2EE}" destId="{CEC5F2A3-64D9-4E26-859F-428123F9A7CA}" srcOrd="0" destOrd="0" presId="urn:microsoft.com/office/officeart/2005/8/layout/orgChart1#1"/>
    <dgm:cxn modelId="{BD86E368-52CB-4D3D-B520-3D2CCED5309F}" type="presParOf" srcId="{BC8A4C60-5525-43E5-966E-DDF333FE9EB8}" destId="{C2A784DE-7CAD-4A32-8621-EF5D5E66ECAA}" srcOrd="1" destOrd="3" presId="urn:microsoft.com/office/officeart/2005/8/layout/orgChart1#1"/>
    <dgm:cxn modelId="{1D509371-7EAF-4276-B1B8-9506AFE552B1}" type="presParOf" srcId="{BC8A4C60-5525-43E5-966E-DDF333FE9EB8}" destId="{74A52383-427D-4553-893A-FD8E6FDF842E}" srcOrd="2" destOrd="3" presId="urn:microsoft.com/office/officeart/2005/8/layout/orgChart1#1"/>
    <dgm:cxn modelId="{B246C884-B365-41DF-8C56-6952EF807181}" type="presParOf" srcId="{AD503D59-DF62-4CD3-8665-13C95D2D2000}" destId="{60CF4D90-51F1-4AFD-9064-52D33075D9CA}" srcOrd="2" destOrd="0" presId="urn:microsoft.com/office/officeart/2005/8/layout/orgChart1#1"/>
    <dgm:cxn modelId="{71DB78B2-EB4B-40CA-AC27-0CE07AED3ACA}" type="presParOf" srcId="{60CF4D90-51F1-4AFD-9064-52D33075D9CA}" destId="{4EFAA151-9D26-4C9B-B050-C4E6007D91ED}" srcOrd="0" destOrd="2" presId="urn:microsoft.com/office/officeart/2005/8/layout/orgChart1#1"/>
    <dgm:cxn modelId="{3C22600C-ED16-4FB6-8B6E-66AFB32CF562}" type="presOf" srcId="{EA90AB9B-0EFB-4B1A-88E3-12014E7D35A3}" destId="{4EFAA151-9D26-4C9B-B050-C4E6007D91ED}" srcOrd="0" destOrd="0" presId="urn:microsoft.com/office/officeart/2005/8/layout/orgChart1#1"/>
    <dgm:cxn modelId="{5446D615-8DBA-448F-918E-1AAFDF6BBC75}" type="presParOf" srcId="{60CF4D90-51F1-4AFD-9064-52D33075D9CA}" destId="{7E1C7B5E-CD63-4BA1-94A5-4A8B5307C103}" srcOrd="1" destOrd="2" presId="urn:microsoft.com/office/officeart/2005/8/layout/orgChart1#1"/>
    <dgm:cxn modelId="{EBFCF8B6-F53C-45AF-B401-FAD082D00904}" type="presParOf" srcId="{7E1C7B5E-CD63-4BA1-94A5-4A8B5307C103}" destId="{5753EDB6-B747-46ED-BA2F-CA21F371595F}" srcOrd="0" destOrd="1" presId="urn:microsoft.com/office/officeart/2005/8/layout/orgChart1#1"/>
    <dgm:cxn modelId="{F70D5673-485F-4EC6-B226-A5CDD87E20FD}" type="presOf" srcId="{9C738A8E-ACAC-43C0-8940-19586A188E8D}" destId="{5753EDB6-B747-46ED-BA2F-CA21F371595F}" srcOrd="0" destOrd="0" presId="urn:microsoft.com/office/officeart/2005/8/layout/orgChart1#1"/>
    <dgm:cxn modelId="{12EF4137-BBE9-4198-AD80-77CEB51E7401}" type="presParOf" srcId="{5753EDB6-B747-46ED-BA2F-CA21F371595F}" destId="{6FA526E5-A9F6-4BBC-A74E-D64D9364CEDC}" srcOrd="0" destOrd="0" presId="urn:microsoft.com/office/officeart/2005/8/layout/orgChart1#1"/>
    <dgm:cxn modelId="{75B69902-6F28-40FE-91FD-DE0DD43F6D6B}" type="presOf" srcId="{9C738A8E-ACAC-43C0-8940-19586A188E8D}" destId="{6FA526E5-A9F6-4BBC-A74E-D64D9364CEDC}" srcOrd="0" destOrd="0" presId="urn:microsoft.com/office/officeart/2005/8/layout/orgChart1#1"/>
    <dgm:cxn modelId="{AD2F4880-A7A6-47F8-9596-A81FDB36B995}" type="presParOf" srcId="{5753EDB6-B747-46ED-BA2F-CA21F371595F}" destId="{43201F80-68A0-44E0-801E-3687618E9CA7}" srcOrd="1" destOrd="0" presId="urn:microsoft.com/office/officeart/2005/8/layout/orgChart1#1"/>
    <dgm:cxn modelId="{2F4D5AF2-6527-494B-B0DD-763CF35CCED9}" type="presOf" srcId="{9C738A8E-ACAC-43C0-8940-19586A188E8D}" destId="{43201F80-68A0-44E0-801E-3687618E9CA7}" srcOrd="0" destOrd="0" presId="urn:microsoft.com/office/officeart/2005/8/layout/orgChart1#1"/>
    <dgm:cxn modelId="{07DA64CE-F71E-4CAE-9419-C9534462FBC7}" type="presParOf" srcId="{7E1C7B5E-CD63-4BA1-94A5-4A8B5307C103}" destId="{E8E7E65E-D02B-40F5-9994-CB8B059B43A6}" srcOrd="1" destOrd="1" presId="urn:microsoft.com/office/officeart/2005/8/layout/orgChart1#1"/>
    <dgm:cxn modelId="{BC97D675-15B6-4851-A354-B5B75D0C602A}" type="presParOf" srcId="{7E1C7B5E-CD63-4BA1-94A5-4A8B5307C103}" destId="{83E88F7C-EE5A-49DD-A284-F42844EDD556}" srcOrd="2" destOrd="1" presId="urn:microsoft.com/office/officeart/2005/8/layout/orgChart1#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2" name="组合 1"/>
      <dsp:cNvGrpSpPr/>
    </dsp:nvGrpSpPr>
    <dsp:grpSpPr>
      <a:xfrm>
        <a:off x="0" y="0"/>
        <a:ext cx="5486400" cy="2035175"/>
        <a:chOff x="0" y="0"/>
        <a:chExt cx="5486400" cy="2035175"/>
      </a:xfrm>
    </dsp:grpSpPr>
    <dsp:sp modelId="{10412D81-5D48-42AF-8F8F-18C09991D526}">
      <dsp:nvSpPr>
        <dsp:cNvPr id="5" name="任意多边形 4"/>
        <dsp:cNvSpPr/>
      </dsp:nvSpPr>
      <dsp:spPr bwMode="white">
        <a:xfrm>
          <a:off x="2101908" y="529993"/>
          <a:ext cx="641292" cy="975188"/>
        </a:xfrm>
        <a:custGeom>
          <a:avLst/>
          <a:gdLst/>
          <a:pathLst>
            <a:path fill="norm" h="1536" w="1010" stroke="1">
              <a:moveTo>
                <a:pt x="1010" y="0"/>
              </a:moveTo>
              <a:lnTo>
                <a:pt x="1010" y="1360"/>
              </a:lnTo>
              <a:lnTo>
                <a:pt x="0" y="1360"/>
              </a:lnTo>
              <a:lnTo>
                <a:pt x="0" y="1536"/>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101908" y="529993"/>
        <a:ext cx="641292" cy="975188"/>
      </dsp:txXfrm>
    </dsp:sp>
    <dsp:sp modelId="{55ADC6AD-A629-4AF8-B6BE-44138A14E066}">
      <dsp:nvSpPr>
        <dsp:cNvPr id="8" name="任意多边形 7"/>
        <dsp:cNvSpPr/>
      </dsp:nvSpPr>
      <dsp:spPr bwMode="white">
        <a:xfrm>
          <a:off x="2743200" y="529993"/>
          <a:ext cx="641292" cy="975188"/>
        </a:xfrm>
        <a:custGeom>
          <a:avLst/>
          <a:gdLst/>
          <a:pathLst>
            <a:path fill="norm" h="1536" w="1010" stroke="1">
              <a:moveTo>
                <a:pt x="0" y="0"/>
              </a:moveTo>
              <a:lnTo>
                <a:pt x="0" y="1360"/>
              </a:lnTo>
              <a:lnTo>
                <a:pt x="1010" y="1360"/>
              </a:lnTo>
              <a:lnTo>
                <a:pt x="1010" y="1536"/>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743200" y="529993"/>
        <a:ext cx="641292" cy="975188"/>
      </dsp:txXfrm>
    </dsp:sp>
    <dsp:sp modelId="{4EFAA151-9D26-4C9B-B050-C4E6007D91ED}">
      <dsp:nvSpPr>
        <dsp:cNvPr id="11" name="任意多边形 10"/>
        <dsp:cNvSpPr/>
      </dsp:nvSpPr>
      <dsp:spPr bwMode="white">
        <a:xfrm>
          <a:off x="2631901" y="529993"/>
          <a:ext cx="111299" cy="487594"/>
        </a:xfrm>
        <a:custGeom>
          <a:avLst/>
          <a:gdLst/>
          <a:pathLst>
            <a:path fill="norm" h="768" w="175" stroke="1">
              <a:moveTo>
                <a:pt x="175" y="0"/>
              </a:moveTo>
              <a:lnTo>
                <a:pt x="175" y="768"/>
              </a:lnTo>
              <a:lnTo>
                <a:pt x="0" y="768"/>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631901" y="529993"/>
        <a:ext cx="111299" cy="487594"/>
      </dsp:txXfrm>
    </dsp:sp>
    <dsp:sp modelId="{0931ED49-FC18-4D15-B204-14134F10B400}">
      <dsp:nvSpPr>
        <dsp:cNvPr id="3" name="矩形 2"/>
        <dsp:cNvSpPr/>
      </dsp:nvSpPr>
      <dsp:spPr bwMode="white">
        <a:xfrm>
          <a:off x="2213207" y="0"/>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总经理</a:t>
          </a:r>
        </a:p>
      </dsp:txBody>
      <dsp:txXfrm>
        <a:off x="2213207" y="0"/>
        <a:ext cx="1059987" cy="529993"/>
      </dsp:txXfrm>
    </dsp:sp>
    <dsp:sp modelId="{DD31C1A0-1801-4F7F-8D2E-31B3435FE7D7}">
      <dsp:nvSpPr>
        <dsp:cNvPr id="6" name="矩形 5"/>
        <dsp:cNvSpPr/>
      </dsp:nvSpPr>
      <dsp:spPr bwMode="white">
        <a:xfrm>
          <a:off x="1571914"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综合部</a:t>
          </a:r>
          <a:endParaRPr sz="6500"/>
        </a:p>
      </dsp:txBody>
      <dsp:txXfrm>
        <a:off x="1571914" y="1505182"/>
        <a:ext cx="1059987" cy="529993"/>
      </dsp:txXfrm>
    </dsp:sp>
    <dsp:sp modelId="{66AE70E5-73D2-4399-9798-845F587934E1}">
      <dsp:nvSpPr>
        <dsp:cNvPr id="9" name="矩形 8"/>
        <dsp:cNvSpPr/>
      </dsp:nvSpPr>
      <dsp:spPr bwMode="white">
        <a:xfrm>
          <a:off x="2854499"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zh-CN" altLang="en-US" sz="1100"/>
            <a:t>销售</a:t>
          </a:r>
          <a:r>
            <a:rPr lang="zh-CN" altLang="en-US" sz="1100"/>
            <a:t>部</a:t>
          </a:r>
          <a:endParaRPr sz="6500"/>
        </a:p>
      </dsp:txBody>
      <dsp:txXfrm>
        <a:off x="2854499" y="1505182"/>
        <a:ext cx="1059987" cy="529993"/>
      </dsp:txXfrm>
    </dsp:sp>
    <dsp:sp modelId="{6FA526E5-A9F6-4BBC-A74E-D64D9364CEDC}">
      <dsp:nvSpPr>
        <dsp:cNvPr id="12" name="矩形 11"/>
        <dsp:cNvSpPr/>
      </dsp:nvSpPr>
      <dsp:spPr bwMode="white">
        <a:xfrm>
          <a:off x="1571914" y="752591"/>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食安小组</a:t>
          </a:r>
        </a:p>
      </dsp:txBody>
      <dsp:txXfrm>
        <a:off x="1571914" y="752591"/>
        <a:ext cx="1059987" cy="529993"/>
      </dsp:txXfrm>
    </dsp:sp>
    <dsp:sp modelId="{0812E6D2-85F4-4214-9508-65AA64B41D48}">
      <dsp:nvSpPr>
        <dsp:cNvPr id="4" name="矩形 3" hidden="1"/>
        <dsp:cNvSpPr/>
      </dsp:nvSpPr>
      <dsp:spPr>
        <a:xfrm>
          <a:off x="2213207" y="0"/>
          <a:ext cx="211997" cy="529993"/>
        </a:xfrm>
        <a:prstGeom prst="rect">
          <a:avLst/>
        </a:prstGeom>
      </dsp:spPr>
      <dsp:txBody>
        <a:bodyPr/>
        <a:lstStyle/>
      </dsp:txBody>
      <dsp:txXfrm>
        <a:off x="2213207" y="0"/>
        <a:ext cx="211997" cy="529993"/>
      </dsp:txXfrm>
    </dsp:sp>
    <dsp:sp modelId="{ABF29367-C55E-4EE3-98DD-B75491C4F55E}">
      <dsp:nvSpPr>
        <dsp:cNvPr id="7" name="矩形 6" hidden="1"/>
        <dsp:cNvSpPr/>
      </dsp:nvSpPr>
      <dsp:spPr>
        <a:xfrm>
          <a:off x="2419904" y="1505182"/>
          <a:ext cx="211997" cy="529993"/>
        </a:xfrm>
        <a:prstGeom prst="rect">
          <a:avLst/>
        </a:prstGeom>
      </dsp:spPr>
      <dsp:txBody>
        <a:bodyPr/>
        <a:lstStyle/>
      </dsp:txBody>
      <dsp:txXfrm>
        <a:off x="2419904" y="1505182"/>
        <a:ext cx="211997" cy="529993"/>
      </dsp:txXfrm>
    </dsp:sp>
    <dsp:sp modelId="{CEC5F2A3-64D9-4E26-859F-428123F9A7CA}">
      <dsp:nvSpPr>
        <dsp:cNvPr id="10" name="矩形 9" hidden="1"/>
        <dsp:cNvSpPr/>
      </dsp:nvSpPr>
      <dsp:spPr>
        <a:xfrm>
          <a:off x="3702488" y="1505182"/>
          <a:ext cx="211997" cy="529993"/>
        </a:xfrm>
        <a:prstGeom prst="rect">
          <a:avLst/>
        </a:prstGeom>
      </dsp:spPr>
      <dsp:txBody>
        <a:bodyPr/>
        <a:lstStyle/>
      </dsp:txBody>
      <dsp:txXfrm>
        <a:off x="3702488" y="1505182"/>
        <a:ext cx="211997" cy="529993"/>
      </dsp:txXfrm>
    </dsp:sp>
    <dsp:sp modelId="{43201F80-68A0-44E0-801E-3687618E9CA7}">
      <dsp:nvSpPr>
        <dsp:cNvPr id="13" name="矩形 12" hidden="1"/>
        <dsp:cNvSpPr/>
      </dsp:nvSpPr>
      <dsp:spPr>
        <a:xfrm>
          <a:off x="1571914" y="752591"/>
          <a:ext cx="211997" cy="529993"/>
        </a:xfrm>
        <a:prstGeom prst="rect">
          <a:avLst/>
        </a:prstGeom>
      </dsp:spPr>
      <dsp:txBody>
        <a:bodyPr/>
        <a:lstStyle/>
      </dsp:txBody>
      <dsp:txXfrm>
        <a:off x="1571914" y="752591"/>
        <a:ext cx="211997" cy="5299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arg="none"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arg="none"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arg="none"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arg="none" op="lte" val="1">
                              <dgm:choose name="Name43">
                                <dgm:if name="Name44" axis="par ch" ptType="node asst" func="cnt" arg="none"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arg="none" op="lte" val="2">
                          <dgm:choose name="Name53">
                            <dgm:if name="Name54" axis="par ch" ptType="node asst" func="cnt" arg="none"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arg="none"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arg="none"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arg="none" op="lte" val="1">
                        <dgm:choose name="Name73">
                          <dgm:if name="Name74"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arg="none"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arg="none"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arg="none"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3571</Characters>
  <Application>Microsoft Office Word</Application>
  <DocSecurity>0</DocSecurity>
  <Lines>28</Lines>
  <Paragraphs>8</Paragraphs>
  <ScaleCrop>false</ScaleCrop>
  <Company>微软中国</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食品安全防护计划</dc:title>
  <dc:creator>微软用户</dc:creator>
  <cp:lastModifiedBy>WPS_1539303855</cp:lastModifiedBy>
  <cp:revision>12</cp:revision>
  <cp:lastPrinted>2016-07-23T12:49:00Z</cp:lastPrinted>
  <dcterms:created xsi:type="dcterms:W3CDTF">2023-11-07T17:46:00Z</dcterms:created>
  <dcterms:modified xsi:type="dcterms:W3CDTF">2025-08-01T08:28:07Z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7A6552D1917B4E3ABABD9A28B0CBE7A0</vt:lpwstr>
  </property>
  <property fmtid="{D5CDD505-2E9C-101B-9397-08002B2CF9AE}" pid="3" name="KSOProductBuildVer">
    <vt:lpwstr>2052-12.1.0.22215</vt:lpwstr>
  </property>
  <property fmtid="{D5CDD505-2E9C-101B-9397-08002B2CF9AE}" pid="4" name="KSOTemplateDocerSaveRecord">
    <vt:lpwstr>eyJoZGlkIjoiMGMxY2QwOTRmMjIwOWQ5NmNhMDIyODAyM2IwOTMwN2IiLCJ1c2VySWQiOiI0MTU3NDA1NzMifQ==</vt:lpwstr>
  </property>
</Properties>
</file>