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pPr>
        <w:spacing w:line="276" w:lineRule="auto"/>
        <w:outlineLvl w:val="0"/>
        <w:rPr>
          <w:rFonts w:ascii="Arial" w:hAnsi="Arial" w:eastAsia="幼圆" w:cs="Arial"/>
          <w:color w:val="000000" w:themeColor="text1"/>
        </w:rPr>
      </w:pPr>
      <w:r>
        <w:rPr>
          <w:rFonts w:hint="eastAsia" w:ascii="宋体" w:hAnsi="宋体" w:cs="宋体"/>
          <w:color w:val="000000" w:themeColor="text1"/>
          <w:sz w:val="28"/>
        </w:rPr>
        <w:t>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t xml:space="preserve"> 大庆</w:t>
      </w:r>
      <w:r>
        <w:rPr>
          <w:rFonts w:hint="eastAsia"/>
        </w:rPr>
        <w:t>嘉鸿达石油钻采设备</w:t>
      </w:r>
      <w:r>
        <w:t>有限公司</w:t>
      </w:r>
      <w:permEnd w:id="1"/>
    </w:p>
    <w:p>
      <w:pPr>
        <w:rPr>
          <w:bCs/>
          <w:color w:val="000000" w:themeColor="text1"/>
          <w:sz w:val="20"/>
          <w:u w:val="single"/>
        </w:rPr>
      </w:pPr>
      <w:r>
        <w:rPr>
          <w:bCs/>
          <w:color w:val="000000" w:themeColor="text1"/>
          <w:sz w:val="30"/>
          <w:szCs w:val="30"/>
        </w:rPr>
        <w:t xml:space="preserve"> Party  A:</w:t>
      </w:r>
      <w:permStart w:id="2" w:edGrp="everyone"/>
      <w:permEnd w:id="2"/>
    </w:p>
    <w:p>
      <w:pPr>
        <w:spacing w:beforeLines="50"/>
        <w:jc w:val="left"/>
        <w:rPr>
          <w:rStyle w:val="17"/>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7"/>
          <w:rFonts w:hint="default"/>
          <w:color w:val="000000" w:themeColor="text1"/>
          <w:sz w:val="32"/>
          <w:szCs w:val="32"/>
          <w:u w:val="single"/>
        </w:rPr>
        <w:t>北京国标联合认证有限公司</w:t>
      </w:r>
    </w:p>
    <w:p>
      <w:pPr>
        <w:rPr>
          <w:rFonts w:ascii="幼圆" w:hAnsi="Arial" w:eastAsia="幼圆"/>
          <w:color w:val="000000" w:themeColor="text1"/>
          <w:sz w:val="30"/>
        </w:rPr>
      </w:pPr>
      <w:r>
        <w:rPr>
          <w:bCs/>
          <w:color w:val="000000" w:themeColor="text1"/>
          <w:sz w:val="30"/>
          <w:szCs w:val="30"/>
        </w:rPr>
        <w:t>Party  B:</w:t>
      </w:r>
      <w:r>
        <w:rPr>
          <w:rStyle w:val="17"/>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9" w:edGrp="everyone"/>
      <w:r>
        <w:rPr>
          <w:rFonts w:hint="eastAsia"/>
        </w:rPr>
        <w:t>掺水流量自控装置（含流量控制器、智能流量计算装置、母液流量控制器）、智能磁电流量计、智能压力变送器、燃气调压器（箱）、压力管道元件（燃气调压装置）、混合阀组、地面井口安全阀及控制系统、油气连续计量装置、过滤器、混合器、加药装置、回收装置、水处理设备、仪器仪表、阀门的生产；油田钻采设备（稀油站、滤油机）的加工生产；燃气设备（燃气加臭装置）、自力式调节阀、智能磁电流量计水表的销售。</w:t>
      </w:r>
    </w:p>
    <w:permEnd w:id="49"/>
    <w:p>
      <w:pPr>
        <w:spacing w:line="300" w:lineRule="auto"/>
        <w:rPr>
          <w:rFonts w:ascii="宋体" w:hAnsi="宋体"/>
          <w:b/>
          <w:color w:val="000000" w:themeColor="text1"/>
          <w:szCs w:val="21"/>
          <w:u w:val="single"/>
        </w:rPr>
      </w:pPr>
      <w:r>
        <w:rPr>
          <w:rFonts w:hint="eastAsia" w:ascii="宋体" w:hAnsi="宋体"/>
          <w:color w:val="000000" w:themeColor="text1"/>
          <w:szCs w:val="21"/>
        </w:rPr>
        <w:t>（实际认证范围以审核现场确认为准）。生产/服务覆盖地址（审核地址）：</w:t>
      </w:r>
      <w:permStart w:id="50" w:edGrp="everyone"/>
      <w:r>
        <w:t>黑龙江省大庆市</w:t>
      </w:r>
      <w:r>
        <w:rPr>
          <w:rFonts w:hint="eastAsia"/>
        </w:rPr>
        <w:t>让胡路区喇嘛甸镇富兴牧业小区3-051B</w:t>
      </w:r>
    </w:p>
    <w:permEnd w:id="50"/>
    <w:p>
      <w:pPr>
        <w:spacing w:line="300" w:lineRule="auto"/>
        <w:rPr>
          <w:rFonts w:ascii="宋体" w:hAnsi="宋体"/>
          <w:b/>
          <w:color w:val="000000" w:themeColor="text1"/>
          <w:szCs w:val="21"/>
        </w:rPr>
      </w:pPr>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覆盖的每个多场所（多名称）对应覆盖的产品/服务范围，并加盖公司公章。</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范围以乙方认证决定结论为准。</w:t>
      </w:r>
    </w:p>
    <w:p>
      <w:pPr>
        <w:spacing w:line="300" w:lineRule="auto"/>
        <w:rPr>
          <w:rFonts w:ascii="宋体" w:hAnsi="宋体"/>
          <w:color w:val="000000" w:themeColor="text1"/>
          <w:szCs w:val="21"/>
        </w:rPr>
      </w:pPr>
      <w:r>
        <w:rPr>
          <w:color w:val="000000" w:themeColor="text1"/>
          <w:szCs w:val="21"/>
        </w:rPr>
        <w:t>1.3</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permEnd w:id="51"/>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2" w:edGrp="everyone"/>
      <w:permEnd w:id="52"/>
      <w:r>
        <w:rPr>
          <w:rFonts w:hint="eastAsia"/>
          <w:color w:val="000000" w:themeColor="text1"/>
          <w:szCs w:val="21"/>
        </w:rPr>
        <w:t>年</w:t>
      </w:r>
      <w:permStart w:id="53" w:edGrp="everyone"/>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1.5</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4" w:edGrp="everyone"/>
      <w:r>
        <w:rPr>
          <w:rFonts w:hint="eastAsia"/>
        </w:rPr>
        <w:t>22000</w:t>
      </w:r>
      <w:permEnd w:id="54"/>
      <w:r>
        <w:rPr>
          <w:rFonts w:ascii="宋体" w:hAnsi="宋体"/>
          <w:color w:val="000000" w:themeColor="text1"/>
          <w:szCs w:val="21"/>
        </w:rPr>
        <w:t xml:space="preserve"> 元（大写</w:t>
      </w:r>
      <w:permStart w:id="55" w:edGrp="everyone"/>
      <w:r>
        <w:rPr>
          <w:rFonts w:hint="eastAsia" w:ascii="宋体" w:hAnsi="宋体"/>
          <w:color w:val="000000" w:themeColor="text1"/>
          <w:szCs w:val="21"/>
        </w:rPr>
        <w:t>贰万贰仟元整</w:t>
      </w:r>
      <w:permEnd w:id="55"/>
      <w:r>
        <w:rPr>
          <w:rFonts w:ascii="宋体" w:hAnsi="宋体"/>
          <w:color w:val="000000" w:themeColor="text1"/>
          <w:szCs w:val="21"/>
        </w:rPr>
        <w:t>），</w:t>
      </w:r>
      <w:r>
        <w:rPr>
          <w:rFonts w:hint="eastAsia" w:ascii="宋体" w:hAnsi="宋体"/>
          <w:color w:val="000000" w:themeColor="text1"/>
          <w:szCs w:val="21"/>
        </w:rPr>
        <w:t>其中：</w:t>
      </w:r>
      <w:permStart w:id="56" w:edGrp="everyone"/>
      <w:permEnd w:id="56"/>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7" w:edGrp="everyone"/>
      <w:r>
        <w:rPr>
          <w:rFonts w:hint="eastAsia"/>
        </w:rPr>
        <w:t>6000</w:t>
      </w:r>
      <w:permEnd w:id="57"/>
      <w:r>
        <w:rPr>
          <w:rFonts w:ascii="宋体" w:hAnsi="宋体"/>
          <w:color w:val="000000" w:themeColor="text1"/>
          <w:szCs w:val="21"/>
        </w:rPr>
        <w:t>元（大写</w:t>
      </w:r>
      <w:permStart w:id="58" w:edGrp="everyone"/>
      <w:r>
        <w:rPr>
          <w:rFonts w:hint="eastAsia" w:ascii="宋体" w:hAnsi="宋体"/>
          <w:color w:val="000000" w:themeColor="text1"/>
          <w:szCs w:val="21"/>
        </w:rPr>
        <w:t>陆仟元</w:t>
      </w:r>
      <w:permEnd w:id="58"/>
      <w:r>
        <w:rPr>
          <w:rFonts w:ascii="宋体" w:hAnsi="宋体"/>
          <w:color w:val="000000" w:themeColor="text1"/>
          <w:szCs w:val="21"/>
        </w:rPr>
        <w:t>）</w:t>
      </w:r>
      <w:r>
        <w:rPr>
          <w:rFonts w:hint="eastAsia" w:ascii="宋体" w:hAnsi="宋体"/>
          <w:color w:val="000000" w:themeColor="text1"/>
          <w:szCs w:val="21"/>
        </w:rPr>
        <w:t>，其中：</w:t>
      </w:r>
      <w:permStart w:id="59" w:edGrp="everyone"/>
      <w:permEnd w:id="59"/>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0" w:edGrp="everyone"/>
      <w:permEnd w:id="60"/>
      <w:r>
        <w:rPr>
          <w:rFonts w:ascii="宋体" w:hAnsi="宋体"/>
          <w:color w:val="000000" w:themeColor="text1"/>
          <w:szCs w:val="21"/>
        </w:rPr>
        <w:t>元（大写</w:t>
      </w:r>
      <w:permStart w:id="61" w:edGrp="everyone"/>
      <w:permEnd w:id="61"/>
      <w:r>
        <w:rPr>
          <w:rFonts w:ascii="宋体" w:hAnsi="宋体"/>
          <w:color w:val="000000" w:themeColor="text1"/>
          <w:szCs w:val="21"/>
        </w:rPr>
        <w:t>），</w:t>
      </w:r>
      <w:r>
        <w:rPr>
          <w:rFonts w:hint="eastAsia" w:ascii="宋体" w:hAnsi="宋体"/>
          <w:color w:val="000000" w:themeColor="text1"/>
          <w:szCs w:val="21"/>
        </w:rPr>
        <w:t>其中：</w:t>
      </w:r>
      <w:permStart w:id="62" w:edGrp="everyone"/>
      <w:permEnd w:id="62"/>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4.9</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4.14</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63" w:edGrp="everyone"/>
      <w:r>
        <w:rPr>
          <w:rFonts w:hint="eastAsia" w:ascii="宋体" w:hAnsi="宋体"/>
          <w:color w:val="000000" w:themeColor="text1"/>
          <w:sz w:val="24"/>
          <w:szCs w:val="24"/>
        </w:rPr>
        <w:t>□</w:t>
      </w:r>
      <w:permEnd w:id="63"/>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bookmarkStart w:id="0" w:name="_GoBack"/>
      <w:bookmarkEnd w:id="0"/>
      <w:permStart w:id="64" w:edGrp="everyone"/>
      <w:r>
        <w:rPr>
          <w:rFonts w:hint="eastAsia" w:ascii="宋体" w:hAnsi="宋体"/>
          <w:color w:val="000000" w:themeColor="text1"/>
          <w:sz w:val="24"/>
          <w:szCs w:val="24"/>
        </w:rPr>
        <w:t>(</w:t>
      </w:r>
      <w:permEnd w:id="64"/>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rPr>
              <w:t>91230604677486065D</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r>
              <w:t>黑龙江省大庆市</w:t>
            </w:r>
            <w:r>
              <w:rPr>
                <w:rFonts w:hint="eastAsia"/>
              </w:rPr>
              <w:t>让胡路区喇嘛甸镇富兴牧业小区3-051B</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r>
              <w:rPr>
                <w:rFonts w:hint="eastAsia"/>
              </w:rPr>
              <w:t>04030120540000070</w:t>
            </w:r>
            <w:permEnd w:id="68"/>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9" w:edGrp="everyone"/>
            <w:permEnd w:id="69"/>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0" w:edGrp="everyone"/>
            <w:r>
              <w:rPr>
                <w:rFonts w:hint="eastAsia"/>
              </w:rPr>
              <w:t>91230604677486065D</w:t>
            </w:r>
            <w:permEnd w:id="70"/>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1" w:edGrp="everyone"/>
            <w:r>
              <w:t>黑龙江省大庆市</w:t>
            </w:r>
            <w:r>
              <w:rPr>
                <w:rFonts w:hint="eastAsia"/>
              </w:rPr>
              <w:t>让胡路区喇嘛甸镇富兴牧业小区3-051B</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2" w:edGrp="everyone"/>
            <w:r>
              <w:rPr>
                <w:rFonts w:hint="eastAsia"/>
              </w:rPr>
              <w:t>龙江银行大庆洪源支行</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73" w:edGrp="everyone"/>
            <w:r>
              <w:rPr>
                <w:rFonts w:hint="eastAsia"/>
              </w:rPr>
              <w:t>04030120540000070</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4" w:edGrp="everyone"/>
            <w:permEnd w:id="74"/>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5" w:edGrp="everyone"/>
            <w:r>
              <w:rPr>
                <w:rFonts w:hint="eastAsia"/>
              </w:rPr>
              <w:t>黑龙江省大庆市让胡路区阳光嘉城D30-1-302</w:t>
            </w:r>
            <w:permEnd w:id="75"/>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6" w:edGrp="everyone"/>
            <w:r>
              <w:rPr>
                <w:rFonts w:hint="eastAsia"/>
              </w:rPr>
              <w:t>叶存在</w:t>
            </w:r>
            <w:permEnd w:id="76"/>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77" w:edGrp="everyone"/>
            <w:r>
              <w:t>15</w:t>
            </w:r>
            <w:r>
              <w:rPr>
                <w:rFonts w:hint="eastAsia"/>
              </w:rPr>
              <w:t>245963391</w:t>
            </w:r>
            <w:permEnd w:id="7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8" w:edGrp="everyone"/>
            <w:permEnd w:id="78"/>
            <w:r>
              <w:rPr>
                <w:rFonts w:hint="eastAsia" w:ascii="宋体" w:hAnsi="宋体" w:cs="宋体"/>
                <w:color w:val="000000" w:themeColor="text1"/>
                <w:kern w:val="0"/>
                <w:szCs w:val="21"/>
              </w:rPr>
              <w:t>年</w:t>
            </w:r>
            <w:permStart w:id="79" w:edGrp="everyone"/>
            <w:permEnd w:id="79"/>
            <w:r>
              <w:rPr>
                <w:rFonts w:hint="eastAsia" w:ascii="宋体" w:hAnsi="宋体" w:cs="宋体"/>
                <w:color w:val="000000" w:themeColor="text1"/>
                <w:kern w:val="0"/>
                <w:szCs w:val="21"/>
              </w:rPr>
              <w:t>月</w:t>
            </w:r>
            <w:permStart w:id="80" w:edGrp="everyone"/>
            <w:permEnd w:id="8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81" w:edGrp="everyone"/>
            <w:permEnd w:id="81"/>
            <w:r>
              <w:rPr>
                <w:rFonts w:hint="eastAsia" w:ascii="宋体" w:hAnsi="宋体" w:cs="宋体"/>
                <w:color w:val="000000" w:themeColor="text1"/>
                <w:kern w:val="0"/>
                <w:szCs w:val="21"/>
              </w:rPr>
              <w:t xml:space="preserve"> 年</w:t>
            </w:r>
            <w:permStart w:id="82" w:edGrp="everyone"/>
            <w:permEnd w:id="82"/>
            <w:r>
              <w:rPr>
                <w:rFonts w:hint="eastAsia" w:ascii="宋体" w:hAnsi="宋体" w:cs="宋体"/>
                <w:color w:val="000000" w:themeColor="text1"/>
                <w:kern w:val="0"/>
                <w:szCs w:val="21"/>
              </w:rPr>
              <w:t xml:space="preserve">月 </w:t>
            </w:r>
            <w:permStart w:id="83" w:edGrp="everyone"/>
            <w:permEnd w:id="8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t>ISC-</w:t>
    </w:r>
    <w:r>
      <w:rPr>
        <w:rFonts w:hint="eastAsia"/>
      </w:rPr>
      <w:t>RZ-I</w:t>
    </w:r>
    <w:r>
      <w:t>-0</w:t>
    </w:r>
    <w:r>
      <w:rPr>
        <w:rFonts w:hint="eastAsia"/>
      </w:rPr>
      <w:t>2 A/0认证合同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06182"/>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07F9F"/>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1381"/>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8F6B9D"/>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0BA4"/>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D6687"/>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672DC"/>
    <w:rsid w:val="00C71F81"/>
    <w:rsid w:val="00C805DF"/>
    <w:rsid w:val="00C80C0F"/>
    <w:rsid w:val="00C83D2C"/>
    <w:rsid w:val="00C83E8B"/>
    <w:rsid w:val="00C86B6E"/>
    <w:rsid w:val="00C90C9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4A9C6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1053</Words>
  <Characters>6004</Characters>
  <Lines>50</Lines>
  <Paragraphs>14</Paragraphs>
  <TotalTime>1</TotalTime>
  <ScaleCrop>false</ScaleCrop>
  <LinksUpToDate>false</LinksUpToDate>
  <CharactersWithSpaces>7043</CharactersWithSpaces>
  <Application>WPS Office_11.1.0.9208_F1E327BC-269C-435d-A152-05C5408002CA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yingjie</cp:lastModifiedBy>
  <cp:lastPrinted>2018-05-25T07:49:00Z</cp:lastPrinted>
  <dcterms:modified xsi:type="dcterms:W3CDTF">2019-12-09T12:47:26Z</dcterms:modified>
  <dc:title>WSF/RO004-A</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