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72"/>
        </w:rPr>
      </w:pPr>
    </w:p>
    <w:p>
      <w:pPr>
        <w:jc w:val="center"/>
        <w:rPr>
          <w:rFonts w:eastAsia="楷体_GB2312"/>
          <w:sz w:val="44"/>
          <w:szCs w:val="44"/>
        </w:rPr>
      </w:pPr>
      <w:bookmarkStart w:id="1" w:name="_GoBack"/>
      <w:bookmarkEnd w:id="1"/>
      <w:r>
        <w:rPr>
          <w:rFonts w:hint="eastAsia" w:eastAsia="楷体_GB2312"/>
          <w:sz w:val="44"/>
          <w:szCs w:val="44"/>
          <w:lang w:eastAsia="zh-CN"/>
        </w:rPr>
        <w:t>山东</w:t>
      </w:r>
      <w:r>
        <w:rPr>
          <w:rFonts w:hint="eastAsia" w:eastAsia="楷体_GB2312"/>
          <w:sz w:val="44"/>
          <w:szCs w:val="44"/>
        </w:rPr>
        <w:t>绿清源再生资源有限公司</w:t>
      </w:r>
    </w:p>
    <w:p>
      <w:pPr>
        <w:autoSpaceDE w:val="0"/>
        <w:autoSpaceDN w:val="0"/>
        <w:adjustRightInd w:val="0"/>
        <w:spacing w:line="480" w:lineRule="auto"/>
        <w:jc w:val="center"/>
        <w:rPr>
          <w:rFonts w:ascii="黑体" w:eastAsia="黑体" w:cs="黑体"/>
          <w:kern w:val="0"/>
          <w:sz w:val="28"/>
          <w:szCs w:val="28"/>
          <w:lang w:val="de-DE"/>
        </w:rPr>
      </w:pPr>
    </w:p>
    <w:p>
      <w:pPr>
        <w:autoSpaceDE w:val="0"/>
        <w:autoSpaceDN w:val="0"/>
        <w:adjustRightInd w:val="0"/>
        <w:spacing w:line="480" w:lineRule="auto"/>
        <w:jc w:val="center"/>
        <w:rPr>
          <w:rFonts w:ascii="黑体" w:eastAsia="黑体" w:cs="黑体"/>
          <w:kern w:val="0"/>
          <w:sz w:val="28"/>
          <w:szCs w:val="28"/>
          <w:lang w:val="de-DE"/>
        </w:rPr>
      </w:pPr>
    </w:p>
    <w:p>
      <w:pPr>
        <w:autoSpaceDE w:val="0"/>
        <w:autoSpaceDN w:val="0"/>
        <w:adjustRightInd w:val="0"/>
        <w:spacing w:line="480" w:lineRule="auto"/>
        <w:jc w:val="center"/>
        <w:rPr>
          <w:rFonts w:ascii="黑体" w:eastAsia="黑体" w:cs="黑体"/>
          <w:kern w:val="0"/>
          <w:sz w:val="28"/>
          <w:szCs w:val="28"/>
          <w:lang w:val="de-DE"/>
        </w:rPr>
      </w:pPr>
    </w:p>
    <w:p>
      <w:pPr>
        <w:autoSpaceDE w:val="0"/>
        <w:autoSpaceDN w:val="0"/>
        <w:adjustRightInd w:val="0"/>
        <w:spacing w:line="480" w:lineRule="auto"/>
        <w:jc w:val="center"/>
        <w:rPr>
          <w:rFonts w:ascii="黑体" w:eastAsia="黑体" w:cs="黑体"/>
          <w:kern w:val="0"/>
          <w:sz w:val="28"/>
          <w:szCs w:val="28"/>
          <w:lang w:val="de-DE"/>
        </w:rPr>
      </w:pPr>
      <w:r>
        <w:rPr>
          <w:rFonts w:hint="eastAsia" w:ascii="黑体" w:eastAsia="黑体" w:cs="黑体"/>
          <w:kern w:val="0"/>
          <w:sz w:val="28"/>
          <w:szCs w:val="28"/>
          <w:lang w:val="de-DE"/>
        </w:rPr>
        <w:t xml:space="preserve">      </w:t>
      </w:r>
    </w:p>
    <w:p>
      <w:pPr>
        <w:autoSpaceDE w:val="0"/>
        <w:autoSpaceDN w:val="0"/>
        <w:adjustRightInd w:val="0"/>
        <w:spacing w:line="480" w:lineRule="auto"/>
        <w:jc w:val="center"/>
        <w:rPr>
          <w:rFonts w:ascii="黑体" w:eastAsia="黑体" w:cs="黑体"/>
          <w:kern w:val="0"/>
          <w:sz w:val="72"/>
          <w:szCs w:val="72"/>
          <w:lang w:val="de-DE"/>
        </w:rPr>
      </w:pPr>
      <w:r>
        <w:rPr>
          <w:rFonts w:hint="eastAsia" w:ascii="黑体" w:eastAsia="黑体" w:cs="黑体"/>
          <w:kern w:val="0"/>
          <w:sz w:val="72"/>
          <w:szCs w:val="72"/>
          <w:lang w:val="de-DE"/>
        </w:rPr>
        <w:t>程序文件</w:t>
      </w:r>
    </w:p>
    <w:p>
      <w:pPr>
        <w:jc w:val="center"/>
        <w:rPr>
          <w:rFonts w:eastAsia="黑体"/>
          <w:sz w:val="32"/>
          <w:szCs w:val="32"/>
        </w:rPr>
      </w:pPr>
    </w:p>
    <w:p>
      <w:pPr>
        <w:jc w:val="center"/>
        <w:rPr>
          <w:rFonts w:eastAsia="黑体"/>
          <w:sz w:val="72"/>
        </w:rPr>
      </w:pPr>
    </w:p>
    <w:p>
      <w:pPr>
        <w:jc w:val="left"/>
      </w:pPr>
    </w:p>
    <w:p>
      <w:pPr>
        <w:autoSpaceDE w:val="0"/>
        <w:autoSpaceDN w:val="0"/>
        <w:adjustRightInd w:val="0"/>
        <w:spacing w:line="600" w:lineRule="exact"/>
        <w:ind w:firstLine="3213" w:firstLineChars="1000"/>
        <w:rPr>
          <w:rFonts w:hint="eastAsia" w:ascii="黑体" w:eastAsia="黑体" w:cs="黑体"/>
          <w:b/>
          <w:kern w:val="0"/>
          <w:sz w:val="32"/>
          <w:szCs w:val="32"/>
          <w:lang w:val="de-DE"/>
        </w:rPr>
      </w:pPr>
      <w:r>
        <w:rPr>
          <w:rFonts w:hint="eastAsia" w:ascii="黑体" w:eastAsia="黑体" w:cs="黑体"/>
          <w:b/>
          <w:kern w:val="0"/>
          <w:sz w:val="32"/>
          <w:szCs w:val="32"/>
          <w:lang w:val="de-DE"/>
        </w:rPr>
        <w:t>编制： 李红芹</w:t>
      </w:r>
    </w:p>
    <w:p>
      <w:pPr>
        <w:autoSpaceDE w:val="0"/>
        <w:autoSpaceDN w:val="0"/>
        <w:adjustRightInd w:val="0"/>
        <w:spacing w:line="600" w:lineRule="exact"/>
        <w:ind w:firstLine="3213" w:firstLineChars="1000"/>
        <w:rPr>
          <w:rFonts w:hint="eastAsia" w:ascii="黑体" w:eastAsia="黑体" w:cs="黑体"/>
          <w:b/>
          <w:kern w:val="0"/>
          <w:sz w:val="32"/>
          <w:szCs w:val="32"/>
          <w:lang w:val="de-DE"/>
        </w:rPr>
      </w:pPr>
      <w:r>
        <w:rPr>
          <w:rFonts w:hint="eastAsia" w:ascii="黑体" w:eastAsia="黑体" w:cs="黑体"/>
          <w:b/>
          <w:kern w:val="0"/>
          <w:sz w:val="32"/>
          <w:szCs w:val="32"/>
          <w:lang w:val="de-DE"/>
        </w:rPr>
        <w:t>审核： 卢新涛</w:t>
      </w:r>
    </w:p>
    <w:p>
      <w:pPr>
        <w:autoSpaceDE w:val="0"/>
        <w:autoSpaceDN w:val="0"/>
        <w:adjustRightInd w:val="0"/>
        <w:spacing w:line="600" w:lineRule="exact"/>
        <w:ind w:firstLine="3213" w:firstLineChars="1000"/>
        <w:rPr>
          <w:rFonts w:hint="eastAsia" w:ascii="黑体" w:eastAsia="黑体" w:cs="黑体"/>
          <w:b/>
          <w:kern w:val="0"/>
          <w:sz w:val="32"/>
          <w:szCs w:val="32"/>
          <w:lang w:val="de-DE"/>
        </w:rPr>
      </w:pPr>
      <w:r>
        <w:rPr>
          <w:rFonts w:hint="eastAsia" w:ascii="黑体" w:eastAsia="黑体" w:cs="黑体"/>
          <w:b/>
          <w:kern w:val="0"/>
          <w:sz w:val="32"/>
          <w:szCs w:val="32"/>
          <w:lang w:val="de-DE"/>
        </w:rPr>
        <w:t>批准： 徐  刚</w:t>
      </w:r>
    </w:p>
    <w:p>
      <w:pPr>
        <w:autoSpaceDE w:val="0"/>
        <w:autoSpaceDN w:val="0"/>
        <w:adjustRightInd w:val="0"/>
        <w:spacing w:line="600" w:lineRule="exact"/>
        <w:ind w:firstLine="3213" w:firstLineChars="1000"/>
        <w:rPr>
          <w:rFonts w:ascii="黑体" w:eastAsia="黑体" w:cs="黑体"/>
          <w:b/>
          <w:kern w:val="0"/>
          <w:sz w:val="32"/>
          <w:szCs w:val="32"/>
          <w:lang w:val="de-DE"/>
        </w:rPr>
      </w:pPr>
      <w:r>
        <w:rPr>
          <w:rFonts w:hint="eastAsia" w:ascii="黑体" w:eastAsia="黑体" w:cs="黑体"/>
          <w:b/>
          <w:kern w:val="0"/>
          <w:sz w:val="32"/>
          <w:szCs w:val="32"/>
          <w:lang w:val="de-DE"/>
        </w:rPr>
        <w:t>版    本： A/0</w:t>
      </w:r>
    </w:p>
    <w:p>
      <w:pPr>
        <w:autoSpaceDE w:val="0"/>
        <w:autoSpaceDN w:val="0"/>
        <w:adjustRightInd w:val="0"/>
        <w:spacing w:line="600" w:lineRule="exact"/>
        <w:ind w:firstLine="3213" w:firstLineChars="1000"/>
        <w:rPr>
          <w:rFonts w:ascii="黑体" w:eastAsia="黑体" w:cs="黑体"/>
          <w:b/>
          <w:kern w:val="0"/>
          <w:sz w:val="32"/>
          <w:szCs w:val="32"/>
          <w:lang w:val="de-DE"/>
        </w:rPr>
      </w:pPr>
      <w:r>
        <w:rPr>
          <w:rFonts w:hint="eastAsia" w:ascii="黑体" w:eastAsia="黑体" w:cs="黑体"/>
          <w:b/>
          <w:kern w:val="0"/>
          <w:sz w:val="32"/>
          <w:szCs w:val="32"/>
          <w:lang w:val="de-DE"/>
        </w:rPr>
        <w:t>分 发 号：</w:t>
      </w:r>
    </w:p>
    <w:p>
      <w:pPr>
        <w:spacing w:line="600" w:lineRule="exact"/>
        <w:ind w:firstLine="3213" w:firstLineChars="1000"/>
        <w:rPr>
          <w:sz w:val="32"/>
          <w:szCs w:val="32"/>
        </w:rPr>
      </w:pPr>
      <w:r>
        <w:rPr>
          <w:rFonts w:hint="eastAsia" w:ascii="黑体" w:eastAsia="黑体" w:cs="黑体"/>
          <w:b/>
          <w:kern w:val="0"/>
          <w:sz w:val="32"/>
          <w:szCs w:val="32"/>
        </w:rPr>
        <w:t>受控状态：</w:t>
      </w:r>
    </w:p>
    <w:p>
      <w:pPr>
        <w:spacing w:line="600" w:lineRule="exact"/>
      </w:pPr>
    </w:p>
    <w:p>
      <w:pPr>
        <w:spacing w:line="600" w:lineRule="exact"/>
      </w:pPr>
    </w:p>
    <w:p/>
    <w:p/>
    <w:p/>
    <w:p>
      <w:pPr>
        <w:autoSpaceDE w:val="0"/>
        <w:autoSpaceDN w:val="0"/>
        <w:adjustRightInd w:val="0"/>
        <w:spacing w:line="600" w:lineRule="exact"/>
        <w:ind w:firstLine="450" w:firstLineChars="150"/>
        <w:rPr>
          <w:rFonts w:ascii="黑体" w:eastAsia="黑体" w:cs="黑体"/>
          <w:kern w:val="0"/>
          <w:sz w:val="30"/>
          <w:szCs w:val="30"/>
        </w:rPr>
      </w:pPr>
    </w:p>
    <w:p>
      <w:r>
        <w:rPr>
          <w:rFonts w:hint="eastAsia" w:ascii="黑体" w:eastAsia="黑体" w:cs="黑体"/>
          <w:kern w:val="0"/>
          <w:sz w:val="30"/>
          <w:szCs w:val="30"/>
        </w:rPr>
        <mc:AlternateContent>
          <mc:Choice Requires="wps">
            <w:drawing>
              <wp:anchor distT="0" distB="0" distL="114300" distR="114300" simplePos="0" relativeHeight="251678720" behindDoc="0" locked="0" layoutInCell="1" allowOverlap="1">
                <wp:simplePos x="0" y="0"/>
                <wp:positionH relativeFrom="column">
                  <wp:posOffset>-15875</wp:posOffset>
                </wp:positionH>
                <wp:positionV relativeFrom="paragraph">
                  <wp:posOffset>313055</wp:posOffset>
                </wp:positionV>
                <wp:extent cx="6121400" cy="0"/>
                <wp:effectExtent l="0" t="0" r="12700"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w:pict>
              <v:line id="_x0000_s1026" o:spid="_x0000_s1026" o:spt="20" style="position:absolute;left:0pt;margin-left:-1.25pt;margin-top:24.65pt;height:0pt;width:482pt;z-index:251678720;mso-width-relative:page;mso-height-relative:page;" filled="f" stroked="t" coordsize="21600,21600" o:gfxdata="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YBJLzVAAAACAEA&#10;AA8AAAAAAAAAAQAgAAAAIgAAAGRycy9kb3ducmV2LnhtbFBLAQIUABQAAAAIAIdO4kAfZmsy5AEA&#10;AKsDAAAOAAAAAAAAAAEAIAAAACQBAABkcnMvZTJvRG9jLnhtbFBLBQYAAAAABgAGAFkBAAB6BQAA&#10;AAA=&#10;">
                <v:fill on="f" focussize="0,0"/>
                <v:stroke weight="1pt" color="#800008" joinstyle="round"/>
                <v:imagedata o:title=""/>
                <o:lock v:ext="edit" aspectratio="f"/>
              </v:line>
            </w:pict>
          </mc:Fallback>
        </mc:AlternateContent>
      </w:r>
      <w:r>
        <w:rPr>
          <w:rFonts w:hint="eastAsia" w:ascii="黑体" w:eastAsia="黑体" w:cs="黑体"/>
          <w:kern w:val="0"/>
          <w:sz w:val="30"/>
          <w:szCs w:val="30"/>
        </w:rPr>
        <w:t xml:space="preserve">发布日期：2021年1月26日           实施日期：2021年1月26日 </w:t>
      </w:r>
      <w:r>
        <w:rPr>
          <w:rFonts w:hint="eastAsia" w:ascii="黑体" w:eastAsia="黑体"/>
          <w:b/>
          <w:bCs/>
          <w:szCs w:val="32"/>
        </w:rPr>
        <w:t xml:space="preserve">   </w:t>
      </w:r>
    </w:p>
    <w:tbl>
      <w:tblPr>
        <w:tblStyle w:val="9"/>
        <w:tblW w:w="10108" w:type="dxa"/>
        <w:tblInd w:w="93" w:type="dxa"/>
        <w:tblLayout w:type="autofit"/>
        <w:tblCellMar>
          <w:top w:w="0" w:type="dxa"/>
          <w:left w:w="108" w:type="dxa"/>
          <w:bottom w:w="0" w:type="dxa"/>
          <w:right w:w="108" w:type="dxa"/>
        </w:tblCellMar>
      </w:tblPr>
      <w:tblGrid>
        <w:gridCol w:w="866"/>
        <w:gridCol w:w="4536"/>
        <w:gridCol w:w="1580"/>
        <w:gridCol w:w="881"/>
        <w:gridCol w:w="881"/>
        <w:gridCol w:w="1364"/>
      </w:tblGrid>
      <w:tr>
        <w:tblPrEx>
          <w:tblCellMar>
            <w:top w:w="0" w:type="dxa"/>
            <w:left w:w="108" w:type="dxa"/>
            <w:bottom w:w="0" w:type="dxa"/>
            <w:right w:w="108" w:type="dxa"/>
          </w:tblCellMar>
        </w:tblPrEx>
        <w:trPr>
          <w:trHeight w:val="285" w:hRule="atLeast"/>
        </w:trPr>
        <w:tc>
          <w:tcPr>
            <w:tcW w:w="866" w:type="dxa"/>
            <w:tcBorders>
              <w:top w:val="nil"/>
              <w:bottom w:val="single" w:color="auto" w:sz="4" w:space="0"/>
            </w:tcBorders>
          </w:tcPr>
          <w:p>
            <w:pPr>
              <w:widowControl/>
              <w:jc w:val="center"/>
              <w:rPr>
                <w:rFonts w:ascii="宋体" w:hAnsi="宋体" w:cs="宋体"/>
                <w:kern w:val="0"/>
                <w:sz w:val="32"/>
                <w:szCs w:val="32"/>
              </w:rPr>
            </w:pPr>
            <w:r>
              <w:rPr>
                <w:rFonts w:hint="eastAsia" w:ascii="宋体" w:hAnsi="宋体" w:cs="宋体"/>
                <w:kern w:val="0"/>
                <w:sz w:val="32"/>
                <w:szCs w:val="32"/>
              </w:rPr>
              <w:t xml:space="preserve"> </w:t>
            </w:r>
          </w:p>
        </w:tc>
        <w:tc>
          <w:tcPr>
            <w:tcW w:w="9242" w:type="dxa"/>
            <w:gridSpan w:val="5"/>
            <w:tcBorders>
              <w:top w:val="nil"/>
              <w:bottom w:val="single" w:color="auto" w:sz="4" w:space="0"/>
            </w:tcBorders>
            <w:shd w:val="clear" w:color="auto" w:fill="auto"/>
            <w:noWrap/>
            <w:vAlign w:val="center"/>
          </w:tcPr>
          <w:p>
            <w:pPr>
              <w:widowControl/>
              <w:jc w:val="center"/>
              <w:rPr>
                <w:rFonts w:ascii="宋体" w:hAnsi="宋体" w:cs="宋体"/>
                <w:kern w:val="0"/>
                <w:sz w:val="32"/>
                <w:szCs w:val="32"/>
              </w:rPr>
            </w:pPr>
          </w:p>
          <w:p>
            <w:pPr>
              <w:widowControl/>
              <w:jc w:val="center"/>
              <w:rPr>
                <w:rFonts w:ascii="宋体" w:hAnsi="宋体" w:cs="宋体"/>
                <w:kern w:val="0"/>
                <w:sz w:val="32"/>
                <w:szCs w:val="32"/>
              </w:rPr>
            </w:pPr>
            <w:r>
              <w:rPr>
                <w:rFonts w:hint="eastAsia" w:ascii="宋体" w:hAnsi="宋体" w:cs="宋体"/>
                <w:kern w:val="0"/>
                <w:sz w:val="32"/>
                <w:szCs w:val="32"/>
              </w:rPr>
              <w:t>程序文件目录</w:t>
            </w:r>
          </w:p>
        </w:tc>
      </w:tr>
      <w:tr>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8"/>
                <w:szCs w:val="28"/>
              </w:rPr>
            </w:pPr>
            <w:r>
              <w:rPr>
                <w:rFonts w:hint="eastAsia" w:ascii="宋体" w:hAnsi="宋体" w:cs="宋体"/>
                <w:kern w:val="0"/>
                <w:sz w:val="28"/>
                <w:szCs w:val="28"/>
              </w:rPr>
              <w:t>序号</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文件名称</w:t>
            </w:r>
          </w:p>
        </w:tc>
        <w:tc>
          <w:tcPr>
            <w:tcW w:w="15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编号</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页数</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版次</w:t>
            </w:r>
          </w:p>
        </w:tc>
        <w:tc>
          <w:tcPr>
            <w:tcW w:w="136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修改状态</w:t>
            </w:r>
          </w:p>
        </w:tc>
      </w:tr>
      <w:tr>
        <w:tblPrEx>
          <w:tblCellMar>
            <w:top w:w="0" w:type="dxa"/>
            <w:left w:w="108" w:type="dxa"/>
            <w:bottom w:w="0" w:type="dxa"/>
            <w:right w:w="108" w:type="dxa"/>
          </w:tblCellMar>
        </w:tblPrEx>
        <w:trPr>
          <w:trHeight w:val="452" w:hRule="atLeast"/>
        </w:trPr>
        <w:tc>
          <w:tcPr>
            <w:tcW w:w="866" w:type="dxa"/>
            <w:tcBorders>
              <w:top w:val="single" w:color="auto" w:sz="4" w:space="0"/>
              <w:left w:val="single" w:color="auto" w:sz="4" w:space="0"/>
              <w:bottom w:val="single" w:color="auto" w:sz="4" w:space="0"/>
              <w:right w:val="single" w:color="auto" w:sz="4" w:space="0"/>
            </w:tcBorders>
          </w:tcPr>
          <w:p>
            <w:pPr>
              <w:widowControl/>
              <w:jc w:val="center"/>
              <w:rPr>
                <w:rFonts w:ascii="楷体" w:hAnsi="楷体" w:eastAsia="楷体"/>
                <w:sz w:val="28"/>
                <w:szCs w:val="28"/>
              </w:rPr>
            </w:pPr>
            <w:r>
              <w:rPr>
                <w:rFonts w:hint="eastAsia" w:ascii="楷体" w:hAnsi="楷体" w:eastAsia="楷体"/>
                <w:sz w:val="28"/>
                <w:szCs w:val="28"/>
              </w:rPr>
              <w:t>1</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楷体" w:hAnsi="楷体" w:eastAsia="楷体" w:cs="宋体"/>
                <w:kern w:val="0"/>
                <w:sz w:val="28"/>
                <w:szCs w:val="28"/>
              </w:rPr>
            </w:pPr>
            <w:r>
              <w:rPr>
                <w:rFonts w:hint="eastAsia" w:ascii="楷体" w:hAnsi="楷体" w:eastAsia="楷体"/>
                <w:b/>
                <w:sz w:val="28"/>
                <w:szCs w:val="28"/>
              </w:rPr>
              <w:t>风险和机遇控制程序</w:t>
            </w:r>
          </w:p>
        </w:tc>
        <w:tc>
          <w:tcPr>
            <w:tcW w:w="15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r>
              <w:rPr>
                <w:rFonts w:hint="eastAsia" w:ascii="楷体" w:hAnsi="楷体" w:eastAsia="楷体"/>
                <w:b/>
                <w:sz w:val="28"/>
                <w:szCs w:val="28"/>
              </w:rPr>
              <w:t>LQY-P-01</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3</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A</w:t>
            </w:r>
          </w:p>
        </w:tc>
        <w:tc>
          <w:tcPr>
            <w:tcW w:w="136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0</w:t>
            </w:r>
          </w:p>
        </w:tc>
      </w:tr>
      <w:tr>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tcPr>
          <w:p>
            <w:pPr>
              <w:widowControl/>
              <w:jc w:val="center"/>
              <w:rPr>
                <w:rFonts w:ascii="楷体" w:hAnsi="楷体" w:eastAsia="楷体"/>
                <w:sz w:val="28"/>
                <w:szCs w:val="28"/>
              </w:rPr>
            </w:pPr>
            <w:r>
              <w:rPr>
                <w:rFonts w:hint="eastAsia" w:ascii="楷体" w:hAnsi="楷体" w:eastAsia="楷体"/>
                <w:sz w:val="28"/>
                <w:szCs w:val="28"/>
              </w:rPr>
              <w:t>2</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楷体" w:hAnsi="楷体" w:eastAsia="楷体" w:cs="宋体"/>
                <w:kern w:val="0"/>
                <w:sz w:val="28"/>
                <w:szCs w:val="28"/>
              </w:rPr>
            </w:pPr>
            <w:r>
              <w:rPr>
                <w:rFonts w:hint="eastAsia" w:ascii="楷体" w:hAnsi="楷体" w:eastAsia="楷体"/>
                <w:b/>
                <w:sz w:val="28"/>
                <w:szCs w:val="28"/>
              </w:rPr>
              <w:t>目标和管理方案控制程序</w:t>
            </w:r>
          </w:p>
        </w:tc>
        <w:tc>
          <w:tcPr>
            <w:tcW w:w="1580" w:type="dxa"/>
            <w:tcBorders>
              <w:top w:val="single" w:color="auto" w:sz="4" w:space="0"/>
              <w:left w:val="nil"/>
              <w:bottom w:val="single" w:color="auto" w:sz="4" w:space="0"/>
              <w:right w:val="single" w:color="auto" w:sz="4" w:space="0"/>
            </w:tcBorders>
            <w:shd w:val="clear" w:color="auto" w:fill="auto"/>
            <w:noWrap/>
          </w:tcPr>
          <w:p>
            <w:pPr>
              <w:jc w:val="center"/>
              <w:rPr>
                <w:rFonts w:ascii="楷体" w:hAnsi="楷体" w:eastAsia="楷体"/>
                <w:sz w:val="28"/>
                <w:szCs w:val="28"/>
              </w:rPr>
            </w:pPr>
            <w:r>
              <w:rPr>
                <w:rFonts w:hint="eastAsia" w:ascii="楷体" w:hAnsi="楷体" w:eastAsia="楷体"/>
                <w:b/>
                <w:sz w:val="28"/>
                <w:szCs w:val="28"/>
              </w:rPr>
              <w:t>LQY-P-02</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3</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ascii="楷体" w:hAnsi="楷体" w:eastAsia="楷体" w:cs="宋体"/>
                <w:kern w:val="0"/>
                <w:sz w:val="28"/>
                <w:szCs w:val="28"/>
              </w:rPr>
              <w:t>A</w:t>
            </w:r>
          </w:p>
        </w:tc>
        <w:tc>
          <w:tcPr>
            <w:tcW w:w="136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0</w:t>
            </w:r>
          </w:p>
        </w:tc>
      </w:tr>
      <w:tr>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tcPr>
          <w:p>
            <w:pPr>
              <w:widowControl/>
              <w:jc w:val="center"/>
              <w:rPr>
                <w:rFonts w:ascii="楷体" w:hAnsi="楷体" w:eastAsia="楷体"/>
                <w:sz w:val="28"/>
                <w:szCs w:val="28"/>
              </w:rPr>
            </w:pPr>
            <w:r>
              <w:rPr>
                <w:rFonts w:hint="eastAsia" w:ascii="楷体" w:hAnsi="楷体" w:eastAsia="楷体"/>
                <w:sz w:val="28"/>
                <w:szCs w:val="28"/>
              </w:rPr>
              <w:t>3</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楷体" w:hAnsi="楷体" w:eastAsia="楷体" w:cs="宋体"/>
                <w:kern w:val="0"/>
                <w:sz w:val="28"/>
                <w:szCs w:val="28"/>
              </w:rPr>
            </w:pPr>
            <w:r>
              <w:rPr>
                <w:rFonts w:hint="eastAsia" w:ascii="楷体" w:hAnsi="楷体" w:eastAsia="楷体"/>
                <w:b/>
                <w:sz w:val="28"/>
                <w:szCs w:val="28"/>
              </w:rPr>
              <w:t>环境因素识别与评价控制程序</w:t>
            </w:r>
          </w:p>
        </w:tc>
        <w:tc>
          <w:tcPr>
            <w:tcW w:w="1580" w:type="dxa"/>
            <w:tcBorders>
              <w:top w:val="single" w:color="auto" w:sz="4" w:space="0"/>
              <w:left w:val="nil"/>
              <w:bottom w:val="single" w:color="auto" w:sz="4" w:space="0"/>
              <w:right w:val="single" w:color="auto" w:sz="4" w:space="0"/>
            </w:tcBorders>
            <w:shd w:val="clear" w:color="auto" w:fill="auto"/>
            <w:noWrap/>
          </w:tcPr>
          <w:p>
            <w:pPr>
              <w:jc w:val="center"/>
              <w:rPr>
                <w:rFonts w:ascii="楷体" w:hAnsi="楷体" w:eastAsia="楷体"/>
                <w:sz w:val="28"/>
                <w:szCs w:val="28"/>
              </w:rPr>
            </w:pPr>
            <w:r>
              <w:rPr>
                <w:rFonts w:hint="eastAsia" w:ascii="楷体" w:hAnsi="楷体" w:eastAsia="楷体"/>
                <w:b/>
                <w:sz w:val="28"/>
                <w:szCs w:val="28"/>
              </w:rPr>
              <w:t>LQY-P-03</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4</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ascii="楷体" w:hAnsi="楷体" w:eastAsia="楷体" w:cs="宋体"/>
                <w:kern w:val="0"/>
                <w:sz w:val="28"/>
                <w:szCs w:val="28"/>
              </w:rPr>
              <w:t>A</w:t>
            </w:r>
          </w:p>
        </w:tc>
        <w:tc>
          <w:tcPr>
            <w:tcW w:w="136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0</w:t>
            </w:r>
          </w:p>
        </w:tc>
      </w:tr>
      <w:tr>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tcPr>
          <w:p>
            <w:pPr>
              <w:widowControl/>
              <w:jc w:val="center"/>
              <w:rPr>
                <w:rFonts w:ascii="楷体" w:hAnsi="楷体" w:eastAsia="楷体"/>
                <w:sz w:val="28"/>
                <w:szCs w:val="28"/>
              </w:rPr>
            </w:pPr>
            <w:r>
              <w:rPr>
                <w:rFonts w:hint="eastAsia" w:ascii="楷体" w:hAnsi="楷体" w:eastAsia="楷体"/>
                <w:sz w:val="28"/>
                <w:szCs w:val="28"/>
              </w:rPr>
              <w:t>4</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楷体" w:hAnsi="楷体" w:eastAsia="楷体" w:cs="宋体"/>
                <w:kern w:val="0"/>
                <w:sz w:val="28"/>
                <w:szCs w:val="28"/>
              </w:rPr>
            </w:pPr>
            <w:r>
              <w:rPr>
                <w:rFonts w:hint="eastAsia" w:ascii="楷体" w:hAnsi="楷体" w:eastAsia="楷体"/>
                <w:b/>
                <w:sz w:val="28"/>
                <w:szCs w:val="28"/>
              </w:rPr>
              <w:t>危险源辨识及策划控制程序</w:t>
            </w:r>
          </w:p>
        </w:tc>
        <w:tc>
          <w:tcPr>
            <w:tcW w:w="1580" w:type="dxa"/>
            <w:tcBorders>
              <w:top w:val="single" w:color="auto" w:sz="4" w:space="0"/>
              <w:left w:val="nil"/>
              <w:bottom w:val="single" w:color="auto" w:sz="4" w:space="0"/>
              <w:right w:val="single" w:color="auto" w:sz="4" w:space="0"/>
            </w:tcBorders>
            <w:shd w:val="clear" w:color="auto" w:fill="auto"/>
            <w:noWrap/>
          </w:tcPr>
          <w:p>
            <w:pPr>
              <w:jc w:val="center"/>
              <w:rPr>
                <w:rFonts w:ascii="楷体" w:hAnsi="楷体" w:eastAsia="楷体"/>
                <w:sz w:val="28"/>
                <w:szCs w:val="28"/>
              </w:rPr>
            </w:pPr>
            <w:r>
              <w:rPr>
                <w:rFonts w:hint="eastAsia" w:ascii="楷体" w:hAnsi="楷体" w:eastAsia="楷体"/>
                <w:b/>
                <w:sz w:val="28"/>
                <w:szCs w:val="28"/>
              </w:rPr>
              <w:t>LQY-P-04</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4</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ascii="楷体" w:hAnsi="楷体" w:eastAsia="楷体" w:cs="宋体"/>
                <w:kern w:val="0"/>
                <w:sz w:val="28"/>
                <w:szCs w:val="28"/>
              </w:rPr>
              <w:t>A</w:t>
            </w:r>
          </w:p>
        </w:tc>
        <w:tc>
          <w:tcPr>
            <w:tcW w:w="136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0</w:t>
            </w:r>
          </w:p>
        </w:tc>
      </w:tr>
      <w:tr>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tcPr>
          <w:p>
            <w:pPr>
              <w:widowControl/>
              <w:jc w:val="center"/>
              <w:rPr>
                <w:rFonts w:ascii="楷体" w:hAnsi="楷体" w:eastAsia="楷体"/>
                <w:sz w:val="28"/>
                <w:szCs w:val="28"/>
              </w:rPr>
            </w:pPr>
            <w:r>
              <w:rPr>
                <w:rFonts w:hint="eastAsia" w:ascii="楷体" w:hAnsi="楷体" w:eastAsia="楷体"/>
                <w:sz w:val="28"/>
                <w:szCs w:val="28"/>
              </w:rPr>
              <w:t>5</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楷体" w:hAnsi="楷体" w:eastAsia="楷体" w:cs="宋体"/>
                <w:kern w:val="0"/>
                <w:sz w:val="28"/>
                <w:szCs w:val="28"/>
              </w:rPr>
            </w:pPr>
            <w:r>
              <w:rPr>
                <w:rFonts w:hint="eastAsia" w:ascii="楷体" w:hAnsi="楷体" w:eastAsia="楷体"/>
                <w:b/>
                <w:sz w:val="28"/>
                <w:szCs w:val="28"/>
              </w:rPr>
              <w:t>法律法规及其他要求控制程序</w:t>
            </w:r>
          </w:p>
        </w:tc>
        <w:tc>
          <w:tcPr>
            <w:tcW w:w="1580" w:type="dxa"/>
            <w:tcBorders>
              <w:top w:val="single" w:color="auto" w:sz="4" w:space="0"/>
              <w:left w:val="nil"/>
              <w:bottom w:val="single" w:color="auto" w:sz="4" w:space="0"/>
              <w:right w:val="single" w:color="auto" w:sz="4" w:space="0"/>
            </w:tcBorders>
            <w:shd w:val="clear" w:color="auto" w:fill="auto"/>
            <w:noWrap/>
          </w:tcPr>
          <w:p>
            <w:pPr>
              <w:jc w:val="center"/>
              <w:rPr>
                <w:rFonts w:ascii="楷体" w:hAnsi="楷体" w:eastAsia="楷体"/>
                <w:sz w:val="28"/>
                <w:szCs w:val="28"/>
              </w:rPr>
            </w:pPr>
            <w:r>
              <w:rPr>
                <w:rFonts w:hint="eastAsia" w:ascii="楷体" w:hAnsi="楷体" w:eastAsia="楷体"/>
                <w:b/>
                <w:sz w:val="28"/>
                <w:szCs w:val="28"/>
              </w:rPr>
              <w:t>LQY-P-05</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2</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ascii="楷体" w:hAnsi="楷体" w:eastAsia="楷体" w:cs="宋体"/>
                <w:kern w:val="0"/>
                <w:sz w:val="28"/>
                <w:szCs w:val="28"/>
              </w:rPr>
              <w:t>A</w:t>
            </w:r>
          </w:p>
        </w:tc>
        <w:tc>
          <w:tcPr>
            <w:tcW w:w="136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0</w:t>
            </w:r>
          </w:p>
        </w:tc>
      </w:tr>
      <w:tr>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tcPr>
          <w:p>
            <w:pPr>
              <w:widowControl/>
              <w:jc w:val="center"/>
              <w:rPr>
                <w:rFonts w:ascii="楷体" w:hAnsi="楷体" w:eastAsia="楷体"/>
                <w:sz w:val="28"/>
                <w:szCs w:val="28"/>
              </w:rPr>
            </w:pPr>
            <w:r>
              <w:rPr>
                <w:rFonts w:hint="eastAsia" w:ascii="楷体" w:hAnsi="楷体" w:eastAsia="楷体"/>
                <w:sz w:val="28"/>
                <w:szCs w:val="28"/>
              </w:rPr>
              <w:t>6</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楷体" w:hAnsi="楷体" w:eastAsia="楷体" w:cs="宋体"/>
                <w:kern w:val="0"/>
                <w:sz w:val="28"/>
                <w:szCs w:val="28"/>
              </w:rPr>
            </w:pPr>
            <w:r>
              <w:rPr>
                <w:rFonts w:hint="eastAsia" w:ascii="楷体" w:hAnsi="楷体" w:eastAsia="楷体"/>
                <w:b/>
                <w:sz w:val="28"/>
                <w:szCs w:val="28"/>
              </w:rPr>
              <w:t>文件和资料控制程序</w:t>
            </w:r>
          </w:p>
        </w:tc>
        <w:tc>
          <w:tcPr>
            <w:tcW w:w="1580" w:type="dxa"/>
            <w:tcBorders>
              <w:top w:val="single" w:color="auto" w:sz="4" w:space="0"/>
              <w:left w:val="nil"/>
              <w:bottom w:val="single" w:color="auto" w:sz="4" w:space="0"/>
              <w:right w:val="single" w:color="auto" w:sz="4" w:space="0"/>
            </w:tcBorders>
            <w:shd w:val="clear" w:color="auto" w:fill="auto"/>
            <w:noWrap/>
          </w:tcPr>
          <w:p>
            <w:pPr>
              <w:jc w:val="center"/>
              <w:rPr>
                <w:rFonts w:ascii="楷体" w:hAnsi="楷体" w:eastAsia="楷体"/>
                <w:sz w:val="28"/>
                <w:szCs w:val="28"/>
              </w:rPr>
            </w:pPr>
            <w:r>
              <w:rPr>
                <w:rFonts w:hint="eastAsia" w:ascii="楷体" w:hAnsi="楷体" w:eastAsia="楷体"/>
                <w:b/>
                <w:sz w:val="28"/>
                <w:szCs w:val="28"/>
              </w:rPr>
              <w:t>LQY-P-06</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2</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ascii="楷体" w:hAnsi="楷体" w:eastAsia="楷体" w:cs="宋体"/>
                <w:kern w:val="0"/>
                <w:sz w:val="28"/>
                <w:szCs w:val="28"/>
              </w:rPr>
              <w:t>A</w:t>
            </w:r>
          </w:p>
        </w:tc>
        <w:tc>
          <w:tcPr>
            <w:tcW w:w="136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0</w:t>
            </w:r>
          </w:p>
        </w:tc>
      </w:tr>
      <w:tr>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tcPr>
          <w:p>
            <w:pPr>
              <w:widowControl/>
              <w:jc w:val="center"/>
              <w:rPr>
                <w:rFonts w:ascii="楷体" w:hAnsi="楷体" w:eastAsia="楷体"/>
                <w:sz w:val="28"/>
                <w:szCs w:val="28"/>
              </w:rPr>
            </w:pPr>
            <w:r>
              <w:rPr>
                <w:rFonts w:hint="eastAsia" w:ascii="楷体" w:hAnsi="楷体" w:eastAsia="楷体"/>
                <w:sz w:val="28"/>
                <w:szCs w:val="28"/>
              </w:rPr>
              <w:t>7</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楷体" w:hAnsi="楷体" w:eastAsia="楷体" w:cs="宋体"/>
                <w:kern w:val="0"/>
                <w:sz w:val="28"/>
                <w:szCs w:val="28"/>
              </w:rPr>
            </w:pPr>
            <w:r>
              <w:rPr>
                <w:rFonts w:hint="eastAsia" w:ascii="楷体" w:hAnsi="楷体" w:eastAsia="楷体"/>
                <w:b/>
                <w:sz w:val="28"/>
                <w:szCs w:val="28"/>
              </w:rPr>
              <w:t>记录控制程序</w:t>
            </w:r>
          </w:p>
        </w:tc>
        <w:tc>
          <w:tcPr>
            <w:tcW w:w="1580" w:type="dxa"/>
            <w:tcBorders>
              <w:top w:val="single" w:color="auto" w:sz="4" w:space="0"/>
              <w:left w:val="nil"/>
              <w:bottom w:val="single" w:color="auto" w:sz="4" w:space="0"/>
              <w:right w:val="single" w:color="auto" w:sz="4" w:space="0"/>
            </w:tcBorders>
            <w:shd w:val="clear" w:color="auto" w:fill="auto"/>
            <w:noWrap/>
          </w:tcPr>
          <w:p>
            <w:pPr>
              <w:jc w:val="center"/>
              <w:rPr>
                <w:rFonts w:ascii="楷体" w:hAnsi="楷体" w:eastAsia="楷体"/>
                <w:sz w:val="28"/>
                <w:szCs w:val="28"/>
              </w:rPr>
            </w:pPr>
            <w:r>
              <w:rPr>
                <w:rFonts w:hint="eastAsia" w:ascii="楷体" w:hAnsi="楷体" w:eastAsia="楷体"/>
                <w:b/>
                <w:sz w:val="28"/>
                <w:szCs w:val="28"/>
              </w:rPr>
              <w:t>LQY-P-07</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1</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ascii="楷体" w:hAnsi="楷体" w:eastAsia="楷体" w:cs="宋体"/>
                <w:kern w:val="0"/>
                <w:sz w:val="28"/>
                <w:szCs w:val="28"/>
              </w:rPr>
              <w:t>A</w:t>
            </w:r>
          </w:p>
        </w:tc>
        <w:tc>
          <w:tcPr>
            <w:tcW w:w="136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0</w:t>
            </w:r>
          </w:p>
        </w:tc>
      </w:tr>
      <w:tr>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tcPr>
          <w:p>
            <w:pPr>
              <w:widowControl/>
              <w:jc w:val="center"/>
              <w:rPr>
                <w:rFonts w:ascii="楷体" w:hAnsi="楷体" w:eastAsia="楷体"/>
                <w:sz w:val="28"/>
                <w:szCs w:val="28"/>
              </w:rPr>
            </w:pPr>
            <w:r>
              <w:rPr>
                <w:rFonts w:hint="eastAsia" w:ascii="楷体" w:hAnsi="楷体" w:eastAsia="楷体"/>
                <w:sz w:val="28"/>
                <w:szCs w:val="28"/>
              </w:rPr>
              <w:t>8</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楷体" w:hAnsi="楷体" w:eastAsia="楷体" w:cs="宋体"/>
                <w:kern w:val="0"/>
                <w:sz w:val="28"/>
                <w:szCs w:val="28"/>
              </w:rPr>
            </w:pPr>
            <w:r>
              <w:rPr>
                <w:rFonts w:hint="eastAsia" w:ascii="楷体" w:hAnsi="楷体" w:eastAsia="楷体"/>
                <w:b/>
                <w:sz w:val="28"/>
                <w:szCs w:val="28"/>
              </w:rPr>
              <w:t>内部沟通管理程序</w:t>
            </w:r>
          </w:p>
        </w:tc>
        <w:tc>
          <w:tcPr>
            <w:tcW w:w="1580" w:type="dxa"/>
            <w:tcBorders>
              <w:top w:val="single" w:color="auto" w:sz="4" w:space="0"/>
              <w:left w:val="nil"/>
              <w:bottom w:val="single" w:color="auto" w:sz="4" w:space="0"/>
              <w:right w:val="single" w:color="auto" w:sz="4" w:space="0"/>
            </w:tcBorders>
            <w:shd w:val="clear" w:color="auto" w:fill="auto"/>
            <w:noWrap/>
          </w:tcPr>
          <w:p>
            <w:pPr>
              <w:jc w:val="center"/>
              <w:rPr>
                <w:rFonts w:ascii="楷体" w:hAnsi="楷体" w:eastAsia="楷体"/>
                <w:sz w:val="28"/>
                <w:szCs w:val="28"/>
              </w:rPr>
            </w:pPr>
            <w:r>
              <w:rPr>
                <w:rFonts w:hint="eastAsia" w:ascii="楷体" w:hAnsi="楷体" w:eastAsia="楷体"/>
                <w:b/>
                <w:sz w:val="28"/>
                <w:szCs w:val="28"/>
              </w:rPr>
              <w:t>LQY-P-08</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2</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ascii="楷体" w:hAnsi="楷体" w:eastAsia="楷体" w:cs="宋体"/>
                <w:kern w:val="0"/>
                <w:sz w:val="28"/>
                <w:szCs w:val="28"/>
              </w:rPr>
              <w:t>A</w:t>
            </w:r>
          </w:p>
        </w:tc>
        <w:tc>
          <w:tcPr>
            <w:tcW w:w="136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0</w:t>
            </w:r>
          </w:p>
        </w:tc>
      </w:tr>
      <w:tr>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tcPr>
          <w:p>
            <w:pPr>
              <w:widowControl/>
              <w:jc w:val="center"/>
              <w:rPr>
                <w:rFonts w:ascii="楷体" w:hAnsi="楷体" w:eastAsia="楷体"/>
                <w:sz w:val="28"/>
                <w:szCs w:val="28"/>
              </w:rPr>
            </w:pPr>
            <w:r>
              <w:rPr>
                <w:rFonts w:hint="eastAsia" w:ascii="楷体" w:hAnsi="楷体" w:eastAsia="楷体"/>
                <w:sz w:val="28"/>
                <w:szCs w:val="28"/>
              </w:rPr>
              <w:t>9</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楷体" w:hAnsi="楷体" w:eastAsia="楷体" w:cs="宋体"/>
                <w:kern w:val="0"/>
                <w:sz w:val="28"/>
                <w:szCs w:val="28"/>
              </w:rPr>
            </w:pPr>
            <w:r>
              <w:rPr>
                <w:rFonts w:hint="eastAsia" w:ascii="楷体" w:hAnsi="楷体" w:eastAsia="楷体"/>
                <w:b/>
                <w:sz w:val="28"/>
                <w:szCs w:val="28"/>
              </w:rPr>
              <w:t>人力资源控制程序</w:t>
            </w:r>
          </w:p>
        </w:tc>
        <w:tc>
          <w:tcPr>
            <w:tcW w:w="1580" w:type="dxa"/>
            <w:tcBorders>
              <w:top w:val="single" w:color="auto" w:sz="4" w:space="0"/>
              <w:left w:val="nil"/>
              <w:bottom w:val="single" w:color="auto" w:sz="4" w:space="0"/>
              <w:right w:val="single" w:color="auto" w:sz="4" w:space="0"/>
            </w:tcBorders>
            <w:shd w:val="clear" w:color="auto" w:fill="auto"/>
            <w:noWrap/>
          </w:tcPr>
          <w:p>
            <w:pPr>
              <w:jc w:val="center"/>
              <w:rPr>
                <w:rFonts w:ascii="楷体" w:hAnsi="楷体" w:eastAsia="楷体"/>
                <w:sz w:val="28"/>
                <w:szCs w:val="28"/>
              </w:rPr>
            </w:pPr>
            <w:r>
              <w:rPr>
                <w:rFonts w:hint="eastAsia" w:ascii="楷体" w:hAnsi="楷体" w:eastAsia="楷体"/>
                <w:b/>
                <w:sz w:val="28"/>
                <w:szCs w:val="28"/>
              </w:rPr>
              <w:t>LQY-P-09</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2</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ascii="楷体" w:hAnsi="楷体" w:eastAsia="楷体" w:cs="宋体"/>
                <w:kern w:val="0"/>
                <w:sz w:val="28"/>
                <w:szCs w:val="28"/>
              </w:rPr>
              <w:t>A</w:t>
            </w:r>
          </w:p>
        </w:tc>
        <w:tc>
          <w:tcPr>
            <w:tcW w:w="136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0</w:t>
            </w:r>
          </w:p>
        </w:tc>
      </w:tr>
      <w:tr>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tcPr>
          <w:p>
            <w:pPr>
              <w:widowControl/>
              <w:jc w:val="center"/>
              <w:rPr>
                <w:rFonts w:ascii="楷体" w:hAnsi="楷体" w:eastAsia="楷体"/>
                <w:sz w:val="28"/>
                <w:szCs w:val="28"/>
              </w:rPr>
            </w:pPr>
            <w:r>
              <w:rPr>
                <w:rFonts w:hint="eastAsia" w:ascii="楷体" w:hAnsi="楷体" w:eastAsia="楷体"/>
                <w:sz w:val="28"/>
                <w:szCs w:val="28"/>
              </w:rPr>
              <w:t>10</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楷体" w:hAnsi="楷体" w:eastAsia="楷体" w:cs="宋体"/>
                <w:kern w:val="0"/>
                <w:sz w:val="28"/>
                <w:szCs w:val="28"/>
              </w:rPr>
            </w:pPr>
            <w:r>
              <w:rPr>
                <w:rFonts w:hint="eastAsia" w:ascii="楷体" w:hAnsi="楷体" w:eastAsia="楷体"/>
                <w:b/>
                <w:sz w:val="28"/>
                <w:szCs w:val="28"/>
              </w:rPr>
              <w:t>设施与工作环境控制程序</w:t>
            </w:r>
          </w:p>
        </w:tc>
        <w:tc>
          <w:tcPr>
            <w:tcW w:w="1580" w:type="dxa"/>
            <w:tcBorders>
              <w:top w:val="single" w:color="auto" w:sz="4" w:space="0"/>
              <w:left w:val="nil"/>
              <w:bottom w:val="single" w:color="auto" w:sz="4" w:space="0"/>
              <w:right w:val="single" w:color="auto" w:sz="4" w:space="0"/>
            </w:tcBorders>
            <w:shd w:val="clear" w:color="auto" w:fill="auto"/>
            <w:noWrap/>
          </w:tcPr>
          <w:p>
            <w:pPr>
              <w:jc w:val="center"/>
              <w:rPr>
                <w:rFonts w:ascii="楷体" w:hAnsi="楷体" w:eastAsia="楷体"/>
                <w:sz w:val="28"/>
                <w:szCs w:val="28"/>
              </w:rPr>
            </w:pPr>
            <w:r>
              <w:rPr>
                <w:rFonts w:hint="eastAsia" w:ascii="楷体" w:hAnsi="楷体" w:eastAsia="楷体"/>
                <w:b/>
                <w:sz w:val="28"/>
                <w:szCs w:val="28"/>
              </w:rPr>
              <w:t>LQY-P-10</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2</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ascii="楷体" w:hAnsi="楷体" w:eastAsia="楷体" w:cs="宋体"/>
                <w:kern w:val="0"/>
                <w:sz w:val="28"/>
                <w:szCs w:val="28"/>
              </w:rPr>
              <w:t>A</w:t>
            </w:r>
          </w:p>
        </w:tc>
        <w:tc>
          <w:tcPr>
            <w:tcW w:w="136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0</w:t>
            </w:r>
          </w:p>
        </w:tc>
      </w:tr>
      <w:tr>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tcPr>
          <w:p>
            <w:pPr>
              <w:widowControl/>
              <w:jc w:val="center"/>
              <w:rPr>
                <w:rFonts w:ascii="楷体" w:hAnsi="楷体" w:eastAsia="楷体"/>
                <w:sz w:val="28"/>
                <w:szCs w:val="28"/>
              </w:rPr>
            </w:pPr>
            <w:r>
              <w:rPr>
                <w:rFonts w:hint="eastAsia" w:ascii="楷体" w:hAnsi="楷体" w:eastAsia="楷体"/>
                <w:sz w:val="28"/>
                <w:szCs w:val="28"/>
              </w:rPr>
              <w:t>11</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楷体" w:hAnsi="楷体" w:eastAsia="楷体" w:cs="宋体"/>
                <w:kern w:val="0"/>
                <w:sz w:val="28"/>
                <w:szCs w:val="28"/>
              </w:rPr>
            </w:pPr>
            <w:r>
              <w:rPr>
                <w:rFonts w:hint="eastAsia" w:ascii="楷体" w:hAnsi="楷体" w:eastAsia="楷体"/>
                <w:b/>
                <w:sz w:val="28"/>
                <w:szCs w:val="28"/>
              </w:rPr>
              <w:t>设备管理控制程序</w:t>
            </w:r>
          </w:p>
        </w:tc>
        <w:tc>
          <w:tcPr>
            <w:tcW w:w="1580" w:type="dxa"/>
            <w:tcBorders>
              <w:top w:val="single" w:color="auto" w:sz="4" w:space="0"/>
              <w:left w:val="nil"/>
              <w:bottom w:val="single" w:color="auto" w:sz="4" w:space="0"/>
              <w:right w:val="single" w:color="auto" w:sz="4" w:space="0"/>
            </w:tcBorders>
            <w:shd w:val="clear" w:color="auto" w:fill="auto"/>
            <w:noWrap/>
          </w:tcPr>
          <w:p>
            <w:pPr>
              <w:jc w:val="center"/>
              <w:rPr>
                <w:rFonts w:ascii="楷体" w:hAnsi="楷体" w:eastAsia="楷体"/>
                <w:sz w:val="28"/>
                <w:szCs w:val="28"/>
              </w:rPr>
            </w:pPr>
            <w:r>
              <w:rPr>
                <w:rFonts w:hint="eastAsia" w:ascii="楷体" w:hAnsi="楷体" w:eastAsia="楷体"/>
                <w:b/>
                <w:sz w:val="28"/>
                <w:szCs w:val="28"/>
              </w:rPr>
              <w:t>LQY-P-11</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2</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ascii="楷体" w:hAnsi="楷体" w:eastAsia="楷体" w:cs="宋体"/>
                <w:kern w:val="0"/>
                <w:sz w:val="28"/>
                <w:szCs w:val="28"/>
              </w:rPr>
              <w:t>A</w:t>
            </w:r>
          </w:p>
        </w:tc>
        <w:tc>
          <w:tcPr>
            <w:tcW w:w="136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0</w:t>
            </w:r>
          </w:p>
        </w:tc>
      </w:tr>
      <w:tr>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楷体" w:hAnsi="楷体" w:eastAsia="楷体"/>
                <w:sz w:val="28"/>
                <w:szCs w:val="28"/>
              </w:rPr>
            </w:pPr>
            <w:r>
              <w:rPr>
                <w:rFonts w:hint="eastAsia" w:ascii="楷体" w:hAnsi="楷体" w:eastAsia="楷体"/>
                <w:sz w:val="28"/>
                <w:szCs w:val="28"/>
              </w:rPr>
              <w:t>12</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00" w:lineRule="exact"/>
              <w:jc w:val="left"/>
              <w:rPr>
                <w:rFonts w:ascii="楷体" w:hAnsi="楷体" w:eastAsia="楷体"/>
                <w:b/>
                <w:sz w:val="28"/>
                <w:szCs w:val="28"/>
              </w:rPr>
            </w:pPr>
            <w:r>
              <w:rPr>
                <w:rFonts w:hint="eastAsia" w:ascii="楷体" w:hAnsi="楷体" w:eastAsia="楷体"/>
                <w:b/>
                <w:sz w:val="28"/>
                <w:szCs w:val="28"/>
              </w:rPr>
              <w:t>检验、测量和试验设备控制程序</w:t>
            </w:r>
          </w:p>
        </w:tc>
        <w:tc>
          <w:tcPr>
            <w:tcW w:w="1580" w:type="dxa"/>
            <w:tcBorders>
              <w:top w:val="single" w:color="auto" w:sz="4" w:space="0"/>
              <w:left w:val="nil"/>
              <w:bottom w:val="single" w:color="auto" w:sz="4" w:space="0"/>
              <w:right w:val="single" w:color="auto" w:sz="4" w:space="0"/>
            </w:tcBorders>
            <w:shd w:val="clear" w:color="auto" w:fill="auto"/>
            <w:noWrap/>
          </w:tcPr>
          <w:p>
            <w:pPr>
              <w:jc w:val="center"/>
              <w:rPr>
                <w:rFonts w:ascii="楷体" w:hAnsi="楷体" w:eastAsia="楷体"/>
                <w:sz w:val="28"/>
                <w:szCs w:val="28"/>
              </w:rPr>
            </w:pPr>
            <w:r>
              <w:rPr>
                <w:rFonts w:hint="eastAsia" w:ascii="楷体" w:hAnsi="楷体" w:eastAsia="楷体"/>
                <w:b/>
                <w:sz w:val="28"/>
                <w:szCs w:val="28"/>
              </w:rPr>
              <w:t>LQY-P-12</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2</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ascii="楷体" w:hAnsi="楷体" w:eastAsia="楷体" w:cs="宋体"/>
                <w:kern w:val="0"/>
                <w:sz w:val="28"/>
                <w:szCs w:val="28"/>
              </w:rPr>
              <w:t>A</w:t>
            </w:r>
          </w:p>
        </w:tc>
        <w:tc>
          <w:tcPr>
            <w:tcW w:w="136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0</w:t>
            </w:r>
          </w:p>
        </w:tc>
      </w:tr>
      <w:tr>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tcPr>
          <w:p>
            <w:pPr>
              <w:widowControl/>
              <w:jc w:val="center"/>
              <w:rPr>
                <w:rFonts w:ascii="楷体" w:hAnsi="楷体" w:eastAsia="楷体"/>
                <w:sz w:val="28"/>
                <w:szCs w:val="28"/>
              </w:rPr>
            </w:pPr>
            <w:r>
              <w:rPr>
                <w:rFonts w:hint="eastAsia" w:ascii="楷体" w:hAnsi="楷体" w:eastAsia="楷体"/>
                <w:sz w:val="28"/>
                <w:szCs w:val="28"/>
              </w:rPr>
              <w:t>13</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楷体" w:hAnsi="楷体" w:eastAsia="楷体" w:cs="宋体"/>
                <w:kern w:val="0"/>
                <w:sz w:val="28"/>
                <w:szCs w:val="28"/>
              </w:rPr>
            </w:pPr>
            <w:r>
              <w:rPr>
                <w:rFonts w:hint="eastAsia" w:ascii="楷体" w:hAnsi="楷体" w:eastAsia="楷体"/>
                <w:b/>
                <w:sz w:val="28"/>
                <w:szCs w:val="28"/>
              </w:rPr>
              <w:t>与顾客有关的过程控制程序</w:t>
            </w:r>
          </w:p>
        </w:tc>
        <w:tc>
          <w:tcPr>
            <w:tcW w:w="1580" w:type="dxa"/>
            <w:tcBorders>
              <w:top w:val="single" w:color="auto" w:sz="4" w:space="0"/>
              <w:left w:val="nil"/>
              <w:bottom w:val="single" w:color="auto" w:sz="4" w:space="0"/>
              <w:right w:val="single" w:color="auto" w:sz="4" w:space="0"/>
            </w:tcBorders>
            <w:shd w:val="clear" w:color="auto" w:fill="auto"/>
            <w:noWrap/>
          </w:tcPr>
          <w:p>
            <w:pPr>
              <w:jc w:val="center"/>
              <w:rPr>
                <w:rFonts w:ascii="楷体" w:hAnsi="楷体" w:eastAsia="楷体"/>
                <w:sz w:val="28"/>
                <w:szCs w:val="28"/>
              </w:rPr>
            </w:pPr>
            <w:r>
              <w:rPr>
                <w:rFonts w:hint="eastAsia" w:ascii="楷体" w:hAnsi="楷体" w:eastAsia="楷体"/>
                <w:b/>
                <w:sz w:val="28"/>
                <w:szCs w:val="28"/>
              </w:rPr>
              <w:t>LQY-P-13</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2</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ascii="楷体" w:hAnsi="楷体" w:eastAsia="楷体" w:cs="宋体"/>
                <w:kern w:val="0"/>
                <w:sz w:val="28"/>
                <w:szCs w:val="28"/>
              </w:rPr>
              <w:t>A</w:t>
            </w:r>
          </w:p>
        </w:tc>
        <w:tc>
          <w:tcPr>
            <w:tcW w:w="136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0</w:t>
            </w:r>
          </w:p>
        </w:tc>
      </w:tr>
      <w:tr>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tcPr>
          <w:p>
            <w:pPr>
              <w:widowControl/>
              <w:jc w:val="center"/>
              <w:rPr>
                <w:rFonts w:ascii="楷体" w:hAnsi="楷体" w:eastAsia="楷体"/>
                <w:sz w:val="28"/>
                <w:szCs w:val="28"/>
              </w:rPr>
            </w:pPr>
            <w:r>
              <w:rPr>
                <w:rFonts w:hint="eastAsia" w:ascii="楷体" w:hAnsi="楷体" w:eastAsia="楷体"/>
                <w:sz w:val="28"/>
                <w:szCs w:val="28"/>
              </w:rPr>
              <w:t>14</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楷体" w:hAnsi="楷体" w:eastAsia="楷体" w:cs="宋体"/>
                <w:kern w:val="0"/>
                <w:sz w:val="28"/>
                <w:szCs w:val="28"/>
              </w:rPr>
            </w:pPr>
            <w:r>
              <w:rPr>
                <w:rFonts w:hint="eastAsia" w:ascii="楷体" w:hAnsi="楷体" w:eastAsia="楷体"/>
                <w:b/>
                <w:sz w:val="28"/>
                <w:szCs w:val="28"/>
              </w:rPr>
              <w:t>合格供方及相关方控制程序</w:t>
            </w:r>
          </w:p>
        </w:tc>
        <w:tc>
          <w:tcPr>
            <w:tcW w:w="1580" w:type="dxa"/>
            <w:tcBorders>
              <w:top w:val="single" w:color="auto" w:sz="4" w:space="0"/>
              <w:left w:val="nil"/>
              <w:bottom w:val="single" w:color="auto" w:sz="4" w:space="0"/>
              <w:right w:val="single" w:color="auto" w:sz="4" w:space="0"/>
            </w:tcBorders>
            <w:shd w:val="clear" w:color="auto" w:fill="auto"/>
            <w:noWrap/>
          </w:tcPr>
          <w:p>
            <w:pPr>
              <w:jc w:val="center"/>
              <w:rPr>
                <w:rFonts w:ascii="楷体" w:hAnsi="楷体" w:eastAsia="楷体"/>
                <w:sz w:val="28"/>
                <w:szCs w:val="28"/>
              </w:rPr>
            </w:pPr>
            <w:r>
              <w:rPr>
                <w:rFonts w:hint="eastAsia" w:ascii="楷体" w:hAnsi="楷体" w:eastAsia="楷体"/>
                <w:b/>
                <w:sz w:val="28"/>
                <w:szCs w:val="28"/>
              </w:rPr>
              <w:t>LQY-P-14</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2</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ascii="楷体" w:hAnsi="楷体" w:eastAsia="楷体" w:cs="宋体"/>
                <w:kern w:val="0"/>
                <w:sz w:val="28"/>
                <w:szCs w:val="28"/>
              </w:rPr>
              <w:t>A</w:t>
            </w:r>
          </w:p>
        </w:tc>
        <w:tc>
          <w:tcPr>
            <w:tcW w:w="136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0</w:t>
            </w:r>
          </w:p>
        </w:tc>
      </w:tr>
      <w:tr>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tcPr>
          <w:p>
            <w:pPr>
              <w:widowControl/>
              <w:jc w:val="center"/>
              <w:rPr>
                <w:rFonts w:ascii="楷体" w:hAnsi="楷体" w:eastAsia="楷体"/>
                <w:sz w:val="28"/>
                <w:szCs w:val="28"/>
              </w:rPr>
            </w:pPr>
            <w:r>
              <w:rPr>
                <w:rFonts w:hint="eastAsia" w:ascii="楷体" w:hAnsi="楷体" w:eastAsia="楷体"/>
                <w:sz w:val="28"/>
                <w:szCs w:val="28"/>
              </w:rPr>
              <w:t>15</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楷体" w:hAnsi="楷体" w:eastAsia="楷体" w:cs="宋体"/>
                <w:kern w:val="0"/>
                <w:sz w:val="28"/>
                <w:szCs w:val="28"/>
              </w:rPr>
            </w:pPr>
            <w:r>
              <w:rPr>
                <w:rFonts w:hint="eastAsia" w:ascii="楷体" w:hAnsi="楷体" w:eastAsia="楷体"/>
                <w:b/>
                <w:sz w:val="28"/>
                <w:szCs w:val="28"/>
              </w:rPr>
              <w:t>采购控制程序</w:t>
            </w:r>
          </w:p>
        </w:tc>
        <w:tc>
          <w:tcPr>
            <w:tcW w:w="1580" w:type="dxa"/>
            <w:tcBorders>
              <w:top w:val="single" w:color="auto" w:sz="4" w:space="0"/>
              <w:left w:val="nil"/>
              <w:bottom w:val="single" w:color="auto" w:sz="4" w:space="0"/>
              <w:right w:val="single" w:color="auto" w:sz="4" w:space="0"/>
            </w:tcBorders>
            <w:shd w:val="clear" w:color="auto" w:fill="auto"/>
            <w:noWrap/>
          </w:tcPr>
          <w:p>
            <w:pPr>
              <w:jc w:val="center"/>
              <w:rPr>
                <w:rFonts w:ascii="楷体" w:hAnsi="楷体" w:eastAsia="楷体"/>
                <w:sz w:val="28"/>
                <w:szCs w:val="28"/>
              </w:rPr>
            </w:pPr>
            <w:r>
              <w:rPr>
                <w:rFonts w:hint="eastAsia" w:ascii="楷体" w:hAnsi="楷体" w:eastAsia="楷体"/>
                <w:b/>
                <w:sz w:val="28"/>
                <w:szCs w:val="28"/>
              </w:rPr>
              <w:t>LQY-P-15</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2</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ascii="楷体" w:hAnsi="楷体" w:eastAsia="楷体" w:cs="宋体"/>
                <w:kern w:val="0"/>
                <w:sz w:val="28"/>
                <w:szCs w:val="28"/>
              </w:rPr>
              <w:t>A</w:t>
            </w:r>
          </w:p>
        </w:tc>
        <w:tc>
          <w:tcPr>
            <w:tcW w:w="136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0</w:t>
            </w:r>
          </w:p>
        </w:tc>
      </w:tr>
      <w:tr>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tcPr>
          <w:p>
            <w:pPr>
              <w:widowControl/>
              <w:jc w:val="center"/>
              <w:rPr>
                <w:rFonts w:ascii="楷体" w:hAnsi="楷体" w:eastAsia="楷体"/>
                <w:sz w:val="28"/>
                <w:szCs w:val="28"/>
              </w:rPr>
            </w:pPr>
            <w:r>
              <w:rPr>
                <w:rFonts w:hint="eastAsia" w:ascii="楷体" w:hAnsi="楷体" w:eastAsia="楷体"/>
                <w:sz w:val="28"/>
                <w:szCs w:val="28"/>
              </w:rPr>
              <w:t>16</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楷体" w:hAnsi="楷体" w:eastAsia="楷体" w:cs="宋体"/>
                <w:kern w:val="0"/>
                <w:sz w:val="28"/>
                <w:szCs w:val="28"/>
              </w:rPr>
            </w:pPr>
            <w:r>
              <w:rPr>
                <w:rFonts w:hint="eastAsia" w:ascii="楷体" w:hAnsi="楷体" w:eastAsia="楷体"/>
                <w:b/>
                <w:sz w:val="28"/>
                <w:szCs w:val="28"/>
              </w:rPr>
              <w:t>生产和服务运作控制程序</w:t>
            </w:r>
          </w:p>
        </w:tc>
        <w:tc>
          <w:tcPr>
            <w:tcW w:w="1580" w:type="dxa"/>
            <w:tcBorders>
              <w:top w:val="single" w:color="auto" w:sz="4" w:space="0"/>
              <w:left w:val="nil"/>
              <w:bottom w:val="single" w:color="auto" w:sz="4" w:space="0"/>
              <w:right w:val="single" w:color="auto" w:sz="4" w:space="0"/>
            </w:tcBorders>
            <w:shd w:val="clear" w:color="auto" w:fill="auto"/>
            <w:noWrap/>
          </w:tcPr>
          <w:p>
            <w:pPr>
              <w:jc w:val="center"/>
              <w:rPr>
                <w:rFonts w:ascii="楷体" w:hAnsi="楷体" w:eastAsia="楷体"/>
                <w:sz w:val="28"/>
                <w:szCs w:val="28"/>
              </w:rPr>
            </w:pPr>
            <w:r>
              <w:rPr>
                <w:rFonts w:hint="eastAsia" w:ascii="楷体" w:hAnsi="楷体" w:eastAsia="楷体"/>
                <w:b/>
                <w:sz w:val="28"/>
                <w:szCs w:val="28"/>
              </w:rPr>
              <w:t>LQY-P-16</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3</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ascii="楷体" w:hAnsi="楷体" w:eastAsia="楷体" w:cs="宋体"/>
                <w:kern w:val="0"/>
                <w:sz w:val="28"/>
                <w:szCs w:val="28"/>
              </w:rPr>
              <w:t>A</w:t>
            </w:r>
          </w:p>
        </w:tc>
        <w:tc>
          <w:tcPr>
            <w:tcW w:w="136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0</w:t>
            </w:r>
          </w:p>
        </w:tc>
      </w:tr>
      <w:tr>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tcPr>
          <w:p>
            <w:pPr>
              <w:widowControl/>
              <w:jc w:val="center"/>
              <w:rPr>
                <w:rFonts w:ascii="楷体" w:hAnsi="楷体" w:eastAsia="楷体"/>
                <w:sz w:val="28"/>
                <w:szCs w:val="28"/>
              </w:rPr>
            </w:pPr>
            <w:r>
              <w:rPr>
                <w:rFonts w:hint="eastAsia" w:ascii="楷体" w:hAnsi="楷体" w:eastAsia="楷体"/>
                <w:sz w:val="28"/>
                <w:szCs w:val="28"/>
              </w:rPr>
              <w:t>17</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楷体" w:hAnsi="楷体" w:eastAsia="楷体" w:cs="宋体"/>
                <w:kern w:val="0"/>
                <w:sz w:val="28"/>
                <w:szCs w:val="28"/>
              </w:rPr>
            </w:pPr>
            <w:r>
              <w:rPr>
                <w:rFonts w:hint="eastAsia" w:ascii="楷体" w:hAnsi="楷体" w:eastAsia="楷体"/>
                <w:b/>
                <w:sz w:val="28"/>
                <w:szCs w:val="28"/>
              </w:rPr>
              <w:t>工序控制程序</w:t>
            </w:r>
          </w:p>
        </w:tc>
        <w:tc>
          <w:tcPr>
            <w:tcW w:w="1580" w:type="dxa"/>
            <w:tcBorders>
              <w:top w:val="single" w:color="auto" w:sz="4" w:space="0"/>
              <w:left w:val="nil"/>
              <w:bottom w:val="single" w:color="auto" w:sz="4" w:space="0"/>
              <w:right w:val="single" w:color="auto" w:sz="4" w:space="0"/>
            </w:tcBorders>
            <w:shd w:val="clear" w:color="auto" w:fill="auto"/>
            <w:noWrap/>
          </w:tcPr>
          <w:p>
            <w:pPr>
              <w:jc w:val="center"/>
              <w:rPr>
                <w:rFonts w:ascii="楷体" w:hAnsi="楷体" w:eastAsia="楷体"/>
                <w:sz w:val="28"/>
                <w:szCs w:val="28"/>
              </w:rPr>
            </w:pPr>
            <w:r>
              <w:rPr>
                <w:rFonts w:hint="eastAsia" w:ascii="楷体" w:hAnsi="楷体" w:eastAsia="楷体"/>
                <w:b/>
                <w:sz w:val="28"/>
                <w:szCs w:val="28"/>
              </w:rPr>
              <w:t>LQY-P-17</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2</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ascii="楷体" w:hAnsi="楷体" w:eastAsia="楷体" w:cs="宋体"/>
                <w:kern w:val="0"/>
                <w:sz w:val="28"/>
                <w:szCs w:val="28"/>
              </w:rPr>
              <w:t>A</w:t>
            </w:r>
          </w:p>
        </w:tc>
        <w:tc>
          <w:tcPr>
            <w:tcW w:w="136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0</w:t>
            </w:r>
          </w:p>
        </w:tc>
      </w:tr>
      <w:tr>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楷体" w:hAnsi="楷体" w:eastAsia="楷体"/>
                <w:sz w:val="28"/>
                <w:szCs w:val="28"/>
              </w:rPr>
            </w:pPr>
            <w:r>
              <w:rPr>
                <w:rFonts w:hint="eastAsia" w:ascii="楷体" w:hAnsi="楷体" w:eastAsia="楷体"/>
                <w:sz w:val="28"/>
                <w:szCs w:val="28"/>
              </w:rPr>
              <w:t>18</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00" w:lineRule="exact"/>
              <w:jc w:val="left"/>
              <w:rPr>
                <w:rFonts w:ascii="楷体" w:hAnsi="楷体" w:eastAsia="楷体"/>
                <w:b/>
                <w:sz w:val="28"/>
                <w:szCs w:val="28"/>
              </w:rPr>
            </w:pPr>
            <w:r>
              <w:rPr>
                <w:rFonts w:hint="eastAsia" w:ascii="楷体" w:hAnsi="楷体" w:eastAsia="楷体"/>
                <w:b/>
                <w:sz w:val="28"/>
                <w:szCs w:val="28"/>
              </w:rPr>
              <w:t>标识和可追溯性控制程序</w:t>
            </w:r>
          </w:p>
        </w:tc>
        <w:tc>
          <w:tcPr>
            <w:tcW w:w="1580" w:type="dxa"/>
            <w:tcBorders>
              <w:top w:val="single" w:color="auto" w:sz="4" w:space="0"/>
              <w:left w:val="nil"/>
              <w:bottom w:val="single" w:color="auto" w:sz="4" w:space="0"/>
              <w:right w:val="single" w:color="auto" w:sz="4" w:space="0"/>
            </w:tcBorders>
            <w:shd w:val="clear" w:color="auto" w:fill="auto"/>
            <w:noWrap/>
          </w:tcPr>
          <w:p>
            <w:pPr>
              <w:jc w:val="center"/>
              <w:rPr>
                <w:rFonts w:ascii="楷体" w:hAnsi="楷体" w:eastAsia="楷体"/>
                <w:sz w:val="28"/>
                <w:szCs w:val="28"/>
              </w:rPr>
            </w:pPr>
            <w:r>
              <w:rPr>
                <w:rFonts w:hint="eastAsia" w:ascii="楷体" w:hAnsi="楷体" w:eastAsia="楷体"/>
                <w:b/>
                <w:sz w:val="28"/>
                <w:szCs w:val="28"/>
              </w:rPr>
              <w:t>LQY-P-18</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2</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ascii="楷体" w:hAnsi="楷体" w:eastAsia="楷体" w:cs="宋体"/>
                <w:kern w:val="0"/>
                <w:sz w:val="28"/>
                <w:szCs w:val="28"/>
              </w:rPr>
              <w:t>A</w:t>
            </w:r>
          </w:p>
        </w:tc>
        <w:tc>
          <w:tcPr>
            <w:tcW w:w="136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0</w:t>
            </w:r>
          </w:p>
        </w:tc>
      </w:tr>
      <w:tr>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tcPr>
          <w:p>
            <w:pPr>
              <w:widowControl/>
              <w:jc w:val="center"/>
              <w:rPr>
                <w:rFonts w:ascii="楷体" w:hAnsi="楷体" w:eastAsia="楷体"/>
                <w:sz w:val="28"/>
                <w:szCs w:val="28"/>
              </w:rPr>
            </w:pPr>
            <w:r>
              <w:rPr>
                <w:rFonts w:hint="eastAsia" w:ascii="楷体" w:hAnsi="楷体" w:eastAsia="楷体"/>
                <w:sz w:val="28"/>
                <w:szCs w:val="28"/>
              </w:rPr>
              <w:t>19</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楷体" w:hAnsi="楷体" w:eastAsia="楷体" w:cs="宋体"/>
                <w:kern w:val="0"/>
                <w:sz w:val="28"/>
                <w:szCs w:val="28"/>
              </w:rPr>
            </w:pPr>
            <w:r>
              <w:rPr>
                <w:rFonts w:hint="eastAsia" w:ascii="楷体" w:hAnsi="楷体" w:eastAsia="楷体"/>
                <w:b/>
                <w:sz w:val="28"/>
                <w:szCs w:val="28"/>
              </w:rPr>
              <w:t>顾客财产控制程序</w:t>
            </w:r>
          </w:p>
        </w:tc>
        <w:tc>
          <w:tcPr>
            <w:tcW w:w="1580" w:type="dxa"/>
            <w:tcBorders>
              <w:top w:val="single" w:color="auto" w:sz="4" w:space="0"/>
              <w:left w:val="nil"/>
              <w:bottom w:val="single" w:color="auto" w:sz="4" w:space="0"/>
              <w:right w:val="single" w:color="auto" w:sz="4" w:space="0"/>
            </w:tcBorders>
            <w:shd w:val="clear" w:color="auto" w:fill="auto"/>
            <w:noWrap/>
          </w:tcPr>
          <w:p>
            <w:pPr>
              <w:jc w:val="center"/>
              <w:rPr>
                <w:rFonts w:ascii="楷体" w:hAnsi="楷体" w:eastAsia="楷体"/>
                <w:sz w:val="28"/>
                <w:szCs w:val="28"/>
              </w:rPr>
            </w:pPr>
            <w:r>
              <w:rPr>
                <w:rFonts w:hint="eastAsia" w:ascii="楷体" w:hAnsi="楷体" w:eastAsia="楷体"/>
                <w:b/>
                <w:sz w:val="28"/>
                <w:szCs w:val="28"/>
              </w:rPr>
              <w:t>LQY-P-19</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1</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ascii="楷体" w:hAnsi="楷体" w:eastAsia="楷体" w:cs="宋体"/>
                <w:kern w:val="0"/>
                <w:sz w:val="28"/>
                <w:szCs w:val="28"/>
              </w:rPr>
              <w:t>A</w:t>
            </w:r>
          </w:p>
        </w:tc>
        <w:tc>
          <w:tcPr>
            <w:tcW w:w="136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0</w:t>
            </w:r>
          </w:p>
        </w:tc>
      </w:tr>
      <w:tr>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tcPr>
          <w:p>
            <w:pPr>
              <w:widowControl/>
              <w:jc w:val="center"/>
              <w:rPr>
                <w:rFonts w:ascii="楷体" w:hAnsi="楷体" w:eastAsia="楷体"/>
                <w:sz w:val="28"/>
                <w:szCs w:val="28"/>
              </w:rPr>
            </w:pPr>
            <w:r>
              <w:rPr>
                <w:rFonts w:hint="eastAsia" w:ascii="楷体" w:hAnsi="楷体" w:eastAsia="楷体"/>
                <w:sz w:val="28"/>
                <w:szCs w:val="28"/>
              </w:rPr>
              <w:t>20</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楷体" w:hAnsi="楷体" w:eastAsia="楷体" w:cs="宋体"/>
                <w:kern w:val="0"/>
                <w:sz w:val="28"/>
                <w:szCs w:val="28"/>
              </w:rPr>
            </w:pPr>
            <w:r>
              <w:rPr>
                <w:rFonts w:hint="eastAsia" w:ascii="楷体" w:hAnsi="楷体" w:eastAsia="楷体"/>
                <w:b/>
                <w:sz w:val="28"/>
                <w:szCs w:val="28"/>
              </w:rPr>
              <w:t>产品防护控制程序</w:t>
            </w:r>
          </w:p>
        </w:tc>
        <w:tc>
          <w:tcPr>
            <w:tcW w:w="1580" w:type="dxa"/>
            <w:tcBorders>
              <w:top w:val="single" w:color="auto" w:sz="4" w:space="0"/>
              <w:left w:val="nil"/>
              <w:bottom w:val="single" w:color="auto" w:sz="4" w:space="0"/>
              <w:right w:val="single" w:color="auto" w:sz="4" w:space="0"/>
            </w:tcBorders>
            <w:shd w:val="clear" w:color="auto" w:fill="auto"/>
            <w:noWrap/>
          </w:tcPr>
          <w:p>
            <w:pPr>
              <w:jc w:val="center"/>
              <w:rPr>
                <w:rFonts w:ascii="楷体" w:hAnsi="楷体" w:eastAsia="楷体"/>
                <w:sz w:val="28"/>
                <w:szCs w:val="28"/>
              </w:rPr>
            </w:pPr>
            <w:r>
              <w:rPr>
                <w:rFonts w:hint="eastAsia" w:ascii="楷体" w:hAnsi="楷体" w:eastAsia="楷体"/>
                <w:b/>
                <w:sz w:val="28"/>
                <w:szCs w:val="28"/>
              </w:rPr>
              <w:t>LQY-P-20</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2</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ascii="楷体" w:hAnsi="楷体" w:eastAsia="楷体" w:cs="宋体"/>
                <w:kern w:val="0"/>
                <w:sz w:val="28"/>
                <w:szCs w:val="28"/>
              </w:rPr>
              <w:t>A</w:t>
            </w:r>
          </w:p>
        </w:tc>
        <w:tc>
          <w:tcPr>
            <w:tcW w:w="136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0</w:t>
            </w:r>
          </w:p>
        </w:tc>
      </w:tr>
      <w:tr>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tcPr>
          <w:p>
            <w:pPr>
              <w:widowControl/>
              <w:jc w:val="center"/>
              <w:rPr>
                <w:rFonts w:ascii="楷体" w:hAnsi="楷体" w:eastAsia="楷体"/>
                <w:sz w:val="28"/>
                <w:szCs w:val="28"/>
              </w:rPr>
            </w:pPr>
            <w:r>
              <w:rPr>
                <w:rFonts w:hint="eastAsia" w:ascii="楷体" w:hAnsi="楷体" w:eastAsia="楷体"/>
                <w:sz w:val="28"/>
                <w:szCs w:val="28"/>
              </w:rPr>
              <w:t>21</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楷体" w:hAnsi="楷体" w:eastAsia="楷体" w:cs="宋体"/>
                <w:kern w:val="0"/>
                <w:sz w:val="28"/>
                <w:szCs w:val="28"/>
              </w:rPr>
            </w:pPr>
            <w:r>
              <w:rPr>
                <w:rFonts w:hint="eastAsia" w:ascii="楷体" w:hAnsi="楷体" w:eastAsia="楷体"/>
                <w:b/>
                <w:sz w:val="28"/>
                <w:szCs w:val="28"/>
              </w:rPr>
              <w:t>检验和试验控制程序</w:t>
            </w:r>
          </w:p>
        </w:tc>
        <w:tc>
          <w:tcPr>
            <w:tcW w:w="1580" w:type="dxa"/>
            <w:tcBorders>
              <w:top w:val="single" w:color="auto" w:sz="4" w:space="0"/>
              <w:left w:val="nil"/>
              <w:bottom w:val="single" w:color="auto" w:sz="4" w:space="0"/>
              <w:right w:val="single" w:color="auto" w:sz="4" w:space="0"/>
            </w:tcBorders>
            <w:shd w:val="clear" w:color="auto" w:fill="auto"/>
            <w:noWrap/>
          </w:tcPr>
          <w:p>
            <w:pPr>
              <w:jc w:val="center"/>
              <w:rPr>
                <w:rFonts w:ascii="楷体" w:hAnsi="楷体" w:eastAsia="楷体"/>
                <w:sz w:val="28"/>
                <w:szCs w:val="28"/>
              </w:rPr>
            </w:pPr>
            <w:r>
              <w:rPr>
                <w:rFonts w:hint="eastAsia" w:ascii="楷体" w:hAnsi="楷体" w:eastAsia="楷体"/>
                <w:b/>
                <w:sz w:val="28"/>
                <w:szCs w:val="28"/>
              </w:rPr>
              <w:t>LQY-P-21</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2</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ascii="楷体" w:hAnsi="楷体" w:eastAsia="楷体" w:cs="宋体"/>
                <w:kern w:val="0"/>
                <w:sz w:val="28"/>
                <w:szCs w:val="28"/>
              </w:rPr>
              <w:t>A</w:t>
            </w:r>
          </w:p>
        </w:tc>
        <w:tc>
          <w:tcPr>
            <w:tcW w:w="136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0</w:t>
            </w:r>
          </w:p>
        </w:tc>
      </w:tr>
      <w:tr>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tcPr>
          <w:p>
            <w:pPr>
              <w:widowControl/>
              <w:jc w:val="center"/>
              <w:rPr>
                <w:rFonts w:ascii="楷体" w:hAnsi="楷体" w:eastAsia="楷体"/>
                <w:sz w:val="28"/>
                <w:szCs w:val="28"/>
              </w:rPr>
            </w:pPr>
            <w:r>
              <w:rPr>
                <w:rFonts w:hint="eastAsia" w:ascii="楷体" w:hAnsi="楷体" w:eastAsia="楷体"/>
                <w:sz w:val="28"/>
                <w:szCs w:val="28"/>
              </w:rPr>
              <w:t>22</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楷体" w:hAnsi="楷体" w:eastAsia="楷体" w:cs="宋体"/>
                <w:kern w:val="0"/>
                <w:sz w:val="28"/>
                <w:szCs w:val="28"/>
              </w:rPr>
            </w:pPr>
            <w:r>
              <w:rPr>
                <w:rFonts w:hint="eastAsia" w:ascii="楷体" w:hAnsi="楷体" w:eastAsia="楷体"/>
                <w:b/>
                <w:sz w:val="28"/>
                <w:szCs w:val="28"/>
              </w:rPr>
              <w:t>不合格品控制程序</w:t>
            </w:r>
          </w:p>
        </w:tc>
        <w:tc>
          <w:tcPr>
            <w:tcW w:w="1580" w:type="dxa"/>
            <w:tcBorders>
              <w:top w:val="single" w:color="auto" w:sz="4" w:space="0"/>
              <w:left w:val="nil"/>
              <w:bottom w:val="single" w:color="auto" w:sz="4" w:space="0"/>
              <w:right w:val="single" w:color="auto" w:sz="4" w:space="0"/>
            </w:tcBorders>
            <w:shd w:val="clear" w:color="auto" w:fill="auto"/>
            <w:noWrap/>
          </w:tcPr>
          <w:p>
            <w:pPr>
              <w:jc w:val="center"/>
              <w:rPr>
                <w:rFonts w:ascii="楷体" w:hAnsi="楷体" w:eastAsia="楷体"/>
                <w:sz w:val="28"/>
                <w:szCs w:val="28"/>
              </w:rPr>
            </w:pPr>
            <w:r>
              <w:rPr>
                <w:rFonts w:hint="eastAsia" w:ascii="楷体" w:hAnsi="楷体" w:eastAsia="楷体"/>
                <w:b/>
                <w:sz w:val="28"/>
                <w:szCs w:val="28"/>
              </w:rPr>
              <w:t>LQY-P-22</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2</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ascii="楷体" w:hAnsi="楷体" w:eastAsia="楷体" w:cs="宋体"/>
                <w:kern w:val="0"/>
                <w:sz w:val="28"/>
                <w:szCs w:val="28"/>
              </w:rPr>
              <w:t>A</w:t>
            </w:r>
          </w:p>
        </w:tc>
        <w:tc>
          <w:tcPr>
            <w:tcW w:w="136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0</w:t>
            </w:r>
          </w:p>
        </w:tc>
      </w:tr>
      <w:tr>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tcPr>
          <w:p>
            <w:pPr>
              <w:widowControl/>
              <w:jc w:val="center"/>
              <w:rPr>
                <w:rFonts w:ascii="楷体" w:hAnsi="楷体" w:eastAsia="楷体"/>
                <w:sz w:val="28"/>
                <w:szCs w:val="28"/>
              </w:rPr>
            </w:pPr>
            <w:r>
              <w:rPr>
                <w:rFonts w:hint="eastAsia" w:ascii="楷体" w:hAnsi="楷体" w:eastAsia="楷体"/>
                <w:sz w:val="28"/>
                <w:szCs w:val="28"/>
              </w:rPr>
              <w:t>23</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楷体" w:hAnsi="楷体" w:eastAsia="楷体" w:cs="宋体"/>
                <w:kern w:val="0"/>
                <w:sz w:val="28"/>
                <w:szCs w:val="28"/>
              </w:rPr>
            </w:pPr>
            <w:r>
              <w:rPr>
                <w:rFonts w:hint="eastAsia" w:ascii="楷体" w:hAnsi="楷体" w:eastAsia="楷体"/>
                <w:b/>
                <w:sz w:val="28"/>
                <w:szCs w:val="28"/>
              </w:rPr>
              <w:t>环境和职业健康安全运行控制程序</w:t>
            </w:r>
          </w:p>
        </w:tc>
        <w:tc>
          <w:tcPr>
            <w:tcW w:w="1580" w:type="dxa"/>
            <w:tcBorders>
              <w:top w:val="single" w:color="auto" w:sz="4" w:space="0"/>
              <w:left w:val="nil"/>
              <w:bottom w:val="single" w:color="auto" w:sz="4" w:space="0"/>
              <w:right w:val="single" w:color="auto" w:sz="4" w:space="0"/>
            </w:tcBorders>
            <w:shd w:val="clear" w:color="auto" w:fill="auto"/>
            <w:noWrap/>
          </w:tcPr>
          <w:p>
            <w:pPr>
              <w:jc w:val="center"/>
              <w:rPr>
                <w:rFonts w:ascii="楷体" w:hAnsi="楷体" w:eastAsia="楷体"/>
                <w:sz w:val="28"/>
                <w:szCs w:val="28"/>
              </w:rPr>
            </w:pPr>
            <w:r>
              <w:rPr>
                <w:rFonts w:hint="eastAsia" w:ascii="楷体" w:hAnsi="楷体" w:eastAsia="楷体"/>
                <w:b/>
                <w:sz w:val="28"/>
                <w:szCs w:val="28"/>
              </w:rPr>
              <w:t>LQY-P-23</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6</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ascii="楷体" w:hAnsi="楷体" w:eastAsia="楷体" w:cs="宋体"/>
                <w:kern w:val="0"/>
                <w:sz w:val="28"/>
                <w:szCs w:val="28"/>
              </w:rPr>
              <w:t>A</w:t>
            </w:r>
          </w:p>
        </w:tc>
        <w:tc>
          <w:tcPr>
            <w:tcW w:w="136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0</w:t>
            </w:r>
          </w:p>
        </w:tc>
      </w:tr>
      <w:tr>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tcPr>
          <w:p>
            <w:pPr>
              <w:widowControl/>
              <w:jc w:val="center"/>
              <w:rPr>
                <w:rFonts w:ascii="楷体" w:hAnsi="楷体" w:eastAsia="楷体"/>
                <w:sz w:val="28"/>
                <w:szCs w:val="28"/>
              </w:rPr>
            </w:pPr>
            <w:r>
              <w:rPr>
                <w:rFonts w:hint="eastAsia" w:ascii="楷体" w:hAnsi="楷体" w:eastAsia="楷体"/>
                <w:sz w:val="28"/>
                <w:szCs w:val="28"/>
              </w:rPr>
              <w:t>24</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楷体" w:hAnsi="楷体" w:eastAsia="楷体" w:cs="宋体"/>
                <w:kern w:val="0"/>
                <w:sz w:val="28"/>
                <w:szCs w:val="28"/>
              </w:rPr>
            </w:pPr>
            <w:r>
              <w:rPr>
                <w:rFonts w:hint="eastAsia" w:ascii="楷体" w:hAnsi="楷体" w:eastAsia="楷体"/>
                <w:b/>
                <w:sz w:val="28"/>
                <w:szCs w:val="28"/>
              </w:rPr>
              <w:t>应急准备和响应控制程序</w:t>
            </w:r>
          </w:p>
        </w:tc>
        <w:tc>
          <w:tcPr>
            <w:tcW w:w="1580" w:type="dxa"/>
            <w:tcBorders>
              <w:top w:val="single" w:color="auto" w:sz="4" w:space="0"/>
              <w:left w:val="nil"/>
              <w:bottom w:val="single" w:color="auto" w:sz="4" w:space="0"/>
              <w:right w:val="single" w:color="auto" w:sz="4" w:space="0"/>
            </w:tcBorders>
            <w:shd w:val="clear" w:color="auto" w:fill="auto"/>
            <w:noWrap/>
          </w:tcPr>
          <w:p>
            <w:pPr>
              <w:jc w:val="center"/>
              <w:rPr>
                <w:rFonts w:ascii="楷体" w:hAnsi="楷体" w:eastAsia="楷体"/>
                <w:sz w:val="28"/>
                <w:szCs w:val="28"/>
              </w:rPr>
            </w:pPr>
            <w:r>
              <w:rPr>
                <w:rFonts w:hint="eastAsia" w:ascii="楷体" w:hAnsi="楷体" w:eastAsia="楷体"/>
                <w:b/>
                <w:sz w:val="28"/>
                <w:szCs w:val="28"/>
              </w:rPr>
              <w:t>LQY-P-24</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2</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ascii="楷体" w:hAnsi="楷体" w:eastAsia="楷体" w:cs="宋体"/>
                <w:kern w:val="0"/>
                <w:sz w:val="28"/>
                <w:szCs w:val="28"/>
              </w:rPr>
              <w:t>A</w:t>
            </w:r>
          </w:p>
        </w:tc>
        <w:tc>
          <w:tcPr>
            <w:tcW w:w="136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0</w:t>
            </w:r>
          </w:p>
        </w:tc>
      </w:tr>
      <w:tr>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tcPr>
          <w:p>
            <w:pPr>
              <w:widowControl/>
              <w:jc w:val="center"/>
              <w:rPr>
                <w:rFonts w:ascii="楷体" w:hAnsi="楷体" w:eastAsia="楷体"/>
                <w:sz w:val="28"/>
                <w:szCs w:val="28"/>
              </w:rPr>
            </w:pPr>
            <w:r>
              <w:rPr>
                <w:rFonts w:hint="eastAsia" w:ascii="楷体" w:hAnsi="楷体" w:eastAsia="楷体"/>
                <w:sz w:val="28"/>
                <w:szCs w:val="28"/>
              </w:rPr>
              <w:t>25</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楷体" w:hAnsi="楷体" w:eastAsia="楷体" w:cs="宋体"/>
                <w:kern w:val="0"/>
                <w:sz w:val="28"/>
                <w:szCs w:val="28"/>
              </w:rPr>
            </w:pPr>
            <w:r>
              <w:rPr>
                <w:rFonts w:hint="eastAsia" w:ascii="楷体" w:hAnsi="楷体" w:eastAsia="楷体"/>
                <w:b/>
                <w:sz w:val="28"/>
                <w:szCs w:val="28"/>
              </w:rPr>
              <w:t>环境和职业健康安全监测控制程序</w:t>
            </w:r>
          </w:p>
        </w:tc>
        <w:tc>
          <w:tcPr>
            <w:tcW w:w="1580" w:type="dxa"/>
            <w:tcBorders>
              <w:top w:val="single" w:color="auto" w:sz="4" w:space="0"/>
              <w:left w:val="nil"/>
              <w:bottom w:val="single" w:color="auto" w:sz="4" w:space="0"/>
              <w:right w:val="single" w:color="auto" w:sz="4" w:space="0"/>
            </w:tcBorders>
            <w:shd w:val="clear" w:color="auto" w:fill="auto"/>
            <w:noWrap/>
          </w:tcPr>
          <w:p>
            <w:pPr>
              <w:jc w:val="center"/>
              <w:rPr>
                <w:rFonts w:ascii="楷体" w:hAnsi="楷体" w:eastAsia="楷体"/>
                <w:sz w:val="28"/>
                <w:szCs w:val="28"/>
              </w:rPr>
            </w:pPr>
            <w:r>
              <w:rPr>
                <w:rFonts w:hint="eastAsia" w:ascii="楷体" w:hAnsi="楷体" w:eastAsia="楷体"/>
                <w:b/>
                <w:sz w:val="28"/>
                <w:szCs w:val="28"/>
              </w:rPr>
              <w:t>LQY-P-25</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2</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ascii="楷体" w:hAnsi="楷体" w:eastAsia="楷体" w:cs="宋体"/>
                <w:kern w:val="0"/>
                <w:sz w:val="28"/>
                <w:szCs w:val="28"/>
              </w:rPr>
              <w:t>A</w:t>
            </w:r>
          </w:p>
        </w:tc>
        <w:tc>
          <w:tcPr>
            <w:tcW w:w="136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0</w:t>
            </w:r>
          </w:p>
        </w:tc>
      </w:tr>
      <w:tr>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tcPr>
          <w:p>
            <w:pPr>
              <w:widowControl/>
              <w:jc w:val="center"/>
              <w:rPr>
                <w:rFonts w:ascii="楷体" w:hAnsi="楷体" w:eastAsia="楷体"/>
                <w:sz w:val="28"/>
                <w:szCs w:val="28"/>
              </w:rPr>
            </w:pPr>
            <w:r>
              <w:rPr>
                <w:rFonts w:hint="eastAsia" w:ascii="楷体" w:hAnsi="楷体" w:eastAsia="楷体"/>
                <w:sz w:val="28"/>
                <w:szCs w:val="28"/>
              </w:rPr>
              <w:t>26</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楷体" w:hAnsi="楷体" w:eastAsia="楷体" w:cs="宋体"/>
                <w:kern w:val="0"/>
                <w:sz w:val="28"/>
                <w:szCs w:val="28"/>
              </w:rPr>
            </w:pPr>
            <w:r>
              <w:rPr>
                <w:rFonts w:hint="eastAsia" w:ascii="楷体" w:hAnsi="楷体" w:eastAsia="楷体"/>
                <w:b/>
                <w:sz w:val="28"/>
                <w:szCs w:val="28"/>
              </w:rPr>
              <w:t>顾客满意度调查管理程序</w:t>
            </w:r>
          </w:p>
        </w:tc>
        <w:tc>
          <w:tcPr>
            <w:tcW w:w="1580" w:type="dxa"/>
            <w:tcBorders>
              <w:top w:val="single" w:color="auto" w:sz="4" w:space="0"/>
              <w:left w:val="nil"/>
              <w:bottom w:val="single" w:color="auto" w:sz="4" w:space="0"/>
              <w:right w:val="single" w:color="auto" w:sz="4" w:space="0"/>
            </w:tcBorders>
            <w:shd w:val="clear" w:color="auto" w:fill="auto"/>
            <w:noWrap/>
          </w:tcPr>
          <w:p>
            <w:pPr>
              <w:jc w:val="center"/>
              <w:rPr>
                <w:rFonts w:ascii="楷体" w:hAnsi="楷体" w:eastAsia="楷体"/>
                <w:sz w:val="28"/>
                <w:szCs w:val="28"/>
              </w:rPr>
            </w:pPr>
            <w:r>
              <w:rPr>
                <w:rFonts w:hint="eastAsia" w:ascii="楷体" w:hAnsi="楷体" w:eastAsia="楷体"/>
                <w:b/>
                <w:sz w:val="28"/>
                <w:szCs w:val="28"/>
              </w:rPr>
              <w:t>LQY-P-26</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1</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ascii="楷体" w:hAnsi="楷体" w:eastAsia="楷体" w:cs="宋体"/>
                <w:kern w:val="0"/>
                <w:sz w:val="28"/>
                <w:szCs w:val="28"/>
              </w:rPr>
              <w:t>A</w:t>
            </w:r>
          </w:p>
        </w:tc>
        <w:tc>
          <w:tcPr>
            <w:tcW w:w="136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0</w:t>
            </w:r>
          </w:p>
        </w:tc>
      </w:tr>
      <w:tr>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tcPr>
          <w:p>
            <w:pPr>
              <w:widowControl/>
              <w:jc w:val="center"/>
              <w:rPr>
                <w:rFonts w:ascii="楷体" w:hAnsi="楷体" w:eastAsia="楷体"/>
                <w:sz w:val="28"/>
                <w:szCs w:val="28"/>
              </w:rPr>
            </w:pPr>
            <w:r>
              <w:rPr>
                <w:rFonts w:hint="eastAsia" w:ascii="楷体" w:hAnsi="楷体" w:eastAsia="楷体"/>
                <w:sz w:val="28"/>
                <w:szCs w:val="28"/>
              </w:rPr>
              <w:t>27</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楷体" w:hAnsi="楷体" w:eastAsia="楷体" w:cs="宋体"/>
                <w:kern w:val="0"/>
                <w:sz w:val="28"/>
                <w:szCs w:val="28"/>
              </w:rPr>
            </w:pPr>
            <w:r>
              <w:rPr>
                <w:rFonts w:hint="eastAsia" w:ascii="楷体" w:hAnsi="楷体" w:eastAsia="楷体"/>
                <w:b/>
                <w:sz w:val="28"/>
                <w:szCs w:val="28"/>
              </w:rPr>
              <w:t>合规性评价控制程序</w:t>
            </w:r>
          </w:p>
        </w:tc>
        <w:tc>
          <w:tcPr>
            <w:tcW w:w="1580" w:type="dxa"/>
            <w:tcBorders>
              <w:top w:val="single" w:color="auto" w:sz="4" w:space="0"/>
              <w:left w:val="nil"/>
              <w:bottom w:val="single" w:color="auto" w:sz="4" w:space="0"/>
              <w:right w:val="single" w:color="auto" w:sz="4" w:space="0"/>
            </w:tcBorders>
            <w:shd w:val="clear" w:color="auto" w:fill="auto"/>
            <w:noWrap/>
          </w:tcPr>
          <w:p>
            <w:pPr>
              <w:jc w:val="center"/>
              <w:rPr>
                <w:rFonts w:ascii="楷体" w:hAnsi="楷体" w:eastAsia="楷体"/>
                <w:sz w:val="28"/>
                <w:szCs w:val="28"/>
              </w:rPr>
            </w:pPr>
            <w:r>
              <w:rPr>
                <w:rFonts w:hint="eastAsia" w:ascii="楷体" w:hAnsi="楷体" w:eastAsia="楷体"/>
                <w:b/>
                <w:sz w:val="28"/>
                <w:szCs w:val="28"/>
              </w:rPr>
              <w:t>LQY-P-27</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2</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ascii="楷体" w:hAnsi="楷体" w:eastAsia="楷体" w:cs="宋体"/>
                <w:kern w:val="0"/>
                <w:sz w:val="28"/>
                <w:szCs w:val="28"/>
              </w:rPr>
              <w:t>A</w:t>
            </w:r>
          </w:p>
        </w:tc>
        <w:tc>
          <w:tcPr>
            <w:tcW w:w="136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0</w:t>
            </w:r>
          </w:p>
        </w:tc>
      </w:tr>
      <w:tr>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tcPr>
          <w:p>
            <w:pPr>
              <w:widowControl/>
              <w:jc w:val="center"/>
              <w:rPr>
                <w:rFonts w:ascii="楷体" w:hAnsi="楷体" w:eastAsia="楷体"/>
                <w:sz w:val="28"/>
                <w:szCs w:val="28"/>
              </w:rPr>
            </w:pPr>
            <w:r>
              <w:rPr>
                <w:rFonts w:hint="eastAsia" w:ascii="楷体" w:hAnsi="楷体" w:eastAsia="楷体"/>
                <w:sz w:val="28"/>
                <w:szCs w:val="28"/>
              </w:rPr>
              <w:t>28</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楷体" w:hAnsi="楷体" w:eastAsia="楷体" w:cs="宋体"/>
                <w:kern w:val="0"/>
                <w:sz w:val="28"/>
                <w:szCs w:val="28"/>
              </w:rPr>
            </w:pPr>
            <w:r>
              <w:rPr>
                <w:rFonts w:hint="eastAsia" w:ascii="楷体" w:hAnsi="楷体" w:eastAsia="楷体"/>
                <w:b/>
                <w:sz w:val="28"/>
                <w:szCs w:val="28"/>
              </w:rPr>
              <w:t>数据分析控制程序</w:t>
            </w:r>
          </w:p>
        </w:tc>
        <w:tc>
          <w:tcPr>
            <w:tcW w:w="1580" w:type="dxa"/>
            <w:tcBorders>
              <w:top w:val="single" w:color="auto" w:sz="4" w:space="0"/>
              <w:left w:val="nil"/>
              <w:bottom w:val="single" w:color="auto" w:sz="4" w:space="0"/>
              <w:right w:val="single" w:color="auto" w:sz="4" w:space="0"/>
            </w:tcBorders>
            <w:shd w:val="clear" w:color="auto" w:fill="auto"/>
            <w:noWrap/>
          </w:tcPr>
          <w:p>
            <w:pPr>
              <w:jc w:val="center"/>
              <w:rPr>
                <w:rFonts w:ascii="楷体" w:hAnsi="楷体" w:eastAsia="楷体"/>
                <w:sz w:val="28"/>
                <w:szCs w:val="28"/>
              </w:rPr>
            </w:pPr>
            <w:r>
              <w:rPr>
                <w:rFonts w:hint="eastAsia" w:ascii="楷体" w:hAnsi="楷体" w:eastAsia="楷体"/>
                <w:b/>
                <w:sz w:val="28"/>
                <w:szCs w:val="28"/>
              </w:rPr>
              <w:t>LQY-P-28</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1</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ascii="楷体" w:hAnsi="楷体" w:eastAsia="楷体" w:cs="宋体"/>
                <w:kern w:val="0"/>
                <w:sz w:val="28"/>
                <w:szCs w:val="28"/>
              </w:rPr>
              <w:t>A</w:t>
            </w:r>
          </w:p>
        </w:tc>
        <w:tc>
          <w:tcPr>
            <w:tcW w:w="1364" w:type="dxa"/>
            <w:tcBorders>
              <w:top w:val="single" w:color="auto" w:sz="4" w:space="0"/>
              <w:left w:val="nil"/>
              <w:bottom w:val="single" w:color="auto" w:sz="4" w:space="0"/>
              <w:right w:val="single" w:color="auto" w:sz="4" w:space="0"/>
            </w:tcBorders>
            <w:shd w:val="clear" w:color="auto" w:fill="auto"/>
            <w:noWrap/>
          </w:tcPr>
          <w:p>
            <w:pPr>
              <w:jc w:val="center"/>
            </w:pPr>
            <w:r>
              <w:rPr>
                <w:rFonts w:hint="eastAsia" w:ascii="楷体" w:hAnsi="楷体" w:eastAsia="楷体" w:cs="宋体"/>
                <w:kern w:val="0"/>
                <w:sz w:val="28"/>
                <w:szCs w:val="28"/>
              </w:rPr>
              <w:t>0</w:t>
            </w:r>
          </w:p>
        </w:tc>
      </w:tr>
      <w:tr>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tcPr>
          <w:p>
            <w:pPr>
              <w:widowControl/>
              <w:jc w:val="center"/>
              <w:rPr>
                <w:rFonts w:ascii="楷体" w:hAnsi="楷体" w:eastAsia="楷体"/>
                <w:sz w:val="28"/>
                <w:szCs w:val="28"/>
              </w:rPr>
            </w:pPr>
            <w:r>
              <w:rPr>
                <w:rFonts w:hint="eastAsia" w:ascii="楷体" w:hAnsi="楷体" w:eastAsia="楷体"/>
                <w:sz w:val="28"/>
                <w:szCs w:val="28"/>
              </w:rPr>
              <w:t>29</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楷体" w:hAnsi="楷体" w:eastAsia="楷体" w:cs="宋体"/>
                <w:kern w:val="0"/>
                <w:sz w:val="28"/>
                <w:szCs w:val="28"/>
              </w:rPr>
            </w:pPr>
            <w:r>
              <w:rPr>
                <w:rFonts w:hint="eastAsia" w:ascii="楷体" w:hAnsi="楷体" w:eastAsia="楷体"/>
                <w:b/>
                <w:sz w:val="28"/>
                <w:szCs w:val="28"/>
              </w:rPr>
              <w:t>内部审核控制程序</w:t>
            </w:r>
          </w:p>
        </w:tc>
        <w:tc>
          <w:tcPr>
            <w:tcW w:w="1580" w:type="dxa"/>
            <w:tcBorders>
              <w:top w:val="single" w:color="auto" w:sz="4" w:space="0"/>
              <w:left w:val="nil"/>
              <w:bottom w:val="single" w:color="auto" w:sz="4" w:space="0"/>
              <w:right w:val="single" w:color="auto" w:sz="4" w:space="0"/>
            </w:tcBorders>
            <w:shd w:val="clear" w:color="auto" w:fill="auto"/>
            <w:noWrap/>
          </w:tcPr>
          <w:p>
            <w:pPr>
              <w:jc w:val="center"/>
              <w:rPr>
                <w:rFonts w:ascii="楷体" w:hAnsi="楷体" w:eastAsia="楷体"/>
                <w:sz w:val="28"/>
                <w:szCs w:val="28"/>
              </w:rPr>
            </w:pPr>
            <w:r>
              <w:rPr>
                <w:rFonts w:hint="eastAsia" w:ascii="楷体" w:hAnsi="楷体" w:eastAsia="楷体"/>
                <w:b/>
                <w:sz w:val="28"/>
                <w:szCs w:val="28"/>
              </w:rPr>
              <w:t>LQY-P-29</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2</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ascii="楷体" w:hAnsi="楷体" w:eastAsia="楷体" w:cs="宋体"/>
                <w:kern w:val="0"/>
                <w:sz w:val="28"/>
                <w:szCs w:val="28"/>
              </w:rPr>
              <w:t>A</w:t>
            </w:r>
          </w:p>
        </w:tc>
        <w:tc>
          <w:tcPr>
            <w:tcW w:w="1364" w:type="dxa"/>
            <w:tcBorders>
              <w:top w:val="single" w:color="auto" w:sz="4" w:space="0"/>
              <w:left w:val="nil"/>
              <w:bottom w:val="single" w:color="auto" w:sz="4" w:space="0"/>
              <w:right w:val="single" w:color="auto" w:sz="4" w:space="0"/>
            </w:tcBorders>
            <w:shd w:val="clear" w:color="auto" w:fill="auto"/>
            <w:noWrap/>
          </w:tcPr>
          <w:p>
            <w:pPr>
              <w:jc w:val="center"/>
            </w:pPr>
            <w:r>
              <w:rPr>
                <w:rFonts w:hint="eastAsia" w:ascii="楷体" w:hAnsi="楷体" w:eastAsia="楷体" w:cs="宋体"/>
                <w:kern w:val="0"/>
                <w:sz w:val="28"/>
                <w:szCs w:val="28"/>
              </w:rPr>
              <w:t>0</w:t>
            </w:r>
          </w:p>
        </w:tc>
      </w:tr>
      <w:tr>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tcPr>
          <w:p>
            <w:pPr>
              <w:widowControl/>
              <w:jc w:val="center"/>
              <w:rPr>
                <w:rFonts w:ascii="楷体" w:hAnsi="楷体" w:eastAsia="楷体"/>
                <w:sz w:val="28"/>
                <w:szCs w:val="28"/>
              </w:rPr>
            </w:pPr>
            <w:r>
              <w:rPr>
                <w:rFonts w:hint="eastAsia" w:ascii="楷体" w:hAnsi="楷体" w:eastAsia="楷体"/>
                <w:sz w:val="28"/>
                <w:szCs w:val="28"/>
              </w:rPr>
              <w:t>30</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楷体" w:hAnsi="楷体" w:eastAsia="楷体" w:cs="宋体"/>
                <w:kern w:val="0"/>
                <w:sz w:val="28"/>
                <w:szCs w:val="28"/>
              </w:rPr>
            </w:pPr>
            <w:r>
              <w:rPr>
                <w:rFonts w:hint="eastAsia" w:ascii="楷体" w:hAnsi="楷体" w:eastAsia="楷体"/>
                <w:b/>
                <w:sz w:val="28"/>
                <w:szCs w:val="28"/>
              </w:rPr>
              <w:t>管理评审控制程序</w:t>
            </w:r>
          </w:p>
        </w:tc>
        <w:tc>
          <w:tcPr>
            <w:tcW w:w="1580" w:type="dxa"/>
            <w:tcBorders>
              <w:top w:val="single" w:color="auto" w:sz="4" w:space="0"/>
              <w:left w:val="nil"/>
              <w:bottom w:val="single" w:color="auto" w:sz="4" w:space="0"/>
              <w:right w:val="single" w:color="auto" w:sz="4" w:space="0"/>
            </w:tcBorders>
            <w:shd w:val="clear" w:color="auto" w:fill="auto"/>
            <w:noWrap/>
          </w:tcPr>
          <w:p>
            <w:pPr>
              <w:jc w:val="center"/>
              <w:rPr>
                <w:rFonts w:ascii="楷体" w:hAnsi="楷体" w:eastAsia="楷体"/>
                <w:sz w:val="28"/>
                <w:szCs w:val="28"/>
              </w:rPr>
            </w:pPr>
            <w:r>
              <w:rPr>
                <w:rFonts w:hint="eastAsia" w:ascii="楷体" w:hAnsi="楷体" w:eastAsia="楷体"/>
                <w:b/>
                <w:sz w:val="28"/>
                <w:szCs w:val="28"/>
              </w:rPr>
              <w:t>LQY-P-30</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2</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ascii="楷体" w:hAnsi="楷体" w:eastAsia="楷体" w:cs="宋体"/>
                <w:kern w:val="0"/>
                <w:sz w:val="28"/>
                <w:szCs w:val="28"/>
              </w:rPr>
              <w:t>A</w:t>
            </w:r>
          </w:p>
        </w:tc>
        <w:tc>
          <w:tcPr>
            <w:tcW w:w="1364" w:type="dxa"/>
            <w:tcBorders>
              <w:top w:val="single" w:color="auto" w:sz="4" w:space="0"/>
              <w:left w:val="nil"/>
              <w:bottom w:val="single" w:color="auto" w:sz="4" w:space="0"/>
              <w:right w:val="single" w:color="auto" w:sz="4" w:space="0"/>
            </w:tcBorders>
            <w:shd w:val="clear" w:color="auto" w:fill="auto"/>
            <w:noWrap/>
          </w:tcPr>
          <w:p>
            <w:pPr>
              <w:jc w:val="center"/>
            </w:pPr>
            <w:r>
              <w:rPr>
                <w:rFonts w:hint="eastAsia" w:ascii="楷体" w:hAnsi="楷体" w:eastAsia="楷体" w:cs="宋体"/>
                <w:kern w:val="0"/>
                <w:sz w:val="28"/>
                <w:szCs w:val="28"/>
              </w:rPr>
              <w:t>0</w:t>
            </w:r>
          </w:p>
        </w:tc>
      </w:tr>
      <w:tr>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tcPr>
          <w:p>
            <w:pPr>
              <w:widowControl/>
              <w:jc w:val="center"/>
              <w:rPr>
                <w:rFonts w:ascii="楷体" w:hAnsi="楷体" w:eastAsia="楷体"/>
                <w:sz w:val="28"/>
                <w:szCs w:val="28"/>
              </w:rPr>
            </w:pPr>
            <w:r>
              <w:rPr>
                <w:rFonts w:hint="eastAsia" w:ascii="楷体" w:hAnsi="楷体" w:eastAsia="楷体"/>
                <w:sz w:val="28"/>
                <w:szCs w:val="28"/>
              </w:rPr>
              <w:t>31</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楷体" w:hAnsi="楷体" w:eastAsia="楷体" w:cs="宋体"/>
                <w:kern w:val="0"/>
                <w:sz w:val="28"/>
                <w:szCs w:val="28"/>
              </w:rPr>
            </w:pPr>
            <w:r>
              <w:rPr>
                <w:rFonts w:hint="eastAsia" w:ascii="楷体" w:hAnsi="楷体" w:eastAsia="楷体"/>
                <w:b/>
                <w:sz w:val="28"/>
                <w:szCs w:val="28"/>
              </w:rPr>
              <w:t>事件、不符合调查处理控制程序</w:t>
            </w:r>
          </w:p>
        </w:tc>
        <w:tc>
          <w:tcPr>
            <w:tcW w:w="1580" w:type="dxa"/>
            <w:tcBorders>
              <w:top w:val="single" w:color="auto" w:sz="4" w:space="0"/>
              <w:left w:val="nil"/>
              <w:bottom w:val="single" w:color="auto" w:sz="4" w:space="0"/>
              <w:right w:val="single" w:color="auto" w:sz="4" w:space="0"/>
            </w:tcBorders>
            <w:shd w:val="clear" w:color="auto" w:fill="auto"/>
            <w:noWrap/>
          </w:tcPr>
          <w:p>
            <w:pPr>
              <w:jc w:val="center"/>
              <w:rPr>
                <w:rFonts w:ascii="楷体" w:hAnsi="楷体" w:eastAsia="楷体"/>
                <w:sz w:val="28"/>
                <w:szCs w:val="28"/>
              </w:rPr>
            </w:pPr>
            <w:r>
              <w:rPr>
                <w:rFonts w:hint="eastAsia" w:ascii="楷体" w:hAnsi="楷体" w:eastAsia="楷体"/>
                <w:b/>
                <w:sz w:val="28"/>
                <w:szCs w:val="28"/>
              </w:rPr>
              <w:t>LQY-P-31</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2</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ascii="楷体" w:hAnsi="楷体" w:eastAsia="楷体" w:cs="宋体"/>
                <w:kern w:val="0"/>
                <w:sz w:val="28"/>
                <w:szCs w:val="28"/>
              </w:rPr>
              <w:t>A</w:t>
            </w:r>
          </w:p>
        </w:tc>
        <w:tc>
          <w:tcPr>
            <w:tcW w:w="1364" w:type="dxa"/>
            <w:tcBorders>
              <w:top w:val="single" w:color="auto" w:sz="4" w:space="0"/>
              <w:left w:val="nil"/>
              <w:bottom w:val="single" w:color="auto" w:sz="4" w:space="0"/>
              <w:right w:val="single" w:color="auto" w:sz="4" w:space="0"/>
            </w:tcBorders>
            <w:shd w:val="clear" w:color="auto" w:fill="auto"/>
            <w:noWrap/>
          </w:tcPr>
          <w:p>
            <w:pPr>
              <w:jc w:val="center"/>
            </w:pPr>
            <w:r>
              <w:rPr>
                <w:rFonts w:hint="eastAsia" w:ascii="楷体" w:hAnsi="楷体" w:eastAsia="楷体" w:cs="宋体"/>
                <w:kern w:val="0"/>
                <w:sz w:val="28"/>
                <w:szCs w:val="28"/>
              </w:rPr>
              <w:t>0</w:t>
            </w:r>
          </w:p>
        </w:tc>
      </w:tr>
      <w:tr>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tcPr>
          <w:p>
            <w:pPr>
              <w:widowControl/>
              <w:jc w:val="center"/>
              <w:rPr>
                <w:rFonts w:ascii="楷体" w:hAnsi="楷体" w:eastAsia="楷体"/>
                <w:sz w:val="28"/>
                <w:szCs w:val="28"/>
              </w:rPr>
            </w:pPr>
            <w:r>
              <w:rPr>
                <w:rFonts w:hint="eastAsia" w:ascii="楷体" w:hAnsi="楷体" w:eastAsia="楷体"/>
                <w:sz w:val="28"/>
                <w:szCs w:val="28"/>
              </w:rPr>
              <w:t>32</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楷体" w:hAnsi="楷体" w:eastAsia="楷体" w:cs="宋体"/>
                <w:kern w:val="0"/>
                <w:sz w:val="28"/>
                <w:szCs w:val="28"/>
              </w:rPr>
            </w:pPr>
            <w:r>
              <w:rPr>
                <w:rFonts w:hint="eastAsia" w:ascii="楷体" w:hAnsi="楷体" w:eastAsia="楷体"/>
                <w:b/>
                <w:sz w:val="28"/>
                <w:szCs w:val="28"/>
              </w:rPr>
              <w:t>纠正和预防措施控制程序</w:t>
            </w:r>
          </w:p>
        </w:tc>
        <w:tc>
          <w:tcPr>
            <w:tcW w:w="1580" w:type="dxa"/>
            <w:tcBorders>
              <w:top w:val="single" w:color="auto" w:sz="4" w:space="0"/>
              <w:left w:val="nil"/>
              <w:bottom w:val="single" w:color="auto" w:sz="4" w:space="0"/>
              <w:right w:val="single" w:color="auto" w:sz="4" w:space="0"/>
            </w:tcBorders>
            <w:shd w:val="clear" w:color="auto" w:fill="auto"/>
            <w:noWrap/>
          </w:tcPr>
          <w:p>
            <w:pPr>
              <w:jc w:val="center"/>
              <w:rPr>
                <w:rFonts w:ascii="楷体" w:hAnsi="楷体" w:eastAsia="楷体"/>
                <w:sz w:val="28"/>
                <w:szCs w:val="28"/>
              </w:rPr>
            </w:pPr>
            <w:r>
              <w:rPr>
                <w:rFonts w:hint="eastAsia" w:ascii="楷体" w:hAnsi="楷体" w:eastAsia="楷体"/>
                <w:b/>
                <w:sz w:val="28"/>
                <w:szCs w:val="28"/>
              </w:rPr>
              <w:t>LQY-P-32</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2</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ascii="楷体" w:hAnsi="楷体" w:eastAsia="楷体" w:cs="宋体"/>
                <w:kern w:val="0"/>
                <w:sz w:val="28"/>
                <w:szCs w:val="28"/>
              </w:rPr>
              <w:t>A</w:t>
            </w:r>
          </w:p>
        </w:tc>
        <w:tc>
          <w:tcPr>
            <w:tcW w:w="1364" w:type="dxa"/>
            <w:tcBorders>
              <w:top w:val="single" w:color="auto" w:sz="4" w:space="0"/>
              <w:left w:val="nil"/>
              <w:bottom w:val="single" w:color="auto" w:sz="4" w:space="0"/>
              <w:right w:val="single" w:color="auto" w:sz="4" w:space="0"/>
            </w:tcBorders>
            <w:shd w:val="clear" w:color="auto" w:fill="auto"/>
            <w:noWrap/>
          </w:tcPr>
          <w:p>
            <w:pPr>
              <w:jc w:val="center"/>
            </w:pPr>
            <w:r>
              <w:rPr>
                <w:rFonts w:hint="eastAsia" w:ascii="楷体" w:hAnsi="楷体" w:eastAsia="楷体" w:cs="宋体"/>
                <w:kern w:val="0"/>
                <w:sz w:val="28"/>
                <w:szCs w:val="28"/>
              </w:rPr>
              <w:t>0</w:t>
            </w:r>
          </w:p>
        </w:tc>
      </w:tr>
      <w:tr>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楷体" w:hAnsi="楷体" w:eastAsia="楷体"/>
                <w:sz w:val="28"/>
                <w:szCs w:val="28"/>
              </w:rPr>
            </w:pPr>
            <w:r>
              <w:rPr>
                <w:rFonts w:hint="eastAsia" w:ascii="楷体" w:hAnsi="楷体" w:eastAsia="楷体"/>
                <w:sz w:val="28"/>
                <w:szCs w:val="28"/>
              </w:rPr>
              <w:t>33</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00" w:lineRule="exact"/>
              <w:jc w:val="left"/>
              <w:rPr>
                <w:rFonts w:ascii="楷体" w:hAnsi="楷体" w:eastAsia="楷体"/>
                <w:b/>
                <w:sz w:val="28"/>
                <w:szCs w:val="28"/>
              </w:rPr>
            </w:pPr>
            <w:r>
              <w:rPr>
                <w:rFonts w:hint="eastAsia" w:ascii="楷体" w:hAnsi="楷体" w:eastAsia="楷体"/>
                <w:b/>
                <w:sz w:val="28"/>
                <w:szCs w:val="28"/>
              </w:rPr>
              <w:t>绩效管理和持续改进管理程序</w:t>
            </w:r>
          </w:p>
        </w:tc>
        <w:tc>
          <w:tcPr>
            <w:tcW w:w="1580" w:type="dxa"/>
            <w:tcBorders>
              <w:top w:val="single" w:color="auto" w:sz="4" w:space="0"/>
              <w:left w:val="nil"/>
              <w:bottom w:val="single" w:color="auto" w:sz="4" w:space="0"/>
              <w:right w:val="single" w:color="auto" w:sz="4" w:space="0"/>
            </w:tcBorders>
            <w:shd w:val="clear" w:color="auto" w:fill="auto"/>
            <w:noWrap/>
          </w:tcPr>
          <w:p>
            <w:pPr>
              <w:jc w:val="center"/>
              <w:rPr>
                <w:rFonts w:ascii="楷体" w:hAnsi="楷体" w:eastAsia="楷体"/>
                <w:sz w:val="28"/>
                <w:szCs w:val="28"/>
              </w:rPr>
            </w:pPr>
            <w:r>
              <w:rPr>
                <w:rFonts w:hint="eastAsia" w:ascii="楷体" w:hAnsi="楷体" w:eastAsia="楷体"/>
                <w:b/>
                <w:sz w:val="28"/>
                <w:szCs w:val="28"/>
              </w:rPr>
              <w:t>LQY-P-33</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2</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ascii="楷体" w:hAnsi="楷体" w:eastAsia="楷体" w:cs="宋体"/>
                <w:kern w:val="0"/>
                <w:sz w:val="28"/>
                <w:szCs w:val="28"/>
              </w:rPr>
              <w:t>A</w:t>
            </w:r>
          </w:p>
        </w:tc>
        <w:tc>
          <w:tcPr>
            <w:tcW w:w="1364" w:type="dxa"/>
            <w:tcBorders>
              <w:top w:val="single" w:color="auto" w:sz="4" w:space="0"/>
              <w:left w:val="nil"/>
              <w:bottom w:val="single" w:color="auto" w:sz="4" w:space="0"/>
              <w:right w:val="single" w:color="auto" w:sz="4" w:space="0"/>
            </w:tcBorders>
            <w:shd w:val="clear" w:color="auto" w:fill="auto"/>
            <w:noWrap/>
          </w:tcPr>
          <w:p>
            <w:pPr>
              <w:jc w:val="center"/>
            </w:pPr>
            <w:r>
              <w:rPr>
                <w:rFonts w:hint="eastAsia" w:ascii="楷体" w:hAnsi="楷体" w:eastAsia="楷体" w:cs="宋体"/>
                <w:kern w:val="0"/>
                <w:sz w:val="28"/>
                <w:szCs w:val="28"/>
              </w:rPr>
              <w:t>0</w:t>
            </w:r>
          </w:p>
        </w:tc>
      </w:tr>
      <w:tr>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34</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楷体" w:hAnsi="楷体" w:eastAsia="楷体" w:cs="宋体"/>
                <w:b/>
                <w:kern w:val="0"/>
                <w:sz w:val="28"/>
                <w:szCs w:val="28"/>
              </w:rPr>
            </w:pPr>
            <w:r>
              <w:rPr>
                <w:rFonts w:hint="eastAsia" w:ascii="楷体" w:hAnsi="楷体" w:eastAsia="楷体" w:cs="宋体"/>
                <w:b/>
                <w:kern w:val="0"/>
                <w:sz w:val="28"/>
                <w:szCs w:val="28"/>
              </w:rPr>
              <w:t>变更控制程序</w:t>
            </w:r>
          </w:p>
        </w:tc>
        <w:tc>
          <w:tcPr>
            <w:tcW w:w="15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r>
              <w:rPr>
                <w:rFonts w:hint="eastAsia" w:ascii="楷体" w:hAnsi="楷体" w:eastAsia="楷体"/>
                <w:b/>
                <w:sz w:val="28"/>
                <w:szCs w:val="28"/>
              </w:rPr>
              <w:t>LQY-P-34</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2</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ascii="楷体" w:hAnsi="楷体" w:eastAsia="楷体" w:cs="宋体"/>
                <w:kern w:val="0"/>
                <w:sz w:val="28"/>
                <w:szCs w:val="28"/>
              </w:rPr>
              <w:t>A</w:t>
            </w:r>
          </w:p>
        </w:tc>
        <w:tc>
          <w:tcPr>
            <w:tcW w:w="1364" w:type="dxa"/>
            <w:tcBorders>
              <w:top w:val="single" w:color="auto" w:sz="4" w:space="0"/>
              <w:left w:val="nil"/>
              <w:bottom w:val="single" w:color="auto" w:sz="4" w:space="0"/>
              <w:right w:val="single" w:color="auto" w:sz="4" w:space="0"/>
            </w:tcBorders>
            <w:shd w:val="clear" w:color="auto" w:fill="auto"/>
            <w:noWrap/>
          </w:tcPr>
          <w:p>
            <w:pPr>
              <w:jc w:val="center"/>
            </w:pPr>
            <w:r>
              <w:rPr>
                <w:rFonts w:hint="eastAsia" w:ascii="楷体" w:hAnsi="楷体" w:eastAsia="楷体" w:cs="宋体"/>
                <w:kern w:val="0"/>
                <w:sz w:val="28"/>
                <w:szCs w:val="28"/>
              </w:rPr>
              <w:t>0</w:t>
            </w:r>
          </w:p>
        </w:tc>
      </w:tr>
      <w:tr>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35</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楷体" w:hAnsi="楷体" w:eastAsia="楷体" w:cs="宋体"/>
                <w:b/>
                <w:kern w:val="0"/>
                <w:sz w:val="28"/>
                <w:szCs w:val="28"/>
              </w:rPr>
            </w:pPr>
            <w:r>
              <w:rPr>
                <w:rFonts w:hint="eastAsia" w:ascii="楷体" w:hAnsi="楷体" w:eastAsia="楷体" w:cs="宋体"/>
                <w:b/>
                <w:kern w:val="0"/>
                <w:sz w:val="28"/>
                <w:szCs w:val="28"/>
              </w:rPr>
              <w:t>组织知识控制程序</w:t>
            </w:r>
          </w:p>
        </w:tc>
        <w:tc>
          <w:tcPr>
            <w:tcW w:w="15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r>
              <w:rPr>
                <w:rFonts w:hint="eastAsia" w:ascii="楷体" w:hAnsi="楷体" w:eastAsia="楷体"/>
                <w:b/>
                <w:sz w:val="28"/>
                <w:szCs w:val="28"/>
              </w:rPr>
              <w:t>LQY-P-35</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2</w:t>
            </w:r>
          </w:p>
        </w:tc>
        <w:tc>
          <w:tcPr>
            <w:tcW w:w="88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ascii="楷体" w:hAnsi="楷体" w:eastAsia="楷体" w:cs="宋体"/>
                <w:kern w:val="0"/>
                <w:sz w:val="28"/>
                <w:szCs w:val="28"/>
              </w:rPr>
              <w:t>A</w:t>
            </w:r>
          </w:p>
        </w:tc>
        <w:tc>
          <w:tcPr>
            <w:tcW w:w="1364" w:type="dxa"/>
            <w:tcBorders>
              <w:top w:val="single" w:color="auto" w:sz="4" w:space="0"/>
              <w:left w:val="nil"/>
              <w:bottom w:val="single" w:color="auto" w:sz="4" w:space="0"/>
              <w:right w:val="single" w:color="auto" w:sz="4" w:space="0"/>
            </w:tcBorders>
            <w:shd w:val="clear" w:color="auto" w:fill="auto"/>
            <w:noWrap/>
          </w:tcPr>
          <w:p>
            <w:pPr>
              <w:jc w:val="center"/>
            </w:pPr>
            <w:r>
              <w:rPr>
                <w:rFonts w:hint="eastAsia" w:ascii="楷体" w:hAnsi="楷体" w:eastAsia="楷体" w:cs="宋体"/>
                <w:kern w:val="0"/>
                <w:sz w:val="28"/>
                <w:szCs w:val="28"/>
              </w:rPr>
              <w:t>0</w:t>
            </w:r>
          </w:p>
        </w:tc>
      </w:tr>
      <w:tr>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tcPr>
          <w:p>
            <w:pPr>
              <w:widowControl/>
              <w:jc w:val="center"/>
              <w:rPr>
                <w:rFonts w:ascii="楷体" w:hAnsi="楷体" w:eastAsia="楷体" w:cs="宋体"/>
                <w:kern w:val="0"/>
                <w:sz w:val="28"/>
                <w:szCs w:val="28"/>
              </w:rPr>
            </w:pPr>
          </w:p>
        </w:tc>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楷体" w:hAnsi="楷体" w:eastAsia="楷体" w:cs="宋体"/>
                <w:b/>
                <w:kern w:val="0"/>
                <w:sz w:val="28"/>
                <w:szCs w:val="28"/>
              </w:rPr>
            </w:pPr>
          </w:p>
        </w:tc>
        <w:tc>
          <w:tcPr>
            <w:tcW w:w="15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b/>
                <w:kern w:val="0"/>
                <w:sz w:val="28"/>
                <w:szCs w:val="28"/>
              </w:rPr>
            </w:pP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p>
        </w:tc>
        <w:tc>
          <w:tcPr>
            <w:tcW w:w="881" w:type="dxa"/>
            <w:tcBorders>
              <w:top w:val="single" w:color="auto" w:sz="4" w:space="0"/>
              <w:left w:val="nil"/>
              <w:bottom w:val="single" w:color="auto" w:sz="4" w:space="0"/>
              <w:right w:val="single" w:color="auto" w:sz="4" w:space="0"/>
            </w:tcBorders>
            <w:shd w:val="clear" w:color="auto" w:fill="auto"/>
            <w:noWrap/>
          </w:tcPr>
          <w:p>
            <w:pPr>
              <w:jc w:val="center"/>
              <w:rPr>
                <w:rFonts w:ascii="楷体" w:hAnsi="楷体" w:eastAsia="楷体" w:cs="宋体"/>
                <w:kern w:val="0"/>
                <w:sz w:val="28"/>
                <w:szCs w:val="28"/>
              </w:rPr>
            </w:pPr>
          </w:p>
        </w:tc>
        <w:tc>
          <w:tcPr>
            <w:tcW w:w="1364" w:type="dxa"/>
            <w:tcBorders>
              <w:top w:val="single" w:color="auto" w:sz="4" w:space="0"/>
              <w:left w:val="nil"/>
              <w:bottom w:val="single" w:color="auto" w:sz="4" w:space="0"/>
              <w:right w:val="single" w:color="auto" w:sz="4" w:space="0"/>
            </w:tcBorders>
            <w:shd w:val="clear" w:color="auto" w:fill="auto"/>
            <w:noWrap/>
          </w:tcPr>
          <w:p>
            <w:pPr>
              <w:jc w:val="center"/>
              <w:rPr>
                <w:rFonts w:ascii="楷体" w:hAnsi="楷体" w:eastAsia="楷体" w:cs="宋体"/>
                <w:kern w:val="0"/>
                <w:sz w:val="28"/>
                <w:szCs w:val="28"/>
              </w:rPr>
            </w:pPr>
          </w:p>
        </w:tc>
      </w:tr>
      <w:tr>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tcPr>
          <w:p>
            <w:pPr>
              <w:widowControl/>
              <w:jc w:val="center"/>
              <w:rPr>
                <w:rFonts w:ascii="楷体" w:hAnsi="楷体" w:eastAsia="楷体" w:cs="宋体"/>
                <w:kern w:val="0"/>
                <w:sz w:val="28"/>
                <w:szCs w:val="28"/>
              </w:rPr>
            </w:pPr>
          </w:p>
        </w:tc>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楷体" w:hAnsi="楷体" w:eastAsia="楷体" w:cs="宋体"/>
                <w:kern w:val="0"/>
                <w:sz w:val="28"/>
                <w:szCs w:val="28"/>
              </w:rPr>
            </w:pPr>
          </w:p>
        </w:tc>
        <w:tc>
          <w:tcPr>
            <w:tcW w:w="15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p>
        </w:tc>
        <w:tc>
          <w:tcPr>
            <w:tcW w:w="136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p>
        </w:tc>
      </w:tr>
      <w:tr>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tcPr>
          <w:p>
            <w:pPr>
              <w:widowControl/>
              <w:jc w:val="center"/>
              <w:rPr>
                <w:rFonts w:ascii="楷体" w:hAnsi="楷体" w:eastAsia="楷体" w:cs="宋体"/>
                <w:kern w:val="0"/>
                <w:sz w:val="28"/>
                <w:szCs w:val="28"/>
              </w:rPr>
            </w:pPr>
          </w:p>
        </w:tc>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楷体" w:hAnsi="楷体" w:eastAsia="楷体" w:cs="宋体"/>
                <w:kern w:val="0"/>
                <w:sz w:val="28"/>
                <w:szCs w:val="28"/>
              </w:rPr>
            </w:pPr>
          </w:p>
        </w:tc>
        <w:tc>
          <w:tcPr>
            <w:tcW w:w="15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p>
        </w:tc>
        <w:tc>
          <w:tcPr>
            <w:tcW w:w="136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p>
        </w:tc>
      </w:tr>
      <w:tr>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tcPr>
          <w:p>
            <w:pPr>
              <w:widowControl/>
              <w:jc w:val="center"/>
              <w:rPr>
                <w:rFonts w:ascii="楷体" w:hAnsi="楷体" w:eastAsia="楷体" w:cs="宋体"/>
                <w:kern w:val="0"/>
                <w:sz w:val="28"/>
                <w:szCs w:val="28"/>
              </w:rPr>
            </w:pPr>
          </w:p>
        </w:tc>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楷体" w:hAnsi="楷体" w:eastAsia="楷体" w:cs="宋体"/>
                <w:kern w:val="0"/>
                <w:sz w:val="28"/>
                <w:szCs w:val="28"/>
              </w:rPr>
            </w:pPr>
          </w:p>
        </w:tc>
        <w:tc>
          <w:tcPr>
            <w:tcW w:w="15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p>
        </w:tc>
        <w:tc>
          <w:tcPr>
            <w:tcW w:w="136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p>
        </w:tc>
      </w:tr>
      <w:tr>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tcPr>
          <w:p>
            <w:pPr>
              <w:widowControl/>
              <w:jc w:val="center"/>
              <w:rPr>
                <w:rFonts w:ascii="楷体" w:hAnsi="楷体" w:eastAsia="楷体" w:cs="宋体"/>
                <w:kern w:val="0"/>
                <w:sz w:val="28"/>
                <w:szCs w:val="28"/>
              </w:rPr>
            </w:pPr>
          </w:p>
        </w:tc>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楷体" w:hAnsi="楷体" w:eastAsia="楷体" w:cs="宋体"/>
                <w:kern w:val="0"/>
                <w:sz w:val="28"/>
                <w:szCs w:val="28"/>
              </w:rPr>
            </w:pPr>
          </w:p>
        </w:tc>
        <w:tc>
          <w:tcPr>
            <w:tcW w:w="15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p>
        </w:tc>
        <w:tc>
          <w:tcPr>
            <w:tcW w:w="136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p>
        </w:tc>
      </w:tr>
      <w:tr>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tcPr>
          <w:p>
            <w:pPr>
              <w:widowControl/>
              <w:jc w:val="center"/>
              <w:rPr>
                <w:rFonts w:ascii="楷体" w:hAnsi="楷体" w:eastAsia="楷体" w:cs="宋体"/>
                <w:kern w:val="0"/>
                <w:sz w:val="28"/>
                <w:szCs w:val="28"/>
              </w:rPr>
            </w:pPr>
          </w:p>
        </w:tc>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楷体" w:hAnsi="楷体" w:eastAsia="楷体" w:cs="宋体"/>
                <w:kern w:val="0"/>
                <w:sz w:val="28"/>
                <w:szCs w:val="28"/>
              </w:rPr>
            </w:pPr>
          </w:p>
        </w:tc>
        <w:tc>
          <w:tcPr>
            <w:tcW w:w="15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p>
        </w:tc>
        <w:tc>
          <w:tcPr>
            <w:tcW w:w="136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p>
        </w:tc>
      </w:tr>
      <w:tr>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tcPr>
          <w:p>
            <w:pPr>
              <w:widowControl/>
              <w:jc w:val="center"/>
              <w:rPr>
                <w:rFonts w:ascii="楷体" w:hAnsi="楷体" w:eastAsia="楷体" w:cs="宋体"/>
                <w:kern w:val="0"/>
                <w:sz w:val="28"/>
                <w:szCs w:val="28"/>
              </w:rPr>
            </w:pPr>
          </w:p>
        </w:tc>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楷体" w:hAnsi="楷体" w:eastAsia="楷体" w:cs="宋体"/>
                <w:kern w:val="0"/>
                <w:sz w:val="28"/>
                <w:szCs w:val="28"/>
              </w:rPr>
            </w:pPr>
          </w:p>
        </w:tc>
        <w:tc>
          <w:tcPr>
            <w:tcW w:w="15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p>
        </w:tc>
        <w:tc>
          <w:tcPr>
            <w:tcW w:w="8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p>
        </w:tc>
        <w:tc>
          <w:tcPr>
            <w:tcW w:w="136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8"/>
                <w:szCs w:val="28"/>
              </w:rPr>
            </w:pPr>
          </w:p>
        </w:tc>
      </w:tr>
    </w:tbl>
    <w:p/>
    <w:tbl>
      <w:tblPr>
        <w:tblStyle w:val="9"/>
        <w:tblW w:w="10133"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283"/>
        <w:gridCol w:w="2410"/>
        <w:gridCol w:w="545"/>
        <w:gridCol w:w="3200"/>
        <w:gridCol w:w="1006"/>
        <w:gridCol w:w="1344"/>
        <w:gridCol w:w="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1203" w:type="dxa"/>
            <w:vMerge w:val="restart"/>
            <w:vAlign w:val="center"/>
          </w:tcPr>
          <w:p>
            <w:pPr>
              <w:spacing w:line="400" w:lineRule="exact"/>
              <w:rPr>
                <w:rFonts w:eastAsia="黑体"/>
                <w:b/>
                <w:sz w:val="36"/>
              </w:rPr>
            </w:pPr>
          </w:p>
        </w:tc>
        <w:tc>
          <w:tcPr>
            <w:tcW w:w="3238" w:type="dxa"/>
            <w:gridSpan w:val="3"/>
            <w:vAlign w:val="center"/>
          </w:tcPr>
          <w:p>
            <w:pPr>
              <w:spacing w:line="400" w:lineRule="exact"/>
              <w:jc w:val="center"/>
              <w:rPr>
                <w:rFonts w:ascii="宋体"/>
                <w:b/>
                <w:sz w:val="30"/>
              </w:rPr>
            </w:pPr>
            <w:r>
              <w:rPr>
                <w:rFonts w:hint="eastAsia" w:ascii="宋体"/>
                <w:b/>
                <w:sz w:val="30"/>
              </w:rPr>
              <w:t>文件名称</w:t>
            </w:r>
          </w:p>
        </w:tc>
        <w:tc>
          <w:tcPr>
            <w:tcW w:w="3200" w:type="dxa"/>
            <w:vAlign w:val="center"/>
          </w:tcPr>
          <w:p>
            <w:pPr>
              <w:pStyle w:val="4"/>
              <w:spacing w:line="400" w:lineRule="exact"/>
              <w:jc w:val="center"/>
              <w:rPr>
                <w:rFonts w:ascii="楷体_GB2312" w:hAnsi="楷体" w:eastAsia="楷体_GB2312"/>
                <w:b/>
                <w:sz w:val="28"/>
                <w:szCs w:val="28"/>
              </w:rPr>
            </w:pPr>
            <w:r>
              <w:rPr>
                <w:rFonts w:hint="eastAsia"/>
                <w:b/>
                <w:sz w:val="28"/>
                <w:szCs w:val="28"/>
              </w:rPr>
              <w:t>风险和机遇控制程序</w:t>
            </w:r>
          </w:p>
        </w:tc>
        <w:tc>
          <w:tcPr>
            <w:tcW w:w="1006" w:type="dxa"/>
            <w:vAlign w:val="center"/>
          </w:tcPr>
          <w:p>
            <w:pPr>
              <w:spacing w:line="400" w:lineRule="exact"/>
              <w:jc w:val="center"/>
              <w:rPr>
                <w:rFonts w:ascii="宋体"/>
                <w:b/>
                <w:sz w:val="30"/>
              </w:rPr>
            </w:pPr>
            <w:r>
              <w:rPr>
                <w:rFonts w:hint="eastAsia" w:ascii="宋体"/>
                <w:b/>
                <w:sz w:val="30"/>
              </w:rPr>
              <w:t>版次</w:t>
            </w:r>
          </w:p>
        </w:tc>
        <w:tc>
          <w:tcPr>
            <w:tcW w:w="1486" w:type="dxa"/>
            <w:gridSpan w:val="2"/>
            <w:vAlign w:val="center"/>
          </w:tcPr>
          <w:p>
            <w:pPr>
              <w:spacing w:line="400" w:lineRule="exact"/>
              <w:jc w:val="center"/>
              <w:rPr>
                <w:rFonts w:ascii="宋体"/>
                <w:b/>
                <w:sz w:val="30"/>
              </w:rPr>
            </w:pPr>
            <w:r>
              <w:rPr>
                <w:rFonts w:hint="eastAsia" w:ascii="宋体"/>
                <w:b/>
                <w:sz w:val="3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1203" w:type="dxa"/>
            <w:vMerge w:val="continue"/>
            <w:vAlign w:val="center"/>
          </w:tcPr>
          <w:p>
            <w:pPr>
              <w:spacing w:line="400" w:lineRule="exact"/>
              <w:jc w:val="center"/>
              <w:rPr>
                <w:rFonts w:eastAsia="黑体"/>
                <w:b/>
                <w:sz w:val="36"/>
              </w:rPr>
            </w:pPr>
          </w:p>
        </w:tc>
        <w:tc>
          <w:tcPr>
            <w:tcW w:w="3238" w:type="dxa"/>
            <w:gridSpan w:val="3"/>
            <w:vAlign w:val="center"/>
          </w:tcPr>
          <w:p>
            <w:pPr>
              <w:spacing w:line="400" w:lineRule="exact"/>
              <w:jc w:val="center"/>
              <w:rPr>
                <w:rFonts w:ascii="宋体"/>
                <w:b/>
                <w:sz w:val="30"/>
              </w:rPr>
            </w:pPr>
            <w:r>
              <w:rPr>
                <w:rFonts w:hint="eastAsia" w:ascii="宋体"/>
                <w:b/>
                <w:sz w:val="30"/>
              </w:rPr>
              <w:t>文件编号</w:t>
            </w:r>
          </w:p>
        </w:tc>
        <w:tc>
          <w:tcPr>
            <w:tcW w:w="3200" w:type="dxa"/>
            <w:vAlign w:val="center"/>
          </w:tcPr>
          <w:p>
            <w:pPr>
              <w:spacing w:line="400" w:lineRule="exact"/>
              <w:jc w:val="center"/>
              <w:rPr>
                <w:rFonts w:ascii="宋体"/>
                <w:b/>
                <w:sz w:val="30"/>
              </w:rPr>
            </w:pPr>
            <w:r>
              <w:rPr>
                <w:rFonts w:hint="eastAsia" w:ascii="宋体"/>
                <w:b/>
                <w:sz w:val="30"/>
              </w:rPr>
              <w:t>LQY-P-01</w:t>
            </w:r>
          </w:p>
        </w:tc>
        <w:tc>
          <w:tcPr>
            <w:tcW w:w="1006" w:type="dxa"/>
            <w:vAlign w:val="center"/>
          </w:tcPr>
          <w:p>
            <w:pPr>
              <w:spacing w:line="400" w:lineRule="exact"/>
              <w:jc w:val="center"/>
              <w:rPr>
                <w:rFonts w:ascii="宋体"/>
                <w:b/>
                <w:sz w:val="30"/>
              </w:rPr>
            </w:pPr>
            <w:r>
              <w:rPr>
                <w:rFonts w:hint="eastAsia" w:ascii="宋体"/>
                <w:b/>
                <w:sz w:val="30"/>
              </w:rPr>
              <w:t>修改</w:t>
            </w:r>
          </w:p>
          <w:p>
            <w:pPr>
              <w:spacing w:line="400" w:lineRule="exact"/>
              <w:jc w:val="center"/>
              <w:rPr>
                <w:rFonts w:ascii="宋体"/>
                <w:b/>
                <w:sz w:val="30"/>
              </w:rPr>
            </w:pPr>
            <w:r>
              <w:rPr>
                <w:rFonts w:hint="eastAsia" w:ascii="宋体"/>
                <w:b/>
                <w:sz w:val="30"/>
              </w:rPr>
              <w:t>状态</w:t>
            </w:r>
          </w:p>
        </w:tc>
        <w:tc>
          <w:tcPr>
            <w:tcW w:w="1486" w:type="dxa"/>
            <w:gridSpan w:val="2"/>
            <w:vAlign w:val="center"/>
          </w:tcPr>
          <w:p>
            <w:pPr>
              <w:spacing w:line="400" w:lineRule="exact"/>
              <w:jc w:val="center"/>
              <w:rPr>
                <w:rFonts w:ascii="宋体"/>
                <w:b/>
                <w:sz w:val="30"/>
              </w:rPr>
            </w:pPr>
            <w:r>
              <w:rPr>
                <w:rFonts w:hint="eastAsia" w:ascii="宋体"/>
                <w:b/>
                <w:sz w:val="3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0133" w:type="dxa"/>
            <w:gridSpan w:val="8"/>
            <w:tcBorders>
              <w:right w:val="single" w:color="auto" w:sz="4" w:space="0"/>
            </w:tcBorders>
          </w:tcPr>
          <w:p>
            <w:pPr>
              <w:pStyle w:val="3"/>
              <w:spacing w:line="360" w:lineRule="exact"/>
              <w:ind w:left="0" w:right="102" w:firstLine="0"/>
              <w:rPr>
                <w:rFonts w:ascii="宋体" w:hAnsi="宋体"/>
                <w:szCs w:val="21"/>
              </w:rPr>
            </w:pPr>
            <w:r>
              <w:rPr>
                <w:rFonts w:hint="eastAsia" w:ascii="宋体" w:hAnsi="宋体"/>
                <w:szCs w:val="21"/>
              </w:rPr>
              <w:t>1.目的</w:t>
            </w:r>
          </w:p>
          <w:p>
            <w:pPr>
              <w:pStyle w:val="3"/>
              <w:spacing w:line="360" w:lineRule="exact"/>
              <w:ind w:left="2" w:leftChars="1" w:right="102" w:firstLine="420" w:firstLineChars="200"/>
              <w:rPr>
                <w:rFonts w:ascii="宋体" w:hAnsi="宋体"/>
                <w:szCs w:val="21"/>
              </w:rPr>
            </w:pPr>
            <w:r>
              <w:rPr>
                <w:rFonts w:hint="eastAsia" w:ascii="宋体" w:hAnsi="宋体"/>
                <w:szCs w:val="21"/>
              </w:rPr>
              <w:t>为通过对公司目标和战略方向相关影响其实现质量管理体系预期结果的各种内外部环境因素的识别与评价，有效应对风险和机遇，特制定本程序。</w:t>
            </w:r>
          </w:p>
          <w:p>
            <w:pPr>
              <w:pStyle w:val="3"/>
              <w:spacing w:line="360" w:lineRule="exact"/>
              <w:ind w:left="462" w:leftChars="20" w:right="102"/>
              <w:rPr>
                <w:rFonts w:ascii="宋体" w:hAnsi="宋体"/>
                <w:szCs w:val="21"/>
              </w:rPr>
            </w:pPr>
            <w:r>
              <w:rPr>
                <w:rFonts w:hint="eastAsia" w:ascii="宋体" w:hAnsi="宋体"/>
                <w:szCs w:val="21"/>
              </w:rPr>
              <w:t>2.适用范围</w:t>
            </w:r>
          </w:p>
          <w:p>
            <w:pPr>
              <w:pStyle w:val="3"/>
              <w:spacing w:line="360" w:lineRule="exact"/>
              <w:ind w:left="462" w:leftChars="20" w:right="102"/>
              <w:rPr>
                <w:rFonts w:ascii="宋体" w:hAnsi="宋体"/>
                <w:szCs w:val="21"/>
              </w:rPr>
            </w:pPr>
            <w:r>
              <w:rPr>
                <w:rFonts w:hint="eastAsia" w:ascii="宋体" w:hAnsi="宋体"/>
                <w:szCs w:val="21"/>
              </w:rPr>
              <w:t>2.1本程序适用于公司质量管理体系所覆盖范围内活动、产品及服务中内外部环境因素的识别与评价和应对风险和机遇的策划和实施；</w:t>
            </w:r>
          </w:p>
          <w:p>
            <w:pPr>
              <w:pStyle w:val="3"/>
              <w:spacing w:line="360" w:lineRule="exact"/>
              <w:ind w:left="462" w:leftChars="20" w:right="102"/>
              <w:rPr>
                <w:rFonts w:ascii="宋体" w:hAnsi="宋体"/>
                <w:szCs w:val="21"/>
              </w:rPr>
            </w:pPr>
            <w:r>
              <w:rPr>
                <w:rFonts w:hint="eastAsia" w:ascii="宋体" w:hAnsi="宋体"/>
                <w:szCs w:val="21"/>
              </w:rPr>
              <w:t>2.2对应标准条款：GB/T19001-2016-6.1。</w:t>
            </w:r>
          </w:p>
          <w:p>
            <w:pPr>
              <w:pStyle w:val="3"/>
              <w:spacing w:line="360" w:lineRule="exact"/>
              <w:ind w:left="462" w:leftChars="20" w:right="102"/>
              <w:rPr>
                <w:rFonts w:ascii="宋体" w:hAnsi="宋体"/>
                <w:szCs w:val="21"/>
              </w:rPr>
            </w:pPr>
            <w:r>
              <w:rPr>
                <w:rFonts w:hint="eastAsia" w:ascii="宋体" w:hAnsi="宋体"/>
                <w:szCs w:val="21"/>
              </w:rPr>
              <w:t>3.职责</w:t>
            </w:r>
          </w:p>
          <w:p>
            <w:pPr>
              <w:pStyle w:val="3"/>
              <w:spacing w:line="360" w:lineRule="exact"/>
              <w:ind w:left="462" w:leftChars="20" w:right="102"/>
              <w:rPr>
                <w:rFonts w:ascii="宋体" w:hAnsi="宋体"/>
                <w:szCs w:val="21"/>
              </w:rPr>
            </w:pPr>
            <w:r>
              <w:rPr>
                <w:rFonts w:hint="eastAsia" w:ascii="宋体" w:hAnsi="宋体"/>
                <w:szCs w:val="21"/>
              </w:rPr>
              <w:t>3.1总经理为负责风险管理活动配备适宜的资源和有资格能胜任的人员，负责风险可接受准则方针的确定，并按制定的评审周期保持对风险和机遇管理的评审。</w:t>
            </w:r>
          </w:p>
          <w:p>
            <w:pPr>
              <w:pStyle w:val="3"/>
              <w:spacing w:line="360" w:lineRule="exact"/>
              <w:ind w:left="462" w:leftChars="20" w:right="102"/>
              <w:rPr>
                <w:rFonts w:ascii="宋体" w:hAnsi="宋体"/>
                <w:szCs w:val="21"/>
              </w:rPr>
            </w:pPr>
            <w:r>
              <w:rPr>
                <w:rFonts w:hint="eastAsia" w:ascii="宋体" w:hAnsi="宋体"/>
                <w:szCs w:val="21"/>
              </w:rPr>
              <w:t>3.2回收利用部负责组织对顾客（产品使用方）风险的识别、分析、评价和控制。</w:t>
            </w:r>
          </w:p>
          <w:p>
            <w:pPr>
              <w:pStyle w:val="3"/>
              <w:spacing w:line="360" w:lineRule="exact"/>
              <w:ind w:left="462" w:leftChars="20" w:right="102"/>
              <w:rPr>
                <w:rFonts w:ascii="宋体" w:hAnsi="宋体"/>
                <w:szCs w:val="21"/>
              </w:rPr>
            </w:pPr>
            <w:r>
              <w:rPr>
                <w:rFonts w:hint="eastAsia" w:ascii="宋体" w:hAnsi="宋体"/>
                <w:szCs w:val="21"/>
              </w:rPr>
              <w:t>3.3回收利用部负责其他利益相关方（外部供方）可能产生的风险的识别、分析、评价和控制。</w:t>
            </w:r>
          </w:p>
          <w:p>
            <w:pPr>
              <w:pStyle w:val="3"/>
              <w:spacing w:line="360" w:lineRule="exact"/>
              <w:ind w:left="462" w:leftChars="20" w:right="102"/>
              <w:rPr>
                <w:rFonts w:ascii="宋体" w:hAnsi="宋体"/>
                <w:szCs w:val="21"/>
              </w:rPr>
            </w:pPr>
            <w:r>
              <w:rPr>
                <w:rFonts w:hint="eastAsia" w:ascii="宋体" w:hAnsi="宋体"/>
                <w:szCs w:val="21"/>
              </w:rPr>
              <w:t>3.4综合部负责建立风险与机遇应对控制程序，并进行维护。负责各部门风险管理过程中的所采取各项措施的完成情况的跟进及落实措施的效果验证。</w:t>
            </w:r>
          </w:p>
          <w:p>
            <w:pPr>
              <w:pStyle w:val="3"/>
              <w:spacing w:line="360" w:lineRule="exact"/>
              <w:ind w:left="462" w:leftChars="20" w:right="102"/>
              <w:rPr>
                <w:rFonts w:ascii="宋体" w:hAnsi="宋体"/>
                <w:szCs w:val="21"/>
              </w:rPr>
            </w:pPr>
            <w:r>
              <w:rPr>
                <w:rFonts w:hint="eastAsia" w:ascii="宋体" w:hAnsi="宋体"/>
                <w:szCs w:val="21"/>
              </w:rPr>
              <w:t>3.5综合部负责知识产权的保护以及专利备案。</w:t>
            </w:r>
          </w:p>
          <w:p>
            <w:pPr>
              <w:pStyle w:val="3"/>
              <w:spacing w:line="360" w:lineRule="exact"/>
              <w:ind w:left="462" w:leftChars="20" w:right="102"/>
              <w:rPr>
                <w:rFonts w:ascii="宋体" w:hAnsi="宋体"/>
                <w:szCs w:val="21"/>
              </w:rPr>
            </w:pPr>
            <w:r>
              <w:rPr>
                <w:rFonts w:hint="eastAsia" w:ascii="宋体" w:hAnsi="宋体"/>
                <w:szCs w:val="21"/>
              </w:rPr>
              <w:t xml:space="preserve">3.6各部门负责本部门业务相关的风险和机遇分析，并制定相应的措施以规避或者降低风险并落实执行。 </w:t>
            </w:r>
          </w:p>
          <w:p>
            <w:pPr>
              <w:pStyle w:val="3"/>
              <w:spacing w:line="360" w:lineRule="exact"/>
              <w:ind w:left="462" w:leftChars="20" w:right="102"/>
              <w:rPr>
                <w:rFonts w:ascii="宋体" w:hAnsi="宋体"/>
                <w:szCs w:val="21"/>
              </w:rPr>
            </w:pPr>
            <w:r>
              <w:rPr>
                <w:rFonts w:hint="eastAsia" w:ascii="宋体" w:hAnsi="宋体"/>
                <w:szCs w:val="21"/>
              </w:rPr>
              <w:t>4.定义</w:t>
            </w:r>
          </w:p>
          <w:p>
            <w:pPr>
              <w:pStyle w:val="3"/>
              <w:spacing w:line="360" w:lineRule="exact"/>
              <w:ind w:left="2" w:leftChars="1" w:right="102" w:firstLine="0"/>
              <w:rPr>
                <w:rFonts w:ascii="宋体" w:hAnsi="宋体"/>
                <w:szCs w:val="21"/>
              </w:rPr>
            </w:pPr>
            <w:r>
              <w:rPr>
                <w:rFonts w:hint="eastAsia" w:ascii="宋体" w:hAnsi="宋体"/>
                <w:szCs w:val="21"/>
              </w:rPr>
              <w:t>4.1应对风险：在一定环境下和一定期限内客观存在的、影响企业目标实现的各种不确定性事件（包括规避风险，为寻求机遇承担风险，消除风险源，改变风险的可能性和后果，分担风险，或通过明智决策延缓风险）。</w:t>
            </w:r>
          </w:p>
          <w:p>
            <w:pPr>
              <w:pStyle w:val="3"/>
              <w:spacing w:line="360" w:lineRule="exact"/>
              <w:ind w:left="2" w:leftChars="1" w:right="102" w:firstLine="0"/>
              <w:rPr>
                <w:rFonts w:ascii="宋体" w:hAnsi="宋体"/>
                <w:szCs w:val="21"/>
              </w:rPr>
            </w:pPr>
            <w:r>
              <w:rPr>
                <w:rFonts w:hint="eastAsia" w:ascii="宋体" w:hAnsi="宋体"/>
                <w:szCs w:val="21"/>
              </w:rPr>
              <w:t>4.2机遇：可能导致采用新的实践，开辟新的市场，赢得新顾客，建立合作伙伴关系，利用新技术以及能够解决组织或顾客需求的其他可能的正面影响。</w:t>
            </w:r>
          </w:p>
          <w:p>
            <w:pPr>
              <w:pStyle w:val="3"/>
              <w:spacing w:line="360" w:lineRule="exact"/>
              <w:ind w:left="462" w:leftChars="20" w:right="102"/>
              <w:rPr>
                <w:rFonts w:ascii="宋体" w:hAnsi="宋体"/>
                <w:szCs w:val="21"/>
              </w:rPr>
            </w:pPr>
            <w:r>
              <w:rPr>
                <w:rFonts w:hint="eastAsia" w:ascii="宋体" w:hAnsi="宋体"/>
                <w:szCs w:val="21"/>
              </w:rPr>
              <w:t>5.工作程序</w:t>
            </w:r>
          </w:p>
          <w:p>
            <w:pPr>
              <w:pStyle w:val="3"/>
              <w:spacing w:line="360" w:lineRule="exact"/>
              <w:ind w:left="462" w:leftChars="20" w:right="102"/>
              <w:rPr>
                <w:rFonts w:ascii="宋体" w:hAnsi="宋体"/>
                <w:szCs w:val="21"/>
              </w:rPr>
            </w:pPr>
            <w:r>
              <w:rPr>
                <w:rFonts w:hint="eastAsia" w:ascii="宋体" w:hAnsi="宋体"/>
                <w:szCs w:val="21"/>
              </w:rPr>
              <w:t>5.1风险与机遇的管理策划</w:t>
            </w:r>
          </w:p>
          <w:p>
            <w:pPr>
              <w:pStyle w:val="3"/>
              <w:spacing w:line="360" w:lineRule="exact"/>
              <w:ind w:left="0" w:right="102" w:firstLine="420" w:firstLineChars="200"/>
              <w:rPr>
                <w:rFonts w:ascii="宋体" w:hAnsi="宋体"/>
                <w:szCs w:val="21"/>
              </w:rPr>
            </w:pPr>
            <w:r>
              <w:rPr>
                <w:rFonts w:hint="eastAsia" w:ascii="宋体" w:hAnsi="宋体"/>
                <w:szCs w:val="21"/>
              </w:rPr>
              <w:t>为全面识别和应对各部门在生产和管理活动中存在的风险和机遇，各部门应建立识别和应对的方法，确认本部门存在的风险，并编制《风险分析与对策表》 。</w:t>
            </w:r>
          </w:p>
          <w:p>
            <w:pPr>
              <w:pStyle w:val="3"/>
              <w:spacing w:line="360" w:lineRule="exact"/>
              <w:ind w:left="42" w:leftChars="20" w:right="102" w:firstLine="420" w:firstLineChars="200"/>
              <w:jc w:val="left"/>
              <w:rPr>
                <w:rFonts w:ascii="宋体" w:hAnsi="宋体"/>
                <w:szCs w:val="21"/>
              </w:rPr>
            </w:pPr>
            <w:r>
              <w:rPr>
                <w:rFonts w:hint="eastAsia" w:ascii="宋体" w:hAnsi="宋体"/>
                <w:szCs w:val="21"/>
              </w:rPr>
              <w:t>在风险和机遇的识别和应对过程中，责任部门应对可能存在风险的车间、生产过程和人员存在风险的进行筛选，风险识别过程中包括但不限于以下方面的风险：</w:t>
            </w:r>
          </w:p>
          <w:p>
            <w:pPr>
              <w:pStyle w:val="3"/>
              <w:spacing w:line="360" w:lineRule="exact"/>
              <w:ind w:left="462" w:leftChars="20" w:right="102"/>
              <w:rPr>
                <w:rFonts w:ascii="宋体" w:hAnsi="宋体"/>
                <w:szCs w:val="21"/>
              </w:rPr>
            </w:pPr>
            <w:r>
              <w:rPr>
                <w:rFonts w:hint="eastAsia" w:ascii="宋体" w:hAnsi="宋体"/>
                <w:szCs w:val="21"/>
              </w:rPr>
              <w:t>5.2风险与机遇的类型</w:t>
            </w:r>
          </w:p>
          <w:p>
            <w:pPr>
              <w:pStyle w:val="3"/>
              <w:spacing w:line="360" w:lineRule="exact"/>
              <w:ind w:left="462" w:leftChars="20" w:right="102"/>
              <w:rPr>
                <w:rFonts w:ascii="宋体" w:hAnsi="宋体"/>
                <w:szCs w:val="21"/>
              </w:rPr>
            </w:pPr>
            <w:r>
              <w:rPr>
                <w:rFonts w:hint="eastAsia" w:ascii="宋体" w:hAnsi="宋体"/>
                <w:szCs w:val="21"/>
              </w:rPr>
              <w:t>5.2.1质量风险与机遇：直接产品质量风险与机遇、间接产品质量风险与机遇；</w:t>
            </w:r>
          </w:p>
          <w:p>
            <w:pPr>
              <w:pStyle w:val="3"/>
              <w:spacing w:line="360" w:lineRule="exact"/>
              <w:ind w:left="462" w:leftChars="20" w:right="102"/>
              <w:rPr>
                <w:rFonts w:ascii="宋体" w:hAnsi="宋体"/>
                <w:szCs w:val="21"/>
              </w:rPr>
            </w:pPr>
            <w:r>
              <w:rPr>
                <w:rFonts w:hint="eastAsia" w:ascii="宋体" w:hAnsi="宋体"/>
                <w:szCs w:val="21"/>
              </w:rPr>
              <w:t xml:space="preserve">5.2.2环境风险与机遇：主要有自然、人文、政治、经济以及其他； </w:t>
            </w:r>
          </w:p>
          <w:p>
            <w:pPr>
              <w:pStyle w:val="3"/>
              <w:spacing w:line="360" w:lineRule="exact"/>
              <w:ind w:left="462" w:leftChars="20" w:right="102"/>
              <w:rPr>
                <w:rFonts w:ascii="宋体" w:hAnsi="宋体"/>
                <w:szCs w:val="21"/>
              </w:rPr>
            </w:pPr>
            <w:r>
              <w:rPr>
                <w:rFonts w:hint="eastAsia" w:ascii="宋体" w:hAnsi="宋体"/>
                <w:szCs w:val="21"/>
              </w:rPr>
              <w:t>5.2.3经营风险与机遇：主要有原材料、员工、设备、供销链、技术、管理、产</w:t>
            </w:r>
          </w:p>
          <w:p>
            <w:pPr>
              <w:pStyle w:val="3"/>
              <w:spacing w:line="360" w:lineRule="exact"/>
              <w:ind w:left="462" w:leftChars="20" w:right="102"/>
              <w:rPr>
                <w:rFonts w:ascii="宋体" w:hAnsi="宋体"/>
                <w:szCs w:val="21"/>
              </w:rPr>
            </w:pPr>
            <w:r>
              <w:rPr>
                <w:rFonts w:hint="eastAsia" w:ascii="宋体" w:hAnsi="宋体"/>
                <w:szCs w:val="21"/>
              </w:rPr>
              <w:t>品、法律、专利及产权；</w:t>
            </w:r>
          </w:p>
          <w:p>
            <w:pPr>
              <w:pStyle w:val="3"/>
              <w:spacing w:line="360" w:lineRule="exact"/>
              <w:ind w:left="462" w:leftChars="20" w:right="102"/>
              <w:rPr>
                <w:rFonts w:ascii="宋体" w:hAnsi="宋体"/>
                <w:szCs w:val="21"/>
              </w:rPr>
            </w:pPr>
            <w:r>
              <w:rPr>
                <w:rFonts w:hint="eastAsia" w:ascii="宋体" w:hAnsi="宋体"/>
                <w:szCs w:val="21"/>
              </w:rPr>
              <w:t>5.2.4市场风险与机遇：包括市场容量、竞争力、价格等；</w:t>
            </w:r>
          </w:p>
          <w:p>
            <w:pPr>
              <w:pStyle w:val="3"/>
              <w:spacing w:line="360" w:lineRule="exact"/>
              <w:ind w:left="462" w:leftChars="20" w:right="102"/>
              <w:rPr>
                <w:rFonts w:ascii="宋体" w:hAnsi="宋体"/>
                <w:szCs w:val="21"/>
              </w:rPr>
            </w:pPr>
            <w:r>
              <w:rPr>
                <w:rFonts w:hint="eastAsia" w:ascii="宋体" w:hAnsi="宋体"/>
                <w:szCs w:val="21"/>
              </w:rPr>
              <w:t>5.2.5财务风险与机遇：资金偿还、资金使用、资金回收、效益分配。</w:t>
            </w:r>
          </w:p>
          <w:p>
            <w:pPr>
              <w:pStyle w:val="3"/>
              <w:spacing w:line="360" w:lineRule="exact"/>
              <w:ind w:left="462" w:leftChars="20" w:right="102"/>
              <w:rPr>
                <w:rFonts w:ascii="宋体" w:hAnsi="宋体"/>
                <w:szCs w:val="21"/>
              </w:rPr>
            </w:pPr>
            <w:r>
              <w:rPr>
                <w:rFonts w:hint="eastAsia" w:ascii="宋体" w:hAnsi="宋体"/>
                <w:szCs w:val="21"/>
              </w:rPr>
              <w:t>5.3质量风险与机遇</w:t>
            </w:r>
          </w:p>
          <w:p>
            <w:pPr>
              <w:pStyle w:val="3"/>
              <w:spacing w:line="360" w:lineRule="exact"/>
              <w:ind w:left="0" w:right="102" w:firstLine="0"/>
              <w:rPr>
                <w:rFonts w:ascii="宋体" w:hAnsi="宋体"/>
                <w:szCs w:val="21"/>
              </w:rPr>
            </w:pPr>
            <w:r>
              <w:rPr>
                <w:rFonts w:hint="eastAsia" w:ascii="宋体" w:hAnsi="宋体"/>
                <w:szCs w:val="21"/>
              </w:rPr>
              <w:t>5.3.1直接质量风险：产品质量问题，导致退货、报废、返修等风险；</w:t>
            </w:r>
          </w:p>
          <w:p>
            <w:pPr>
              <w:pStyle w:val="3"/>
              <w:spacing w:line="360" w:lineRule="exact"/>
              <w:ind w:left="462" w:leftChars="20" w:right="102"/>
              <w:rPr>
                <w:rFonts w:ascii="宋体" w:hAnsi="宋体"/>
                <w:szCs w:val="21"/>
              </w:rPr>
            </w:pPr>
            <w:r>
              <w:rPr>
                <w:rFonts w:hint="eastAsia" w:ascii="宋体" w:hAnsi="宋体"/>
                <w:szCs w:val="21"/>
              </w:rPr>
              <w:t>5.3.2间接质量风险：产品使用过程，损坏了顾客的其它财产权或人身权，应付民事赔偿责任；</w:t>
            </w:r>
          </w:p>
          <w:p>
            <w:pPr>
              <w:pStyle w:val="3"/>
              <w:spacing w:line="360" w:lineRule="exact"/>
              <w:ind w:left="462" w:leftChars="20" w:right="102"/>
              <w:rPr>
                <w:rFonts w:ascii="宋体" w:hAnsi="宋体"/>
                <w:szCs w:val="21"/>
              </w:rPr>
            </w:pPr>
            <w:r>
              <w:rPr>
                <w:rFonts w:hint="eastAsia" w:ascii="宋体" w:hAnsi="宋体"/>
                <w:szCs w:val="21"/>
              </w:rPr>
              <w:t>5.4环境风险与机遇</w:t>
            </w:r>
          </w:p>
          <w:p>
            <w:pPr>
              <w:pStyle w:val="3"/>
              <w:spacing w:line="360" w:lineRule="exact"/>
              <w:ind w:left="462" w:leftChars="20" w:right="102"/>
              <w:rPr>
                <w:rFonts w:ascii="宋体" w:hAnsi="宋体"/>
                <w:szCs w:val="21"/>
              </w:rPr>
            </w:pPr>
            <w:r>
              <w:rPr>
                <w:rFonts w:hint="eastAsia" w:ascii="宋体" w:hAnsi="宋体"/>
                <w:szCs w:val="21"/>
              </w:rPr>
              <w:t>5.4.1产品销售淡季与旺季，影响顾客的采买，也间接影响公司的业绩；</w:t>
            </w:r>
          </w:p>
          <w:p>
            <w:pPr>
              <w:pStyle w:val="3"/>
              <w:spacing w:line="360" w:lineRule="exact"/>
              <w:ind w:left="0" w:right="102" w:firstLine="0"/>
              <w:rPr>
                <w:rFonts w:ascii="宋体" w:hAnsi="宋体"/>
                <w:szCs w:val="21"/>
              </w:rPr>
            </w:pPr>
            <w:r>
              <w:rPr>
                <w:rFonts w:hint="eastAsia" w:ascii="宋体" w:hAnsi="宋体"/>
                <w:szCs w:val="21"/>
              </w:rPr>
              <w:t>5.4.2人文环境：主要体现在不同时间、不同地区、不同民族的人消费习惯以及生活喜欢不同；</w:t>
            </w:r>
          </w:p>
          <w:p>
            <w:pPr>
              <w:pStyle w:val="3"/>
              <w:spacing w:line="360" w:lineRule="exact"/>
              <w:ind w:left="2" w:leftChars="1" w:right="102" w:firstLine="0"/>
              <w:rPr>
                <w:rFonts w:ascii="宋体" w:hAnsi="宋体"/>
                <w:szCs w:val="21"/>
              </w:rPr>
            </w:pPr>
            <w:r>
              <w:rPr>
                <w:rFonts w:hint="eastAsia" w:ascii="宋体" w:hAnsi="宋体"/>
                <w:szCs w:val="21"/>
              </w:rPr>
              <w:t>5.4.3政策环境：法律法规及监管机构与本公司产品、服务、质量、工商、税务等相关的法律法规条例的变化；监管机构（地方政府）新的政策要求；以及国家宏观经济政策、经济环境的变动都会间接影响企业资金融入以及企业运营的必要条件；</w:t>
            </w:r>
          </w:p>
          <w:p>
            <w:pPr>
              <w:pStyle w:val="3"/>
              <w:spacing w:line="360" w:lineRule="exact"/>
              <w:ind w:left="462" w:leftChars="20" w:right="102"/>
              <w:rPr>
                <w:rFonts w:ascii="宋体" w:hAnsi="宋体"/>
                <w:szCs w:val="21"/>
              </w:rPr>
            </w:pPr>
            <w:r>
              <w:rPr>
                <w:rFonts w:hint="eastAsia" w:ascii="宋体" w:hAnsi="宋体"/>
                <w:szCs w:val="21"/>
              </w:rPr>
              <w:t>5.4.4经济环境：利率的变动、汇率的变动通货膨胀或通货紧缩等；</w:t>
            </w:r>
          </w:p>
          <w:p>
            <w:pPr>
              <w:pStyle w:val="3"/>
              <w:spacing w:line="360" w:lineRule="exact"/>
              <w:ind w:left="462" w:leftChars="20" w:right="102"/>
              <w:rPr>
                <w:rFonts w:ascii="宋体" w:hAnsi="宋体"/>
                <w:szCs w:val="21"/>
              </w:rPr>
            </w:pPr>
            <w:r>
              <w:rPr>
                <w:rFonts w:hint="eastAsia" w:ascii="宋体" w:hAnsi="宋体"/>
                <w:szCs w:val="21"/>
              </w:rPr>
              <w:t>5.5经营风险</w:t>
            </w:r>
          </w:p>
          <w:p>
            <w:pPr>
              <w:pStyle w:val="3"/>
              <w:spacing w:line="360" w:lineRule="exact"/>
              <w:ind w:left="2" w:leftChars="1" w:right="102" w:firstLine="0"/>
              <w:rPr>
                <w:rFonts w:ascii="宋体" w:hAnsi="宋体"/>
                <w:szCs w:val="21"/>
              </w:rPr>
            </w:pPr>
            <w:r>
              <w:rPr>
                <w:rFonts w:hint="eastAsia" w:ascii="宋体" w:hAnsi="宋体"/>
                <w:szCs w:val="21"/>
              </w:rPr>
              <w:t>5.5.1原材料供应：只要包括原材料的价格、质量和送货时间的变化，采购过程的欺诈行为，采购人员的疏忽，导致原材料数量以及质量上的不达标等；</w:t>
            </w:r>
          </w:p>
          <w:p>
            <w:pPr>
              <w:pStyle w:val="3"/>
              <w:spacing w:line="360" w:lineRule="exact"/>
              <w:ind w:left="2" w:leftChars="1" w:right="102" w:firstLine="0"/>
              <w:rPr>
                <w:rFonts w:ascii="宋体" w:hAnsi="宋体"/>
                <w:szCs w:val="21"/>
              </w:rPr>
            </w:pPr>
            <w:r>
              <w:rPr>
                <w:rFonts w:hint="eastAsia" w:ascii="宋体" w:hAnsi="宋体"/>
                <w:szCs w:val="21"/>
              </w:rPr>
              <w:t>5.5.2人员风险：采购人员、服务人员，技术人员和其他生产管理人员，由于他们的疏忽导致的风险，以及关键岗位人员的离职等风险；</w:t>
            </w:r>
          </w:p>
          <w:p>
            <w:pPr>
              <w:pStyle w:val="3"/>
              <w:spacing w:line="360" w:lineRule="exact"/>
              <w:ind w:left="462" w:leftChars="20" w:right="102"/>
              <w:rPr>
                <w:rFonts w:ascii="宋体" w:hAnsi="宋体"/>
                <w:szCs w:val="21"/>
              </w:rPr>
            </w:pPr>
            <w:r>
              <w:rPr>
                <w:rFonts w:hint="eastAsia" w:ascii="宋体" w:hAnsi="宋体"/>
                <w:szCs w:val="21"/>
              </w:rPr>
              <w:t>5.5.3设备：生产设备出现意外的故障，导致损坏甚至更换等；</w:t>
            </w:r>
          </w:p>
          <w:p>
            <w:pPr>
              <w:pStyle w:val="3"/>
              <w:spacing w:line="360" w:lineRule="exact"/>
              <w:ind w:left="462" w:leftChars="20" w:right="102"/>
              <w:rPr>
                <w:rFonts w:ascii="宋体" w:hAnsi="宋体"/>
                <w:szCs w:val="21"/>
              </w:rPr>
            </w:pPr>
            <w:r>
              <w:rPr>
                <w:rFonts w:hint="eastAsia" w:ascii="宋体" w:hAnsi="宋体"/>
                <w:szCs w:val="21"/>
              </w:rPr>
              <w:t>5.5.4供销链风险：主要包括供应商和顾客违约，以及供应或销售渠道不畅通等风险；</w:t>
            </w:r>
          </w:p>
          <w:p>
            <w:pPr>
              <w:pStyle w:val="3"/>
              <w:spacing w:line="360" w:lineRule="exact"/>
              <w:ind w:left="462" w:leftChars="20" w:right="102"/>
              <w:rPr>
                <w:rFonts w:ascii="宋体" w:hAnsi="宋体"/>
                <w:szCs w:val="21"/>
              </w:rPr>
            </w:pPr>
            <w:r>
              <w:rPr>
                <w:rFonts w:hint="eastAsia" w:ascii="宋体" w:hAnsi="宋体"/>
                <w:szCs w:val="21"/>
              </w:rPr>
              <w:t>5.5.5法律纠纷：消费者（顾客）投诉等潜在的法律纠纷；</w:t>
            </w:r>
          </w:p>
          <w:p>
            <w:pPr>
              <w:pStyle w:val="3"/>
              <w:spacing w:line="360" w:lineRule="exact"/>
              <w:ind w:left="0" w:right="102" w:firstLine="0"/>
              <w:rPr>
                <w:rFonts w:ascii="宋体" w:hAnsi="宋体"/>
                <w:szCs w:val="21"/>
              </w:rPr>
            </w:pPr>
            <w:r>
              <w:rPr>
                <w:rFonts w:hint="eastAsia" w:ascii="宋体" w:hAnsi="宋体"/>
                <w:szCs w:val="21"/>
              </w:rPr>
              <w:t>5.6市场风险</w:t>
            </w:r>
          </w:p>
          <w:p>
            <w:pPr>
              <w:pStyle w:val="3"/>
              <w:spacing w:line="360" w:lineRule="exact"/>
              <w:ind w:left="0" w:right="102" w:firstLine="0"/>
              <w:rPr>
                <w:rFonts w:ascii="宋体" w:hAnsi="宋体"/>
                <w:szCs w:val="21"/>
              </w:rPr>
            </w:pPr>
            <w:r>
              <w:rPr>
                <w:rFonts w:hint="eastAsia" w:ascii="宋体" w:hAnsi="宋体"/>
                <w:szCs w:val="21"/>
              </w:rPr>
              <w:t>5.6.1市场容量：对市场容量的调查方法不合适，没有准确的弄清市场对象对产品的用量，使产品的的产量大于实际需求，而增加公司的投资风险；</w:t>
            </w:r>
          </w:p>
          <w:p>
            <w:pPr>
              <w:pStyle w:val="3"/>
              <w:spacing w:line="360" w:lineRule="exact"/>
              <w:ind w:left="0" w:right="102" w:firstLine="0"/>
              <w:rPr>
                <w:rFonts w:ascii="宋体" w:hAnsi="宋体"/>
                <w:szCs w:val="21"/>
              </w:rPr>
            </w:pPr>
            <w:r>
              <w:rPr>
                <w:rFonts w:hint="eastAsia" w:ascii="宋体" w:hAnsi="宋体"/>
                <w:szCs w:val="21"/>
              </w:rPr>
              <w:t>5.6.2市场竞争力：竞争对手更加灵活的经营策略，对竞争对手的错误分析可能导致对我们的产品市场的竞争力高估或者低估，从而引发期望值风险；</w:t>
            </w:r>
          </w:p>
          <w:p>
            <w:pPr>
              <w:pStyle w:val="3"/>
              <w:spacing w:line="360" w:lineRule="exact"/>
              <w:ind w:left="-420" w:leftChars="-200" w:right="102" w:firstLine="0"/>
              <w:rPr>
                <w:rFonts w:ascii="宋体" w:hAnsi="宋体"/>
                <w:szCs w:val="21"/>
              </w:rPr>
            </w:pPr>
            <w:r>
              <w:rPr>
                <w:rFonts w:hint="eastAsia" w:ascii="宋体" w:hAnsi="宋体"/>
                <w:szCs w:val="21"/>
              </w:rPr>
              <w:t xml:space="preserve">    5.6.3价格风险：产品的价格风险受产品的成本、质量和声誉、顾客消费等影响；</w:t>
            </w:r>
          </w:p>
          <w:p>
            <w:pPr>
              <w:pStyle w:val="3"/>
              <w:spacing w:line="360" w:lineRule="exact"/>
              <w:ind w:left="0" w:right="102" w:firstLine="0"/>
              <w:rPr>
                <w:rFonts w:ascii="宋体" w:hAnsi="宋体"/>
                <w:szCs w:val="21"/>
              </w:rPr>
            </w:pPr>
            <w:r>
              <w:rPr>
                <w:rFonts w:hint="eastAsia" w:ascii="宋体" w:hAnsi="宋体"/>
                <w:szCs w:val="21"/>
              </w:rPr>
              <w:t>5.7财务风险</w:t>
            </w:r>
          </w:p>
          <w:p>
            <w:pPr>
              <w:pStyle w:val="3"/>
              <w:spacing w:line="360" w:lineRule="exact"/>
              <w:ind w:left="0" w:right="102" w:firstLine="0"/>
              <w:rPr>
                <w:rFonts w:ascii="宋体" w:hAnsi="宋体"/>
                <w:szCs w:val="21"/>
              </w:rPr>
            </w:pPr>
            <w:r>
              <w:rPr>
                <w:rFonts w:hint="eastAsia" w:ascii="宋体" w:hAnsi="宋体"/>
                <w:szCs w:val="21"/>
              </w:rPr>
              <w:t>5.7.1资金偿还过程中的风险：主要受到利率的影响，有极大的不稳定性，增加偿还风险；</w:t>
            </w:r>
          </w:p>
          <w:p>
            <w:pPr>
              <w:pStyle w:val="3"/>
              <w:spacing w:line="360" w:lineRule="exact"/>
              <w:ind w:left="0" w:right="102" w:firstLine="0"/>
              <w:rPr>
                <w:rFonts w:ascii="宋体" w:hAnsi="宋体"/>
                <w:szCs w:val="21"/>
              </w:rPr>
            </w:pPr>
            <w:r>
              <w:rPr>
                <w:rFonts w:hint="eastAsia" w:ascii="宋体" w:hAnsi="宋体"/>
                <w:szCs w:val="21"/>
              </w:rPr>
              <w:t>5.7.2资金回收过程中的风险：应收账款无法及时到账，增加了坏账的出现；</w:t>
            </w:r>
          </w:p>
          <w:p>
            <w:pPr>
              <w:pStyle w:val="3"/>
              <w:spacing w:line="360" w:lineRule="exact"/>
              <w:ind w:left="0" w:right="102" w:firstLine="0"/>
              <w:rPr>
                <w:rFonts w:ascii="宋体" w:hAnsi="宋体"/>
                <w:szCs w:val="21"/>
              </w:rPr>
            </w:pPr>
            <w:r>
              <w:rPr>
                <w:rFonts w:hint="eastAsia" w:ascii="宋体" w:hAnsi="宋体"/>
                <w:szCs w:val="21"/>
              </w:rPr>
              <w:t>5.8风险应对</w:t>
            </w:r>
          </w:p>
          <w:p>
            <w:pPr>
              <w:pStyle w:val="3"/>
              <w:spacing w:line="360" w:lineRule="exact"/>
              <w:ind w:left="0" w:right="102" w:firstLine="0"/>
              <w:rPr>
                <w:rFonts w:ascii="宋体" w:hAnsi="宋体"/>
                <w:szCs w:val="21"/>
              </w:rPr>
            </w:pPr>
            <w:r>
              <w:rPr>
                <w:rFonts w:hint="eastAsia" w:ascii="宋体" w:hAnsi="宋体"/>
                <w:szCs w:val="21"/>
              </w:rPr>
              <w:t xml:space="preserve">    各部门应对所识别的风险进行分析，根据分析的结果采取措施，从而达到降低或消除风险的目的,风险应对方法包括：</w:t>
            </w:r>
          </w:p>
          <w:p>
            <w:pPr>
              <w:pStyle w:val="3"/>
              <w:spacing w:line="360" w:lineRule="exact"/>
              <w:ind w:left="0" w:right="102" w:firstLine="0"/>
              <w:rPr>
                <w:rFonts w:ascii="宋体" w:hAnsi="宋体"/>
                <w:szCs w:val="21"/>
              </w:rPr>
            </w:pPr>
            <w:r>
              <w:rPr>
                <w:rFonts w:hint="eastAsia" w:ascii="宋体" w:hAnsi="宋体"/>
                <w:szCs w:val="21"/>
              </w:rPr>
              <w:t>a）</w:t>
            </w:r>
            <w:r>
              <w:rPr>
                <w:rFonts w:hint="eastAsia" w:ascii="宋体" w:hAnsi="宋体"/>
                <w:szCs w:val="21"/>
              </w:rPr>
              <w:tab/>
            </w:r>
            <w:r>
              <w:rPr>
                <w:rFonts w:hint="eastAsia" w:ascii="宋体" w:hAnsi="宋体"/>
                <w:szCs w:val="21"/>
              </w:rPr>
              <w:t>风险接受</w:t>
            </w:r>
          </w:p>
          <w:p>
            <w:pPr>
              <w:pStyle w:val="3"/>
              <w:spacing w:line="360" w:lineRule="exact"/>
              <w:ind w:left="0" w:right="102" w:firstLine="0"/>
              <w:rPr>
                <w:rFonts w:ascii="宋体" w:hAnsi="宋体"/>
                <w:szCs w:val="21"/>
              </w:rPr>
            </w:pPr>
            <w:r>
              <w:rPr>
                <w:rFonts w:hint="eastAsia" w:ascii="宋体" w:hAnsi="宋体"/>
                <w:szCs w:val="21"/>
              </w:rPr>
              <w:t>b）</w:t>
            </w:r>
            <w:r>
              <w:rPr>
                <w:rFonts w:hint="eastAsia" w:ascii="宋体" w:hAnsi="宋体"/>
                <w:szCs w:val="21"/>
              </w:rPr>
              <w:tab/>
            </w:r>
            <w:r>
              <w:rPr>
                <w:rFonts w:hint="eastAsia" w:ascii="宋体" w:hAnsi="宋体"/>
                <w:szCs w:val="21"/>
              </w:rPr>
              <w:t>风险降低</w:t>
            </w:r>
          </w:p>
          <w:p>
            <w:pPr>
              <w:pStyle w:val="3"/>
              <w:spacing w:line="360" w:lineRule="exact"/>
              <w:ind w:left="0" w:right="102" w:firstLine="0"/>
              <w:rPr>
                <w:rFonts w:ascii="宋体" w:hAnsi="宋体"/>
                <w:szCs w:val="21"/>
              </w:rPr>
            </w:pPr>
            <w:r>
              <w:rPr>
                <w:rFonts w:hint="eastAsia" w:ascii="宋体" w:hAnsi="宋体"/>
                <w:szCs w:val="21"/>
              </w:rPr>
              <w:t>c）</w:t>
            </w:r>
            <w:r>
              <w:rPr>
                <w:rFonts w:hint="eastAsia" w:ascii="宋体" w:hAnsi="宋体"/>
                <w:szCs w:val="21"/>
              </w:rPr>
              <w:tab/>
            </w:r>
            <w:r>
              <w:rPr>
                <w:rFonts w:hint="eastAsia" w:ascii="宋体" w:hAnsi="宋体"/>
                <w:szCs w:val="21"/>
              </w:rPr>
              <w:t>风险规避</w:t>
            </w:r>
          </w:p>
          <w:p>
            <w:pPr>
              <w:pStyle w:val="3"/>
              <w:spacing w:line="360" w:lineRule="exact"/>
              <w:ind w:left="0" w:right="102" w:firstLine="420" w:firstLineChars="200"/>
              <w:rPr>
                <w:rFonts w:ascii="宋体" w:hAnsi="宋体"/>
                <w:szCs w:val="21"/>
              </w:rPr>
            </w:pPr>
            <w:r>
              <w:rPr>
                <w:rFonts w:hint="eastAsia" w:ascii="宋体" w:hAnsi="宋体"/>
                <w:szCs w:val="21"/>
              </w:rPr>
              <w:t>对风险所采取的措施应考虑尽可能的消除风险，在无法消除或暂无消除的方法或采取的消除风险的方法成本高于风险存在是造成的损失时，再选择降低风险或者风险接受的风险应对方法。</w:t>
            </w:r>
          </w:p>
          <w:p>
            <w:pPr>
              <w:pStyle w:val="3"/>
              <w:spacing w:line="360" w:lineRule="exact"/>
              <w:ind w:left="0" w:right="102" w:firstLine="0"/>
              <w:rPr>
                <w:rFonts w:ascii="宋体" w:hAnsi="宋体"/>
                <w:szCs w:val="21"/>
              </w:rPr>
            </w:pPr>
            <w:r>
              <w:rPr>
                <w:rFonts w:hint="eastAsia" w:ascii="宋体" w:hAnsi="宋体"/>
                <w:szCs w:val="21"/>
              </w:rPr>
              <w:t>5.8.1风险接受</w:t>
            </w:r>
          </w:p>
          <w:p>
            <w:pPr>
              <w:pStyle w:val="3"/>
              <w:spacing w:line="360" w:lineRule="exact"/>
              <w:ind w:left="0" w:right="102" w:firstLine="0"/>
              <w:rPr>
                <w:rFonts w:ascii="宋体" w:hAnsi="宋体"/>
                <w:szCs w:val="21"/>
              </w:rPr>
            </w:pPr>
            <w:r>
              <w:rPr>
                <w:rFonts w:hint="eastAsia" w:ascii="宋体" w:hAnsi="宋体"/>
                <w:szCs w:val="21"/>
              </w:rPr>
              <w:t xml:space="preserve">    是指企业本身承担风险造成的损失。风险接受一般适用于那些造成损失较小、重复性较高的风险，当出现以下情况可采取风险接受的方法：</w:t>
            </w:r>
          </w:p>
          <w:p>
            <w:pPr>
              <w:pStyle w:val="3"/>
              <w:spacing w:line="360" w:lineRule="exact"/>
              <w:ind w:left="0" w:right="102" w:firstLine="0"/>
              <w:rPr>
                <w:rFonts w:ascii="宋体" w:hAnsi="宋体"/>
                <w:szCs w:val="21"/>
              </w:rPr>
            </w:pPr>
            <w:r>
              <w:rPr>
                <w:rFonts w:hint="eastAsia" w:ascii="宋体" w:hAnsi="宋体"/>
                <w:szCs w:val="21"/>
              </w:rPr>
              <w:t>a）</w:t>
            </w:r>
            <w:r>
              <w:rPr>
                <w:rFonts w:hint="eastAsia" w:ascii="宋体" w:hAnsi="宋体"/>
                <w:szCs w:val="21"/>
              </w:rPr>
              <w:tab/>
            </w:r>
            <w:r>
              <w:rPr>
                <w:rFonts w:hint="eastAsia" w:ascii="宋体" w:hAnsi="宋体"/>
                <w:szCs w:val="21"/>
              </w:rPr>
              <w:t>采取风险规避措施所带来的成本远超出潜在风险所带来的损失时；</w:t>
            </w:r>
          </w:p>
          <w:p>
            <w:pPr>
              <w:pStyle w:val="3"/>
              <w:spacing w:line="360" w:lineRule="exact"/>
              <w:ind w:left="0" w:right="102" w:firstLine="0"/>
              <w:rPr>
                <w:rFonts w:ascii="宋体" w:hAnsi="宋体"/>
                <w:szCs w:val="21"/>
              </w:rPr>
            </w:pPr>
            <w:r>
              <w:rPr>
                <w:rFonts w:hint="eastAsia" w:ascii="宋体" w:hAnsi="宋体"/>
                <w:szCs w:val="21"/>
              </w:rPr>
              <w:t>b）</w:t>
            </w:r>
            <w:r>
              <w:rPr>
                <w:rFonts w:hint="eastAsia" w:ascii="宋体" w:hAnsi="宋体"/>
                <w:szCs w:val="21"/>
              </w:rPr>
              <w:tab/>
            </w:r>
            <w:r>
              <w:rPr>
                <w:rFonts w:hint="eastAsia" w:ascii="宋体" w:hAnsi="宋体"/>
                <w:szCs w:val="21"/>
              </w:rPr>
              <w:t>造成损失较小且重复性较高的风险；</w:t>
            </w:r>
          </w:p>
          <w:p>
            <w:pPr>
              <w:pStyle w:val="3"/>
              <w:spacing w:line="360" w:lineRule="exact"/>
              <w:ind w:left="0" w:right="102" w:firstLine="0"/>
              <w:rPr>
                <w:rFonts w:ascii="宋体" w:hAnsi="宋体"/>
                <w:szCs w:val="21"/>
              </w:rPr>
            </w:pPr>
            <w:r>
              <w:rPr>
                <w:rFonts w:hint="eastAsia" w:ascii="宋体" w:hAnsi="宋体"/>
                <w:szCs w:val="21"/>
              </w:rPr>
              <w:t>c）</w:t>
            </w:r>
            <w:r>
              <w:rPr>
                <w:rFonts w:hint="eastAsia" w:ascii="宋体" w:hAnsi="宋体"/>
                <w:szCs w:val="21"/>
              </w:rPr>
              <w:tab/>
            </w:r>
            <w:r>
              <w:rPr>
                <w:rFonts w:hint="eastAsia" w:ascii="宋体" w:hAnsi="宋体"/>
                <w:szCs w:val="21"/>
              </w:rPr>
              <w:t>风险分析表中分析的低风险；</w:t>
            </w:r>
          </w:p>
          <w:p>
            <w:pPr>
              <w:pStyle w:val="3"/>
              <w:spacing w:line="360" w:lineRule="exact"/>
              <w:ind w:left="0" w:right="102" w:firstLine="0"/>
              <w:rPr>
                <w:rFonts w:ascii="宋体" w:hAnsi="宋体"/>
                <w:szCs w:val="21"/>
              </w:rPr>
            </w:pPr>
            <w:r>
              <w:rPr>
                <w:rFonts w:hint="eastAsia" w:ascii="宋体" w:hAnsi="宋体"/>
                <w:szCs w:val="21"/>
              </w:rPr>
              <w:t>5.8.2风险降低</w:t>
            </w:r>
          </w:p>
          <w:p>
            <w:pPr>
              <w:pStyle w:val="3"/>
              <w:spacing w:line="360" w:lineRule="exact"/>
              <w:ind w:left="0" w:right="102" w:firstLine="420" w:firstLineChars="200"/>
              <w:rPr>
                <w:rFonts w:ascii="宋体" w:hAnsi="宋体"/>
                <w:szCs w:val="21"/>
              </w:rPr>
            </w:pPr>
            <w:r>
              <w:rPr>
                <w:rFonts w:hint="eastAsia" w:ascii="宋体" w:hAnsi="宋体"/>
                <w:szCs w:val="21"/>
              </w:rPr>
              <w:t>是指采取措施降低潜在风险所带来的损坏或损失，当出现以下情况时可采取风险降低的方法：</w:t>
            </w:r>
          </w:p>
          <w:p>
            <w:pPr>
              <w:pStyle w:val="3"/>
              <w:spacing w:line="360" w:lineRule="exact"/>
              <w:ind w:left="0" w:right="102" w:firstLine="0"/>
              <w:rPr>
                <w:rFonts w:ascii="宋体" w:hAnsi="宋体"/>
                <w:szCs w:val="21"/>
              </w:rPr>
            </w:pPr>
            <w:r>
              <w:rPr>
                <w:rFonts w:hint="eastAsia" w:ascii="宋体" w:hAnsi="宋体"/>
                <w:szCs w:val="21"/>
              </w:rPr>
              <w:t>a）</w:t>
            </w:r>
            <w:r>
              <w:rPr>
                <w:rFonts w:hint="eastAsia" w:ascii="宋体" w:hAnsi="宋体"/>
                <w:szCs w:val="21"/>
              </w:rPr>
              <w:tab/>
            </w:r>
            <w:r>
              <w:rPr>
                <w:rFonts w:hint="eastAsia" w:ascii="宋体" w:hAnsi="宋体"/>
                <w:szCs w:val="21"/>
              </w:rPr>
              <w:t>采取风险规避措施所带来的成本远超出潜在风险所带来的损失时；</w:t>
            </w:r>
          </w:p>
          <w:p>
            <w:pPr>
              <w:pStyle w:val="3"/>
              <w:spacing w:line="360" w:lineRule="exact"/>
              <w:ind w:left="0" w:right="102" w:firstLine="0"/>
              <w:rPr>
                <w:rFonts w:ascii="宋体" w:hAnsi="宋体"/>
                <w:szCs w:val="21"/>
              </w:rPr>
            </w:pPr>
            <w:r>
              <w:rPr>
                <w:rFonts w:hint="eastAsia" w:ascii="宋体" w:hAnsi="宋体"/>
                <w:szCs w:val="21"/>
              </w:rPr>
              <w:t>b）</w:t>
            </w:r>
            <w:r>
              <w:rPr>
                <w:rFonts w:hint="eastAsia" w:ascii="宋体" w:hAnsi="宋体"/>
                <w:szCs w:val="21"/>
              </w:rPr>
              <w:tab/>
            </w:r>
            <w:r>
              <w:rPr>
                <w:rFonts w:hint="eastAsia" w:ascii="宋体" w:hAnsi="宋体"/>
                <w:szCs w:val="21"/>
              </w:rPr>
              <w:t>无法消除风险或暂无有效的规避措施规避风险时；</w:t>
            </w:r>
          </w:p>
          <w:p>
            <w:pPr>
              <w:pStyle w:val="3"/>
              <w:spacing w:line="360" w:lineRule="exact"/>
              <w:ind w:left="0" w:right="102" w:firstLine="0"/>
              <w:rPr>
                <w:rFonts w:ascii="宋体" w:hAnsi="宋体"/>
                <w:szCs w:val="21"/>
              </w:rPr>
            </w:pPr>
            <w:r>
              <w:rPr>
                <w:rFonts w:hint="eastAsia" w:ascii="宋体" w:hAnsi="宋体"/>
                <w:szCs w:val="21"/>
              </w:rPr>
              <w:t>c）</w:t>
            </w:r>
            <w:r>
              <w:rPr>
                <w:rFonts w:hint="eastAsia" w:ascii="宋体" w:hAnsi="宋体"/>
                <w:szCs w:val="21"/>
              </w:rPr>
              <w:tab/>
            </w:r>
            <w:r>
              <w:rPr>
                <w:rFonts w:hint="eastAsia" w:ascii="宋体" w:hAnsi="宋体"/>
                <w:szCs w:val="21"/>
              </w:rPr>
              <w:t>风险分析表中分析的中度风险；</w:t>
            </w:r>
          </w:p>
          <w:p>
            <w:pPr>
              <w:pStyle w:val="3"/>
              <w:spacing w:line="360" w:lineRule="exact"/>
              <w:ind w:left="0" w:right="102" w:firstLine="0"/>
              <w:rPr>
                <w:rFonts w:ascii="宋体" w:hAnsi="宋体"/>
                <w:szCs w:val="21"/>
              </w:rPr>
            </w:pPr>
            <w:r>
              <w:rPr>
                <w:rFonts w:hint="eastAsia" w:ascii="宋体" w:hAnsi="宋体"/>
                <w:szCs w:val="21"/>
              </w:rPr>
              <w:t>5.8.3风险规避</w:t>
            </w:r>
          </w:p>
          <w:p>
            <w:pPr>
              <w:pStyle w:val="3"/>
              <w:spacing w:line="360" w:lineRule="exact"/>
              <w:ind w:left="0" w:right="102" w:firstLine="0"/>
              <w:rPr>
                <w:rFonts w:ascii="宋体" w:hAnsi="宋体"/>
                <w:szCs w:val="21"/>
              </w:rPr>
            </w:pPr>
            <w:r>
              <w:rPr>
                <w:rFonts w:hint="eastAsia" w:ascii="宋体" w:hAnsi="宋体"/>
                <w:szCs w:val="21"/>
              </w:rPr>
              <w:t xml:space="preserve">    是指通过有计划的变更来消除风险或风险发生的条件，保护目标免受风险的影响，风险规避并不意味着完全消除风险，我们所规避的是风险可能给我们造成的损失。规避风险首先要降低损失发生的几率，这主要是采取事先控制措施，其次是要降低损失程度，这主要包括事先控制和事后补救两个方面。</w:t>
            </w:r>
          </w:p>
          <w:p>
            <w:pPr>
              <w:pStyle w:val="3"/>
              <w:spacing w:line="360" w:lineRule="exact"/>
              <w:ind w:left="0" w:right="102" w:firstLine="0"/>
              <w:rPr>
                <w:rFonts w:ascii="宋体" w:hAnsi="宋体"/>
                <w:szCs w:val="21"/>
              </w:rPr>
            </w:pPr>
            <w:r>
              <w:rPr>
                <w:rFonts w:hint="eastAsia" w:ascii="宋体" w:hAnsi="宋体"/>
                <w:szCs w:val="21"/>
              </w:rPr>
              <w:t>5.9风险管理的监督与改进</w:t>
            </w:r>
          </w:p>
          <w:p>
            <w:pPr>
              <w:pStyle w:val="3"/>
              <w:spacing w:line="360" w:lineRule="exact"/>
              <w:ind w:left="0" w:right="102" w:firstLine="0"/>
              <w:rPr>
                <w:rFonts w:ascii="宋体" w:hAnsi="宋体"/>
                <w:szCs w:val="21"/>
              </w:rPr>
            </w:pPr>
            <w:r>
              <w:rPr>
                <w:rFonts w:hint="eastAsia" w:ascii="宋体" w:hAnsi="宋体"/>
                <w:szCs w:val="21"/>
              </w:rPr>
              <w:t xml:space="preserve">    风险识别是用于识别风险并综合考虑对风险应采取的有效措施，当风险程度属于严重时应对风险进行规避或者降低风险，以减少风险所带来的危害或损失。相关部门应制定详细有效的措施并予以执行，在制定措施时要考虑以下方面：</w:t>
            </w:r>
          </w:p>
          <w:p>
            <w:pPr>
              <w:pStyle w:val="3"/>
              <w:spacing w:line="360" w:lineRule="exact"/>
              <w:ind w:left="0" w:right="102" w:firstLine="0"/>
              <w:rPr>
                <w:rFonts w:ascii="宋体" w:hAnsi="宋体"/>
                <w:szCs w:val="21"/>
              </w:rPr>
            </w:pPr>
            <w:r>
              <w:rPr>
                <w:rFonts w:hint="eastAsia" w:ascii="宋体" w:hAnsi="宋体"/>
                <w:szCs w:val="21"/>
              </w:rPr>
              <w:t>5.9.1制定的措施是在现有条件下课执行和可落实的；</w:t>
            </w:r>
          </w:p>
          <w:p>
            <w:pPr>
              <w:pStyle w:val="3"/>
              <w:spacing w:line="360" w:lineRule="exact"/>
              <w:ind w:left="0" w:right="102" w:firstLine="0"/>
              <w:rPr>
                <w:rFonts w:ascii="宋体" w:hAnsi="宋体"/>
                <w:szCs w:val="21"/>
              </w:rPr>
            </w:pPr>
            <w:r>
              <w:rPr>
                <w:rFonts w:hint="eastAsia" w:ascii="宋体" w:hAnsi="宋体"/>
                <w:szCs w:val="21"/>
              </w:rPr>
              <w:t>5.9.2制定的措施要落实的个人或者小组，每个人或小组应完成的内容是明确的；</w:t>
            </w:r>
          </w:p>
          <w:p>
            <w:pPr>
              <w:pStyle w:val="3"/>
              <w:spacing w:line="360" w:lineRule="exact"/>
              <w:ind w:left="0" w:right="102" w:firstLine="0"/>
              <w:rPr>
                <w:rFonts w:ascii="宋体" w:hAnsi="宋体"/>
                <w:szCs w:val="21"/>
              </w:rPr>
            </w:pPr>
            <w:r>
              <w:rPr>
                <w:rFonts w:hint="eastAsia" w:ascii="宋体" w:hAnsi="宋体"/>
                <w:szCs w:val="21"/>
              </w:rPr>
              <w:t>5.9.3指派一名负责人为措施的执行程度和效果进行跟进和监督，确保采取的措施被有效落实。</w:t>
            </w:r>
          </w:p>
          <w:p>
            <w:pPr>
              <w:pStyle w:val="3"/>
              <w:spacing w:line="360" w:lineRule="exact"/>
              <w:ind w:left="0" w:right="102" w:firstLine="0"/>
              <w:rPr>
                <w:rFonts w:ascii="宋体" w:hAnsi="宋体"/>
                <w:szCs w:val="21"/>
              </w:rPr>
            </w:pPr>
            <w:r>
              <w:rPr>
                <w:rFonts w:hint="eastAsia" w:ascii="宋体" w:hAnsi="宋体"/>
                <w:szCs w:val="21"/>
              </w:rPr>
              <w:t>6.相关文件</w:t>
            </w:r>
          </w:p>
          <w:p>
            <w:pPr>
              <w:pStyle w:val="3"/>
              <w:spacing w:line="360" w:lineRule="exact"/>
              <w:ind w:left="0" w:right="102" w:firstLine="0"/>
              <w:rPr>
                <w:rFonts w:ascii="宋体" w:hAnsi="宋体"/>
                <w:szCs w:val="21"/>
              </w:rPr>
            </w:pPr>
            <w:r>
              <w:rPr>
                <w:rFonts w:hint="eastAsia" w:ascii="宋体" w:hAnsi="宋体"/>
                <w:szCs w:val="21"/>
              </w:rPr>
              <w:t>6.1《变更的策划及控制程序》               6.2《文件控制程序》</w:t>
            </w:r>
          </w:p>
          <w:p>
            <w:pPr>
              <w:pStyle w:val="3"/>
              <w:spacing w:line="360" w:lineRule="exact"/>
              <w:ind w:left="0" w:right="102" w:firstLine="0"/>
              <w:rPr>
                <w:rFonts w:ascii="宋体" w:hAnsi="宋体"/>
                <w:szCs w:val="21"/>
              </w:rPr>
            </w:pPr>
            <w:r>
              <w:rPr>
                <w:rFonts w:hint="eastAsia" w:ascii="宋体" w:hAnsi="宋体"/>
                <w:szCs w:val="21"/>
              </w:rPr>
              <w:t>6.3《订单变更控制程序》                   6.4《纠正措施控制程序》</w:t>
            </w:r>
          </w:p>
          <w:p>
            <w:pPr>
              <w:pStyle w:val="3"/>
              <w:spacing w:line="360" w:lineRule="exact"/>
              <w:ind w:left="0" w:right="102" w:firstLine="0"/>
              <w:rPr>
                <w:rFonts w:ascii="宋体" w:hAnsi="宋体"/>
                <w:szCs w:val="21"/>
              </w:rPr>
            </w:pPr>
            <w:r>
              <w:rPr>
                <w:rFonts w:hint="eastAsia" w:ascii="宋体" w:hAnsi="宋体"/>
                <w:szCs w:val="21"/>
              </w:rPr>
              <w:t>6.5《生产控制程序》                       6.6《设备设施管理程序》</w:t>
            </w:r>
          </w:p>
          <w:p>
            <w:pPr>
              <w:pStyle w:val="3"/>
              <w:spacing w:line="360" w:lineRule="exact"/>
              <w:ind w:left="0" w:right="102" w:firstLine="0"/>
              <w:rPr>
                <w:rFonts w:ascii="宋体" w:hAnsi="宋体"/>
                <w:szCs w:val="21"/>
              </w:rPr>
            </w:pPr>
            <w:r>
              <w:rPr>
                <w:rFonts w:hint="eastAsia" w:ascii="宋体" w:hAnsi="宋体"/>
                <w:szCs w:val="21"/>
              </w:rPr>
              <w:t>7.记录</w:t>
            </w:r>
          </w:p>
          <w:p>
            <w:pPr>
              <w:pStyle w:val="3"/>
              <w:spacing w:line="360" w:lineRule="exact"/>
              <w:ind w:left="0" w:right="102" w:firstLine="0"/>
              <w:rPr>
                <w:rFonts w:ascii="宋体" w:hAnsi="宋体"/>
                <w:szCs w:val="21"/>
              </w:rPr>
            </w:pPr>
            <w:r>
              <w:rPr>
                <w:rFonts w:hint="eastAsia" w:ascii="宋体" w:hAnsi="宋体"/>
                <w:szCs w:val="21"/>
              </w:rPr>
              <w:t>7.1《风险分析及对策表》</w:t>
            </w:r>
          </w:p>
          <w:p>
            <w:pPr>
              <w:spacing w:line="360" w:lineRule="exact"/>
              <w:ind w:left="-1" w:leftChars="-1" w:hanging="1"/>
              <w:rPr>
                <w:rFonts w:ascii="宋体" w:hAnsi="宋体"/>
                <w:szCs w:val="21"/>
              </w:rPr>
            </w:pPr>
          </w:p>
          <w:p>
            <w:pPr>
              <w:spacing w:line="360" w:lineRule="exact"/>
              <w:ind w:left="-1" w:leftChars="-1" w:hanging="1"/>
              <w:rPr>
                <w:rFonts w:ascii="宋体" w:hAnsi="宋体"/>
                <w:szCs w:val="21"/>
              </w:rPr>
            </w:pPr>
          </w:p>
          <w:p>
            <w:pPr>
              <w:spacing w:line="360" w:lineRule="exact"/>
              <w:ind w:left="-1" w:leftChars="-1" w:hanging="1"/>
              <w:rPr>
                <w:rFonts w:ascii="宋体" w:hAnsi="宋体"/>
                <w:szCs w:val="21"/>
              </w:rPr>
            </w:pPr>
          </w:p>
          <w:p>
            <w:pPr>
              <w:spacing w:line="360" w:lineRule="exact"/>
              <w:ind w:left="-1" w:leftChars="-1" w:hanging="1"/>
              <w:rPr>
                <w:rFonts w:ascii="宋体" w:hAnsi="宋体"/>
                <w:szCs w:val="21"/>
              </w:rPr>
            </w:pPr>
          </w:p>
          <w:p>
            <w:pPr>
              <w:spacing w:line="360" w:lineRule="exact"/>
              <w:ind w:left="-1" w:leftChars="-1" w:hanging="1"/>
              <w:rPr>
                <w:rFonts w:ascii="宋体" w:hAnsi="宋体"/>
                <w:szCs w:val="21"/>
              </w:rPr>
            </w:pPr>
          </w:p>
          <w:p>
            <w:pPr>
              <w:spacing w:line="360" w:lineRule="exact"/>
              <w:ind w:left="-1" w:leftChars="-1" w:hanging="1"/>
              <w:rPr>
                <w:rFonts w:ascii="宋体" w:hAnsi="宋体"/>
                <w:szCs w:val="21"/>
              </w:rPr>
            </w:pPr>
          </w:p>
          <w:p>
            <w:pPr>
              <w:spacing w:line="360" w:lineRule="exact"/>
              <w:ind w:left="-1" w:leftChars="-1" w:hanging="1"/>
              <w:rPr>
                <w:rFonts w:ascii="宋体" w:hAnsi="宋体"/>
                <w:szCs w:val="21"/>
              </w:rPr>
            </w:pPr>
          </w:p>
          <w:p>
            <w:pPr>
              <w:spacing w:line="360" w:lineRule="exact"/>
              <w:ind w:left="-1" w:leftChars="-1" w:hanging="1"/>
              <w:rPr>
                <w:rFonts w:ascii="宋体" w:hAnsi="宋体"/>
                <w:szCs w:val="21"/>
              </w:rPr>
            </w:pPr>
          </w:p>
          <w:p>
            <w:pPr>
              <w:spacing w:line="360" w:lineRule="exact"/>
              <w:ind w:left="-1" w:leftChars="-1" w:hanging="1"/>
              <w:rPr>
                <w:rFonts w:ascii="宋体" w:hAnsi="宋体"/>
                <w:szCs w:val="21"/>
              </w:rPr>
            </w:pPr>
          </w:p>
          <w:p>
            <w:pPr>
              <w:spacing w:line="360" w:lineRule="exact"/>
              <w:ind w:left="-1" w:leftChars="-1" w:hanging="1"/>
              <w:rPr>
                <w:rFonts w:ascii="宋体" w:hAnsi="宋体"/>
                <w:szCs w:val="21"/>
              </w:rPr>
            </w:pPr>
          </w:p>
          <w:p>
            <w:pPr>
              <w:spacing w:line="360" w:lineRule="exact"/>
              <w:ind w:left="-1" w:leftChars="-1" w:hanging="1"/>
              <w:rPr>
                <w:rFonts w:ascii="宋体" w:hAnsi="宋体"/>
                <w:szCs w:val="21"/>
              </w:rPr>
            </w:pPr>
          </w:p>
          <w:p>
            <w:pPr>
              <w:spacing w:line="360" w:lineRule="exact"/>
              <w:ind w:left="-1" w:leftChars="-1" w:hanging="1"/>
              <w:rPr>
                <w:rFonts w:ascii="宋体" w:hAnsi="宋体"/>
                <w:szCs w:val="21"/>
              </w:rPr>
            </w:pPr>
          </w:p>
          <w:p>
            <w:pPr>
              <w:spacing w:line="360" w:lineRule="exact"/>
              <w:ind w:left="-1" w:leftChars="-1" w:hanging="1"/>
              <w:rPr>
                <w:rFonts w:ascii="宋体" w:hAnsi="宋体"/>
                <w:szCs w:val="21"/>
              </w:rPr>
            </w:pPr>
          </w:p>
          <w:p>
            <w:pPr>
              <w:spacing w:line="360" w:lineRule="exact"/>
              <w:ind w:left="-1" w:leftChars="-1" w:hanging="1"/>
              <w:rPr>
                <w:rFonts w:hint="eastAsia" w:ascii="宋体" w:hAnsi="宋体"/>
                <w:szCs w:val="21"/>
              </w:rPr>
            </w:pPr>
          </w:p>
          <w:p>
            <w:pPr>
              <w:spacing w:line="360" w:lineRule="exact"/>
              <w:rPr>
                <w:rFonts w:ascii="宋体" w:hAnsi="宋体"/>
                <w:szCs w:val="21"/>
              </w:rPr>
            </w:pPr>
          </w:p>
          <w:p>
            <w:pPr>
              <w:spacing w:line="360" w:lineRule="exact"/>
              <w:ind w:left="-1" w:leftChars="-1" w:hanging="1"/>
              <w:rPr>
                <w:rFonts w:ascii="宋体" w:hAnsi="宋体"/>
                <w:szCs w:val="21"/>
              </w:rPr>
            </w:pPr>
          </w:p>
          <w:p>
            <w:pPr>
              <w:spacing w:line="360" w:lineRule="exact"/>
              <w:ind w:left="-1" w:leftChars="-1" w:hanging="1"/>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cantSplit/>
          <w:trHeight w:val="697" w:hRule="atLeast"/>
        </w:trPr>
        <w:tc>
          <w:tcPr>
            <w:tcW w:w="1486" w:type="dxa"/>
            <w:gridSpan w:val="2"/>
            <w:vMerge w:val="restart"/>
            <w:vAlign w:val="center"/>
          </w:tcPr>
          <w:p>
            <w:pPr>
              <w:spacing w:line="400" w:lineRule="exact"/>
              <w:jc w:val="center"/>
              <w:rPr>
                <w:rFonts w:eastAsia="黑体"/>
                <w:b/>
                <w:sz w:val="36"/>
              </w:rPr>
            </w:pPr>
          </w:p>
        </w:tc>
        <w:tc>
          <w:tcPr>
            <w:tcW w:w="2410" w:type="dxa"/>
            <w:vAlign w:val="center"/>
          </w:tcPr>
          <w:p>
            <w:pPr>
              <w:spacing w:line="400" w:lineRule="exact"/>
              <w:jc w:val="center"/>
              <w:rPr>
                <w:rFonts w:ascii="宋体"/>
                <w:b/>
                <w:sz w:val="30"/>
              </w:rPr>
            </w:pPr>
            <w:r>
              <w:rPr>
                <w:rFonts w:hint="eastAsia" w:ascii="宋体"/>
                <w:b/>
                <w:sz w:val="30"/>
              </w:rPr>
              <w:t>文件</w:t>
            </w:r>
          </w:p>
          <w:p>
            <w:pPr>
              <w:spacing w:line="400" w:lineRule="exact"/>
              <w:jc w:val="center"/>
              <w:rPr>
                <w:rFonts w:ascii="宋体"/>
                <w:b/>
                <w:sz w:val="30"/>
              </w:rPr>
            </w:pPr>
            <w:r>
              <w:rPr>
                <w:rFonts w:hint="eastAsia" w:ascii="宋体"/>
                <w:b/>
                <w:sz w:val="30"/>
              </w:rPr>
              <w:t>名称</w:t>
            </w:r>
          </w:p>
        </w:tc>
        <w:tc>
          <w:tcPr>
            <w:tcW w:w="3745" w:type="dxa"/>
            <w:gridSpan w:val="2"/>
            <w:vAlign w:val="center"/>
          </w:tcPr>
          <w:p>
            <w:pPr>
              <w:spacing w:line="400" w:lineRule="exact"/>
              <w:rPr>
                <w:rFonts w:ascii="宋体"/>
                <w:b/>
                <w:sz w:val="30"/>
              </w:rPr>
            </w:pPr>
            <w:r>
              <w:rPr>
                <w:rFonts w:hint="eastAsia" w:ascii="楷体_GB2312" w:hAnsi="楷体" w:eastAsia="楷体_GB2312"/>
                <w:b/>
                <w:sz w:val="28"/>
                <w:szCs w:val="28"/>
              </w:rPr>
              <w:t>目标和管理方案控制程序</w:t>
            </w:r>
          </w:p>
        </w:tc>
        <w:tc>
          <w:tcPr>
            <w:tcW w:w="1006" w:type="dxa"/>
            <w:vAlign w:val="center"/>
          </w:tcPr>
          <w:p>
            <w:pPr>
              <w:spacing w:line="400" w:lineRule="exact"/>
              <w:jc w:val="center"/>
              <w:rPr>
                <w:rFonts w:ascii="宋体"/>
                <w:b/>
                <w:sz w:val="30"/>
              </w:rPr>
            </w:pPr>
            <w:r>
              <w:rPr>
                <w:rFonts w:hint="eastAsia" w:ascii="宋体"/>
                <w:b/>
                <w:sz w:val="30"/>
              </w:rPr>
              <w:t>版次</w:t>
            </w:r>
          </w:p>
        </w:tc>
        <w:tc>
          <w:tcPr>
            <w:tcW w:w="1344" w:type="dxa"/>
            <w:vAlign w:val="center"/>
          </w:tcPr>
          <w:p>
            <w:pPr>
              <w:spacing w:line="400" w:lineRule="exact"/>
              <w:jc w:val="center"/>
              <w:rPr>
                <w:rFonts w:ascii="宋体"/>
                <w:b/>
                <w:sz w:val="30"/>
              </w:rPr>
            </w:pPr>
            <w:r>
              <w:rPr>
                <w:rFonts w:hint="eastAsia" w:ascii="宋体"/>
                <w:b/>
                <w:sz w:val="3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cantSplit/>
          <w:trHeight w:val="738" w:hRule="atLeast"/>
        </w:trPr>
        <w:tc>
          <w:tcPr>
            <w:tcW w:w="1486" w:type="dxa"/>
            <w:gridSpan w:val="2"/>
            <w:vMerge w:val="continue"/>
            <w:vAlign w:val="center"/>
          </w:tcPr>
          <w:p>
            <w:pPr>
              <w:spacing w:line="400" w:lineRule="exact"/>
              <w:jc w:val="center"/>
              <w:rPr>
                <w:rFonts w:eastAsia="黑体"/>
                <w:b/>
                <w:sz w:val="36"/>
              </w:rPr>
            </w:pPr>
          </w:p>
        </w:tc>
        <w:tc>
          <w:tcPr>
            <w:tcW w:w="2410" w:type="dxa"/>
            <w:vAlign w:val="center"/>
          </w:tcPr>
          <w:p>
            <w:pPr>
              <w:spacing w:line="400" w:lineRule="exact"/>
              <w:jc w:val="center"/>
              <w:rPr>
                <w:rFonts w:ascii="宋体"/>
                <w:b/>
                <w:sz w:val="30"/>
              </w:rPr>
            </w:pPr>
            <w:r>
              <w:rPr>
                <w:rFonts w:hint="eastAsia" w:ascii="宋体"/>
                <w:b/>
                <w:sz w:val="30"/>
              </w:rPr>
              <w:t>文件</w:t>
            </w:r>
          </w:p>
          <w:p>
            <w:pPr>
              <w:spacing w:line="400" w:lineRule="exact"/>
              <w:jc w:val="center"/>
              <w:rPr>
                <w:rFonts w:ascii="宋体"/>
                <w:b/>
                <w:sz w:val="30"/>
              </w:rPr>
            </w:pPr>
            <w:r>
              <w:rPr>
                <w:rFonts w:hint="eastAsia" w:ascii="宋体"/>
                <w:b/>
                <w:sz w:val="30"/>
              </w:rPr>
              <w:t>编号</w:t>
            </w:r>
          </w:p>
        </w:tc>
        <w:tc>
          <w:tcPr>
            <w:tcW w:w="3745" w:type="dxa"/>
            <w:gridSpan w:val="2"/>
            <w:vAlign w:val="center"/>
          </w:tcPr>
          <w:p>
            <w:pPr>
              <w:spacing w:line="400" w:lineRule="exact"/>
              <w:jc w:val="center"/>
              <w:rPr>
                <w:rFonts w:ascii="宋体"/>
                <w:b/>
                <w:sz w:val="30"/>
              </w:rPr>
            </w:pPr>
            <w:r>
              <w:rPr>
                <w:rFonts w:hint="eastAsia" w:ascii="宋体"/>
                <w:b/>
                <w:sz w:val="30"/>
              </w:rPr>
              <w:t>LQY-P-2</w:t>
            </w:r>
          </w:p>
        </w:tc>
        <w:tc>
          <w:tcPr>
            <w:tcW w:w="1006" w:type="dxa"/>
            <w:vAlign w:val="center"/>
          </w:tcPr>
          <w:p>
            <w:pPr>
              <w:spacing w:line="400" w:lineRule="exact"/>
              <w:jc w:val="center"/>
              <w:rPr>
                <w:rFonts w:ascii="宋体"/>
                <w:b/>
                <w:sz w:val="30"/>
              </w:rPr>
            </w:pPr>
            <w:r>
              <w:rPr>
                <w:rFonts w:hint="eastAsia" w:ascii="宋体"/>
                <w:b/>
                <w:sz w:val="30"/>
              </w:rPr>
              <w:t>修改</w:t>
            </w:r>
          </w:p>
          <w:p>
            <w:pPr>
              <w:spacing w:line="400" w:lineRule="exact"/>
              <w:jc w:val="center"/>
              <w:rPr>
                <w:rFonts w:ascii="宋体"/>
                <w:b/>
                <w:sz w:val="30"/>
              </w:rPr>
            </w:pPr>
            <w:r>
              <w:rPr>
                <w:rFonts w:hint="eastAsia" w:ascii="宋体"/>
                <w:b/>
                <w:sz w:val="30"/>
              </w:rPr>
              <w:t>状态</w:t>
            </w:r>
          </w:p>
        </w:tc>
        <w:tc>
          <w:tcPr>
            <w:tcW w:w="1344" w:type="dxa"/>
            <w:vAlign w:val="center"/>
          </w:tcPr>
          <w:p>
            <w:pPr>
              <w:spacing w:line="400" w:lineRule="exact"/>
              <w:jc w:val="center"/>
              <w:rPr>
                <w:rFonts w:ascii="宋体"/>
                <w:b/>
                <w:sz w:val="30"/>
              </w:rPr>
            </w:pPr>
            <w:r>
              <w:rPr>
                <w:rFonts w:hint="eastAsia" w:ascii="宋体"/>
                <w:b/>
                <w:sz w:val="3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502" w:hRule="atLeast"/>
        </w:trPr>
        <w:tc>
          <w:tcPr>
            <w:tcW w:w="9991" w:type="dxa"/>
            <w:gridSpan w:val="7"/>
            <w:tcBorders>
              <w:right w:val="single" w:color="auto" w:sz="4" w:space="0"/>
            </w:tcBorders>
          </w:tcPr>
          <w:p>
            <w:pPr>
              <w:spacing w:line="360" w:lineRule="exact"/>
              <w:rPr>
                <w:rFonts w:ascii="宋体" w:hAnsi="宋体"/>
                <w:b/>
                <w:szCs w:val="21"/>
              </w:rPr>
            </w:pPr>
            <w:r>
              <w:rPr>
                <w:rFonts w:hint="eastAsia" w:ascii="宋体" w:hAnsi="宋体"/>
                <w:b/>
                <w:szCs w:val="21"/>
              </w:rPr>
              <w:t>1.目的</w:t>
            </w:r>
          </w:p>
          <w:p>
            <w:pPr>
              <w:spacing w:line="360" w:lineRule="exact"/>
              <w:ind w:firstLine="315" w:firstLineChars="150"/>
              <w:rPr>
                <w:rFonts w:ascii="宋体" w:hAnsi="宋体"/>
                <w:szCs w:val="21"/>
              </w:rPr>
            </w:pPr>
            <w:r>
              <w:rPr>
                <w:rFonts w:hint="eastAsia" w:ascii="宋体" w:hAnsi="宋体"/>
                <w:szCs w:val="21"/>
              </w:rPr>
              <w:t>制定并实施环境和职业健康安全方针、目标和管理方案，确保对事故的预防以及对环境和职业健康安全管理体系的持续改进。</w:t>
            </w:r>
          </w:p>
          <w:p>
            <w:pPr>
              <w:spacing w:line="360" w:lineRule="exact"/>
              <w:rPr>
                <w:rFonts w:ascii="宋体" w:hAnsi="宋体"/>
                <w:b/>
                <w:szCs w:val="21"/>
              </w:rPr>
            </w:pPr>
            <w:r>
              <w:rPr>
                <w:rFonts w:hint="eastAsia" w:ascii="宋体" w:hAnsi="宋体"/>
                <w:b/>
                <w:szCs w:val="21"/>
              </w:rPr>
              <w:t>2.范围</w:t>
            </w:r>
          </w:p>
          <w:p>
            <w:pPr>
              <w:spacing w:line="360" w:lineRule="exact"/>
              <w:ind w:firstLine="315" w:firstLineChars="150"/>
              <w:rPr>
                <w:rFonts w:ascii="宋体" w:hAnsi="宋体"/>
                <w:szCs w:val="21"/>
              </w:rPr>
            </w:pPr>
            <w:r>
              <w:rPr>
                <w:rFonts w:hint="eastAsia" w:ascii="宋体" w:hAnsi="宋体"/>
                <w:szCs w:val="21"/>
              </w:rPr>
              <w:t>适用于本公司环境和职业健康安全方针、目标和管理方案的制定、更改和实施。</w:t>
            </w:r>
          </w:p>
          <w:p>
            <w:pPr>
              <w:spacing w:line="360" w:lineRule="exact"/>
              <w:rPr>
                <w:rFonts w:ascii="宋体" w:hAnsi="宋体"/>
                <w:b/>
                <w:szCs w:val="21"/>
              </w:rPr>
            </w:pPr>
            <w:r>
              <w:rPr>
                <w:rFonts w:hint="eastAsia" w:ascii="宋体" w:hAnsi="宋体"/>
                <w:b/>
                <w:szCs w:val="21"/>
              </w:rPr>
              <w:t>3.职责</w:t>
            </w:r>
          </w:p>
          <w:p>
            <w:pPr>
              <w:spacing w:line="360" w:lineRule="exact"/>
              <w:rPr>
                <w:rFonts w:ascii="宋体" w:hAnsi="宋体"/>
                <w:szCs w:val="21"/>
              </w:rPr>
            </w:pPr>
            <w:r>
              <w:rPr>
                <w:rFonts w:hint="eastAsia" w:ascii="宋体" w:hAnsi="宋体"/>
                <w:szCs w:val="21"/>
              </w:rPr>
              <w:t>3.1总经理制定环境和职业健康安全方针，负责环境和职业健康安全方针、目标和管理方案的批准。</w:t>
            </w:r>
          </w:p>
          <w:p>
            <w:pPr>
              <w:spacing w:line="360" w:lineRule="exact"/>
              <w:rPr>
                <w:rFonts w:ascii="宋体" w:hAnsi="宋体"/>
                <w:szCs w:val="21"/>
              </w:rPr>
            </w:pPr>
            <w:r>
              <w:rPr>
                <w:rFonts w:hint="eastAsia" w:ascii="宋体" w:hAnsi="宋体"/>
                <w:szCs w:val="21"/>
              </w:rPr>
              <w:t>3.2</w:t>
            </w:r>
            <w:r>
              <w:rPr>
                <w:rFonts w:hint="eastAsia" w:ascii="宋体" w:hAnsi="宋体"/>
                <w:color w:val="000000"/>
                <w:szCs w:val="21"/>
              </w:rPr>
              <w:t>综合部</w:t>
            </w:r>
            <w:r>
              <w:rPr>
                <w:rFonts w:hint="eastAsia" w:ascii="宋体" w:hAnsi="宋体"/>
                <w:szCs w:val="21"/>
              </w:rPr>
              <w:t>负责制定环境和职业健康安全目标和管理方案，并负责监督和检查环境和职业健康安全方针、目标和管理方案的实施。</w:t>
            </w:r>
          </w:p>
          <w:p>
            <w:pPr>
              <w:spacing w:line="360" w:lineRule="exact"/>
              <w:rPr>
                <w:rFonts w:ascii="宋体" w:hAnsi="宋体"/>
                <w:szCs w:val="21"/>
              </w:rPr>
            </w:pPr>
            <w:r>
              <w:rPr>
                <w:rFonts w:hint="eastAsia" w:ascii="宋体" w:hAnsi="宋体"/>
                <w:szCs w:val="21"/>
              </w:rPr>
              <w:t>3.3总经理负责审批环境和职业健康安全目标和管理方案。</w:t>
            </w:r>
          </w:p>
          <w:p>
            <w:pPr>
              <w:spacing w:line="360" w:lineRule="exact"/>
              <w:rPr>
                <w:rFonts w:ascii="宋体" w:hAnsi="宋体"/>
                <w:szCs w:val="21"/>
              </w:rPr>
            </w:pPr>
            <w:r>
              <w:rPr>
                <w:rFonts w:hint="eastAsia" w:ascii="宋体" w:hAnsi="宋体"/>
                <w:szCs w:val="21"/>
              </w:rPr>
              <w:t>3.4各部门负责环境和职业健康安全方针、目标和管理方案的具体实施。</w:t>
            </w:r>
          </w:p>
          <w:p>
            <w:pPr>
              <w:spacing w:line="360" w:lineRule="exact"/>
              <w:rPr>
                <w:rFonts w:ascii="宋体" w:hAnsi="宋体"/>
                <w:b/>
                <w:szCs w:val="21"/>
              </w:rPr>
            </w:pPr>
            <w:r>
              <w:rPr>
                <w:rFonts w:hint="eastAsia" w:ascii="宋体" w:hAnsi="宋体"/>
                <w:b/>
                <w:szCs w:val="21"/>
              </w:rPr>
              <w:t>4.工作程序</w:t>
            </w:r>
          </w:p>
          <w:p>
            <w:pPr>
              <w:spacing w:line="360" w:lineRule="exact"/>
              <w:rPr>
                <w:rFonts w:ascii="宋体" w:hAnsi="宋体"/>
                <w:b/>
                <w:szCs w:val="21"/>
              </w:rPr>
            </w:pPr>
            <w:r>
              <w:rPr>
                <w:rFonts w:hint="eastAsia" w:ascii="宋体" w:hAnsi="宋体"/>
                <w:b/>
                <w:szCs w:val="21"/>
              </w:rPr>
              <w:t>4.1环境和职业健康安全方针</w:t>
            </w:r>
          </w:p>
          <w:p>
            <w:pPr>
              <w:spacing w:line="360" w:lineRule="exact"/>
              <w:rPr>
                <w:rFonts w:ascii="宋体" w:hAnsi="宋体"/>
                <w:szCs w:val="21"/>
              </w:rPr>
            </w:pPr>
            <w:r>
              <w:rPr>
                <w:rFonts w:hint="eastAsia" w:ascii="宋体" w:hAnsi="宋体"/>
                <w:szCs w:val="21"/>
              </w:rPr>
              <w:t>4.1.1环境和职业健康安全方针的制定</w:t>
            </w:r>
          </w:p>
          <w:p>
            <w:pPr>
              <w:spacing w:line="360" w:lineRule="exact"/>
              <w:rPr>
                <w:rFonts w:ascii="宋体" w:hAnsi="宋体"/>
                <w:szCs w:val="21"/>
              </w:rPr>
            </w:pPr>
            <w:r>
              <w:rPr>
                <w:rFonts w:hint="eastAsia" w:ascii="宋体" w:hAnsi="宋体"/>
                <w:szCs w:val="21"/>
              </w:rPr>
              <w:t>总经理以提高环境和职业健康安全水平为目的，针对公司实际情况，适当考虑相关方的要求，制定环境和职业健康安全方针并形成文件，传达到全体员工。</w:t>
            </w:r>
          </w:p>
          <w:p>
            <w:pPr>
              <w:spacing w:line="360" w:lineRule="exact"/>
              <w:rPr>
                <w:rFonts w:ascii="宋体" w:hAnsi="宋体"/>
                <w:szCs w:val="21"/>
              </w:rPr>
            </w:pPr>
            <w:r>
              <w:rPr>
                <w:rFonts w:hint="eastAsia" w:ascii="宋体" w:hAnsi="宋体"/>
                <w:szCs w:val="21"/>
              </w:rPr>
              <w:t>环境和职业健康安全方针应确保：</w:t>
            </w:r>
          </w:p>
          <w:p>
            <w:pPr>
              <w:numPr>
                <w:ilvl w:val="0"/>
                <w:numId w:val="1"/>
              </w:numPr>
              <w:tabs>
                <w:tab w:val="left" w:pos="567"/>
              </w:tabs>
              <w:spacing w:line="360" w:lineRule="exact"/>
              <w:ind w:left="281" w:leftChars="134" w:firstLine="0"/>
              <w:rPr>
                <w:rFonts w:ascii="宋体" w:hAnsi="宋体"/>
                <w:szCs w:val="21"/>
              </w:rPr>
            </w:pPr>
            <w:r>
              <w:rPr>
                <w:rFonts w:hint="eastAsia" w:ascii="宋体" w:hAnsi="宋体"/>
                <w:szCs w:val="21"/>
              </w:rPr>
              <w:t>适合组织的环境和职业健康安全的性质和规模。</w:t>
            </w:r>
          </w:p>
          <w:p>
            <w:pPr>
              <w:numPr>
                <w:ilvl w:val="0"/>
                <w:numId w:val="1"/>
              </w:numPr>
              <w:tabs>
                <w:tab w:val="left" w:pos="567"/>
              </w:tabs>
              <w:spacing w:line="360" w:lineRule="exact"/>
              <w:ind w:left="281" w:leftChars="134" w:firstLine="0"/>
              <w:rPr>
                <w:rFonts w:ascii="宋体" w:hAnsi="宋体"/>
                <w:szCs w:val="21"/>
              </w:rPr>
            </w:pPr>
            <w:r>
              <w:rPr>
                <w:rFonts w:hint="eastAsia" w:ascii="宋体" w:hAnsi="宋体"/>
                <w:szCs w:val="21"/>
              </w:rPr>
              <w:t>对持续改进做出承诺。</w:t>
            </w:r>
          </w:p>
          <w:p>
            <w:pPr>
              <w:numPr>
                <w:ilvl w:val="0"/>
                <w:numId w:val="1"/>
              </w:numPr>
              <w:tabs>
                <w:tab w:val="left" w:pos="567"/>
              </w:tabs>
              <w:spacing w:line="360" w:lineRule="exact"/>
              <w:ind w:left="281" w:leftChars="134" w:firstLine="0"/>
              <w:rPr>
                <w:rFonts w:ascii="宋体" w:hAnsi="宋体"/>
                <w:szCs w:val="21"/>
              </w:rPr>
            </w:pPr>
            <w:r>
              <w:rPr>
                <w:rFonts w:hint="eastAsia" w:ascii="宋体" w:hAnsi="宋体"/>
                <w:szCs w:val="21"/>
              </w:rPr>
              <w:t>对遵守法规和其他要求做出承诺。</w:t>
            </w:r>
          </w:p>
          <w:p>
            <w:pPr>
              <w:numPr>
                <w:ilvl w:val="0"/>
                <w:numId w:val="1"/>
              </w:numPr>
              <w:tabs>
                <w:tab w:val="left" w:pos="567"/>
              </w:tabs>
              <w:spacing w:line="360" w:lineRule="exact"/>
              <w:ind w:left="281" w:leftChars="134" w:firstLine="0"/>
              <w:rPr>
                <w:rFonts w:ascii="宋体" w:hAnsi="宋体"/>
                <w:szCs w:val="21"/>
              </w:rPr>
            </w:pPr>
            <w:r>
              <w:rPr>
                <w:rFonts w:hint="eastAsia" w:ascii="宋体" w:hAnsi="宋体"/>
                <w:szCs w:val="21"/>
              </w:rPr>
              <w:t>阐明公司的环境和职业健康安全总目标。</w:t>
            </w:r>
          </w:p>
          <w:p>
            <w:pPr>
              <w:numPr>
                <w:ilvl w:val="0"/>
                <w:numId w:val="1"/>
              </w:numPr>
              <w:tabs>
                <w:tab w:val="left" w:pos="567"/>
              </w:tabs>
              <w:spacing w:line="360" w:lineRule="exact"/>
              <w:ind w:left="281" w:leftChars="134" w:firstLine="0"/>
              <w:rPr>
                <w:rFonts w:ascii="宋体" w:hAnsi="宋体"/>
                <w:szCs w:val="21"/>
              </w:rPr>
            </w:pPr>
            <w:r>
              <w:rPr>
                <w:rFonts w:hint="eastAsia" w:ascii="宋体" w:hAnsi="宋体"/>
                <w:szCs w:val="21"/>
              </w:rPr>
              <w:t>与公司的其他方针保持一致。</w:t>
            </w:r>
          </w:p>
          <w:p>
            <w:pPr>
              <w:numPr>
                <w:ilvl w:val="0"/>
                <w:numId w:val="1"/>
              </w:numPr>
              <w:tabs>
                <w:tab w:val="left" w:pos="567"/>
              </w:tabs>
              <w:spacing w:line="360" w:lineRule="exact"/>
              <w:ind w:left="281" w:leftChars="134" w:firstLine="0"/>
              <w:rPr>
                <w:rFonts w:ascii="宋体" w:hAnsi="宋体"/>
                <w:szCs w:val="21"/>
              </w:rPr>
            </w:pPr>
            <w:r>
              <w:rPr>
                <w:rFonts w:hint="eastAsia" w:ascii="宋体" w:hAnsi="宋体"/>
                <w:szCs w:val="21"/>
              </w:rPr>
              <w:t>提供建立和评审环境和职业健康安全目标的框架。</w:t>
            </w:r>
          </w:p>
          <w:p>
            <w:pPr>
              <w:spacing w:line="360" w:lineRule="exact"/>
              <w:rPr>
                <w:rFonts w:ascii="宋体" w:hAnsi="宋体"/>
                <w:szCs w:val="21"/>
              </w:rPr>
            </w:pPr>
            <w:r>
              <w:rPr>
                <w:rFonts w:hint="eastAsia" w:ascii="宋体" w:hAnsi="宋体"/>
                <w:szCs w:val="21"/>
              </w:rPr>
              <w:t>4.1.2环境和职业健康安全方针的更改</w:t>
            </w:r>
          </w:p>
          <w:p>
            <w:pPr>
              <w:spacing w:line="360" w:lineRule="exact"/>
              <w:rPr>
                <w:rFonts w:ascii="宋体" w:hAnsi="宋体"/>
                <w:szCs w:val="21"/>
              </w:rPr>
            </w:pPr>
            <w:r>
              <w:rPr>
                <w:rFonts w:hint="eastAsia" w:ascii="宋体" w:hAnsi="宋体"/>
                <w:szCs w:val="21"/>
              </w:rPr>
              <w:t xml:space="preserve">    每次管理评审，均需对环境和职业健康安全方针进行评价，确保其适宜性。当环境和职业健康安全方针需要更改时，要报经总经理批准，形成文件后重新向全体员工传达。</w:t>
            </w:r>
          </w:p>
          <w:p>
            <w:pPr>
              <w:spacing w:line="360" w:lineRule="exact"/>
              <w:rPr>
                <w:rFonts w:ascii="宋体" w:hAnsi="宋体"/>
                <w:szCs w:val="21"/>
              </w:rPr>
            </w:pPr>
            <w:r>
              <w:rPr>
                <w:rFonts w:hint="eastAsia" w:ascii="宋体" w:hAnsi="宋体"/>
                <w:szCs w:val="21"/>
              </w:rPr>
              <w:t>4.1.3环境和职业健康安全方针的管理：</w:t>
            </w:r>
          </w:p>
          <w:p>
            <w:pPr>
              <w:spacing w:line="360" w:lineRule="exact"/>
              <w:ind w:left="281" w:leftChars="134"/>
              <w:rPr>
                <w:rFonts w:ascii="宋体" w:hAnsi="宋体"/>
                <w:szCs w:val="21"/>
              </w:rPr>
            </w:pPr>
            <w:r>
              <w:rPr>
                <w:rFonts w:hint="eastAsia" w:ascii="宋体" w:hAnsi="宋体"/>
                <w:szCs w:val="21"/>
              </w:rPr>
              <w:t>a.方针的制定、修订、评审，均需听取相关方、员工或员工代表的意见。</w:t>
            </w:r>
          </w:p>
          <w:p>
            <w:pPr>
              <w:spacing w:line="360" w:lineRule="exact"/>
              <w:ind w:left="281" w:leftChars="134"/>
              <w:rPr>
                <w:rFonts w:ascii="宋体" w:hAnsi="宋体"/>
                <w:szCs w:val="21"/>
              </w:rPr>
            </w:pPr>
            <w:r>
              <w:rPr>
                <w:rFonts w:hint="eastAsia" w:ascii="宋体" w:hAnsi="宋体"/>
                <w:szCs w:val="21"/>
              </w:rPr>
              <w:t>b.通过文件分发、会议、宣传栏等方式向全体员工贯彻环境和职业健康安全方针。</w:t>
            </w:r>
          </w:p>
          <w:p>
            <w:pPr>
              <w:spacing w:line="360" w:lineRule="exact"/>
              <w:ind w:left="281" w:leftChars="134"/>
              <w:rPr>
                <w:rFonts w:ascii="宋体" w:hAnsi="宋体"/>
                <w:kern w:val="0"/>
                <w:szCs w:val="21"/>
              </w:rPr>
            </w:pPr>
            <w:r>
              <w:rPr>
                <w:rFonts w:hint="eastAsia" w:ascii="宋体" w:hAnsi="宋体"/>
                <w:szCs w:val="21"/>
              </w:rPr>
              <w:t>c.综合部和各部门负责全体员工进行环境和职业健康安全方针的培训，以确保对环境和职业健康安全方针的充分理解</w:t>
            </w:r>
            <w:r>
              <w:rPr>
                <w:rFonts w:hint="eastAsia" w:ascii="宋体" w:hAnsi="宋体"/>
                <w:kern w:val="0"/>
                <w:szCs w:val="21"/>
              </w:rPr>
              <w:tab/>
            </w:r>
          </w:p>
          <w:p>
            <w:pPr>
              <w:spacing w:line="360" w:lineRule="exact"/>
              <w:rPr>
                <w:rFonts w:ascii="宋体" w:hAnsi="宋体"/>
                <w:szCs w:val="21"/>
              </w:rPr>
            </w:pPr>
            <w:r>
              <w:rPr>
                <w:rFonts w:hint="eastAsia" w:ascii="宋体" w:hAnsi="宋体"/>
                <w:szCs w:val="21"/>
              </w:rPr>
              <w:t>d.以适当的方式向公众公开环境和职业健康安全方针，并保证相关方获得环境和职业健康安全方针。</w:t>
            </w:r>
          </w:p>
          <w:p>
            <w:pPr>
              <w:spacing w:line="360" w:lineRule="exact"/>
              <w:rPr>
                <w:rFonts w:ascii="宋体" w:hAnsi="宋体"/>
                <w:b/>
                <w:szCs w:val="21"/>
              </w:rPr>
            </w:pPr>
            <w:r>
              <w:rPr>
                <w:rFonts w:hint="eastAsia" w:ascii="宋体" w:hAnsi="宋体"/>
                <w:b/>
                <w:szCs w:val="21"/>
              </w:rPr>
              <w:t>4.2环境和职业健康安全目标</w:t>
            </w:r>
          </w:p>
          <w:p>
            <w:pPr>
              <w:spacing w:line="360" w:lineRule="exact"/>
              <w:rPr>
                <w:rFonts w:ascii="宋体" w:hAnsi="宋体"/>
                <w:szCs w:val="21"/>
              </w:rPr>
            </w:pPr>
            <w:r>
              <w:rPr>
                <w:rFonts w:hint="eastAsia" w:ascii="宋体" w:hAnsi="宋体"/>
                <w:szCs w:val="21"/>
              </w:rPr>
              <w:t>4.2.1环境和职业健康安全目标的制定</w:t>
            </w:r>
          </w:p>
          <w:p>
            <w:pPr>
              <w:spacing w:line="360" w:lineRule="exact"/>
              <w:rPr>
                <w:rFonts w:ascii="宋体" w:hAnsi="宋体"/>
                <w:szCs w:val="21"/>
              </w:rPr>
            </w:pPr>
            <w:r>
              <w:rPr>
                <w:rFonts w:hint="eastAsia" w:ascii="宋体" w:hAnsi="宋体"/>
                <w:szCs w:val="21"/>
              </w:rPr>
              <w:t>4.2.1.1环境和职业健康安全目标制定的时机。</w:t>
            </w:r>
          </w:p>
          <w:p>
            <w:pPr>
              <w:spacing w:line="360" w:lineRule="exact"/>
              <w:rPr>
                <w:rFonts w:ascii="宋体" w:hAnsi="宋体"/>
                <w:szCs w:val="21"/>
              </w:rPr>
            </w:pPr>
            <w:r>
              <w:rPr>
                <w:rFonts w:hint="eastAsia" w:ascii="宋体" w:hAnsi="宋体"/>
                <w:szCs w:val="21"/>
              </w:rPr>
              <w:t>a.</w:t>
            </w:r>
            <w:r>
              <w:rPr>
                <w:rFonts w:hint="eastAsia" w:ascii="宋体" w:hAnsi="宋体"/>
                <w:color w:val="000000"/>
                <w:szCs w:val="21"/>
              </w:rPr>
              <w:t xml:space="preserve"> 综合部每</w:t>
            </w:r>
            <w:r>
              <w:rPr>
                <w:rFonts w:hint="eastAsia" w:ascii="宋体" w:hAnsi="宋体"/>
                <w:szCs w:val="21"/>
              </w:rPr>
              <w:t>年1月底（本年度管理评审之后）组织各部门根据环境和职业健康安全方针、本年度环境和职业健康安全情况以及其他外界因素的变更，制定新的环境和职业健康安全目标经管理者代表审核，总经理批准后生效。</w:t>
            </w:r>
          </w:p>
          <w:p>
            <w:pPr>
              <w:spacing w:line="360" w:lineRule="exact"/>
              <w:rPr>
                <w:rFonts w:ascii="宋体" w:hAnsi="宋体"/>
                <w:szCs w:val="21"/>
              </w:rPr>
            </w:pPr>
            <w:r>
              <w:rPr>
                <w:rFonts w:hint="eastAsia" w:ascii="宋体" w:hAnsi="宋体"/>
                <w:szCs w:val="21"/>
              </w:rPr>
              <w:t>b. 体系建立之初的环境和职业健康安全目标，根据初始状态评审结果，组织各部门制定，经管理者代表审核，总经理批准后予以传达和实施。</w:t>
            </w:r>
          </w:p>
          <w:p>
            <w:pPr>
              <w:spacing w:line="360" w:lineRule="exact"/>
              <w:rPr>
                <w:rFonts w:ascii="宋体" w:hAnsi="宋体"/>
                <w:szCs w:val="21"/>
              </w:rPr>
            </w:pPr>
            <w:r>
              <w:rPr>
                <w:rFonts w:hint="eastAsia" w:ascii="宋体" w:hAnsi="宋体"/>
                <w:szCs w:val="21"/>
              </w:rPr>
              <w:t>4.2.1.2环境和职业健康安全目标制定时应考虑的事项</w:t>
            </w:r>
          </w:p>
          <w:p>
            <w:pPr>
              <w:spacing w:line="360" w:lineRule="exact"/>
              <w:rPr>
                <w:rFonts w:ascii="宋体" w:hAnsi="宋体"/>
                <w:szCs w:val="21"/>
              </w:rPr>
            </w:pPr>
            <w:r>
              <w:rPr>
                <w:rFonts w:hint="eastAsia" w:ascii="宋体" w:hAnsi="宋体"/>
                <w:szCs w:val="21"/>
              </w:rPr>
              <w:t>a.环境和职业健康安全方针的内容；</w:t>
            </w:r>
          </w:p>
          <w:p>
            <w:pPr>
              <w:spacing w:line="360" w:lineRule="exact"/>
              <w:rPr>
                <w:rFonts w:ascii="宋体" w:hAnsi="宋体"/>
                <w:szCs w:val="21"/>
              </w:rPr>
            </w:pPr>
            <w:r>
              <w:rPr>
                <w:rFonts w:hint="eastAsia" w:ascii="宋体" w:hAnsi="宋体"/>
                <w:szCs w:val="21"/>
              </w:rPr>
              <w:t>b.有关法规和其他要求；</w:t>
            </w:r>
          </w:p>
          <w:p>
            <w:pPr>
              <w:spacing w:line="360" w:lineRule="exact"/>
              <w:rPr>
                <w:rFonts w:ascii="宋体" w:hAnsi="宋体"/>
                <w:szCs w:val="21"/>
              </w:rPr>
            </w:pPr>
            <w:r>
              <w:rPr>
                <w:rFonts w:hint="eastAsia" w:ascii="宋体" w:hAnsi="宋体"/>
                <w:szCs w:val="21"/>
              </w:rPr>
              <w:t>c.公司重大危险源；</w:t>
            </w:r>
          </w:p>
          <w:p>
            <w:pPr>
              <w:spacing w:line="360" w:lineRule="exact"/>
              <w:rPr>
                <w:rFonts w:ascii="宋体" w:hAnsi="宋体"/>
                <w:szCs w:val="21"/>
              </w:rPr>
            </w:pPr>
            <w:r>
              <w:rPr>
                <w:rFonts w:hint="eastAsia" w:ascii="宋体" w:hAnsi="宋体"/>
                <w:szCs w:val="21"/>
              </w:rPr>
              <w:t>d.可选择的最佳技术；</w:t>
            </w:r>
          </w:p>
          <w:p>
            <w:pPr>
              <w:spacing w:line="360" w:lineRule="exact"/>
              <w:rPr>
                <w:rFonts w:ascii="宋体" w:hAnsi="宋体"/>
                <w:szCs w:val="21"/>
              </w:rPr>
            </w:pPr>
            <w:r>
              <w:rPr>
                <w:rFonts w:hint="eastAsia" w:ascii="宋体" w:hAnsi="宋体"/>
                <w:szCs w:val="21"/>
              </w:rPr>
              <w:t>e.经济上、运作上的可行性；</w:t>
            </w:r>
          </w:p>
          <w:p>
            <w:pPr>
              <w:spacing w:line="360" w:lineRule="exact"/>
              <w:rPr>
                <w:rFonts w:ascii="宋体" w:hAnsi="宋体"/>
                <w:szCs w:val="21"/>
              </w:rPr>
            </w:pPr>
            <w:r>
              <w:rPr>
                <w:rFonts w:hint="eastAsia" w:ascii="宋体" w:hAnsi="宋体"/>
                <w:szCs w:val="21"/>
              </w:rPr>
              <w:t>f.来自相关方的信息和要求；</w:t>
            </w:r>
          </w:p>
          <w:p>
            <w:pPr>
              <w:spacing w:line="360" w:lineRule="exact"/>
              <w:rPr>
                <w:rFonts w:ascii="宋体" w:hAnsi="宋体"/>
                <w:szCs w:val="21"/>
              </w:rPr>
            </w:pPr>
            <w:r>
              <w:rPr>
                <w:rFonts w:hint="eastAsia" w:ascii="宋体" w:hAnsi="宋体"/>
                <w:szCs w:val="21"/>
              </w:rPr>
              <w:t>g.劳动安全保护行为的持续改进和降</w:t>
            </w:r>
            <w:r>
              <w:rPr>
                <w:rFonts w:hint="eastAsia" w:ascii="宋体" w:hAnsi="宋体"/>
                <w:color w:val="000000"/>
                <w:szCs w:val="21"/>
              </w:rPr>
              <w:t>低风险得承诺；</w:t>
            </w:r>
          </w:p>
          <w:p>
            <w:pPr>
              <w:spacing w:line="360" w:lineRule="exact"/>
              <w:rPr>
                <w:rFonts w:ascii="宋体" w:hAnsi="宋体"/>
                <w:szCs w:val="21"/>
              </w:rPr>
            </w:pPr>
            <w:r>
              <w:rPr>
                <w:rFonts w:hint="eastAsia" w:ascii="宋体" w:hAnsi="宋体"/>
                <w:szCs w:val="21"/>
              </w:rPr>
              <w:t>i.实施的进度（时间表），以及可调整性的要求；</w:t>
            </w:r>
          </w:p>
          <w:p>
            <w:pPr>
              <w:spacing w:line="360" w:lineRule="exact"/>
              <w:rPr>
                <w:rFonts w:ascii="宋体" w:hAnsi="宋体"/>
                <w:szCs w:val="21"/>
              </w:rPr>
            </w:pPr>
            <w:r>
              <w:rPr>
                <w:rFonts w:hint="eastAsia" w:ascii="宋体" w:hAnsi="宋体"/>
                <w:szCs w:val="21"/>
              </w:rPr>
              <w:t>4.2.2环境和职业健康安全目标的更改</w:t>
            </w:r>
          </w:p>
          <w:p>
            <w:pPr>
              <w:spacing w:line="360" w:lineRule="exact"/>
              <w:rPr>
                <w:rFonts w:ascii="宋体" w:hAnsi="宋体"/>
                <w:szCs w:val="21"/>
              </w:rPr>
            </w:pPr>
            <w:r>
              <w:rPr>
                <w:rFonts w:hint="eastAsia" w:ascii="宋体" w:hAnsi="宋体"/>
                <w:szCs w:val="21"/>
              </w:rPr>
              <w:t>4.2.2.1在方针、相关法规及其他要求、环境和职业健康安全管理方案的进度状况以及内外界因素（包括市场、产品、活动、服务发生变化等）等发生变更时，目标应重新评审和修订。</w:t>
            </w:r>
          </w:p>
          <w:p>
            <w:pPr>
              <w:spacing w:line="360" w:lineRule="exact"/>
              <w:rPr>
                <w:rFonts w:ascii="宋体" w:hAnsi="宋体"/>
                <w:szCs w:val="21"/>
              </w:rPr>
            </w:pPr>
            <w:r>
              <w:rPr>
                <w:rFonts w:hint="eastAsia" w:ascii="宋体" w:hAnsi="宋体"/>
                <w:szCs w:val="21"/>
              </w:rPr>
              <w:t>4.2.2.2环境和职业健康安全</w:t>
            </w:r>
            <w:r>
              <w:rPr>
                <w:rFonts w:hint="eastAsia" w:ascii="宋体" w:hAnsi="宋体"/>
                <w:color w:val="000000"/>
                <w:szCs w:val="21"/>
              </w:rPr>
              <w:t>目标由综合部</w:t>
            </w:r>
            <w:r>
              <w:rPr>
                <w:rFonts w:hint="eastAsia" w:ascii="宋体" w:hAnsi="宋体"/>
                <w:szCs w:val="21"/>
              </w:rPr>
              <w:t>进行更改，管理者代表审核后报总经理批准后生效</w:t>
            </w:r>
          </w:p>
          <w:p>
            <w:pPr>
              <w:spacing w:line="360" w:lineRule="exact"/>
              <w:rPr>
                <w:rFonts w:ascii="宋体" w:hAnsi="宋体"/>
                <w:szCs w:val="21"/>
              </w:rPr>
            </w:pPr>
            <w:r>
              <w:rPr>
                <w:rFonts w:hint="eastAsia" w:ascii="宋体" w:hAnsi="宋体"/>
                <w:szCs w:val="21"/>
              </w:rPr>
              <w:t>4.2.3环境和职业健康安全目标的管理</w:t>
            </w:r>
          </w:p>
          <w:p>
            <w:pPr>
              <w:spacing w:line="360" w:lineRule="exact"/>
              <w:rPr>
                <w:rFonts w:ascii="宋体" w:hAnsi="宋体"/>
                <w:szCs w:val="21"/>
              </w:rPr>
            </w:pPr>
            <w:r>
              <w:rPr>
                <w:rFonts w:hint="eastAsia" w:ascii="宋体" w:hAnsi="宋体"/>
                <w:szCs w:val="21"/>
              </w:rPr>
              <w:t>a.</w:t>
            </w:r>
            <w:r>
              <w:rPr>
                <w:rFonts w:hint="eastAsia" w:ascii="宋体" w:hAnsi="宋体"/>
                <w:color w:val="000000"/>
                <w:szCs w:val="21"/>
              </w:rPr>
              <w:t xml:space="preserve"> 综合部</w:t>
            </w:r>
            <w:r>
              <w:rPr>
                <w:rFonts w:hint="eastAsia" w:ascii="宋体" w:hAnsi="宋体"/>
                <w:szCs w:val="21"/>
              </w:rPr>
              <w:t>组织各部门对所属员工进行目标的培训，确保全体员工清楚公司及本部门的目标，并付诸实施。</w:t>
            </w:r>
          </w:p>
          <w:p>
            <w:pPr>
              <w:spacing w:line="360" w:lineRule="exact"/>
              <w:rPr>
                <w:rFonts w:ascii="宋体" w:hAnsi="宋体"/>
                <w:szCs w:val="21"/>
              </w:rPr>
            </w:pPr>
            <w:r>
              <w:rPr>
                <w:rFonts w:hint="eastAsia" w:ascii="宋体" w:hAnsi="宋体"/>
                <w:szCs w:val="21"/>
              </w:rPr>
              <w:t>b.经总经理批准后，可向相关方或公众公开本公司的环境和职业健康安全目标。</w:t>
            </w:r>
          </w:p>
          <w:p>
            <w:pPr>
              <w:spacing w:line="360" w:lineRule="exact"/>
              <w:ind w:left="120" w:leftChars="57"/>
              <w:rPr>
                <w:rFonts w:ascii="宋体" w:hAnsi="宋体"/>
                <w:szCs w:val="21"/>
              </w:rPr>
            </w:pPr>
            <w:r>
              <w:rPr>
                <w:rFonts w:hint="eastAsia" w:ascii="宋体" w:hAnsi="宋体"/>
                <w:szCs w:val="21"/>
              </w:rPr>
              <w:t>c.</w:t>
            </w:r>
            <w:r>
              <w:rPr>
                <w:rFonts w:hint="eastAsia" w:ascii="宋体" w:hAnsi="宋体"/>
                <w:color w:val="000000"/>
                <w:szCs w:val="21"/>
              </w:rPr>
              <w:t>综合部</w:t>
            </w:r>
            <w:r>
              <w:rPr>
                <w:rFonts w:hint="eastAsia" w:ascii="宋体" w:hAnsi="宋体"/>
                <w:szCs w:val="21"/>
              </w:rPr>
              <w:t>按《环境和职业健康安全绩效监测控制程序》要求，对环境和职业健康安全目标进行检查，要适时针对影响环境和职业健康安全目标达成的原因，采取纠正和预防措施。</w:t>
            </w:r>
          </w:p>
          <w:p>
            <w:pPr>
              <w:spacing w:line="360" w:lineRule="exact"/>
              <w:rPr>
                <w:rFonts w:ascii="宋体" w:hAnsi="宋体"/>
                <w:szCs w:val="21"/>
              </w:rPr>
            </w:pPr>
            <w:r>
              <w:rPr>
                <w:rFonts w:hint="eastAsia" w:ascii="宋体" w:hAnsi="宋体" w:cs="宋体"/>
                <w:kern w:val="0"/>
                <w:szCs w:val="21"/>
              </w:rPr>
              <w:t>d.</w:t>
            </w:r>
            <w:r>
              <w:rPr>
                <w:rFonts w:hint="eastAsia" w:ascii="宋体" w:hAnsi="宋体"/>
                <w:szCs w:val="21"/>
              </w:rPr>
              <w:t>每次管理评审时，均需对环境和职业健康安全目标进行评审，确保其适宜性。</w:t>
            </w:r>
          </w:p>
          <w:p>
            <w:pPr>
              <w:spacing w:line="360" w:lineRule="exact"/>
              <w:rPr>
                <w:rFonts w:ascii="宋体" w:hAnsi="宋体"/>
                <w:b/>
                <w:szCs w:val="21"/>
              </w:rPr>
            </w:pPr>
            <w:r>
              <w:rPr>
                <w:rFonts w:hint="eastAsia" w:ascii="宋体" w:hAnsi="宋体"/>
                <w:b/>
                <w:szCs w:val="21"/>
              </w:rPr>
              <w:t>4.3环境和职业健康安全管理方案</w:t>
            </w:r>
          </w:p>
          <w:p>
            <w:pPr>
              <w:spacing w:line="360" w:lineRule="exact"/>
              <w:rPr>
                <w:rFonts w:ascii="宋体" w:hAnsi="宋体"/>
                <w:szCs w:val="21"/>
              </w:rPr>
            </w:pPr>
            <w:r>
              <w:rPr>
                <w:rFonts w:hint="eastAsia" w:ascii="宋体" w:hAnsi="宋体"/>
                <w:szCs w:val="21"/>
              </w:rPr>
              <w:t>4.3.1环境和职业健康安全管理方案的编制</w:t>
            </w:r>
          </w:p>
          <w:p>
            <w:pPr>
              <w:spacing w:line="360" w:lineRule="exact"/>
              <w:rPr>
                <w:rFonts w:ascii="宋体" w:hAnsi="宋体"/>
                <w:szCs w:val="21"/>
              </w:rPr>
            </w:pPr>
            <w:r>
              <w:rPr>
                <w:rFonts w:hint="eastAsia" w:ascii="宋体" w:hAnsi="宋体"/>
                <w:szCs w:val="21"/>
              </w:rPr>
              <w:t>4.3.1.1环境和职业健康安全管理方案编制的要求</w:t>
            </w:r>
          </w:p>
          <w:p>
            <w:pPr>
              <w:spacing w:line="360" w:lineRule="exact"/>
              <w:rPr>
                <w:rFonts w:ascii="宋体" w:hAnsi="宋体"/>
                <w:szCs w:val="21"/>
              </w:rPr>
            </w:pPr>
            <w:r>
              <w:rPr>
                <w:rFonts w:hint="eastAsia" w:ascii="宋体" w:hAnsi="宋体"/>
                <w:szCs w:val="21"/>
              </w:rPr>
              <w:t xml:space="preserve">    综合部组织公司各部门根据环境和职业健康安全目标，制定环境和职业健康安全管理方案，方案由管理者代表审核，报总经理批准后实施，制定环境和职业健康安全管理方案时，应考虑与实现环境和职业健康安全目标有关的作业场所、过程、设备、作业组织，包括场所设施改善。</w:t>
            </w:r>
          </w:p>
          <w:p>
            <w:pPr>
              <w:spacing w:line="360" w:lineRule="exact"/>
              <w:rPr>
                <w:rFonts w:ascii="宋体" w:hAnsi="宋体"/>
                <w:szCs w:val="21"/>
              </w:rPr>
            </w:pPr>
            <w:r>
              <w:rPr>
                <w:rFonts w:hint="eastAsia" w:ascii="宋体" w:hAnsi="宋体"/>
                <w:szCs w:val="21"/>
              </w:rPr>
              <w:t>4.3.1.2环境和职业健康安全管理方案的内容</w:t>
            </w:r>
          </w:p>
          <w:p>
            <w:pPr>
              <w:spacing w:line="360" w:lineRule="exact"/>
              <w:rPr>
                <w:rFonts w:ascii="宋体" w:hAnsi="宋体"/>
                <w:szCs w:val="21"/>
              </w:rPr>
            </w:pPr>
            <w:r>
              <w:rPr>
                <w:rFonts w:hint="eastAsia" w:ascii="宋体" w:hAnsi="宋体"/>
                <w:szCs w:val="21"/>
              </w:rPr>
              <w:t>a.依据的目标；</w:t>
            </w:r>
          </w:p>
          <w:p>
            <w:pPr>
              <w:spacing w:line="360" w:lineRule="exact"/>
              <w:rPr>
                <w:rFonts w:ascii="宋体" w:hAnsi="宋体"/>
                <w:szCs w:val="21"/>
              </w:rPr>
            </w:pPr>
            <w:r>
              <w:rPr>
                <w:rFonts w:hint="eastAsia" w:ascii="宋体" w:hAnsi="宋体"/>
                <w:szCs w:val="21"/>
              </w:rPr>
              <w:t>b.方法措施、技术手段；</w:t>
            </w:r>
          </w:p>
          <w:p>
            <w:pPr>
              <w:spacing w:line="360" w:lineRule="exact"/>
              <w:rPr>
                <w:rFonts w:ascii="宋体" w:hAnsi="宋体"/>
                <w:szCs w:val="21"/>
              </w:rPr>
            </w:pPr>
            <w:r>
              <w:rPr>
                <w:rFonts w:hint="eastAsia" w:ascii="宋体" w:hAnsi="宋体"/>
                <w:szCs w:val="21"/>
              </w:rPr>
              <w:t>c.责任部门；</w:t>
            </w:r>
          </w:p>
          <w:p>
            <w:pPr>
              <w:spacing w:line="360" w:lineRule="exact"/>
              <w:rPr>
                <w:rFonts w:ascii="宋体" w:hAnsi="宋体"/>
                <w:szCs w:val="21"/>
              </w:rPr>
            </w:pPr>
            <w:r>
              <w:rPr>
                <w:rFonts w:hint="eastAsia" w:ascii="宋体" w:hAnsi="宋体"/>
                <w:szCs w:val="21"/>
              </w:rPr>
              <w:t>d.预算经费、技术手段；</w:t>
            </w:r>
          </w:p>
          <w:p>
            <w:pPr>
              <w:spacing w:line="360" w:lineRule="exact"/>
              <w:rPr>
                <w:rFonts w:ascii="宋体" w:hAnsi="宋体"/>
                <w:szCs w:val="21"/>
              </w:rPr>
            </w:pPr>
            <w:r>
              <w:rPr>
                <w:rFonts w:hint="eastAsia" w:ascii="宋体" w:hAnsi="宋体"/>
                <w:szCs w:val="21"/>
              </w:rPr>
              <w:t>e.开始时间和完成时间，等等。</w:t>
            </w:r>
          </w:p>
          <w:p>
            <w:pPr>
              <w:spacing w:line="360" w:lineRule="exact"/>
              <w:rPr>
                <w:rFonts w:ascii="宋体" w:hAnsi="宋体"/>
                <w:szCs w:val="21"/>
              </w:rPr>
            </w:pPr>
            <w:r>
              <w:rPr>
                <w:rFonts w:hint="eastAsia" w:ascii="宋体" w:hAnsi="宋体"/>
                <w:szCs w:val="21"/>
              </w:rPr>
              <w:t>4.3.2环境和职业健康安全管理方案的更改</w:t>
            </w:r>
          </w:p>
          <w:p>
            <w:pPr>
              <w:spacing w:line="360" w:lineRule="exact"/>
              <w:rPr>
                <w:rFonts w:ascii="宋体" w:hAnsi="宋体"/>
                <w:szCs w:val="21"/>
              </w:rPr>
            </w:pPr>
            <w:r>
              <w:rPr>
                <w:rFonts w:hint="eastAsia" w:ascii="宋体" w:hAnsi="宋体"/>
                <w:szCs w:val="21"/>
              </w:rPr>
              <w:t xml:space="preserve">    当因措施发生变更、目标变化或公司的活动、产品、服务、运行条件发生变化等情况需要更改环境和职业健康安全管理方案时，由更改申请者以“信息联络单”的形式交管理者代表审核，报经总经理批准后，由综合部按《文件控制程序》的要求进行更改</w:t>
            </w:r>
          </w:p>
          <w:p>
            <w:pPr>
              <w:spacing w:line="360" w:lineRule="exact"/>
              <w:rPr>
                <w:rFonts w:ascii="宋体" w:hAnsi="宋体"/>
                <w:szCs w:val="21"/>
              </w:rPr>
            </w:pPr>
            <w:r>
              <w:rPr>
                <w:rFonts w:hint="eastAsia" w:ascii="宋体" w:hAnsi="宋体"/>
                <w:szCs w:val="21"/>
              </w:rPr>
              <w:t>4.3.3环境和职业健康安全管理方案的评审：</w:t>
            </w:r>
          </w:p>
          <w:p>
            <w:pPr>
              <w:spacing w:line="360" w:lineRule="exact"/>
              <w:rPr>
                <w:rFonts w:ascii="宋体" w:hAnsi="宋体"/>
                <w:szCs w:val="21"/>
              </w:rPr>
            </w:pPr>
            <w:r>
              <w:rPr>
                <w:rFonts w:hint="eastAsia" w:ascii="宋体" w:hAnsi="宋体"/>
                <w:szCs w:val="21"/>
              </w:rPr>
              <w:t xml:space="preserve">    每次管理评审时，均需对环境和职业健康安全管理方案进行评审，确保其适宜性。</w:t>
            </w:r>
          </w:p>
          <w:p>
            <w:pPr>
              <w:spacing w:line="360" w:lineRule="exact"/>
              <w:rPr>
                <w:rFonts w:ascii="宋体" w:hAnsi="宋体"/>
                <w:szCs w:val="21"/>
              </w:rPr>
            </w:pPr>
            <w:r>
              <w:rPr>
                <w:rFonts w:hint="eastAsia" w:ascii="宋体" w:hAnsi="宋体"/>
                <w:szCs w:val="21"/>
              </w:rPr>
              <w:t>4.3.4环境和职业健康安全管理方案实施过程中的监督检查：</w:t>
            </w:r>
          </w:p>
          <w:p>
            <w:pPr>
              <w:spacing w:line="360" w:lineRule="exact"/>
              <w:rPr>
                <w:rFonts w:ascii="宋体" w:hAnsi="宋体"/>
                <w:szCs w:val="21"/>
              </w:rPr>
            </w:pPr>
            <w:r>
              <w:rPr>
                <w:rFonts w:hint="eastAsia" w:ascii="宋体" w:hAnsi="宋体"/>
                <w:szCs w:val="21"/>
              </w:rPr>
              <w:t>a.环境和职业健康安全管理方案以受控文件的形式发至各相关部门具体实施。</w:t>
            </w:r>
          </w:p>
          <w:p>
            <w:pPr>
              <w:spacing w:line="360" w:lineRule="exact"/>
              <w:rPr>
                <w:rFonts w:ascii="宋体" w:hAnsi="宋体"/>
                <w:szCs w:val="21"/>
              </w:rPr>
            </w:pPr>
            <w:r>
              <w:rPr>
                <w:rFonts w:hint="eastAsia" w:ascii="宋体" w:hAnsi="宋体"/>
                <w:szCs w:val="21"/>
              </w:rPr>
              <w:t>b.综合部负责对环境和职业健康安全管理方案的实施进度与效果进行监督和检查，详见《环境和职业健康安全绩效监测控制程序》。</w:t>
            </w:r>
          </w:p>
          <w:p>
            <w:pPr>
              <w:spacing w:line="360" w:lineRule="exact"/>
              <w:rPr>
                <w:rFonts w:ascii="宋体" w:hAnsi="宋体"/>
                <w:b/>
                <w:szCs w:val="21"/>
              </w:rPr>
            </w:pPr>
            <w:r>
              <w:rPr>
                <w:rFonts w:hint="eastAsia" w:ascii="宋体" w:hAnsi="宋体"/>
                <w:b/>
                <w:szCs w:val="21"/>
              </w:rPr>
              <w:t>5.支持性文件</w:t>
            </w:r>
          </w:p>
          <w:p>
            <w:pPr>
              <w:spacing w:line="360" w:lineRule="exact"/>
              <w:rPr>
                <w:rFonts w:ascii="宋体" w:hAnsi="宋体"/>
                <w:szCs w:val="21"/>
              </w:rPr>
            </w:pPr>
            <w:r>
              <w:rPr>
                <w:rFonts w:hint="eastAsia" w:ascii="宋体" w:hAnsi="宋体"/>
                <w:szCs w:val="21"/>
              </w:rPr>
              <w:t xml:space="preserve">5.1《文件控制程序》                                                                     </w:t>
            </w:r>
          </w:p>
          <w:p>
            <w:pPr>
              <w:spacing w:line="360" w:lineRule="exact"/>
              <w:rPr>
                <w:rFonts w:ascii="宋体" w:hAnsi="宋体"/>
                <w:szCs w:val="21"/>
              </w:rPr>
            </w:pPr>
            <w:r>
              <w:rPr>
                <w:rFonts w:hint="eastAsia" w:ascii="宋体" w:hAnsi="宋体"/>
                <w:szCs w:val="21"/>
              </w:rPr>
              <w:t xml:space="preserve">5.2《环境和职业健康安全绩效监测控制程序》                                      </w:t>
            </w:r>
          </w:p>
          <w:p>
            <w:pPr>
              <w:spacing w:line="360" w:lineRule="exact"/>
              <w:rPr>
                <w:rFonts w:ascii="宋体" w:hAnsi="宋体"/>
                <w:b/>
                <w:szCs w:val="21"/>
              </w:rPr>
            </w:pPr>
            <w:r>
              <w:rPr>
                <w:rFonts w:hint="eastAsia" w:ascii="宋体" w:hAnsi="宋体"/>
                <w:b/>
                <w:szCs w:val="21"/>
              </w:rPr>
              <w:t>6.记录</w:t>
            </w:r>
          </w:p>
          <w:p>
            <w:pPr>
              <w:spacing w:line="360" w:lineRule="exact"/>
              <w:rPr>
                <w:rFonts w:ascii="宋体" w:hAnsi="宋体"/>
                <w:szCs w:val="21"/>
              </w:rPr>
            </w:pPr>
            <w:r>
              <w:rPr>
                <w:rFonts w:hint="eastAsia" w:ascii="宋体" w:hAnsi="宋体"/>
                <w:szCs w:val="21"/>
              </w:rPr>
              <w:t xml:space="preserve">《目标和管理方案一览表》                    </w:t>
            </w:r>
          </w:p>
          <w:p>
            <w:pPr>
              <w:spacing w:line="360" w:lineRule="exact"/>
              <w:rPr>
                <w:rFonts w:ascii="宋体" w:hAnsi="宋体"/>
                <w:szCs w:val="21"/>
              </w:rPr>
            </w:pPr>
            <w:r>
              <w:rPr>
                <w:rFonts w:hint="eastAsia" w:ascii="宋体" w:hAnsi="宋体"/>
                <w:szCs w:val="21"/>
              </w:rPr>
              <w:t xml:space="preserve">《目标和管理方案完成情况检查记录》   </w:t>
            </w: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tc>
      </w:tr>
    </w:tbl>
    <w:p/>
    <w:p/>
    <w:p/>
    <w:p/>
    <w:tbl>
      <w:tblPr>
        <w:tblStyle w:val="9"/>
        <w:tblW w:w="999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7"/>
        <w:gridCol w:w="1275"/>
        <w:gridCol w:w="4029"/>
        <w:gridCol w:w="1006"/>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2337" w:type="dxa"/>
            <w:vMerge w:val="restart"/>
            <w:vAlign w:val="center"/>
          </w:tcPr>
          <w:p>
            <w:pPr>
              <w:spacing w:line="400" w:lineRule="exact"/>
              <w:jc w:val="center"/>
              <w:rPr>
                <w:rFonts w:eastAsia="黑体"/>
                <w:b/>
                <w:sz w:val="36"/>
              </w:rPr>
            </w:pPr>
          </w:p>
        </w:tc>
        <w:tc>
          <w:tcPr>
            <w:tcW w:w="1275" w:type="dxa"/>
            <w:vAlign w:val="center"/>
          </w:tcPr>
          <w:p>
            <w:pPr>
              <w:spacing w:line="400" w:lineRule="exact"/>
              <w:jc w:val="center"/>
              <w:rPr>
                <w:rFonts w:ascii="宋体"/>
                <w:b/>
                <w:sz w:val="30"/>
              </w:rPr>
            </w:pPr>
            <w:r>
              <w:rPr>
                <w:rFonts w:hint="eastAsia" w:ascii="宋体"/>
                <w:b/>
                <w:sz w:val="30"/>
              </w:rPr>
              <w:t>文件</w:t>
            </w:r>
          </w:p>
          <w:p>
            <w:pPr>
              <w:spacing w:line="400" w:lineRule="exact"/>
              <w:jc w:val="center"/>
              <w:rPr>
                <w:rFonts w:ascii="宋体"/>
                <w:b/>
                <w:sz w:val="30"/>
              </w:rPr>
            </w:pPr>
            <w:r>
              <w:rPr>
                <w:rFonts w:hint="eastAsia" w:ascii="宋体"/>
                <w:b/>
                <w:sz w:val="30"/>
              </w:rPr>
              <w:t>名称</w:t>
            </w:r>
          </w:p>
        </w:tc>
        <w:tc>
          <w:tcPr>
            <w:tcW w:w="4029" w:type="dxa"/>
            <w:vAlign w:val="center"/>
          </w:tcPr>
          <w:p>
            <w:pPr>
              <w:spacing w:line="400" w:lineRule="exact"/>
              <w:rPr>
                <w:rFonts w:ascii="宋体"/>
                <w:b/>
                <w:sz w:val="30"/>
              </w:rPr>
            </w:pPr>
            <w:r>
              <w:rPr>
                <w:rFonts w:hint="eastAsia" w:ascii="楷体_GB2312" w:hAnsi="楷体" w:eastAsia="楷体_GB2312"/>
                <w:b/>
                <w:sz w:val="28"/>
                <w:szCs w:val="28"/>
              </w:rPr>
              <w:t>环境因素识别与评价控制程序</w:t>
            </w:r>
          </w:p>
        </w:tc>
        <w:tc>
          <w:tcPr>
            <w:tcW w:w="1006" w:type="dxa"/>
            <w:vAlign w:val="center"/>
          </w:tcPr>
          <w:p>
            <w:pPr>
              <w:spacing w:line="400" w:lineRule="exact"/>
              <w:jc w:val="center"/>
              <w:rPr>
                <w:rFonts w:ascii="宋体"/>
                <w:b/>
                <w:sz w:val="30"/>
              </w:rPr>
            </w:pPr>
            <w:r>
              <w:rPr>
                <w:rFonts w:hint="eastAsia" w:ascii="宋体"/>
                <w:b/>
                <w:sz w:val="30"/>
              </w:rPr>
              <w:t>版次</w:t>
            </w:r>
          </w:p>
        </w:tc>
        <w:tc>
          <w:tcPr>
            <w:tcW w:w="1344" w:type="dxa"/>
            <w:vAlign w:val="center"/>
          </w:tcPr>
          <w:p>
            <w:pPr>
              <w:spacing w:line="400" w:lineRule="exact"/>
              <w:jc w:val="center"/>
              <w:rPr>
                <w:rFonts w:ascii="宋体"/>
                <w:b/>
                <w:sz w:val="30"/>
              </w:rPr>
            </w:pPr>
            <w:r>
              <w:rPr>
                <w:rFonts w:hint="eastAsia" w:ascii="宋体"/>
                <w:b/>
                <w:sz w:val="3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2337" w:type="dxa"/>
            <w:vMerge w:val="continue"/>
            <w:vAlign w:val="center"/>
          </w:tcPr>
          <w:p>
            <w:pPr>
              <w:spacing w:line="400" w:lineRule="exact"/>
              <w:jc w:val="center"/>
              <w:rPr>
                <w:rFonts w:eastAsia="黑体"/>
                <w:b/>
                <w:sz w:val="36"/>
              </w:rPr>
            </w:pPr>
          </w:p>
        </w:tc>
        <w:tc>
          <w:tcPr>
            <w:tcW w:w="1275" w:type="dxa"/>
            <w:vAlign w:val="center"/>
          </w:tcPr>
          <w:p>
            <w:pPr>
              <w:spacing w:line="400" w:lineRule="exact"/>
              <w:jc w:val="center"/>
              <w:rPr>
                <w:rFonts w:ascii="宋体"/>
                <w:b/>
                <w:sz w:val="30"/>
              </w:rPr>
            </w:pPr>
            <w:r>
              <w:rPr>
                <w:rFonts w:hint="eastAsia" w:ascii="宋体"/>
                <w:b/>
                <w:sz w:val="30"/>
              </w:rPr>
              <w:t>文件</w:t>
            </w:r>
          </w:p>
          <w:p>
            <w:pPr>
              <w:spacing w:line="400" w:lineRule="exact"/>
              <w:jc w:val="center"/>
              <w:rPr>
                <w:rFonts w:ascii="宋体"/>
                <w:b/>
                <w:sz w:val="30"/>
              </w:rPr>
            </w:pPr>
            <w:r>
              <w:rPr>
                <w:rFonts w:hint="eastAsia" w:ascii="宋体"/>
                <w:b/>
                <w:sz w:val="30"/>
              </w:rPr>
              <w:t>编号</w:t>
            </w:r>
          </w:p>
        </w:tc>
        <w:tc>
          <w:tcPr>
            <w:tcW w:w="4029" w:type="dxa"/>
            <w:vAlign w:val="center"/>
          </w:tcPr>
          <w:p>
            <w:pPr>
              <w:spacing w:line="400" w:lineRule="exact"/>
              <w:jc w:val="center"/>
              <w:rPr>
                <w:rFonts w:ascii="宋体"/>
                <w:b/>
                <w:sz w:val="30"/>
              </w:rPr>
            </w:pPr>
            <w:r>
              <w:rPr>
                <w:rFonts w:hint="eastAsia" w:ascii="宋体"/>
                <w:b/>
                <w:sz w:val="30"/>
              </w:rPr>
              <w:t>LQY-P-3</w:t>
            </w:r>
          </w:p>
        </w:tc>
        <w:tc>
          <w:tcPr>
            <w:tcW w:w="1006" w:type="dxa"/>
            <w:vAlign w:val="center"/>
          </w:tcPr>
          <w:p>
            <w:pPr>
              <w:spacing w:line="400" w:lineRule="exact"/>
              <w:jc w:val="center"/>
              <w:rPr>
                <w:rFonts w:ascii="宋体"/>
                <w:b/>
                <w:sz w:val="30"/>
              </w:rPr>
            </w:pPr>
            <w:r>
              <w:rPr>
                <w:rFonts w:hint="eastAsia" w:ascii="宋体"/>
                <w:b/>
                <w:sz w:val="30"/>
              </w:rPr>
              <w:t>修改</w:t>
            </w:r>
          </w:p>
          <w:p>
            <w:pPr>
              <w:spacing w:line="400" w:lineRule="exact"/>
              <w:jc w:val="center"/>
              <w:rPr>
                <w:rFonts w:ascii="宋体"/>
                <w:b/>
                <w:sz w:val="30"/>
              </w:rPr>
            </w:pPr>
            <w:r>
              <w:rPr>
                <w:rFonts w:hint="eastAsia" w:ascii="宋体"/>
                <w:b/>
                <w:sz w:val="30"/>
              </w:rPr>
              <w:t>状态</w:t>
            </w:r>
          </w:p>
        </w:tc>
        <w:tc>
          <w:tcPr>
            <w:tcW w:w="1344" w:type="dxa"/>
            <w:vAlign w:val="center"/>
          </w:tcPr>
          <w:p>
            <w:pPr>
              <w:spacing w:line="400" w:lineRule="exact"/>
              <w:jc w:val="center"/>
              <w:rPr>
                <w:rFonts w:ascii="宋体"/>
                <w:b/>
                <w:sz w:val="30"/>
              </w:rPr>
            </w:pPr>
            <w:r>
              <w:rPr>
                <w:rFonts w:hint="eastAsia" w:ascii="宋体"/>
                <w:b/>
                <w:sz w:val="3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4" w:hRule="atLeast"/>
        </w:trPr>
        <w:tc>
          <w:tcPr>
            <w:tcW w:w="9991" w:type="dxa"/>
            <w:gridSpan w:val="5"/>
            <w:tcBorders>
              <w:right w:val="single" w:color="auto" w:sz="4" w:space="0"/>
            </w:tcBorders>
          </w:tcPr>
          <w:p>
            <w:pPr>
              <w:spacing w:line="360" w:lineRule="exact"/>
              <w:rPr>
                <w:rFonts w:ascii="宋体" w:hAnsi="宋体"/>
                <w:b/>
                <w:bCs/>
                <w:color w:val="000000"/>
                <w:szCs w:val="21"/>
              </w:rPr>
            </w:pPr>
            <w:r>
              <w:rPr>
                <w:rFonts w:hint="eastAsia" w:ascii="宋体" w:hAnsi="宋体"/>
                <w:b/>
                <w:bCs/>
                <w:color w:val="000000"/>
                <w:szCs w:val="21"/>
              </w:rPr>
              <w:t>1．目的</w:t>
            </w:r>
          </w:p>
          <w:p>
            <w:pPr>
              <w:spacing w:line="360" w:lineRule="exact"/>
              <w:ind w:firstLine="315" w:firstLineChars="150"/>
              <w:rPr>
                <w:rFonts w:ascii="宋体" w:hAnsi="宋体"/>
                <w:bCs/>
                <w:color w:val="000000"/>
                <w:szCs w:val="21"/>
              </w:rPr>
            </w:pPr>
            <w:r>
              <w:rPr>
                <w:rFonts w:hint="eastAsia" w:ascii="宋体" w:hAnsi="宋体"/>
                <w:bCs/>
                <w:color w:val="000000"/>
                <w:szCs w:val="21"/>
              </w:rPr>
              <w:t>为了动态的识别和评价公司的活动、产品和销售中的环境因素，确定重要环境因素，特制定本程序。</w:t>
            </w:r>
          </w:p>
          <w:p>
            <w:pPr>
              <w:spacing w:line="360" w:lineRule="exact"/>
              <w:outlineLvl w:val="0"/>
              <w:rPr>
                <w:rFonts w:ascii="宋体" w:hAnsi="宋体"/>
                <w:b/>
                <w:bCs/>
                <w:color w:val="000000"/>
                <w:szCs w:val="21"/>
              </w:rPr>
            </w:pPr>
            <w:r>
              <w:rPr>
                <w:rFonts w:hint="eastAsia" w:ascii="宋体" w:hAnsi="宋体"/>
                <w:b/>
                <w:bCs/>
                <w:color w:val="000000"/>
                <w:szCs w:val="21"/>
              </w:rPr>
              <w:t>2．适用范围</w:t>
            </w:r>
          </w:p>
          <w:p>
            <w:pPr>
              <w:spacing w:line="360" w:lineRule="exact"/>
              <w:ind w:firstLine="420" w:firstLineChars="200"/>
              <w:rPr>
                <w:rFonts w:ascii="宋体" w:hAnsi="宋体"/>
                <w:color w:val="000000"/>
                <w:szCs w:val="21"/>
              </w:rPr>
            </w:pPr>
            <w:r>
              <w:rPr>
                <w:rFonts w:hint="eastAsia" w:ascii="宋体" w:hAnsi="宋体"/>
                <w:color w:val="000000"/>
                <w:szCs w:val="21"/>
              </w:rPr>
              <w:t>本程序适用于公司范围内的生产现场和销售、办公、后勤涉及的活动、产品和服务中环境因素的识别与评价工作，也适用于对相关方，需施加影响的相关方的环境因素的识别与评价工作。</w:t>
            </w:r>
          </w:p>
          <w:p>
            <w:pPr>
              <w:spacing w:line="360" w:lineRule="exact"/>
              <w:outlineLvl w:val="0"/>
              <w:rPr>
                <w:rFonts w:ascii="宋体" w:hAnsi="宋体"/>
                <w:b/>
                <w:bCs/>
                <w:snapToGrid w:val="0"/>
                <w:color w:val="000000"/>
                <w:kern w:val="0"/>
                <w:szCs w:val="21"/>
              </w:rPr>
            </w:pPr>
            <w:r>
              <w:rPr>
                <w:rFonts w:hint="eastAsia" w:ascii="宋体" w:hAnsi="宋体"/>
                <w:b/>
                <w:bCs/>
                <w:snapToGrid w:val="0"/>
                <w:color w:val="000000"/>
                <w:kern w:val="0"/>
                <w:szCs w:val="21"/>
              </w:rPr>
              <w:t>3．职责</w:t>
            </w:r>
          </w:p>
          <w:p>
            <w:pPr>
              <w:spacing w:line="360" w:lineRule="exact"/>
              <w:rPr>
                <w:rFonts w:ascii="宋体" w:hAnsi="宋体"/>
                <w:bCs/>
                <w:snapToGrid w:val="0"/>
                <w:color w:val="000000"/>
                <w:kern w:val="0"/>
                <w:szCs w:val="21"/>
              </w:rPr>
            </w:pPr>
            <w:r>
              <w:rPr>
                <w:rFonts w:hint="eastAsia" w:ascii="宋体" w:hAnsi="宋体"/>
                <w:b/>
                <w:bCs/>
                <w:snapToGrid w:val="0"/>
                <w:color w:val="000000"/>
                <w:kern w:val="0"/>
                <w:szCs w:val="21"/>
              </w:rPr>
              <w:t>3.1.</w:t>
            </w:r>
            <w:r>
              <w:rPr>
                <w:rFonts w:hint="eastAsia" w:ascii="宋体" w:hAnsi="宋体"/>
                <w:bCs/>
                <w:snapToGrid w:val="0"/>
                <w:color w:val="000000"/>
                <w:kern w:val="0"/>
                <w:szCs w:val="21"/>
              </w:rPr>
              <w:t xml:space="preserve"> 管理者代表负责环境因素清单和重要环境因素清单的审批。</w:t>
            </w:r>
          </w:p>
          <w:p>
            <w:pPr>
              <w:spacing w:line="360" w:lineRule="exact"/>
              <w:rPr>
                <w:rFonts w:ascii="宋体" w:hAnsi="宋体"/>
                <w:bCs/>
                <w:snapToGrid w:val="0"/>
                <w:color w:val="000000"/>
                <w:kern w:val="0"/>
                <w:szCs w:val="21"/>
              </w:rPr>
            </w:pPr>
            <w:r>
              <w:rPr>
                <w:rFonts w:hint="eastAsia" w:ascii="宋体" w:hAnsi="宋体"/>
                <w:b/>
                <w:bCs/>
                <w:snapToGrid w:val="0"/>
                <w:color w:val="000000"/>
                <w:kern w:val="0"/>
                <w:szCs w:val="21"/>
              </w:rPr>
              <w:t>3.2.</w:t>
            </w:r>
            <w:r>
              <w:rPr>
                <w:rFonts w:hint="eastAsia" w:ascii="宋体" w:hAnsi="宋体"/>
                <w:bCs/>
                <w:snapToGrid w:val="0"/>
                <w:color w:val="000000"/>
                <w:kern w:val="0"/>
                <w:szCs w:val="21"/>
              </w:rPr>
              <w:t>综合部负责相关环境因素识别与评价的组织工作，负责公司环境因素和重要环境因素的汇总、登记和更新工作。</w:t>
            </w:r>
          </w:p>
          <w:p>
            <w:pPr>
              <w:spacing w:line="360" w:lineRule="exact"/>
              <w:rPr>
                <w:rFonts w:ascii="宋体" w:hAnsi="宋体"/>
                <w:bCs/>
                <w:snapToGrid w:val="0"/>
                <w:color w:val="000000"/>
                <w:kern w:val="0"/>
                <w:szCs w:val="21"/>
              </w:rPr>
            </w:pPr>
            <w:r>
              <w:rPr>
                <w:rFonts w:hint="eastAsia" w:ascii="宋体" w:hAnsi="宋体"/>
                <w:b/>
                <w:bCs/>
                <w:snapToGrid w:val="0"/>
                <w:color w:val="000000"/>
                <w:kern w:val="0"/>
                <w:szCs w:val="21"/>
              </w:rPr>
              <w:t>3.3.</w:t>
            </w:r>
            <w:r>
              <w:rPr>
                <w:rFonts w:hint="eastAsia" w:ascii="宋体" w:hAnsi="宋体"/>
                <w:bCs/>
                <w:snapToGrid w:val="0"/>
                <w:color w:val="000000"/>
                <w:kern w:val="0"/>
                <w:szCs w:val="21"/>
              </w:rPr>
              <w:t xml:space="preserve"> 其它各部门负责识别、评价与更新本部门有关的环境因素。</w:t>
            </w:r>
          </w:p>
          <w:p>
            <w:pPr>
              <w:tabs>
                <w:tab w:val="left" w:pos="360"/>
              </w:tabs>
              <w:spacing w:line="360" w:lineRule="exact"/>
              <w:rPr>
                <w:rFonts w:ascii="宋体" w:hAnsi="宋体"/>
                <w:b/>
                <w:bCs/>
                <w:color w:val="000000"/>
                <w:szCs w:val="21"/>
              </w:rPr>
            </w:pPr>
            <w:r>
              <w:rPr>
                <w:rFonts w:hint="eastAsia" w:ascii="宋体" w:hAnsi="宋体"/>
                <w:b/>
                <w:bCs/>
                <w:color w:val="000000"/>
                <w:szCs w:val="21"/>
              </w:rPr>
              <w:t>4．工作程序</w:t>
            </w:r>
          </w:p>
          <w:p>
            <w:pPr>
              <w:spacing w:line="360" w:lineRule="exact"/>
              <w:outlineLvl w:val="0"/>
              <w:rPr>
                <w:rFonts w:ascii="宋体" w:hAnsi="宋体"/>
                <w:b/>
                <w:bCs/>
                <w:snapToGrid w:val="0"/>
                <w:color w:val="000000"/>
                <w:kern w:val="0"/>
                <w:szCs w:val="21"/>
              </w:rPr>
            </w:pPr>
            <w:r>
              <w:rPr>
                <w:rFonts w:hint="eastAsia" w:ascii="宋体" w:hAnsi="宋体"/>
                <w:b/>
                <w:bCs/>
                <w:snapToGrid w:val="0"/>
                <w:color w:val="000000"/>
                <w:kern w:val="0"/>
                <w:szCs w:val="21"/>
              </w:rPr>
              <w:t>4.1. 环境因素的识别</w:t>
            </w:r>
          </w:p>
          <w:p>
            <w:pPr>
              <w:spacing w:line="360" w:lineRule="exact"/>
              <w:rPr>
                <w:rFonts w:ascii="宋体" w:hAnsi="宋体"/>
                <w:szCs w:val="21"/>
              </w:rPr>
            </w:pPr>
            <w:r>
              <w:rPr>
                <w:rFonts w:hint="eastAsia" w:ascii="宋体" w:hAnsi="宋体"/>
                <w:b/>
                <w:bCs/>
                <w:color w:val="000000"/>
                <w:szCs w:val="21"/>
              </w:rPr>
              <w:t>4.1.1</w:t>
            </w:r>
            <w:r>
              <w:rPr>
                <w:rFonts w:hint="eastAsia" w:ascii="宋体" w:hAnsi="宋体"/>
                <w:bCs/>
                <w:color w:val="000000"/>
                <w:szCs w:val="21"/>
              </w:rPr>
              <w:t>. 识别的范围：公司所属办公区域、生产现场等的活动、产品、服务中的环境因素</w:t>
            </w:r>
            <w:r>
              <w:rPr>
                <w:rFonts w:hint="eastAsia" w:ascii="宋体" w:hAnsi="宋体"/>
                <w:bCs/>
                <w:szCs w:val="21"/>
              </w:rPr>
              <w:t>和相关方有关的活动、产品和服务中能够施加影响的环境因素，并考虑到已纳入计划的或新开发、新或修改的活动、产品和销售等因素。</w:t>
            </w:r>
            <w:r>
              <w:rPr>
                <w:rFonts w:hint="eastAsia" w:ascii="宋体" w:hAnsi="宋体"/>
                <w:szCs w:val="21"/>
              </w:rPr>
              <w:t>从中判定那些对环境具有或可能具有重大影响的因素并形成文件、及时更新。并确保在建立环境目标/指标及建立、实施和保持管理体系时，对这些重大影响有关的因素和控制的效果加以考虑。</w:t>
            </w:r>
          </w:p>
          <w:p>
            <w:pPr>
              <w:tabs>
                <w:tab w:val="left" w:pos="900"/>
              </w:tabs>
              <w:spacing w:line="360" w:lineRule="exact"/>
              <w:rPr>
                <w:rFonts w:ascii="宋体" w:hAnsi="宋体"/>
                <w:bCs/>
                <w:color w:val="000000"/>
                <w:szCs w:val="21"/>
              </w:rPr>
            </w:pPr>
            <w:r>
              <w:rPr>
                <w:rFonts w:hint="eastAsia" w:ascii="宋体" w:hAnsi="宋体"/>
                <w:b/>
                <w:bCs/>
                <w:szCs w:val="21"/>
              </w:rPr>
              <w:t xml:space="preserve">4.1.2. </w:t>
            </w:r>
            <w:r>
              <w:rPr>
                <w:rFonts w:hint="eastAsia" w:ascii="宋体" w:hAnsi="宋体"/>
                <w:bCs/>
                <w:szCs w:val="21"/>
              </w:rPr>
              <w:t>识别环境因素时要考虑过去、现在和将来三种时态，正常、异常和紧急三种状态。</w:t>
            </w:r>
            <w:r>
              <w:rPr>
                <w:rFonts w:hint="eastAsia" w:ascii="宋体" w:hAnsi="宋体"/>
                <w:bCs/>
                <w:color w:val="000000"/>
                <w:szCs w:val="21"/>
              </w:rPr>
              <w:t>识别的内容要考虑以下主要方面：</w:t>
            </w:r>
          </w:p>
          <w:p>
            <w:pPr>
              <w:spacing w:line="360" w:lineRule="exact"/>
              <w:ind w:firstLine="420" w:firstLineChars="200"/>
              <w:rPr>
                <w:rFonts w:ascii="宋体" w:hAnsi="宋体"/>
                <w:bCs/>
                <w:color w:val="000000"/>
                <w:szCs w:val="21"/>
              </w:rPr>
            </w:pPr>
            <w:r>
              <w:rPr>
                <w:rFonts w:hint="eastAsia" w:ascii="宋体" w:hAnsi="宋体"/>
                <w:bCs/>
                <w:color w:val="000000"/>
                <w:szCs w:val="21"/>
              </w:rPr>
              <w:t xml:space="preserve">a．向大气排放：如粉尘排放、烟尘排放； </w:t>
            </w:r>
          </w:p>
          <w:p>
            <w:pPr>
              <w:spacing w:line="360" w:lineRule="exact"/>
              <w:ind w:firstLine="420" w:firstLineChars="200"/>
              <w:rPr>
                <w:rFonts w:ascii="宋体" w:hAnsi="宋体"/>
                <w:bCs/>
                <w:color w:val="000000"/>
                <w:szCs w:val="21"/>
              </w:rPr>
            </w:pPr>
            <w:r>
              <w:rPr>
                <w:rFonts w:hint="eastAsia" w:ascii="宋体" w:hAnsi="宋体"/>
                <w:bCs/>
                <w:color w:val="000000"/>
                <w:szCs w:val="21"/>
              </w:rPr>
              <w:t>b．向水体排放：如生活污水排放、生产污水排放；</w:t>
            </w:r>
          </w:p>
          <w:p>
            <w:pPr>
              <w:spacing w:line="360" w:lineRule="exact"/>
              <w:ind w:firstLine="420" w:firstLineChars="200"/>
              <w:rPr>
                <w:rFonts w:ascii="宋体" w:hAnsi="宋体"/>
                <w:bCs/>
                <w:color w:val="000000"/>
                <w:szCs w:val="21"/>
              </w:rPr>
            </w:pPr>
            <w:r>
              <w:rPr>
                <w:rFonts w:hint="eastAsia" w:ascii="宋体" w:hAnsi="宋体"/>
                <w:bCs/>
                <w:color w:val="000000"/>
                <w:szCs w:val="21"/>
              </w:rPr>
              <w:t>c．向土地排放：如油品、化学品的泄漏；</w:t>
            </w:r>
          </w:p>
          <w:p>
            <w:pPr>
              <w:spacing w:line="360" w:lineRule="exact"/>
              <w:ind w:firstLine="420" w:firstLineChars="200"/>
              <w:rPr>
                <w:rFonts w:ascii="宋体" w:hAnsi="宋体"/>
                <w:bCs/>
                <w:color w:val="000000"/>
                <w:szCs w:val="21"/>
              </w:rPr>
            </w:pPr>
            <w:r>
              <w:rPr>
                <w:rFonts w:hint="eastAsia" w:ascii="宋体" w:hAnsi="宋体"/>
                <w:bCs/>
                <w:color w:val="000000"/>
                <w:szCs w:val="21"/>
              </w:rPr>
              <w:t>d．原材料和自然资源使用；</w:t>
            </w:r>
          </w:p>
          <w:p>
            <w:pPr>
              <w:spacing w:line="360" w:lineRule="exact"/>
              <w:ind w:firstLine="420" w:firstLineChars="200"/>
              <w:rPr>
                <w:rFonts w:ascii="宋体" w:hAnsi="宋体"/>
                <w:bCs/>
                <w:color w:val="000000"/>
                <w:szCs w:val="21"/>
              </w:rPr>
            </w:pPr>
            <w:r>
              <w:rPr>
                <w:rFonts w:hint="eastAsia" w:ascii="宋体" w:hAnsi="宋体"/>
                <w:bCs/>
                <w:color w:val="000000"/>
                <w:szCs w:val="21"/>
              </w:rPr>
              <w:t>e．能源使用；</w:t>
            </w:r>
          </w:p>
          <w:p>
            <w:pPr>
              <w:spacing w:line="360" w:lineRule="exact"/>
              <w:ind w:firstLine="420" w:firstLineChars="200"/>
              <w:rPr>
                <w:rFonts w:ascii="宋体" w:hAnsi="宋体"/>
                <w:bCs/>
                <w:color w:val="000000"/>
                <w:szCs w:val="21"/>
              </w:rPr>
            </w:pPr>
            <w:r>
              <w:rPr>
                <w:rFonts w:hint="eastAsia" w:ascii="宋体" w:hAnsi="宋体"/>
                <w:bCs/>
                <w:color w:val="000000"/>
                <w:szCs w:val="21"/>
              </w:rPr>
              <w:t>能量释放：如热、辐射、振动等；</w:t>
            </w:r>
          </w:p>
          <w:p>
            <w:pPr>
              <w:spacing w:line="360" w:lineRule="exact"/>
              <w:ind w:firstLine="420" w:firstLineChars="200"/>
              <w:rPr>
                <w:rFonts w:ascii="宋体" w:hAnsi="宋体"/>
                <w:bCs/>
                <w:color w:val="000000"/>
                <w:szCs w:val="21"/>
              </w:rPr>
            </w:pPr>
            <w:r>
              <w:rPr>
                <w:rFonts w:hint="eastAsia" w:ascii="宋体" w:hAnsi="宋体"/>
                <w:bCs/>
                <w:color w:val="000000"/>
                <w:szCs w:val="21"/>
              </w:rPr>
              <w:t>g．废物；</w:t>
            </w:r>
          </w:p>
          <w:p>
            <w:pPr>
              <w:spacing w:line="360" w:lineRule="exact"/>
              <w:ind w:firstLine="420" w:firstLineChars="200"/>
              <w:rPr>
                <w:rFonts w:ascii="宋体" w:hAnsi="宋体"/>
                <w:bCs/>
                <w:color w:val="000000"/>
                <w:szCs w:val="21"/>
              </w:rPr>
            </w:pPr>
            <w:r>
              <w:rPr>
                <w:rFonts w:hint="eastAsia" w:ascii="宋体" w:hAnsi="宋体"/>
                <w:bCs/>
                <w:color w:val="000000"/>
                <w:szCs w:val="21"/>
              </w:rPr>
              <w:t>h．物理属性，如大小、形状、颜色、外观等。</w:t>
            </w:r>
          </w:p>
          <w:p>
            <w:pPr>
              <w:spacing w:line="360" w:lineRule="exact"/>
              <w:rPr>
                <w:rFonts w:ascii="宋体" w:hAnsi="宋体"/>
                <w:bCs/>
                <w:color w:val="000000"/>
                <w:szCs w:val="21"/>
              </w:rPr>
            </w:pPr>
            <w:r>
              <w:rPr>
                <w:rFonts w:hint="eastAsia" w:ascii="宋体" w:hAnsi="宋体"/>
                <w:b/>
                <w:bCs/>
                <w:color w:val="000000"/>
                <w:szCs w:val="21"/>
              </w:rPr>
              <w:t>4.1.3.</w:t>
            </w:r>
            <w:r>
              <w:rPr>
                <w:rFonts w:hint="eastAsia" w:ascii="宋体" w:hAnsi="宋体"/>
                <w:bCs/>
                <w:color w:val="000000"/>
                <w:szCs w:val="21"/>
              </w:rPr>
              <w:t xml:space="preserve"> 识别的方法</w:t>
            </w:r>
          </w:p>
          <w:p>
            <w:pPr>
              <w:spacing w:line="360" w:lineRule="exact"/>
              <w:ind w:firstLine="480"/>
              <w:rPr>
                <w:rFonts w:ascii="宋体" w:hAnsi="宋体"/>
                <w:bCs/>
                <w:color w:val="000000"/>
                <w:szCs w:val="21"/>
              </w:rPr>
            </w:pPr>
            <w:r>
              <w:rPr>
                <w:rFonts w:hint="eastAsia" w:ascii="宋体" w:hAnsi="宋体"/>
                <w:bCs/>
                <w:color w:val="000000"/>
                <w:szCs w:val="21"/>
              </w:rPr>
              <w:t>以生命周期分析、清洁生产和污染预防的思想为指导，采用过程分析方法、现场观察法和问卷调查法相结合的办法识别环境因素。</w:t>
            </w:r>
          </w:p>
          <w:p>
            <w:pPr>
              <w:spacing w:line="360" w:lineRule="exact"/>
              <w:rPr>
                <w:rFonts w:ascii="宋体" w:hAnsi="宋体"/>
                <w:bCs/>
                <w:color w:val="000000"/>
                <w:szCs w:val="21"/>
              </w:rPr>
            </w:pPr>
            <w:r>
              <w:rPr>
                <w:rFonts w:hint="eastAsia" w:ascii="宋体" w:hAnsi="宋体"/>
                <w:b/>
                <w:bCs/>
                <w:color w:val="000000"/>
                <w:szCs w:val="21"/>
              </w:rPr>
              <w:t>4.1.4.</w:t>
            </w:r>
            <w:r>
              <w:rPr>
                <w:rFonts w:hint="eastAsia" w:ascii="宋体" w:hAnsi="宋体"/>
                <w:bCs/>
                <w:color w:val="000000"/>
                <w:szCs w:val="21"/>
              </w:rPr>
              <w:t xml:space="preserve"> 识别的步骤</w:t>
            </w:r>
          </w:p>
          <w:p>
            <w:pPr>
              <w:spacing w:line="360" w:lineRule="exact"/>
              <w:ind w:firstLine="420" w:firstLineChars="200"/>
              <w:rPr>
                <w:rFonts w:ascii="宋体" w:hAnsi="宋体"/>
                <w:bCs/>
                <w:color w:val="000000"/>
                <w:szCs w:val="21"/>
              </w:rPr>
            </w:pPr>
            <w:r>
              <w:rPr>
                <w:rFonts w:hint="eastAsia" w:ascii="宋体" w:hAnsi="宋体"/>
                <w:bCs/>
                <w:color w:val="000000"/>
                <w:szCs w:val="21"/>
              </w:rPr>
              <w:t>a．</w:t>
            </w:r>
            <w:r>
              <w:rPr>
                <w:rFonts w:hint="eastAsia" w:ascii="宋体" w:hAnsi="宋体"/>
                <w:color w:val="000000"/>
                <w:szCs w:val="21"/>
              </w:rPr>
              <w:t>综合部</w:t>
            </w:r>
            <w:r>
              <w:rPr>
                <w:rFonts w:hint="eastAsia" w:ascii="宋体" w:hAnsi="宋体"/>
                <w:bCs/>
                <w:color w:val="000000"/>
                <w:szCs w:val="21"/>
              </w:rPr>
              <w:t>负责组织相关部门进行环境因素识别工作；</w:t>
            </w:r>
          </w:p>
          <w:p>
            <w:pPr>
              <w:spacing w:line="360" w:lineRule="exact"/>
              <w:ind w:firstLine="420" w:firstLineChars="200"/>
              <w:rPr>
                <w:rFonts w:ascii="宋体" w:hAnsi="宋体"/>
                <w:bCs/>
                <w:color w:val="000000"/>
                <w:szCs w:val="21"/>
              </w:rPr>
            </w:pPr>
            <w:r>
              <w:rPr>
                <w:rFonts w:hint="eastAsia" w:ascii="宋体" w:hAnsi="宋体"/>
                <w:bCs/>
                <w:color w:val="000000"/>
                <w:szCs w:val="21"/>
              </w:rPr>
              <w:t>b．各部门依据本部门的职责、业务活动和确定的有关人员、活动、产品或销售服务的过程对本部门的环境因素进行排查，草拟环境因素清单，并通过现场观察或问卷调查补充和完善，形成本部门的《环境因素识别、评价表》。</w:t>
            </w:r>
          </w:p>
          <w:p>
            <w:pPr>
              <w:spacing w:line="360" w:lineRule="exact"/>
              <w:ind w:firstLine="420" w:firstLineChars="200"/>
              <w:rPr>
                <w:rFonts w:ascii="宋体" w:hAnsi="宋体"/>
                <w:bCs/>
                <w:color w:val="000000"/>
                <w:szCs w:val="21"/>
              </w:rPr>
            </w:pPr>
            <w:r>
              <w:rPr>
                <w:rFonts w:hint="eastAsia" w:ascii="宋体" w:hAnsi="宋体"/>
                <w:bCs/>
                <w:color w:val="000000"/>
                <w:szCs w:val="21"/>
              </w:rPr>
              <w:t>c. 各部门的《环境因素识别、评价表》经负责人批准后报</w:t>
            </w:r>
            <w:r>
              <w:rPr>
                <w:rFonts w:hint="eastAsia" w:ascii="宋体" w:hAnsi="宋体"/>
                <w:color w:val="000000"/>
                <w:szCs w:val="21"/>
              </w:rPr>
              <w:t>综合部</w:t>
            </w:r>
            <w:r>
              <w:rPr>
                <w:rFonts w:hint="eastAsia" w:ascii="宋体" w:hAnsi="宋体"/>
                <w:bCs/>
                <w:color w:val="000000"/>
                <w:szCs w:val="21"/>
              </w:rPr>
              <w:t>，并留存一份；</w:t>
            </w:r>
            <w:r>
              <w:rPr>
                <w:rFonts w:hint="eastAsia" w:ascii="宋体" w:hAnsi="宋体"/>
                <w:color w:val="000000"/>
                <w:szCs w:val="21"/>
              </w:rPr>
              <w:t>综合部</w:t>
            </w:r>
            <w:r>
              <w:rPr>
                <w:rFonts w:hint="eastAsia" w:ascii="宋体" w:hAnsi="宋体"/>
                <w:bCs/>
                <w:color w:val="000000"/>
                <w:szCs w:val="21"/>
              </w:rPr>
              <w:t>在各部门《环境因素识别、评价表》基础上，进行分析汇总成公司《环境因素识别、评价表》，报管理者代表批准。</w:t>
            </w:r>
          </w:p>
          <w:p>
            <w:pPr>
              <w:spacing w:line="360" w:lineRule="exact"/>
              <w:outlineLvl w:val="0"/>
              <w:rPr>
                <w:rFonts w:ascii="宋体" w:hAnsi="宋体"/>
                <w:b/>
                <w:bCs/>
                <w:color w:val="000000"/>
                <w:szCs w:val="21"/>
              </w:rPr>
            </w:pPr>
            <w:r>
              <w:rPr>
                <w:rFonts w:hint="eastAsia" w:ascii="宋体" w:hAnsi="宋体"/>
                <w:b/>
                <w:bCs/>
                <w:color w:val="000000"/>
                <w:szCs w:val="21"/>
              </w:rPr>
              <w:t>4.2. 重要环境因素评价</w:t>
            </w:r>
          </w:p>
          <w:p>
            <w:pPr>
              <w:spacing w:line="360" w:lineRule="exact"/>
              <w:rPr>
                <w:rFonts w:ascii="宋体" w:hAnsi="宋体"/>
                <w:bCs/>
                <w:color w:val="000000"/>
                <w:szCs w:val="21"/>
              </w:rPr>
            </w:pPr>
            <w:r>
              <w:rPr>
                <w:rFonts w:hint="eastAsia" w:ascii="宋体" w:hAnsi="宋体"/>
                <w:b/>
                <w:bCs/>
                <w:color w:val="000000"/>
                <w:szCs w:val="21"/>
              </w:rPr>
              <w:t xml:space="preserve">4.2.1. </w:t>
            </w:r>
            <w:r>
              <w:rPr>
                <w:rFonts w:hint="eastAsia" w:ascii="宋体" w:hAnsi="宋体"/>
                <w:bCs/>
                <w:color w:val="000000"/>
                <w:szCs w:val="21"/>
              </w:rPr>
              <w:t>评价依据</w:t>
            </w:r>
          </w:p>
          <w:p>
            <w:pPr>
              <w:spacing w:line="360" w:lineRule="exact"/>
              <w:ind w:left="360"/>
              <w:rPr>
                <w:rFonts w:ascii="宋体" w:hAnsi="宋体"/>
                <w:bCs/>
                <w:color w:val="000000"/>
                <w:szCs w:val="21"/>
              </w:rPr>
            </w:pPr>
            <w:r>
              <w:rPr>
                <w:rFonts w:hint="eastAsia" w:ascii="宋体" w:hAnsi="宋体"/>
                <w:bCs/>
                <w:color w:val="000000"/>
                <w:szCs w:val="21"/>
              </w:rPr>
              <w:t>a.环境影响的程度、恢复能力、发生频率、相关方的利益；</w:t>
            </w:r>
          </w:p>
          <w:p>
            <w:pPr>
              <w:spacing w:line="360" w:lineRule="exact"/>
              <w:ind w:left="360"/>
              <w:rPr>
                <w:rFonts w:ascii="宋体" w:hAnsi="宋体"/>
                <w:bCs/>
                <w:color w:val="000000"/>
                <w:szCs w:val="21"/>
              </w:rPr>
            </w:pPr>
            <w:r>
              <w:rPr>
                <w:rFonts w:hint="eastAsia" w:ascii="宋体" w:hAnsi="宋体"/>
                <w:bCs/>
                <w:color w:val="000000"/>
                <w:szCs w:val="21"/>
              </w:rPr>
              <w:t>b.我国参与签署的相关国际公约；</w:t>
            </w:r>
          </w:p>
          <w:p>
            <w:pPr>
              <w:spacing w:line="360" w:lineRule="exact"/>
              <w:ind w:left="360"/>
              <w:rPr>
                <w:rFonts w:ascii="宋体" w:hAnsi="宋体"/>
                <w:bCs/>
                <w:color w:val="000000"/>
                <w:szCs w:val="21"/>
              </w:rPr>
            </w:pPr>
            <w:r>
              <w:rPr>
                <w:rFonts w:hint="eastAsia" w:ascii="宋体" w:hAnsi="宋体"/>
                <w:bCs/>
                <w:color w:val="000000"/>
                <w:szCs w:val="21"/>
              </w:rPr>
              <w:t>c.国家和地方的环保法律、法规、规章、标准和其他要求；</w:t>
            </w:r>
          </w:p>
          <w:p>
            <w:pPr>
              <w:spacing w:line="360" w:lineRule="exact"/>
              <w:ind w:firstLine="315" w:firstLineChars="150"/>
              <w:rPr>
                <w:rFonts w:ascii="宋体" w:hAnsi="宋体"/>
                <w:bCs/>
                <w:color w:val="000000"/>
                <w:szCs w:val="21"/>
              </w:rPr>
            </w:pPr>
            <w:r>
              <w:rPr>
                <w:rFonts w:hint="eastAsia" w:ascii="宋体" w:hAnsi="宋体"/>
                <w:bCs/>
                <w:color w:val="000000"/>
                <w:szCs w:val="21"/>
              </w:rPr>
              <w:t>d.行业主管部门以及公司的有关环境保护、能源、资源管理、化学危险品等方面的规章要求；</w:t>
            </w:r>
          </w:p>
          <w:p>
            <w:pPr>
              <w:spacing w:line="360" w:lineRule="exact"/>
              <w:ind w:firstLine="315" w:firstLineChars="150"/>
              <w:rPr>
                <w:rFonts w:ascii="宋体" w:hAnsi="宋体"/>
                <w:bCs/>
                <w:color w:val="000000"/>
                <w:szCs w:val="21"/>
              </w:rPr>
            </w:pPr>
            <w:r>
              <w:rPr>
                <w:rFonts w:hint="eastAsia" w:ascii="宋体" w:hAnsi="宋体"/>
                <w:bCs/>
                <w:color w:val="000000"/>
                <w:szCs w:val="21"/>
              </w:rPr>
              <w:t>e.公司的实际情况（改变环境影响的技术难度、经济承受能力、对公司公共形象的影响等）。</w:t>
            </w:r>
          </w:p>
          <w:p>
            <w:pPr>
              <w:spacing w:line="360" w:lineRule="exact"/>
              <w:rPr>
                <w:rFonts w:ascii="宋体" w:hAnsi="宋体"/>
                <w:bCs/>
                <w:color w:val="000000"/>
                <w:szCs w:val="21"/>
              </w:rPr>
            </w:pPr>
            <w:r>
              <w:rPr>
                <w:rFonts w:hint="eastAsia" w:ascii="宋体" w:hAnsi="宋体"/>
                <w:b/>
                <w:bCs/>
                <w:color w:val="000000"/>
                <w:szCs w:val="21"/>
              </w:rPr>
              <w:t>4.2.2.</w:t>
            </w:r>
            <w:r>
              <w:rPr>
                <w:rFonts w:hint="eastAsia" w:ascii="宋体" w:hAnsi="宋体"/>
                <w:bCs/>
                <w:color w:val="000000"/>
                <w:szCs w:val="21"/>
              </w:rPr>
              <w:t xml:space="preserve"> 评价方法</w:t>
            </w:r>
          </w:p>
          <w:p>
            <w:pPr>
              <w:spacing w:line="360" w:lineRule="exact"/>
              <w:ind w:firstLine="480"/>
              <w:rPr>
                <w:rFonts w:ascii="宋体" w:hAnsi="宋体"/>
                <w:bCs/>
                <w:color w:val="000000"/>
                <w:szCs w:val="21"/>
              </w:rPr>
            </w:pPr>
            <w:r>
              <w:rPr>
                <w:rFonts w:hint="eastAsia" w:ascii="宋体" w:hAnsi="宋体"/>
                <w:bCs/>
                <w:color w:val="000000"/>
                <w:szCs w:val="21"/>
              </w:rPr>
              <w:t>采用直接判断法与综合打分法相结合进行评价。对资源、能源的消耗，只采用直接判断法；对其他环境因素可采用两种方法相结合进行评价。</w:t>
            </w:r>
          </w:p>
          <w:p>
            <w:pPr>
              <w:spacing w:line="360" w:lineRule="exact"/>
              <w:outlineLvl w:val="0"/>
              <w:rPr>
                <w:rFonts w:ascii="宋体" w:hAnsi="宋体"/>
                <w:bCs/>
                <w:color w:val="000000"/>
                <w:szCs w:val="21"/>
              </w:rPr>
            </w:pPr>
            <w:r>
              <w:rPr>
                <w:rFonts w:hint="eastAsia" w:ascii="宋体" w:hAnsi="宋体"/>
                <w:b/>
                <w:bCs/>
                <w:color w:val="000000"/>
                <w:szCs w:val="21"/>
              </w:rPr>
              <w:t xml:space="preserve">4.2.2.1. </w:t>
            </w:r>
            <w:r>
              <w:rPr>
                <w:rFonts w:hint="eastAsia" w:ascii="宋体" w:hAnsi="宋体"/>
                <w:bCs/>
                <w:color w:val="000000"/>
                <w:szCs w:val="21"/>
              </w:rPr>
              <w:t>下列情况可直接判断为重要环境因素</w:t>
            </w:r>
          </w:p>
          <w:p>
            <w:pPr>
              <w:spacing w:line="360" w:lineRule="exact"/>
              <w:ind w:firstLine="420" w:firstLineChars="200"/>
              <w:rPr>
                <w:rFonts w:ascii="宋体" w:hAnsi="宋体"/>
                <w:bCs/>
                <w:color w:val="000000"/>
                <w:szCs w:val="21"/>
              </w:rPr>
            </w:pPr>
            <w:r>
              <w:rPr>
                <w:rFonts w:hint="eastAsia" w:ascii="宋体" w:hAnsi="宋体"/>
                <w:bCs/>
                <w:color w:val="000000"/>
                <w:szCs w:val="21"/>
              </w:rPr>
              <w:t>a.违法或超标；</w:t>
            </w:r>
          </w:p>
          <w:p>
            <w:pPr>
              <w:spacing w:line="360" w:lineRule="exact"/>
              <w:ind w:firstLine="420" w:firstLineChars="200"/>
              <w:rPr>
                <w:rFonts w:ascii="宋体" w:hAnsi="宋体"/>
                <w:bCs/>
                <w:color w:val="000000"/>
                <w:szCs w:val="21"/>
              </w:rPr>
            </w:pPr>
            <w:r>
              <w:rPr>
                <w:rFonts w:hint="eastAsia" w:ascii="宋体" w:hAnsi="宋体"/>
                <w:bCs/>
                <w:color w:val="000000"/>
                <w:szCs w:val="21"/>
              </w:rPr>
              <w:t>b.紧急状态；</w:t>
            </w:r>
          </w:p>
          <w:p>
            <w:pPr>
              <w:spacing w:line="360" w:lineRule="exact"/>
              <w:ind w:firstLine="420" w:firstLineChars="200"/>
              <w:rPr>
                <w:rFonts w:ascii="宋体" w:hAnsi="宋体"/>
                <w:bCs/>
                <w:color w:val="000000"/>
                <w:szCs w:val="21"/>
              </w:rPr>
            </w:pPr>
            <w:r>
              <w:rPr>
                <w:rFonts w:hint="eastAsia" w:ascii="宋体" w:hAnsi="宋体"/>
                <w:bCs/>
                <w:color w:val="000000"/>
                <w:szCs w:val="21"/>
              </w:rPr>
              <w:t>c.已列入《国家危险废物名录》的固体废弃物；</w:t>
            </w:r>
          </w:p>
          <w:p>
            <w:pPr>
              <w:spacing w:line="360" w:lineRule="exact"/>
              <w:ind w:firstLine="420" w:firstLineChars="200"/>
              <w:rPr>
                <w:rFonts w:ascii="宋体" w:hAnsi="宋体"/>
                <w:bCs/>
                <w:color w:val="000000"/>
                <w:szCs w:val="21"/>
              </w:rPr>
            </w:pPr>
            <w:r>
              <w:rPr>
                <w:rFonts w:hint="eastAsia" w:ascii="宋体" w:hAnsi="宋体"/>
                <w:bCs/>
                <w:color w:val="000000"/>
                <w:szCs w:val="21"/>
              </w:rPr>
              <w:t>d.对有考核指标的部门其水、电等原材料的消耗。</w:t>
            </w:r>
          </w:p>
          <w:p>
            <w:pPr>
              <w:tabs>
                <w:tab w:val="left" w:pos="1080"/>
              </w:tabs>
              <w:spacing w:line="360" w:lineRule="exact"/>
              <w:outlineLvl w:val="0"/>
              <w:rPr>
                <w:rFonts w:ascii="宋体" w:hAnsi="宋体"/>
                <w:bCs/>
                <w:color w:val="000000"/>
                <w:szCs w:val="21"/>
              </w:rPr>
            </w:pPr>
            <w:r>
              <w:rPr>
                <w:rFonts w:hint="eastAsia" w:ascii="宋体" w:hAnsi="宋体"/>
                <w:b/>
                <w:bCs/>
                <w:color w:val="000000"/>
                <w:szCs w:val="21"/>
              </w:rPr>
              <w:t>4.2.2.2.</w:t>
            </w:r>
            <w:r>
              <w:rPr>
                <w:rFonts w:hint="eastAsia" w:ascii="宋体" w:hAnsi="宋体"/>
                <w:bCs/>
                <w:color w:val="000000"/>
                <w:szCs w:val="21"/>
              </w:rPr>
              <w:t xml:space="preserve"> 综合打分法</w:t>
            </w:r>
          </w:p>
          <w:p>
            <w:pPr>
              <w:spacing w:line="360" w:lineRule="exact"/>
              <w:ind w:firstLine="420" w:firstLineChars="200"/>
              <w:rPr>
                <w:rFonts w:ascii="宋体" w:hAnsi="宋体"/>
                <w:bCs/>
                <w:color w:val="000000"/>
                <w:szCs w:val="21"/>
              </w:rPr>
            </w:pPr>
            <w:r>
              <w:rPr>
                <w:rFonts w:hint="eastAsia" w:ascii="宋体" w:hAnsi="宋体"/>
                <w:bCs/>
                <w:color w:val="000000"/>
                <w:szCs w:val="21"/>
              </w:rPr>
              <w:t>a.评价准则：对《环境因素识别、评价表》中的环境因素，根据实际情况，从下列一个或多个评价因子上分别进行打分，根据评价的项数n,取各项评价因子评分值之和即Mn=M1+M2+M3+M4+M5+M6进行评价。若Mn&gt;3n即定为重要环境因素。</w:t>
            </w:r>
          </w:p>
          <w:p>
            <w:pPr>
              <w:spacing w:line="360" w:lineRule="exact"/>
              <w:ind w:firstLine="420" w:firstLineChars="200"/>
              <w:rPr>
                <w:rFonts w:ascii="宋体" w:hAnsi="宋体"/>
                <w:bCs/>
                <w:color w:val="000000"/>
                <w:szCs w:val="21"/>
              </w:rPr>
            </w:pPr>
            <w:r>
              <w:rPr>
                <w:rFonts w:hint="eastAsia" w:ascii="宋体" w:hAnsi="宋体"/>
                <w:bCs/>
                <w:color w:val="000000"/>
                <w:szCs w:val="21"/>
              </w:rPr>
              <w:t>b.评价因子及分值：</w:t>
            </w:r>
          </w:p>
          <w:p>
            <w:pPr>
              <w:spacing w:line="360" w:lineRule="exact"/>
              <w:rPr>
                <w:rFonts w:ascii="宋体" w:hAnsi="宋体"/>
                <w:bCs/>
                <w:color w:val="000000"/>
                <w:szCs w:val="21"/>
              </w:rPr>
            </w:pPr>
            <w:r>
              <w:rPr>
                <w:rFonts w:hint="eastAsia" w:ascii="宋体" w:hAnsi="宋体"/>
                <w:bCs/>
                <w:color w:val="000000"/>
                <w:szCs w:val="21"/>
              </w:rPr>
              <w:t>1)环境影响发生频率</w:t>
            </w:r>
          </w:p>
          <w:tbl>
            <w:tblPr>
              <w:tblStyle w:val="9"/>
              <w:tblW w:w="0" w:type="auto"/>
              <w:tblInd w:w="78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8"/>
              <w:gridCol w:w="5400"/>
              <w:gridCol w:w="14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等级</w:t>
                  </w:r>
                </w:p>
              </w:tc>
              <w:tc>
                <w:tcPr>
                  <w:tcW w:w="540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发生频率</w:t>
                  </w:r>
                </w:p>
              </w:tc>
              <w:tc>
                <w:tcPr>
                  <w:tcW w:w="145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评分，M1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1级</w:t>
                  </w:r>
                </w:p>
              </w:tc>
              <w:tc>
                <w:tcPr>
                  <w:tcW w:w="540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频繁发生、连续发生至每日发生</w:t>
                  </w:r>
                </w:p>
              </w:tc>
              <w:tc>
                <w:tcPr>
                  <w:tcW w:w="145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2级</w:t>
                  </w:r>
                </w:p>
              </w:tc>
              <w:tc>
                <w:tcPr>
                  <w:tcW w:w="540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经常发生，每日少于1次至每周1次</w:t>
                  </w:r>
                </w:p>
              </w:tc>
              <w:tc>
                <w:tcPr>
                  <w:tcW w:w="145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3级</w:t>
                  </w:r>
                </w:p>
              </w:tc>
              <w:tc>
                <w:tcPr>
                  <w:tcW w:w="540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每周1次至每月1次</w:t>
                  </w:r>
                </w:p>
              </w:tc>
              <w:tc>
                <w:tcPr>
                  <w:tcW w:w="145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4级</w:t>
                  </w:r>
                </w:p>
              </w:tc>
              <w:tc>
                <w:tcPr>
                  <w:tcW w:w="5400" w:type="dxa"/>
                  <w:tcBorders>
                    <w:top w:val="single" w:color="auto" w:sz="4" w:space="0"/>
                    <w:left w:val="single" w:color="auto" w:sz="4" w:space="0"/>
                    <w:bottom w:val="single" w:color="auto" w:sz="4" w:space="0"/>
                    <w:right w:val="single" w:color="auto" w:sz="4" w:space="0"/>
                  </w:tcBorders>
                </w:tcPr>
                <w:p>
                  <w:pPr>
                    <w:spacing w:line="360" w:lineRule="exact"/>
                    <w:ind w:left="-107" w:leftChars="-51" w:firstLine="94" w:firstLineChars="45"/>
                    <w:jc w:val="center"/>
                    <w:rPr>
                      <w:rFonts w:ascii="宋体" w:hAnsi="宋体"/>
                      <w:bCs/>
                      <w:color w:val="000000"/>
                      <w:szCs w:val="21"/>
                    </w:rPr>
                  </w:pPr>
                  <w:r>
                    <w:rPr>
                      <w:rFonts w:hint="eastAsia" w:ascii="宋体" w:hAnsi="宋体"/>
                      <w:bCs/>
                      <w:color w:val="000000"/>
                      <w:szCs w:val="21"/>
                    </w:rPr>
                    <w:t>很少发生，每月少于1次至每年1次</w:t>
                  </w:r>
                </w:p>
              </w:tc>
              <w:tc>
                <w:tcPr>
                  <w:tcW w:w="145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130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5级</w:t>
                  </w:r>
                </w:p>
              </w:tc>
              <w:tc>
                <w:tcPr>
                  <w:tcW w:w="540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不发生，几乎不发生，1年以上1次</w:t>
                  </w:r>
                </w:p>
              </w:tc>
              <w:tc>
                <w:tcPr>
                  <w:tcW w:w="145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1</w:t>
                  </w:r>
                </w:p>
              </w:tc>
            </w:tr>
          </w:tbl>
          <w:p>
            <w:pPr>
              <w:spacing w:line="360" w:lineRule="exact"/>
              <w:rPr>
                <w:rFonts w:ascii="宋体" w:hAnsi="宋体"/>
                <w:bCs/>
                <w:color w:val="000000"/>
                <w:szCs w:val="21"/>
              </w:rPr>
            </w:pPr>
            <w:r>
              <w:rPr>
                <w:rFonts w:hint="eastAsia" w:ascii="宋体" w:hAnsi="宋体"/>
                <w:bCs/>
                <w:color w:val="000000"/>
                <w:szCs w:val="21"/>
              </w:rPr>
              <w:t>2)法律法规符合的程度</w:t>
            </w:r>
          </w:p>
          <w:tbl>
            <w:tblPr>
              <w:tblStyle w:val="9"/>
              <w:tblW w:w="0" w:type="auto"/>
              <w:tblInd w:w="78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8"/>
              <w:gridCol w:w="5400"/>
              <w:gridCol w:w="14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等级</w:t>
                  </w:r>
                </w:p>
              </w:tc>
              <w:tc>
                <w:tcPr>
                  <w:tcW w:w="540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内容</w:t>
                  </w:r>
                </w:p>
              </w:tc>
              <w:tc>
                <w:tcPr>
                  <w:tcW w:w="145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评分，M2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1级</w:t>
                  </w:r>
                </w:p>
              </w:tc>
              <w:tc>
                <w:tcPr>
                  <w:tcW w:w="540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超标</w:t>
                  </w:r>
                </w:p>
              </w:tc>
              <w:tc>
                <w:tcPr>
                  <w:tcW w:w="145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2级</w:t>
                  </w:r>
                </w:p>
              </w:tc>
              <w:tc>
                <w:tcPr>
                  <w:tcW w:w="540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接近标准</w:t>
                  </w:r>
                </w:p>
              </w:tc>
              <w:tc>
                <w:tcPr>
                  <w:tcW w:w="145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3级</w:t>
                  </w:r>
                </w:p>
              </w:tc>
              <w:tc>
                <w:tcPr>
                  <w:tcW w:w="540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未超标准</w:t>
                  </w:r>
                </w:p>
              </w:tc>
              <w:tc>
                <w:tcPr>
                  <w:tcW w:w="145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1</w:t>
                  </w:r>
                </w:p>
              </w:tc>
            </w:tr>
          </w:tbl>
          <w:p>
            <w:pPr>
              <w:spacing w:line="360" w:lineRule="exact"/>
              <w:ind w:firstLine="420" w:firstLineChars="200"/>
              <w:rPr>
                <w:rFonts w:ascii="宋体" w:hAnsi="宋体"/>
                <w:bCs/>
                <w:color w:val="000000"/>
                <w:szCs w:val="21"/>
              </w:rPr>
            </w:pPr>
            <w:r>
              <w:rPr>
                <w:rFonts w:hint="eastAsia" w:ascii="宋体" w:hAnsi="宋体"/>
                <w:bCs/>
                <w:color w:val="000000"/>
                <w:szCs w:val="21"/>
              </w:rPr>
              <w:t>法规符合性：排放的污染物与现行的污染物排放标准比较，以判断是否超标或未超标。</w:t>
            </w:r>
          </w:p>
          <w:p>
            <w:pPr>
              <w:spacing w:line="360" w:lineRule="exact"/>
              <w:rPr>
                <w:rFonts w:ascii="宋体" w:hAnsi="宋体"/>
                <w:bCs/>
                <w:color w:val="000000"/>
                <w:szCs w:val="21"/>
              </w:rPr>
            </w:pPr>
            <w:r>
              <w:rPr>
                <w:rFonts w:hint="eastAsia" w:ascii="宋体" w:hAnsi="宋体"/>
                <w:bCs/>
                <w:color w:val="000000"/>
                <w:szCs w:val="21"/>
              </w:rPr>
              <w:t>3)影响程度</w:t>
            </w:r>
          </w:p>
          <w:tbl>
            <w:tblPr>
              <w:tblStyle w:val="9"/>
              <w:tblW w:w="0" w:type="auto"/>
              <w:tblInd w:w="78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8"/>
              <w:gridCol w:w="5400"/>
              <w:gridCol w:w="14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等级</w:t>
                  </w:r>
                </w:p>
              </w:tc>
              <w:tc>
                <w:tcPr>
                  <w:tcW w:w="540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影响程度</w:t>
                  </w:r>
                </w:p>
              </w:tc>
              <w:tc>
                <w:tcPr>
                  <w:tcW w:w="145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评分，M3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1级</w:t>
                  </w:r>
                </w:p>
              </w:tc>
              <w:tc>
                <w:tcPr>
                  <w:tcW w:w="540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影响范围大或有毒有害</w:t>
                  </w:r>
                </w:p>
              </w:tc>
              <w:tc>
                <w:tcPr>
                  <w:tcW w:w="145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2级</w:t>
                  </w:r>
                </w:p>
              </w:tc>
              <w:tc>
                <w:tcPr>
                  <w:tcW w:w="540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影响范围中且无毒有害</w:t>
                  </w:r>
                </w:p>
              </w:tc>
              <w:tc>
                <w:tcPr>
                  <w:tcW w:w="145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3级</w:t>
                  </w:r>
                </w:p>
              </w:tc>
              <w:tc>
                <w:tcPr>
                  <w:tcW w:w="540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影响范围小且无毒无害</w:t>
                  </w:r>
                </w:p>
              </w:tc>
              <w:tc>
                <w:tcPr>
                  <w:tcW w:w="145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1</w:t>
                  </w:r>
                </w:p>
              </w:tc>
            </w:tr>
          </w:tbl>
          <w:p>
            <w:pPr>
              <w:spacing w:line="360" w:lineRule="exact"/>
              <w:rPr>
                <w:rFonts w:ascii="宋体" w:hAnsi="宋体"/>
                <w:bCs/>
                <w:color w:val="000000"/>
                <w:szCs w:val="21"/>
              </w:rPr>
            </w:pPr>
            <w:r>
              <w:rPr>
                <w:rFonts w:hint="eastAsia" w:ascii="宋体" w:hAnsi="宋体"/>
                <w:bCs/>
                <w:color w:val="000000"/>
                <w:szCs w:val="21"/>
              </w:rPr>
              <w:t>4)环境影响的恢复能力</w:t>
            </w:r>
          </w:p>
          <w:tbl>
            <w:tblPr>
              <w:tblStyle w:val="9"/>
              <w:tblW w:w="0" w:type="auto"/>
              <w:tblInd w:w="8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60"/>
              <w:gridCol w:w="5370"/>
              <w:gridCol w:w="15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等级</w:t>
                  </w:r>
                </w:p>
              </w:tc>
              <w:tc>
                <w:tcPr>
                  <w:tcW w:w="537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恢复能力</w:t>
                  </w:r>
                </w:p>
              </w:tc>
              <w:tc>
                <w:tcPr>
                  <w:tcW w:w="1575"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评分，M4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1级</w:t>
                  </w:r>
                </w:p>
              </w:tc>
              <w:tc>
                <w:tcPr>
                  <w:tcW w:w="537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一年以上才可恢复或不可恢复</w:t>
                  </w:r>
                </w:p>
              </w:tc>
              <w:tc>
                <w:tcPr>
                  <w:tcW w:w="1575"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2级</w:t>
                  </w:r>
                </w:p>
              </w:tc>
              <w:tc>
                <w:tcPr>
                  <w:tcW w:w="537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半年至一年可恢复</w:t>
                  </w:r>
                </w:p>
              </w:tc>
              <w:tc>
                <w:tcPr>
                  <w:tcW w:w="1575"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126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3级</w:t>
                  </w:r>
                </w:p>
              </w:tc>
              <w:tc>
                <w:tcPr>
                  <w:tcW w:w="537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一月至半年可恢复</w:t>
                  </w:r>
                </w:p>
              </w:tc>
              <w:tc>
                <w:tcPr>
                  <w:tcW w:w="1575"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4级</w:t>
                  </w:r>
                </w:p>
              </w:tc>
              <w:tc>
                <w:tcPr>
                  <w:tcW w:w="537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一周至一月可恢复</w:t>
                  </w:r>
                </w:p>
              </w:tc>
              <w:tc>
                <w:tcPr>
                  <w:tcW w:w="1575"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5级</w:t>
                  </w:r>
                </w:p>
              </w:tc>
              <w:tc>
                <w:tcPr>
                  <w:tcW w:w="537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一天至一周可恢复</w:t>
                  </w:r>
                </w:p>
              </w:tc>
              <w:tc>
                <w:tcPr>
                  <w:tcW w:w="1575"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1</w:t>
                  </w:r>
                </w:p>
              </w:tc>
            </w:tr>
          </w:tbl>
          <w:p>
            <w:pPr>
              <w:spacing w:line="360" w:lineRule="exact"/>
              <w:rPr>
                <w:rFonts w:ascii="宋体" w:hAnsi="宋体"/>
                <w:color w:val="000000"/>
                <w:szCs w:val="21"/>
              </w:rPr>
            </w:pPr>
            <w:r>
              <w:rPr>
                <w:rFonts w:hint="eastAsia" w:ascii="宋体" w:hAnsi="宋体"/>
                <w:color w:val="000000"/>
                <w:szCs w:val="21"/>
              </w:rPr>
              <w:t>5)公众及媒介对影响的关注程度</w:t>
            </w:r>
          </w:p>
          <w:tbl>
            <w:tblPr>
              <w:tblStyle w:val="9"/>
              <w:tblW w:w="0" w:type="auto"/>
              <w:tblInd w:w="78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8"/>
              <w:gridCol w:w="5400"/>
              <w:gridCol w:w="14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等级</w:t>
                  </w:r>
                </w:p>
              </w:tc>
              <w:tc>
                <w:tcPr>
                  <w:tcW w:w="540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关注程度</w:t>
                  </w:r>
                </w:p>
              </w:tc>
              <w:tc>
                <w:tcPr>
                  <w:tcW w:w="145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评分，M5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1级</w:t>
                  </w:r>
                </w:p>
              </w:tc>
              <w:tc>
                <w:tcPr>
                  <w:tcW w:w="540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社会极度关注</w:t>
                  </w:r>
                </w:p>
              </w:tc>
              <w:tc>
                <w:tcPr>
                  <w:tcW w:w="145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2级</w:t>
                  </w:r>
                </w:p>
              </w:tc>
              <w:tc>
                <w:tcPr>
                  <w:tcW w:w="540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地区极度关注</w:t>
                  </w:r>
                </w:p>
              </w:tc>
              <w:tc>
                <w:tcPr>
                  <w:tcW w:w="145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3级</w:t>
                  </w:r>
                </w:p>
              </w:tc>
              <w:tc>
                <w:tcPr>
                  <w:tcW w:w="540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地区关注</w:t>
                  </w:r>
                </w:p>
              </w:tc>
              <w:tc>
                <w:tcPr>
                  <w:tcW w:w="145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4级</w:t>
                  </w:r>
                </w:p>
              </w:tc>
              <w:tc>
                <w:tcPr>
                  <w:tcW w:w="540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社区关注</w:t>
                  </w:r>
                </w:p>
              </w:tc>
              <w:tc>
                <w:tcPr>
                  <w:tcW w:w="145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5级</w:t>
                  </w:r>
                </w:p>
              </w:tc>
              <w:tc>
                <w:tcPr>
                  <w:tcW w:w="540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不为关注</w:t>
                  </w:r>
                </w:p>
              </w:tc>
              <w:tc>
                <w:tcPr>
                  <w:tcW w:w="145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1</w:t>
                  </w:r>
                </w:p>
              </w:tc>
            </w:tr>
          </w:tbl>
          <w:p>
            <w:pPr>
              <w:spacing w:line="360" w:lineRule="exact"/>
              <w:rPr>
                <w:rFonts w:ascii="宋体" w:hAnsi="宋体"/>
                <w:bCs/>
                <w:color w:val="000000"/>
                <w:szCs w:val="21"/>
              </w:rPr>
            </w:pPr>
          </w:p>
          <w:p>
            <w:pPr>
              <w:spacing w:line="360" w:lineRule="exact"/>
              <w:rPr>
                <w:rFonts w:ascii="宋体" w:hAnsi="宋体"/>
                <w:bCs/>
                <w:color w:val="000000"/>
                <w:szCs w:val="21"/>
              </w:rPr>
            </w:pPr>
            <w:r>
              <w:rPr>
                <w:rFonts w:hint="eastAsia" w:ascii="宋体" w:hAnsi="宋体"/>
                <w:bCs/>
                <w:color w:val="000000"/>
                <w:szCs w:val="21"/>
              </w:rPr>
              <w:t>6)改变环境影响的技术难度和经济承受能力</w:t>
            </w:r>
          </w:p>
          <w:tbl>
            <w:tblPr>
              <w:tblStyle w:val="9"/>
              <w:tblW w:w="0" w:type="auto"/>
              <w:tblInd w:w="78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8"/>
              <w:gridCol w:w="5400"/>
              <w:gridCol w:w="14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等级</w:t>
                  </w:r>
                </w:p>
              </w:tc>
              <w:tc>
                <w:tcPr>
                  <w:tcW w:w="540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技术难度</w:t>
                  </w:r>
                </w:p>
              </w:tc>
              <w:tc>
                <w:tcPr>
                  <w:tcW w:w="145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评分，M6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1级</w:t>
                  </w:r>
                </w:p>
              </w:tc>
              <w:tc>
                <w:tcPr>
                  <w:tcW w:w="540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技术难度大或投资巨大</w:t>
                  </w:r>
                </w:p>
              </w:tc>
              <w:tc>
                <w:tcPr>
                  <w:tcW w:w="145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2级</w:t>
                  </w:r>
                </w:p>
              </w:tc>
              <w:tc>
                <w:tcPr>
                  <w:tcW w:w="540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技术难度中或投资较大</w:t>
                  </w:r>
                </w:p>
              </w:tc>
              <w:tc>
                <w:tcPr>
                  <w:tcW w:w="145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3级</w:t>
                  </w:r>
                </w:p>
              </w:tc>
              <w:tc>
                <w:tcPr>
                  <w:tcW w:w="540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技术难度小或投资较小</w:t>
                  </w:r>
                </w:p>
              </w:tc>
              <w:tc>
                <w:tcPr>
                  <w:tcW w:w="145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Cs/>
                      <w:color w:val="000000"/>
                      <w:szCs w:val="21"/>
                    </w:rPr>
                  </w:pPr>
                  <w:r>
                    <w:rPr>
                      <w:rFonts w:hint="eastAsia" w:ascii="宋体" w:hAnsi="宋体"/>
                      <w:bCs/>
                      <w:color w:val="000000"/>
                      <w:szCs w:val="21"/>
                    </w:rPr>
                    <w:t>1</w:t>
                  </w:r>
                </w:p>
              </w:tc>
            </w:tr>
          </w:tbl>
          <w:p>
            <w:pPr>
              <w:spacing w:line="360" w:lineRule="exact"/>
              <w:rPr>
                <w:rFonts w:ascii="宋体" w:hAnsi="宋体"/>
                <w:bCs/>
                <w:color w:val="000000"/>
                <w:szCs w:val="21"/>
              </w:rPr>
            </w:pPr>
            <w:r>
              <w:rPr>
                <w:rFonts w:hint="eastAsia" w:ascii="宋体" w:hAnsi="宋体"/>
                <w:b/>
                <w:bCs/>
                <w:color w:val="000000"/>
                <w:szCs w:val="21"/>
              </w:rPr>
              <w:t>4.2.3.</w:t>
            </w:r>
            <w:r>
              <w:rPr>
                <w:rFonts w:hint="eastAsia" w:ascii="宋体" w:hAnsi="宋体"/>
                <w:bCs/>
                <w:color w:val="000000"/>
                <w:szCs w:val="21"/>
              </w:rPr>
              <w:t xml:space="preserve"> 评价步骤</w:t>
            </w:r>
          </w:p>
          <w:p>
            <w:pPr>
              <w:spacing w:line="360" w:lineRule="exact"/>
              <w:rPr>
                <w:rFonts w:ascii="宋体" w:hAnsi="宋体"/>
                <w:bCs/>
                <w:color w:val="000000"/>
                <w:szCs w:val="21"/>
              </w:rPr>
            </w:pPr>
            <w:r>
              <w:rPr>
                <w:rFonts w:hint="eastAsia" w:ascii="宋体" w:hAnsi="宋体"/>
                <w:b/>
                <w:bCs/>
                <w:color w:val="000000"/>
                <w:szCs w:val="21"/>
              </w:rPr>
              <w:t>4.2.3.1.</w:t>
            </w:r>
            <w:r>
              <w:rPr>
                <w:rFonts w:hint="eastAsia" w:ascii="宋体" w:hAnsi="宋体"/>
                <w:bCs/>
                <w:color w:val="000000"/>
                <w:szCs w:val="21"/>
              </w:rPr>
              <w:t xml:space="preserve"> 综合部组织各部门将列入《环境因素识别、评价表》中的环境因素根据上述评价准则和方法对环境因素进行评价，确定重要环境因素，并形成《重要环境因素清单》。</w:t>
            </w:r>
          </w:p>
          <w:p>
            <w:pPr>
              <w:tabs>
                <w:tab w:val="left" w:pos="1080"/>
              </w:tabs>
              <w:spacing w:line="360" w:lineRule="exact"/>
              <w:rPr>
                <w:rFonts w:ascii="宋体" w:hAnsi="宋体"/>
                <w:bCs/>
                <w:color w:val="000000"/>
                <w:szCs w:val="21"/>
              </w:rPr>
            </w:pPr>
            <w:r>
              <w:rPr>
                <w:rFonts w:hint="eastAsia" w:ascii="宋体" w:hAnsi="宋体"/>
                <w:b/>
                <w:bCs/>
                <w:color w:val="000000"/>
                <w:szCs w:val="21"/>
              </w:rPr>
              <w:t>4.2.3.2.</w:t>
            </w:r>
            <w:r>
              <w:rPr>
                <w:rFonts w:hint="eastAsia" w:ascii="宋体" w:hAnsi="宋体"/>
                <w:bCs/>
                <w:color w:val="000000"/>
                <w:szCs w:val="21"/>
              </w:rPr>
              <w:t xml:space="preserve"> 综合部汇总各部门的《环境因素识别、评价表》和《重要环境因素清单》，形成全公司的《环境因素识别、评价表》和《重要环境因素清单》，报管理者代表审批。</w:t>
            </w:r>
          </w:p>
          <w:p>
            <w:pPr>
              <w:spacing w:line="360" w:lineRule="exact"/>
              <w:outlineLvl w:val="0"/>
              <w:rPr>
                <w:rFonts w:ascii="宋体" w:hAnsi="宋体"/>
                <w:b/>
                <w:color w:val="000000"/>
                <w:szCs w:val="21"/>
              </w:rPr>
            </w:pPr>
            <w:r>
              <w:rPr>
                <w:rFonts w:hint="eastAsia" w:ascii="宋体" w:hAnsi="宋体"/>
                <w:b/>
                <w:color w:val="000000"/>
                <w:szCs w:val="21"/>
              </w:rPr>
              <w:t>4.3. 更新</w:t>
            </w:r>
          </w:p>
          <w:p>
            <w:pPr>
              <w:spacing w:line="360" w:lineRule="exact"/>
              <w:rPr>
                <w:rFonts w:ascii="宋体" w:hAnsi="宋体"/>
                <w:color w:val="000000"/>
                <w:szCs w:val="21"/>
              </w:rPr>
            </w:pPr>
            <w:r>
              <w:rPr>
                <w:rFonts w:hint="eastAsia" w:ascii="宋体" w:hAnsi="宋体"/>
                <w:color w:val="000000"/>
                <w:szCs w:val="21"/>
              </w:rPr>
              <w:t>综合部至少每年组织各部门进行一次全面评审并更新环境因素，更新的前提应考虑到目标、指标及管理方案的完成而导致的环境影响程度的降低、法律法规符合性的变化等情况，</w:t>
            </w:r>
          </w:p>
          <w:p>
            <w:pPr>
              <w:spacing w:line="360" w:lineRule="exact"/>
              <w:rPr>
                <w:rFonts w:ascii="宋体" w:hAnsi="宋体"/>
                <w:color w:val="000000"/>
                <w:szCs w:val="21"/>
              </w:rPr>
            </w:pPr>
            <w:r>
              <w:rPr>
                <w:rFonts w:hint="eastAsia" w:ascii="宋体" w:hAnsi="宋体"/>
                <w:color w:val="000000"/>
                <w:szCs w:val="21"/>
              </w:rPr>
              <w:t>当出现下述情况时，各部门按照上述工作程序及时更新环境因素。</w:t>
            </w:r>
          </w:p>
          <w:p>
            <w:pPr>
              <w:spacing w:line="360" w:lineRule="exact"/>
              <w:ind w:firstLine="420" w:firstLineChars="200"/>
              <w:rPr>
                <w:rFonts w:ascii="宋体" w:hAnsi="宋体"/>
                <w:color w:val="000000"/>
                <w:szCs w:val="21"/>
              </w:rPr>
            </w:pPr>
            <w:r>
              <w:rPr>
                <w:rFonts w:hint="eastAsia" w:ascii="宋体" w:hAnsi="宋体"/>
                <w:color w:val="000000"/>
                <w:szCs w:val="21"/>
              </w:rPr>
              <w:t>a. 公司的活动、产品/销售发生新的变化；</w:t>
            </w:r>
          </w:p>
          <w:p>
            <w:pPr>
              <w:spacing w:line="360" w:lineRule="exact"/>
              <w:ind w:firstLine="420" w:firstLineChars="200"/>
              <w:rPr>
                <w:rFonts w:ascii="宋体" w:hAnsi="宋体"/>
                <w:color w:val="000000"/>
                <w:szCs w:val="21"/>
              </w:rPr>
            </w:pPr>
            <w:r>
              <w:rPr>
                <w:rFonts w:hint="eastAsia" w:ascii="宋体" w:hAnsi="宋体"/>
                <w:color w:val="000000"/>
                <w:szCs w:val="21"/>
              </w:rPr>
              <w:t>b.相关的法律法规和其他要求发生变化；</w:t>
            </w:r>
          </w:p>
          <w:p>
            <w:pPr>
              <w:spacing w:line="360" w:lineRule="exact"/>
              <w:ind w:firstLine="420" w:firstLineChars="200"/>
              <w:rPr>
                <w:rFonts w:ascii="宋体" w:hAnsi="宋体"/>
                <w:color w:val="000000"/>
                <w:szCs w:val="21"/>
              </w:rPr>
            </w:pPr>
            <w:r>
              <w:rPr>
                <w:rFonts w:hint="eastAsia" w:ascii="宋体" w:hAnsi="宋体"/>
                <w:color w:val="000000"/>
                <w:szCs w:val="21"/>
              </w:rPr>
              <w:t>c.相关方提出抱怨或合理化要求；</w:t>
            </w:r>
          </w:p>
          <w:p>
            <w:pPr>
              <w:spacing w:line="360" w:lineRule="exact"/>
              <w:ind w:firstLine="420" w:firstLineChars="200"/>
              <w:rPr>
                <w:rFonts w:ascii="宋体" w:hAnsi="宋体"/>
                <w:color w:val="000000"/>
                <w:szCs w:val="21"/>
              </w:rPr>
            </w:pPr>
            <w:r>
              <w:rPr>
                <w:rFonts w:hint="eastAsia" w:ascii="宋体" w:hAnsi="宋体"/>
                <w:color w:val="000000"/>
                <w:szCs w:val="21"/>
              </w:rPr>
              <w:t>d.内审和管理评审的要求；</w:t>
            </w:r>
          </w:p>
          <w:p>
            <w:pPr>
              <w:spacing w:line="360" w:lineRule="exact"/>
              <w:ind w:firstLine="420" w:firstLineChars="200"/>
              <w:rPr>
                <w:rFonts w:ascii="宋体" w:hAnsi="宋体"/>
                <w:color w:val="000000"/>
                <w:szCs w:val="21"/>
              </w:rPr>
            </w:pPr>
            <w:r>
              <w:rPr>
                <w:rFonts w:hint="eastAsia" w:ascii="宋体" w:hAnsi="宋体"/>
                <w:color w:val="000000"/>
                <w:szCs w:val="21"/>
              </w:rPr>
              <w:t>e.发现遗漏的环境因素。</w:t>
            </w:r>
          </w:p>
          <w:p>
            <w:pPr>
              <w:spacing w:line="360" w:lineRule="exact"/>
              <w:outlineLvl w:val="0"/>
              <w:rPr>
                <w:rFonts w:ascii="宋体" w:hAnsi="宋体"/>
                <w:color w:val="000000"/>
                <w:szCs w:val="21"/>
              </w:rPr>
            </w:pPr>
            <w:r>
              <w:rPr>
                <w:rFonts w:hint="eastAsia" w:ascii="宋体" w:hAnsi="宋体"/>
                <w:b/>
                <w:color w:val="000000"/>
                <w:szCs w:val="21"/>
              </w:rPr>
              <w:t>4.4.</w:t>
            </w:r>
            <w:r>
              <w:rPr>
                <w:rFonts w:hint="eastAsia" w:ascii="宋体" w:hAnsi="宋体"/>
                <w:color w:val="000000"/>
                <w:szCs w:val="21"/>
              </w:rPr>
              <w:t xml:space="preserve"> 各部门负责保存环境因素识别评价过程中的有关记录；综合部负责保存公司环境因素识别与评价过程中的相关记录。具体执行《记录控制程序》。</w:t>
            </w:r>
          </w:p>
          <w:p>
            <w:pPr>
              <w:spacing w:line="360" w:lineRule="exact"/>
              <w:rPr>
                <w:rFonts w:ascii="宋体" w:hAnsi="宋体"/>
                <w:b/>
                <w:color w:val="000000"/>
                <w:szCs w:val="21"/>
              </w:rPr>
            </w:pPr>
            <w:r>
              <w:rPr>
                <w:rFonts w:hint="eastAsia" w:ascii="宋体" w:hAnsi="宋体"/>
                <w:b/>
                <w:color w:val="000000"/>
                <w:szCs w:val="21"/>
              </w:rPr>
              <w:t>5. 相关/支持性文件</w:t>
            </w:r>
          </w:p>
          <w:p>
            <w:pPr>
              <w:spacing w:line="360" w:lineRule="exact"/>
              <w:rPr>
                <w:rFonts w:ascii="宋体" w:hAnsi="宋体"/>
                <w:color w:val="000000"/>
                <w:szCs w:val="21"/>
              </w:rPr>
            </w:pPr>
            <w:r>
              <w:rPr>
                <w:rFonts w:hint="eastAsia" w:ascii="宋体" w:hAnsi="宋体"/>
                <w:b/>
                <w:color w:val="000000"/>
                <w:szCs w:val="21"/>
              </w:rPr>
              <w:t>5.1.</w:t>
            </w:r>
            <w:r>
              <w:rPr>
                <w:rFonts w:hint="eastAsia" w:ascii="宋体" w:hAnsi="宋体"/>
                <w:color w:val="000000"/>
                <w:szCs w:val="21"/>
              </w:rPr>
              <w:t xml:space="preserve"> 《记录控制程序》</w:t>
            </w:r>
          </w:p>
          <w:p>
            <w:pPr>
              <w:spacing w:line="360" w:lineRule="exact"/>
              <w:rPr>
                <w:rFonts w:ascii="宋体" w:hAnsi="宋体"/>
                <w:color w:val="000000"/>
                <w:szCs w:val="21"/>
              </w:rPr>
            </w:pPr>
            <w:r>
              <w:rPr>
                <w:rFonts w:hint="eastAsia" w:ascii="宋体" w:hAnsi="宋体"/>
                <w:b/>
                <w:bCs/>
                <w:color w:val="000000"/>
                <w:szCs w:val="21"/>
              </w:rPr>
              <w:t>5.2.</w:t>
            </w:r>
            <w:r>
              <w:rPr>
                <w:rFonts w:hint="eastAsia" w:ascii="宋体" w:hAnsi="宋体"/>
                <w:bCs/>
                <w:color w:val="000000"/>
                <w:szCs w:val="21"/>
              </w:rPr>
              <w:t xml:space="preserve"> 《国家危险废物名录》</w:t>
            </w:r>
          </w:p>
          <w:p>
            <w:pPr>
              <w:spacing w:line="360" w:lineRule="exact"/>
              <w:rPr>
                <w:rFonts w:ascii="宋体" w:hAnsi="宋体"/>
                <w:color w:val="000000"/>
                <w:szCs w:val="21"/>
              </w:rPr>
            </w:pPr>
            <w:r>
              <w:rPr>
                <w:rFonts w:hint="eastAsia" w:ascii="宋体" w:hAnsi="宋体"/>
                <w:color w:val="000000"/>
                <w:szCs w:val="21"/>
              </w:rPr>
              <w:t>6. 记录</w:t>
            </w:r>
          </w:p>
          <w:p>
            <w:pPr>
              <w:spacing w:line="360" w:lineRule="exact"/>
              <w:rPr>
                <w:rFonts w:ascii="宋体" w:hAnsi="宋体"/>
                <w:color w:val="000000"/>
                <w:szCs w:val="21"/>
              </w:rPr>
            </w:pPr>
            <w:r>
              <w:rPr>
                <w:rFonts w:hint="eastAsia" w:ascii="宋体" w:hAnsi="宋体"/>
                <w:b/>
                <w:color w:val="000000"/>
                <w:szCs w:val="21"/>
              </w:rPr>
              <w:t>6.1.</w:t>
            </w:r>
            <w:r>
              <w:rPr>
                <w:rFonts w:hint="eastAsia" w:ascii="宋体" w:hAnsi="宋体"/>
                <w:color w:val="000000"/>
                <w:szCs w:val="21"/>
              </w:rPr>
              <w:t xml:space="preserve"> </w:t>
            </w:r>
            <w:r>
              <w:rPr>
                <w:rFonts w:hint="eastAsia" w:ascii="宋体" w:hAnsi="宋体"/>
                <w:bCs/>
                <w:color w:val="000000"/>
                <w:szCs w:val="21"/>
              </w:rPr>
              <w:t>《环境因素识别、评价表》</w:t>
            </w:r>
          </w:p>
          <w:p>
            <w:pPr>
              <w:spacing w:line="360" w:lineRule="exact"/>
              <w:rPr>
                <w:rFonts w:ascii="宋体" w:hAnsi="宋体"/>
                <w:color w:val="000000"/>
                <w:szCs w:val="21"/>
              </w:rPr>
            </w:pPr>
            <w:r>
              <w:rPr>
                <w:rFonts w:hint="eastAsia" w:ascii="宋体" w:hAnsi="宋体"/>
                <w:b/>
                <w:color w:val="000000"/>
                <w:szCs w:val="21"/>
              </w:rPr>
              <w:t>6.2.</w:t>
            </w:r>
            <w:r>
              <w:rPr>
                <w:rFonts w:hint="eastAsia" w:ascii="宋体" w:hAnsi="宋体"/>
                <w:color w:val="000000"/>
                <w:szCs w:val="21"/>
              </w:rPr>
              <w:t xml:space="preserve"> 《重要环境因素清单》</w:t>
            </w:r>
          </w:p>
          <w:p>
            <w:pPr>
              <w:spacing w:line="360" w:lineRule="exact"/>
              <w:rPr>
                <w:rFonts w:ascii="宋体" w:hAnsi="宋体"/>
                <w:color w:val="000000"/>
                <w:szCs w:val="21"/>
              </w:rPr>
            </w:pPr>
            <w:r>
              <w:rPr>
                <w:rFonts w:hint="eastAsia" w:ascii="宋体" w:hAnsi="宋体"/>
                <w:color w:val="000000"/>
                <w:szCs w:val="21"/>
              </w:rPr>
              <w:t>附：环境因素识别与评价流程图</w:t>
            </w:r>
          </w:p>
          <w:p>
            <w:pPr>
              <w:spacing w:line="360" w:lineRule="exact"/>
              <w:rPr>
                <w:rFonts w:ascii="宋体" w:hAnsi="宋体"/>
                <w:color w:val="000000"/>
                <w:szCs w:val="21"/>
              </w:rPr>
            </w:pPr>
            <w:r>
              <w:rPr>
                <w:rFonts w:hint="eastAsia" w:ascii="宋体" w:hAnsi="宋体"/>
                <w:color w:val="000000"/>
                <w:szCs w:val="21"/>
              </w:rPr>
              <mc:AlternateContent>
                <mc:Choice Requires="wps">
                  <w:drawing>
                    <wp:anchor distT="0" distB="0" distL="114300" distR="114300" simplePos="0" relativeHeight="251672576" behindDoc="0" locked="0" layoutInCell="1" allowOverlap="1">
                      <wp:simplePos x="0" y="0"/>
                      <wp:positionH relativeFrom="column">
                        <wp:posOffset>2971800</wp:posOffset>
                      </wp:positionH>
                      <wp:positionV relativeFrom="paragraph">
                        <wp:posOffset>73660</wp:posOffset>
                      </wp:positionV>
                      <wp:extent cx="2057400" cy="297180"/>
                      <wp:effectExtent l="9525" t="6985" r="9525" b="10160"/>
                      <wp:wrapNone/>
                      <wp:docPr id="17" name="矩形 17"/>
                      <wp:cNvGraphicFramePr/>
                      <a:graphic xmlns:a="http://schemas.openxmlformats.org/drawingml/2006/main">
                        <a:graphicData uri="http://schemas.microsoft.com/office/word/2010/wordprocessingShape">
                          <wps:wsp>
                            <wps:cNvSpPr>
                              <a:spLocks noChangeArrowheads="1"/>
                            </wps:cNvSpPr>
                            <wps:spPr bwMode="auto">
                              <a:xfrm>
                                <a:off x="0" y="0"/>
                                <a:ext cx="2057400" cy="297180"/>
                              </a:xfrm>
                              <a:prstGeom prst="rect">
                                <a:avLst/>
                              </a:prstGeom>
                              <a:solidFill>
                                <a:srgbClr val="FFFFFF"/>
                              </a:solidFill>
                              <a:ln w="9525">
                                <a:solidFill>
                                  <a:srgbClr val="000000"/>
                                </a:solidFill>
                                <a:miter lim="800000"/>
                              </a:ln>
                            </wps:spPr>
                            <wps:txbx>
                              <w:txbxContent>
                                <w:p>
                                  <w:pPr>
                                    <w:rPr>
                                      <w:rFonts w:ascii="楷体_GB2312" w:eastAsia="楷体_GB2312"/>
                                      <w:sz w:val="24"/>
                                    </w:rPr>
                                  </w:pPr>
                                  <w:r>
                                    <w:rPr>
                                      <w:rFonts w:hint="eastAsia" w:ascii="楷体_GB2312" w:eastAsia="楷体_GB2312"/>
                                      <w:sz w:val="24"/>
                                    </w:rPr>
                                    <w:t>定期的环境因素评价、更新</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4pt;margin-top:5.8pt;height:23.4pt;width:162pt;z-index:251672576;mso-width-relative:page;mso-height-relative:page;" fillcolor="#FFFFFF" filled="t" stroked="t" coordsize="21600,21600" o:gfxdata="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rUimB1wAAAAkBAAAPAAAAAAAAAAEAIAAAACIAAABkcnMvZG93&#10;bnJldi54bWxQSwECFAAUAAAACACHTuJAnCxm/joCAAB8BAAADgAAAAAAAAABACAAAAAmAQAAZHJz&#10;L2Uyb0RvYy54bWxQSwUGAAAAAAYABgBZAQAA0gUAAAAA&#10;">
                      <v:fill on="t" focussize="0,0"/>
                      <v:stroke color="#000000" miterlimit="8" joinstyle="miter"/>
                      <v:imagedata o:title=""/>
                      <o:lock v:ext="edit" aspectratio="f"/>
                      <v:textbox>
                        <w:txbxContent>
                          <w:p>
                            <w:pPr>
                              <w:rPr>
                                <w:rFonts w:ascii="楷体_GB2312" w:eastAsia="楷体_GB2312"/>
                                <w:sz w:val="24"/>
                              </w:rPr>
                            </w:pPr>
                            <w:r>
                              <w:rPr>
                                <w:rFonts w:hint="eastAsia" w:ascii="楷体_GB2312" w:eastAsia="楷体_GB2312"/>
                                <w:sz w:val="24"/>
                              </w:rPr>
                              <w:t>定期的环境因素评价、更新</w:t>
                            </w:r>
                          </w:p>
                        </w:txbxContent>
                      </v:textbox>
                    </v:rect>
                  </w:pict>
                </mc:Fallback>
              </mc:AlternateContent>
            </w:r>
            <w:r>
              <w:rPr>
                <w:rFonts w:hint="eastAsia" w:ascii="宋体" w:hAnsi="宋体"/>
                <w:color w:val="000000"/>
                <w:szCs w:val="21"/>
              </w:rPr>
              <mc:AlternateContent>
                <mc:Choice Requires="wps">
                  <w:drawing>
                    <wp:anchor distT="0" distB="0" distL="114300" distR="114300" simplePos="0" relativeHeight="251659264" behindDoc="0" locked="0" layoutInCell="1" allowOverlap="1">
                      <wp:simplePos x="0" y="0"/>
                      <wp:positionH relativeFrom="column">
                        <wp:posOffset>226695</wp:posOffset>
                      </wp:positionH>
                      <wp:positionV relativeFrom="paragraph">
                        <wp:posOffset>73660</wp:posOffset>
                      </wp:positionV>
                      <wp:extent cx="2173605" cy="297180"/>
                      <wp:effectExtent l="7620" t="6985" r="9525" b="10160"/>
                      <wp:wrapNone/>
                      <wp:docPr id="16" name="矩形 16"/>
                      <wp:cNvGraphicFramePr/>
                      <a:graphic xmlns:a="http://schemas.openxmlformats.org/drawingml/2006/main">
                        <a:graphicData uri="http://schemas.microsoft.com/office/word/2010/wordprocessingShape">
                          <wps:wsp>
                            <wps:cNvSpPr>
                              <a:spLocks noChangeArrowheads="1"/>
                            </wps:cNvSpPr>
                            <wps:spPr bwMode="auto">
                              <a:xfrm>
                                <a:off x="0" y="0"/>
                                <a:ext cx="2173605" cy="297180"/>
                              </a:xfrm>
                              <a:prstGeom prst="rect">
                                <a:avLst/>
                              </a:prstGeom>
                              <a:solidFill>
                                <a:srgbClr val="FFFFFF"/>
                              </a:solidFill>
                              <a:ln w="9525">
                                <a:solidFill>
                                  <a:srgbClr val="000000"/>
                                </a:solidFill>
                                <a:miter lim="800000"/>
                              </a:ln>
                            </wps:spPr>
                            <wps:txbx>
                              <w:txbxContent>
                                <w:p>
                                  <w:pPr>
                                    <w:jc w:val="center"/>
                                    <w:rPr>
                                      <w:rFonts w:ascii="楷体_GB2312" w:eastAsia="楷体_GB2312"/>
                                      <w:sz w:val="24"/>
                                    </w:rPr>
                                  </w:pPr>
                                  <w:r>
                                    <w:rPr>
                                      <w:rFonts w:hint="eastAsia" w:ascii="楷体_GB2312" w:eastAsia="楷体_GB2312"/>
                                      <w:sz w:val="24"/>
                                    </w:rPr>
                                    <w:t>公司的活动、产品或服务</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85pt;margin-top:5.8pt;height:23.4pt;width:171.15pt;z-index:251659264;mso-width-relative:page;mso-height-relative:page;" fillcolor="#FFFFFF" filled="t" stroked="t" coordsize="21600,21600" o:gfxdata="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qA/TudcAAAAIAQAADwAAAAAAAAABACAAAAAiAAAAZHJzL2Rv&#10;d25yZXYueG1sUEsBAhQAFAAAAAgAh07iQCLh9Tw7AgAAfAQAAA4AAAAAAAAAAQAgAAAAJgEAAGRy&#10;cy9lMm9Eb2MueG1sUEsFBgAAAAAGAAYAWQEAANMFAAAAAA==&#10;">
                      <v:fill on="t" focussize="0,0"/>
                      <v:stroke color="#000000" miterlimit="8" joinstyle="miter"/>
                      <v:imagedata o:title=""/>
                      <o:lock v:ext="edit" aspectratio="f"/>
                      <v:textbox>
                        <w:txbxContent>
                          <w:p>
                            <w:pPr>
                              <w:jc w:val="center"/>
                              <w:rPr>
                                <w:rFonts w:ascii="楷体_GB2312" w:eastAsia="楷体_GB2312"/>
                                <w:sz w:val="24"/>
                              </w:rPr>
                            </w:pPr>
                            <w:r>
                              <w:rPr>
                                <w:rFonts w:hint="eastAsia" w:ascii="楷体_GB2312" w:eastAsia="楷体_GB2312"/>
                                <w:sz w:val="24"/>
                              </w:rPr>
                              <w:t>公司的活动、产品或服务</w:t>
                            </w:r>
                          </w:p>
                        </w:txbxContent>
                      </v:textbox>
                    </v:rect>
                  </w:pict>
                </mc:Fallback>
              </mc:AlternateContent>
            </w:r>
            <w:r>
              <w:rPr>
                <w:rFonts w:hint="eastAsia" w:ascii="宋体" w:hAnsi="宋体"/>
                <w:color w:val="000000"/>
                <w:szCs w:val="21"/>
              </w:rPr>
              <w:t xml:space="preserve">    </w:t>
            </w:r>
          </w:p>
          <w:p>
            <w:pPr>
              <w:spacing w:line="360" w:lineRule="exact"/>
              <w:rPr>
                <w:rFonts w:ascii="宋体" w:hAnsi="宋体"/>
                <w:color w:val="000000"/>
                <w:szCs w:val="21"/>
              </w:rPr>
            </w:pPr>
            <w:r>
              <w:rPr>
                <w:rFonts w:hint="eastAsia" w:ascii="宋体" w:hAnsi="宋体"/>
                <w:color w:val="000000"/>
                <w:szCs w:val="21"/>
              </w:rPr>
              <mc:AlternateContent>
                <mc:Choice Requires="wps">
                  <w:drawing>
                    <wp:anchor distT="0" distB="0" distL="114300" distR="114300" simplePos="0" relativeHeight="251671552" behindDoc="0" locked="0" layoutInCell="1" allowOverlap="1">
                      <wp:simplePos x="0" y="0"/>
                      <wp:positionH relativeFrom="column">
                        <wp:posOffset>4000500</wp:posOffset>
                      </wp:positionH>
                      <wp:positionV relativeFrom="paragraph">
                        <wp:posOffset>176530</wp:posOffset>
                      </wp:positionV>
                      <wp:extent cx="635" cy="396240"/>
                      <wp:effectExtent l="57150" t="14605" r="56515" b="8255"/>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flipV="1">
                                <a:off x="0" y="0"/>
                                <a:ext cx="635" cy="39624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315pt;margin-top:13.9pt;height:31.2pt;width:0.05pt;z-index:251671552;mso-width-relative:page;mso-height-relative:page;" filled="f" stroked="t" coordsize="21600,21600" o:gfxdata="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K8tHNcAAAAJAQAADwAAAAAAAAABACAAAAAiAAAA&#10;ZHJzL2Rvd25yZXYueG1sUEsBAhQAFAAAAAgAh07iQOmQzNIIAgAA5QMAAA4AAAAAAAAAAQAgAAAA&#10;JgEAAGRycy9lMm9Eb2MueG1sUEsFBgAAAAAGAAYAWQEAAKAFAAAAAA==&#10;">
                      <v:fill on="f" focussize="0,0"/>
                      <v:stroke color="#000000" joinstyle="round" endarrow="block"/>
                      <v:imagedata o:title=""/>
                      <o:lock v:ext="edit" aspectratio="f"/>
                    </v:line>
                  </w:pict>
                </mc:Fallback>
              </mc:AlternateContent>
            </w:r>
            <w:r>
              <w:rPr>
                <w:rFonts w:hint="eastAsia" w:ascii="宋体" w:hAnsi="宋体"/>
                <w:color w:val="000000"/>
                <w:szCs w:val="21"/>
              </w:rPr>
              <mc:AlternateContent>
                <mc:Choice Requires="wps">
                  <w:drawing>
                    <wp:anchor distT="0" distB="0" distL="114300" distR="114300" simplePos="0" relativeHeight="251660288" behindDoc="0" locked="0" layoutInCell="1" allowOverlap="1">
                      <wp:simplePos x="0" y="0"/>
                      <wp:positionH relativeFrom="column">
                        <wp:posOffset>1257300</wp:posOffset>
                      </wp:positionH>
                      <wp:positionV relativeFrom="paragraph">
                        <wp:posOffset>73660</wp:posOffset>
                      </wp:positionV>
                      <wp:extent cx="635" cy="396240"/>
                      <wp:effectExtent l="57150" t="6985" r="56515" b="15875"/>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99pt;margin-top:5.8pt;height:31.2pt;width:0.05pt;z-index:251660288;mso-width-relative:page;mso-height-relative:page;" filled="f" stroked="t" coordsize="21600,21600" o:gfxdata="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uIDANkAAAAJAQAADwAAAAAAAAABACAAAAAiAAAAZHJz&#10;L2Rvd25yZXYueG1sUEsBAhQAFAAAAAgAh07iQFNGSyUDAgAA2wMAAA4AAAAAAAAAAQAgAAAAKAEA&#10;AGRycy9lMm9Eb2MueG1sUEsFBgAAAAAGAAYAWQEAAJ0FAAAAAA==&#10;">
                      <v:fill on="f" focussize="0,0"/>
                      <v:stroke color="#000000" joinstyle="round" endarrow="block"/>
                      <v:imagedata o:title=""/>
                      <o:lock v:ext="edit" aspectratio="f"/>
                    </v:line>
                  </w:pict>
                </mc:Fallback>
              </mc:AlternateContent>
            </w:r>
          </w:p>
          <w:p>
            <w:pPr>
              <w:spacing w:line="360" w:lineRule="exact"/>
              <w:rPr>
                <w:rFonts w:ascii="宋体" w:hAnsi="宋体"/>
                <w:color w:val="000000"/>
                <w:szCs w:val="21"/>
              </w:rPr>
            </w:pPr>
          </w:p>
          <w:p>
            <w:pPr>
              <w:spacing w:line="360" w:lineRule="exact"/>
              <w:rPr>
                <w:rFonts w:ascii="宋体" w:hAnsi="宋体"/>
                <w:color w:val="000000"/>
                <w:szCs w:val="21"/>
              </w:rPr>
            </w:pPr>
            <w:r>
              <w:rPr>
                <w:rFonts w:hint="eastAsia" w:ascii="宋体" w:hAnsi="宋体"/>
                <w:color w:val="000000"/>
                <w:szCs w:val="21"/>
              </w:rPr>
              <mc:AlternateContent>
                <mc:Choice Requires="wps">
                  <w:drawing>
                    <wp:anchor distT="0" distB="0" distL="114300" distR="114300" simplePos="0" relativeHeight="251670528" behindDoc="0" locked="0" layoutInCell="1" allowOverlap="1">
                      <wp:simplePos x="0" y="0"/>
                      <wp:positionH relativeFrom="column">
                        <wp:posOffset>2971800</wp:posOffset>
                      </wp:positionH>
                      <wp:positionV relativeFrom="paragraph">
                        <wp:posOffset>78105</wp:posOffset>
                      </wp:positionV>
                      <wp:extent cx="2057400" cy="297180"/>
                      <wp:effectExtent l="9525" t="11430" r="9525" b="5715"/>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2057400" cy="297180"/>
                              </a:xfrm>
                              <a:prstGeom prst="rect">
                                <a:avLst/>
                              </a:prstGeom>
                              <a:solidFill>
                                <a:srgbClr val="FFFFFF"/>
                              </a:solidFill>
                              <a:ln w="9525">
                                <a:solidFill>
                                  <a:srgbClr val="000000"/>
                                </a:solidFill>
                                <a:miter lim="800000"/>
                              </a:ln>
                            </wps:spPr>
                            <wps:txbx>
                              <w:txbxContent>
                                <w:p>
                                  <w:pPr>
                                    <w:rPr>
                                      <w:rFonts w:ascii="楷体_GB2312" w:eastAsia="楷体_GB2312"/>
                                      <w:sz w:val="24"/>
                                    </w:rPr>
                                  </w:pPr>
                                  <w:r>
                                    <w:rPr>
                                      <w:rFonts w:hint="eastAsia" w:ascii="楷体_GB2312" w:eastAsia="楷体_GB2312"/>
                                      <w:sz w:val="24"/>
                                    </w:rPr>
                                    <w:t>做好环境因素识别评价记录</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4pt;margin-top:6.15pt;height:23.4pt;width:162pt;z-index:251670528;mso-width-relative:page;mso-height-relative:page;" fillcolor="#FFFFFF" filled="t" stroked="t" coordsize="21600,21600" o:gfxdata="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VXhS3YAAAACQEAAA8AAAAAAAAAAQAgAAAAIgAAAGRycy9k&#10;b3ducmV2LnhtbFBLAQIUABQAAAAIAIdO4kD233EUOwIAAHwEAAAOAAAAAAAAAAEAIAAAACcBAABk&#10;cnMvZTJvRG9jLnhtbFBLBQYAAAAABgAGAFkBAADUBQAAAAA=&#10;">
                      <v:fill on="t" focussize="0,0"/>
                      <v:stroke color="#000000" miterlimit="8" joinstyle="miter"/>
                      <v:imagedata o:title=""/>
                      <o:lock v:ext="edit" aspectratio="f"/>
                      <v:textbox>
                        <w:txbxContent>
                          <w:p>
                            <w:pPr>
                              <w:rPr>
                                <w:rFonts w:ascii="楷体_GB2312" w:eastAsia="楷体_GB2312"/>
                                <w:sz w:val="24"/>
                              </w:rPr>
                            </w:pPr>
                            <w:r>
                              <w:rPr>
                                <w:rFonts w:hint="eastAsia" w:ascii="楷体_GB2312" w:eastAsia="楷体_GB2312"/>
                                <w:sz w:val="24"/>
                              </w:rPr>
                              <w:t>做好环境因素识别评价记录</w:t>
                            </w:r>
                          </w:p>
                        </w:txbxContent>
                      </v:textbox>
                    </v:rect>
                  </w:pict>
                </mc:Fallback>
              </mc:AlternateContent>
            </w:r>
            <w:r>
              <w:rPr>
                <w:rFonts w:hint="eastAsia" w:ascii="宋体" w:hAnsi="宋体"/>
                <w:color w:val="000000"/>
                <w:szCs w:val="21"/>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83820</wp:posOffset>
                      </wp:positionV>
                      <wp:extent cx="2286000" cy="297180"/>
                      <wp:effectExtent l="9525" t="7620" r="9525" b="9525"/>
                      <wp:wrapNone/>
                      <wp:docPr id="12" name="矩形 12"/>
                      <wp:cNvGraphicFramePr/>
                      <a:graphic xmlns:a="http://schemas.openxmlformats.org/drawingml/2006/main">
                        <a:graphicData uri="http://schemas.microsoft.com/office/word/2010/wordprocessingShape">
                          <wps:wsp>
                            <wps:cNvSpPr>
                              <a:spLocks noChangeArrowheads="1"/>
                            </wps:cNvSpPr>
                            <wps:spPr bwMode="auto">
                              <a:xfrm>
                                <a:off x="0" y="0"/>
                                <a:ext cx="2286000" cy="297180"/>
                              </a:xfrm>
                              <a:prstGeom prst="rect">
                                <a:avLst/>
                              </a:prstGeom>
                              <a:solidFill>
                                <a:srgbClr val="FFFFFF"/>
                              </a:solidFill>
                              <a:ln w="9525">
                                <a:solidFill>
                                  <a:srgbClr val="000000"/>
                                </a:solidFill>
                                <a:miter lim="800000"/>
                              </a:ln>
                            </wps:spPr>
                            <wps:txbx>
                              <w:txbxContent>
                                <w:p>
                                  <w:pPr>
                                    <w:jc w:val="center"/>
                                    <w:rPr>
                                      <w:rFonts w:ascii="楷体_GB2312" w:eastAsia="楷体_GB2312"/>
                                      <w:sz w:val="24"/>
                                    </w:rPr>
                                  </w:pPr>
                                  <w:r>
                                    <w:rPr>
                                      <w:rFonts w:hint="eastAsia" w:ascii="楷体_GB2312" w:eastAsia="楷体_GB2312"/>
                                      <w:sz w:val="24"/>
                                    </w:rPr>
                                    <w:t>各部门环境因素排查</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8pt;margin-top:6.6pt;height:23.4pt;width:180pt;z-index:251661312;mso-width-relative:page;mso-height-relative:page;" fillcolor="#FFFFFF" filled="t" stroked="t" coordsize="21600,21600" o:gfxdata="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1QICitUAAAAIAQAADwAAAAAAAAABACAAAAAiAAAAZHJzL2Rv&#10;d25yZXYueG1sUEsBAhQAFAAAAAgAh07iQHC+6+U9AgAAfAQAAA4AAAAAAAAAAQAgAAAAJAEAAGRy&#10;cy9lMm9Eb2MueG1sUEsFBgAAAAAGAAYAWQEAANMFAAAAAA==&#10;">
                      <v:fill on="t" focussize="0,0"/>
                      <v:stroke color="#000000" miterlimit="8" joinstyle="miter"/>
                      <v:imagedata o:title=""/>
                      <o:lock v:ext="edit" aspectratio="f"/>
                      <v:textbox>
                        <w:txbxContent>
                          <w:p>
                            <w:pPr>
                              <w:jc w:val="center"/>
                              <w:rPr>
                                <w:rFonts w:ascii="楷体_GB2312" w:eastAsia="楷体_GB2312"/>
                                <w:sz w:val="24"/>
                              </w:rPr>
                            </w:pPr>
                            <w:r>
                              <w:rPr>
                                <w:rFonts w:hint="eastAsia" w:ascii="楷体_GB2312" w:eastAsia="楷体_GB2312"/>
                                <w:sz w:val="24"/>
                              </w:rPr>
                              <w:t>各部门环境因素排查</w:t>
                            </w:r>
                          </w:p>
                        </w:txbxContent>
                      </v:textbox>
                    </v:rect>
                  </w:pict>
                </mc:Fallback>
              </mc:AlternateContent>
            </w:r>
          </w:p>
          <w:p>
            <w:pPr>
              <w:tabs>
                <w:tab w:val="center" w:pos="4535"/>
              </w:tabs>
              <w:spacing w:line="360" w:lineRule="exact"/>
              <w:rPr>
                <w:rFonts w:ascii="宋体" w:hAnsi="宋体"/>
                <w:color w:val="000000"/>
                <w:szCs w:val="21"/>
              </w:rPr>
            </w:pPr>
            <w:r>
              <w:rPr>
                <w:rFonts w:hint="eastAsia" w:ascii="宋体" w:hAnsi="宋体"/>
                <w:color w:val="000000"/>
                <w:szCs w:val="21"/>
              </w:rPr>
              <mc:AlternateContent>
                <mc:Choice Requires="wps">
                  <w:drawing>
                    <wp:anchor distT="0" distB="0" distL="114300" distR="114300" simplePos="0" relativeHeight="251669504" behindDoc="0" locked="0" layoutInCell="1" allowOverlap="1">
                      <wp:simplePos x="0" y="0"/>
                      <wp:positionH relativeFrom="column">
                        <wp:posOffset>4000500</wp:posOffset>
                      </wp:positionH>
                      <wp:positionV relativeFrom="paragraph">
                        <wp:posOffset>163830</wp:posOffset>
                      </wp:positionV>
                      <wp:extent cx="635" cy="396240"/>
                      <wp:effectExtent l="57150" t="20955" r="56515" b="1143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flipV="1">
                                <a:off x="0" y="0"/>
                                <a:ext cx="635" cy="39624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315pt;margin-top:12.9pt;height:31.2pt;width:0.05pt;z-index:251669504;mso-width-relative:page;mso-height-relative:page;" filled="f" stroked="t" coordsize="21600,21600" o:gfxdata="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vSvcTYAAAACQEAAA8AAAAAAAAAAQAgAAAAIgAA&#10;AGRycy9kb3ducmV2LnhtbFBLAQIUABQAAAAIAIdO4kCXXR6cCAIAAOUDAAAOAAAAAAAAAAEAIAAA&#10;ACcBAABkcnMvZTJvRG9jLnhtbFBLBQYAAAAABgAGAFkBAAChBQAAAAA=&#10;">
                      <v:fill on="f" focussize="0,0"/>
                      <v:stroke color="#000000" joinstyle="round" endarrow="block"/>
                      <v:imagedata o:title=""/>
                      <o:lock v:ext="edit" aspectratio="f"/>
                    </v:line>
                  </w:pict>
                </mc:Fallback>
              </mc:AlternateContent>
            </w:r>
            <w:r>
              <w:rPr>
                <w:rFonts w:hint="eastAsia" w:ascii="宋体" w:hAnsi="宋体"/>
                <w:color w:val="000000"/>
                <w:szCs w:val="21"/>
              </w:rPr>
              <mc:AlternateContent>
                <mc:Choice Requires="wps">
                  <w:drawing>
                    <wp:anchor distT="0" distB="0" distL="114300" distR="114300" simplePos="0" relativeHeight="251662336" behindDoc="0" locked="0" layoutInCell="1" allowOverlap="1">
                      <wp:simplePos x="0" y="0"/>
                      <wp:positionH relativeFrom="column">
                        <wp:posOffset>1257300</wp:posOffset>
                      </wp:positionH>
                      <wp:positionV relativeFrom="paragraph">
                        <wp:posOffset>89535</wp:posOffset>
                      </wp:positionV>
                      <wp:extent cx="635" cy="396240"/>
                      <wp:effectExtent l="57150" t="13335" r="56515" b="1905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99pt;margin-top:7.05pt;height:31.2pt;width:0.05pt;z-index:251662336;mso-width-relative:page;mso-height-relative:page;" filled="f" stroked="t" coordsize="21600,21600" o:gfxdata="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Re1RG2QAAAAkBAAAPAAAAAAAAAAEAIAAAACIAAABkcnMv&#10;ZG93bnJldi54bWxQSwECFAAUAAAACACHTuJATjhT6QICAADbAwAADgAAAAAAAAABACAAAAAoAQAA&#10;ZHJzL2Uyb0RvYy54bWxQSwUGAAAAAAYABgBZAQAAnAUAAAAA&#10;">
                      <v:fill on="f" focussize="0,0"/>
                      <v:stroke color="#000000" joinstyle="round" endarrow="block"/>
                      <v:imagedata o:title=""/>
                      <o:lock v:ext="edit" aspectratio="f"/>
                    </v:line>
                  </w:pict>
                </mc:Fallback>
              </mc:AlternateContent>
            </w:r>
            <w:r>
              <w:rPr>
                <w:rFonts w:hint="eastAsia" w:ascii="宋体" w:hAnsi="宋体"/>
                <w:color w:val="000000"/>
                <w:szCs w:val="21"/>
              </w:rPr>
              <w:tab/>
            </w:r>
          </w:p>
          <w:p>
            <w:pPr>
              <w:spacing w:line="360" w:lineRule="exact"/>
              <w:rPr>
                <w:rFonts w:ascii="宋体" w:hAnsi="宋体"/>
                <w:color w:val="000000"/>
                <w:szCs w:val="21"/>
              </w:rPr>
            </w:pPr>
          </w:p>
          <w:p>
            <w:pPr>
              <w:spacing w:line="360" w:lineRule="exact"/>
              <w:rPr>
                <w:rFonts w:ascii="宋体" w:hAnsi="宋体"/>
                <w:color w:val="000000"/>
                <w:szCs w:val="21"/>
              </w:rPr>
            </w:pPr>
            <w:r>
              <w:rPr>
                <w:rFonts w:hint="eastAsia" w:ascii="宋体" w:hAnsi="宋体"/>
                <w:color w:val="000000"/>
                <w:szCs w:val="21"/>
              </w:rPr>
              <mc:AlternateContent>
                <mc:Choice Requires="wps">
                  <w:drawing>
                    <wp:anchor distT="0" distB="0" distL="114300" distR="114300" simplePos="0" relativeHeight="251668480" behindDoc="0" locked="0" layoutInCell="1" allowOverlap="1">
                      <wp:simplePos x="0" y="0"/>
                      <wp:positionH relativeFrom="column">
                        <wp:posOffset>2971800</wp:posOffset>
                      </wp:positionH>
                      <wp:positionV relativeFrom="paragraph">
                        <wp:posOffset>71120</wp:posOffset>
                      </wp:positionV>
                      <wp:extent cx="2095500" cy="495300"/>
                      <wp:effectExtent l="9525" t="13970" r="9525" b="5080"/>
                      <wp:wrapNone/>
                      <wp:docPr id="9" name="矩形 9"/>
                      <wp:cNvGraphicFramePr/>
                      <a:graphic xmlns:a="http://schemas.openxmlformats.org/drawingml/2006/main">
                        <a:graphicData uri="http://schemas.microsoft.com/office/word/2010/wordprocessingShape">
                          <wps:wsp>
                            <wps:cNvSpPr>
                              <a:spLocks noChangeArrowheads="1"/>
                            </wps:cNvSpPr>
                            <wps:spPr bwMode="auto">
                              <a:xfrm>
                                <a:off x="0" y="0"/>
                                <a:ext cx="2095500" cy="495300"/>
                              </a:xfrm>
                              <a:prstGeom prst="rect">
                                <a:avLst/>
                              </a:prstGeom>
                              <a:solidFill>
                                <a:srgbClr val="FFFFFF"/>
                              </a:solidFill>
                              <a:ln w="9525">
                                <a:solidFill>
                                  <a:srgbClr val="000000"/>
                                </a:solidFill>
                                <a:miter lim="800000"/>
                              </a:ln>
                            </wps:spPr>
                            <wps:txbx>
                              <w:txbxContent>
                                <w:p>
                                  <w:pPr>
                                    <w:rPr>
                                      <w:rFonts w:ascii="楷体_GB2312" w:eastAsia="楷体_GB2312"/>
                                      <w:sz w:val="24"/>
                                    </w:rPr>
                                  </w:pPr>
                                  <w:r>
                                    <w:rPr>
                                      <w:rFonts w:hint="eastAsia" w:ascii="楷体_GB2312" w:eastAsia="楷体_GB2312"/>
                                      <w:sz w:val="24"/>
                                    </w:rPr>
                                    <w:t>审批公司的环境因素识别、评价表和重要环境因素清单</w:t>
                                  </w:r>
                                </w:p>
                                <w:p/>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4pt;margin-top:5.6pt;height:39pt;width:165pt;z-index:251668480;mso-width-relative:page;mso-height-relative:page;" fillcolor="#FFFFFF" filled="t" stroked="t" coordsize="21600,21600" o:gfxdata="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im1+fXAAAACQEAAA8AAAAAAAAAAQAgAAAAIgAAAGRycy9kb3ducmV2&#10;LnhtbFBLAQIUABQAAAAIAIdO4kBNjjpNNgIAAHoEAAAOAAAAAAAAAAEAIAAAACYBAABkcnMvZTJv&#10;RG9jLnhtbFBLBQYAAAAABgAGAFkBAADOBQAAAAA=&#10;">
                      <v:fill on="t" focussize="0,0"/>
                      <v:stroke color="#000000" miterlimit="8" joinstyle="miter"/>
                      <v:imagedata o:title=""/>
                      <o:lock v:ext="edit" aspectratio="f"/>
                      <v:textbox>
                        <w:txbxContent>
                          <w:p>
                            <w:pPr>
                              <w:rPr>
                                <w:rFonts w:ascii="楷体_GB2312" w:eastAsia="楷体_GB2312"/>
                                <w:sz w:val="24"/>
                              </w:rPr>
                            </w:pPr>
                            <w:r>
                              <w:rPr>
                                <w:rFonts w:hint="eastAsia" w:ascii="楷体_GB2312" w:eastAsia="楷体_GB2312"/>
                                <w:sz w:val="24"/>
                              </w:rPr>
                              <w:t>审批公司的环境因素识别、评价表和重要环境因素清单</w:t>
                            </w:r>
                          </w:p>
                          <w:p/>
                          <w:p/>
                          <w:p/>
                        </w:txbxContent>
                      </v:textbox>
                    </v:rect>
                  </w:pict>
                </mc:Fallback>
              </mc:AlternateContent>
            </w:r>
            <w:r>
              <w:rPr>
                <w:rFonts w:hint="eastAsia" w:ascii="宋体" w:hAnsi="宋体"/>
                <w:color w:val="000000"/>
                <w:szCs w:val="21"/>
              </w:rPr>
              <mc:AlternateContent>
                <mc:Choice Requires="wps">
                  <w:drawing>
                    <wp:anchor distT="0" distB="0" distL="114300" distR="114300" simplePos="0" relativeHeight="251663360" behindDoc="0" locked="0" layoutInCell="1" allowOverlap="1">
                      <wp:simplePos x="0" y="0"/>
                      <wp:positionH relativeFrom="column">
                        <wp:posOffset>228600</wp:posOffset>
                      </wp:positionH>
                      <wp:positionV relativeFrom="paragraph">
                        <wp:posOffset>82550</wp:posOffset>
                      </wp:positionV>
                      <wp:extent cx="2171700" cy="471170"/>
                      <wp:effectExtent l="9525" t="6350" r="9525" b="8255"/>
                      <wp:wrapNone/>
                      <wp:docPr id="8" name="矩形 8"/>
                      <wp:cNvGraphicFramePr/>
                      <a:graphic xmlns:a="http://schemas.openxmlformats.org/drawingml/2006/main">
                        <a:graphicData uri="http://schemas.microsoft.com/office/word/2010/wordprocessingShape">
                          <wps:wsp>
                            <wps:cNvSpPr>
                              <a:spLocks noChangeArrowheads="1"/>
                            </wps:cNvSpPr>
                            <wps:spPr bwMode="auto">
                              <a:xfrm>
                                <a:off x="0" y="0"/>
                                <a:ext cx="2171700" cy="471170"/>
                              </a:xfrm>
                              <a:prstGeom prst="rect">
                                <a:avLst/>
                              </a:prstGeom>
                              <a:solidFill>
                                <a:srgbClr val="FFFFFF"/>
                              </a:solidFill>
                              <a:ln w="9525">
                                <a:solidFill>
                                  <a:srgbClr val="000000"/>
                                </a:solidFill>
                                <a:miter lim="800000"/>
                              </a:ln>
                            </wps:spPr>
                            <wps:txbx>
                              <w:txbxContent>
                                <w:p>
                                  <w:pPr>
                                    <w:jc w:val="center"/>
                                    <w:rPr>
                                      <w:rFonts w:ascii="楷体_GB2312" w:eastAsia="楷体_GB2312"/>
                                      <w:sz w:val="24"/>
                                    </w:rPr>
                                  </w:pPr>
                                  <w:r>
                                    <w:rPr>
                                      <w:rFonts w:hint="eastAsia" w:ascii="楷体_GB2312" w:eastAsia="楷体_GB2312"/>
                                      <w:sz w:val="24"/>
                                    </w:rPr>
                                    <w:t>各部门</w:t>
                                  </w:r>
                                </w:p>
                                <w:p>
                                  <w:pPr>
                                    <w:jc w:val="center"/>
                                    <w:rPr>
                                      <w:rFonts w:ascii="楷体_GB2312" w:eastAsia="楷体_GB2312"/>
                                      <w:sz w:val="24"/>
                                    </w:rPr>
                                  </w:pPr>
                                  <w:r>
                                    <w:rPr>
                                      <w:rFonts w:hint="eastAsia" w:ascii="楷体_GB2312" w:eastAsia="楷体_GB2312"/>
                                      <w:sz w:val="24"/>
                                    </w:rPr>
                                    <w:t>环境因素识别、评价</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8pt;margin-top:6.5pt;height:37.1pt;width:171pt;z-index:251663360;mso-width-relative:page;mso-height-relative:page;" fillcolor="#FFFFFF" filled="t" stroked="t" coordsize="21600,21600" o:gfxdata="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8fIDCtYAAAAIAQAADwAAAAAAAAABACAAAAAiAAAAZHJzL2Rvd25yZXYu&#10;eG1sUEsBAhQAFAAAAAgAh07iQD6/G7o2AgAAegQAAA4AAAAAAAAAAQAgAAAAJQEAAGRycy9lMm9E&#10;b2MueG1sUEsFBgAAAAAGAAYAWQEAAM0FAAAAAA==&#10;">
                      <v:fill on="t" focussize="0,0"/>
                      <v:stroke color="#000000" miterlimit="8" joinstyle="miter"/>
                      <v:imagedata o:title=""/>
                      <o:lock v:ext="edit" aspectratio="f"/>
                      <v:textbox>
                        <w:txbxContent>
                          <w:p>
                            <w:pPr>
                              <w:jc w:val="center"/>
                              <w:rPr>
                                <w:rFonts w:ascii="楷体_GB2312" w:eastAsia="楷体_GB2312"/>
                                <w:sz w:val="24"/>
                              </w:rPr>
                            </w:pPr>
                            <w:r>
                              <w:rPr>
                                <w:rFonts w:hint="eastAsia" w:ascii="楷体_GB2312" w:eastAsia="楷体_GB2312"/>
                                <w:sz w:val="24"/>
                              </w:rPr>
                              <w:t>各部门</w:t>
                            </w:r>
                          </w:p>
                          <w:p>
                            <w:pPr>
                              <w:jc w:val="center"/>
                              <w:rPr>
                                <w:rFonts w:ascii="楷体_GB2312" w:eastAsia="楷体_GB2312"/>
                                <w:sz w:val="24"/>
                              </w:rPr>
                            </w:pPr>
                            <w:r>
                              <w:rPr>
                                <w:rFonts w:hint="eastAsia" w:ascii="楷体_GB2312" w:eastAsia="楷体_GB2312"/>
                                <w:sz w:val="24"/>
                              </w:rPr>
                              <w:t>环境因素识别、评价</w:t>
                            </w:r>
                          </w:p>
                        </w:txbxContent>
                      </v:textbox>
                    </v:rect>
                  </w:pict>
                </mc:Fallback>
              </mc:AlternateContent>
            </w:r>
          </w:p>
          <w:p>
            <w:pPr>
              <w:spacing w:line="360" w:lineRule="exact"/>
              <w:rPr>
                <w:rFonts w:ascii="宋体" w:hAnsi="宋体"/>
                <w:color w:val="000000"/>
                <w:szCs w:val="21"/>
              </w:rPr>
            </w:pPr>
          </w:p>
          <w:p>
            <w:pPr>
              <w:spacing w:line="360" w:lineRule="exact"/>
              <w:rPr>
                <w:rFonts w:ascii="宋体" w:hAnsi="宋体"/>
                <w:color w:val="000000"/>
                <w:szCs w:val="21"/>
              </w:rPr>
            </w:pPr>
            <w:r>
              <w:rPr>
                <w:rFonts w:hint="eastAsia" w:ascii="宋体" w:hAnsi="宋体"/>
                <w:color w:val="000000"/>
                <w:szCs w:val="21"/>
              </w:rPr>
              <mc:AlternateContent>
                <mc:Choice Requires="wps">
                  <w:drawing>
                    <wp:anchor distT="0" distB="0" distL="114300" distR="114300" simplePos="0" relativeHeight="251667456" behindDoc="0" locked="0" layoutInCell="1" allowOverlap="1">
                      <wp:simplePos x="0" y="0"/>
                      <wp:positionH relativeFrom="column">
                        <wp:posOffset>4000500</wp:posOffset>
                      </wp:positionH>
                      <wp:positionV relativeFrom="paragraph">
                        <wp:posOffset>166370</wp:posOffset>
                      </wp:positionV>
                      <wp:extent cx="635" cy="396240"/>
                      <wp:effectExtent l="57150" t="23495" r="56515" b="889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flipV="1">
                                <a:off x="0" y="0"/>
                                <a:ext cx="635" cy="39624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315pt;margin-top:13.1pt;height:31.2pt;width:0.05pt;z-index:251667456;mso-width-relative:page;mso-height-relative:page;" filled="f" stroked="t" coordsize="21600,21600" o:gfxdata="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s/oT22QAAAAkBAAAPAAAAAAAAAAEAIAAAACIA&#10;AABkcnMvZG93bnJldi54bWxQSwECFAAUAAAACACHTuJACUVOZAgCAADjAwAADgAAAAAAAAABACAA&#10;AAAoAQAAZHJzL2Uyb0RvYy54bWxQSwUGAAAAAAYABgBZAQAAogUAAAAA&#10;">
                      <v:fill on="f" focussize="0,0"/>
                      <v:stroke color="#000000" joinstyle="round" endarrow="block"/>
                      <v:imagedata o:title=""/>
                      <o:lock v:ext="edit" aspectratio="f"/>
                    </v:line>
                  </w:pict>
                </mc:Fallback>
              </mc:AlternateContent>
            </w:r>
            <w:r>
              <w:rPr>
                <w:rFonts w:hint="eastAsia" w:ascii="宋体" w:hAnsi="宋体"/>
                <w:color w:val="000000"/>
                <w:szCs w:val="21"/>
              </w:rPr>
              <mc:AlternateContent>
                <mc:Choice Requires="wps">
                  <w:drawing>
                    <wp:anchor distT="0" distB="0" distL="114300" distR="114300" simplePos="0" relativeHeight="251664384" behindDoc="0" locked="0" layoutInCell="1" allowOverlap="1">
                      <wp:simplePos x="0" y="0"/>
                      <wp:positionH relativeFrom="column">
                        <wp:posOffset>1257300</wp:posOffset>
                      </wp:positionH>
                      <wp:positionV relativeFrom="paragraph">
                        <wp:posOffset>86360</wp:posOffset>
                      </wp:positionV>
                      <wp:extent cx="635" cy="396240"/>
                      <wp:effectExtent l="57150" t="10160" r="56515" b="22225"/>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99pt;margin-top:6.8pt;height:31.2pt;width:0.05pt;z-index:251664384;mso-width-relative:page;mso-height-relative:page;" filled="f" stroked="t" coordsize="21600,21600" o:gfxdata="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28XBDZAAAACQEAAA8AAAAAAAAAAQAgAAAAIgAAAGRycy9k&#10;b3ducmV2LnhtbFBLAQIUABQAAAAIAIdO4kC3g5rBAQIAANkDAAAOAAAAAAAAAAEAIAAAACgBAABk&#10;cnMvZTJvRG9jLnhtbFBLBQYAAAAABgAGAFkBAACbBQAAAAA=&#10;">
                      <v:fill on="f" focussize="0,0"/>
                      <v:stroke color="#000000" joinstyle="round" endarrow="block"/>
                      <v:imagedata o:title=""/>
                      <o:lock v:ext="edit" aspectratio="f"/>
                    </v:line>
                  </w:pict>
                </mc:Fallback>
              </mc:AlternateContent>
            </w:r>
          </w:p>
          <w:p>
            <w:pPr>
              <w:spacing w:line="360" w:lineRule="exact"/>
              <w:rPr>
                <w:rFonts w:ascii="宋体" w:hAnsi="宋体"/>
                <w:color w:val="000000"/>
                <w:szCs w:val="21"/>
              </w:rPr>
            </w:pPr>
          </w:p>
          <w:p>
            <w:pPr>
              <w:spacing w:line="360" w:lineRule="exact"/>
              <w:rPr>
                <w:rFonts w:ascii="宋体" w:hAnsi="宋体"/>
                <w:color w:val="000000"/>
                <w:szCs w:val="21"/>
              </w:rPr>
            </w:pPr>
            <w:r>
              <w:rPr>
                <w:rFonts w:hint="eastAsia" w:ascii="宋体" w:hAnsi="宋体"/>
                <w:color w:val="000000"/>
                <w:szCs w:val="21"/>
              </w:rPr>
              <mc:AlternateContent>
                <mc:Choice Requires="wps">
                  <w:drawing>
                    <wp:anchor distT="0" distB="0" distL="114300" distR="114300" simplePos="0" relativeHeight="251666432" behindDoc="0" locked="0" layoutInCell="1" allowOverlap="1">
                      <wp:simplePos x="0" y="0"/>
                      <wp:positionH relativeFrom="column">
                        <wp:posOffset>2971800</wp:posOffset>
                      </wp:positionH>
                      <wp:positionV relativeFrom="paragraph">
                        <wp:posOffset>56515</wp:posOffset>
                      </wp:positionV>
                      <wp:extent cx="2095500" cy="693420"/>
                      <wp:effectExtent l="9525" t="8890" r="9525" b="12065"/>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2095500" cy="693420"/>
                              </a:xfrm>
                              <a:prstGeom prst="rect">
                                <a:avLst/>
                              </a:prstGeom>
                              <a:solidFill>
                                <a:srgbClr val="FFFFFF"/>
                              </a:solidFill>
                              <a:ln w="9525">
                                <a:solidFill>
                                  <a:srgbClr val="000000"/>
                                </a:solidFill>
                                <a:miter lim="800000"/>
                              </a:ln>
                            </wps:spPr>
                            <wps:txbx>
                              <w:txbxContent>
                                <w:p>
                                  <w:pPr>
                                    <w:rPr>
                                      <w:rFonts w:ascii="楷体_GB2312" w:eastAsia="楷体_GB2312"/>
                                      <w:sz w:val="24"/>
                                    </w:rPr>
                                  </w:pPr>
                                  <w:r>
                                    <w:rPr>
                                      <w:rFonts w:hint="eastAsia" w:ascii="楷体_GB2312" w:eastAsia="楷体_GB2312"/>
                                      <w:sz w:val="24"/>
                                    </w:rPr>
                                    <w:t>分析、汇总、评价公司环境因素和重要环境因素</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4pt;margin-top:4.45pt;height:54.6pt;width:165pt;z-index:251666432;mso-width-relative:page;mso-height-relative:page;" fillcolor="#FFFFFF" filled="t" stroked="t" coordsize="21600,21600" o:gfxdata="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6WhhvdYAAAAJAQAADwAAAAAAAAABACAAAAAiAAAAZHJzL2Rvd25y&#10;ZXYueG1sUEsBAhQAFAAAAAgAh07iQLULPms5AgAAegQAAA4AAAAAAAAAAQAgAAAAJQEAAGRycy9l&#10;Mm9Eb2MueG1sUEsFBgAAAAAGAAYAWQEAANAFAAAAAA==&#10;">
                      <v:fill on="t" focussize="0,0"/>
                      <v:stroke color="#000000" miterlimit="8" joinstyle="miter"/>
                      <v:imagedata o:title=""/>
                      <o:lock v:ext="edit" aspectratio="f"/>
                      <v:textbox>
                        <w:txbxContent>
                          <w:p>
                            <w:pPr>
                              <w:rPr>
                                <w:rFonts w:ascii="楷体_GB2312" w:eastAsia="楷体_GB2312"/>
                                <w:sz w:val="24"/>
                              </w:rPr>
                            </w:pPr>
                            <w:r>
                              <w:rPr>
                                <w:rFonts w:hint="eastAsia" w:ascii="楷体_GB2312" w:eastAsia="楷体_GB2312"/>
                                <w:sz w:val="24"/>
                              </w:rPr>
                              <w:t>分析、汇总、评价公司环境因素和重要环境因素</w:t>
                            </w:r>
                          </w:p>
                        </w:txbxContent>
                      </v:textbox>
                    </v:rect>
                  </w:pict>
                </mc:Fallback>
              </mc:AlternateContent>
            </w:r>
            <w:r>
              <w:rPr>
                <w:rFonts w:hint="eastAsia" w:ascii="宋体" w:hAnsi="宋体"/>
                <w:color w:val="000000"/>
                <w:szCs w:val="21"/>
              </w:rPr>
              <mc:AlternateContent>
                <mc:Choice Requires="wps">
                  <w:drawing>
                    <wp:anchor distT="0" distB="0" distL="114300" distR="114300" simplePos="0" relativeHeight="251665408" behindDoc="0" locked="0" layoutInCell="1" allowOverlap="1">
                      <wp:simplePos x="0" y="0"/>
                      <wp:positionH relativeFrom="column">
                        <wp:posOffset>228600</wp:posOffset>
                      </wp:positionH>
                      <wp:positionV relativeFrom="paragraph">
                        <wp:posOffset>45085</wp:posOffset>
                      </wp:positionV>
                      <wp:extent cx="2171700" cy="693420"/>
                      <wp:effectExtent l="9525" t="6985" r="9525" b="1397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171700" cy="693420"/>
                              </a:xfrm>
                              <a:prstGeom prst="rect">
                                <a:avLst/>
                              </a:prstGeom>
                              <a:solidFill>
                                <a:srgbClr val="FFFFFF"/>
                              </a:solidFill>
                              <a:ln w="9525">
                                <a:solidFill>
                                  <a:srgbClr val="000000"/>
                                </a:solidFill>
                                <a:miter lim="800000"/>
                              </a:ln>
                            </wps:spPr>
                            <wps:txbx>
                              <w:txbxContent>
                                <w:p>
                                  <w:pPr>
                                    <w:rPr>
                                      <w:rFonts w:ascii="楷体_GB2312" w:eastAsia="楷体_GB2312"/>
                                      <w:sz w:val="24"/>
                                    </w:rPr>
                                  </w:pPr>
                                  <w:r>
                                    <w:rPr>
                                      <w:rFonts w:hint="eastAsia" w:ascii="楷体_GB2312" w:eastAsia="楷体_GB2312"/>
                                      <w:sz w:val="24"/>
                                    </w:rPr>
                                    <w:t>审批各部门环境因素识别、评价表和重要环境因素清单</w:t>
                                  </w:r>
                                </w:p>
                                <w:p>
                                  <w:pPr>
                                    <w:rPr>
                                      <w:sz w:val="24"/>
                                    </w:rPr>
                                  </w:pPr>
                                </w:p>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8pt;margin-top:3.55pt;height:54.6pt;width:171pt;z-index:251665408;mso-width-relative:page;mso-height-relative:page;" fillcolor="#FFFFFF" filled="t" stroked="t" coordsize="21600,21600" o:gfxdata="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95CjbWAAAACAEAAA8AAAAAAAAAAQAgAAAAIgAAAGRycy9kb3du&#10;cmV2LnhtbFBLAQIUABQAAAAIAIdO4kDRRivmOgIAAHoEAAAOAAAAAAAAAAEAIAAAACUBAABkcnMv&#10;ZTJvRG9jLnhtbFBLBQYAAAAABgAGAFkBAADRBQAAAAA=&#10;">
                      <v:fill on="t" focussize="0,0"/>
                      <v:stroke color="#000000" miterlimit="8" joinstyle="miter"/>
                      <v:imagedata o:title=""/>
                      <o:lock v:ext="edit" aspectratio="f"/>
                      <v:textbox>
                        <w:txbxContent>
                          <w:p>
                            <w:pPr>
                              <w:rPr>
                                <w:rFonts w:ascii="楷体_GB2312" w:eastAsia="楷体_GB2312"/>
                                <w:sz w:val="24"/>
                              </w:rPr>
                            </w:pPr>
                            <w:r>
                              <w:rPr>
                                <w:rFonts w:hint="eastAsia" w:ascii="楷体_GB2312" w:eastAsia="楷体_GB2312"/>
                                <w:sz w:val="24"/>
                              </w:rPr>
                              <w:t>审批各部门环境因素识别、评价表和重要环境因素清单</w:t>
                            </w:r>
                          </w:p>
                          <w:p>
                            <w:pPr>
                              <w:rPr>
                                <w:sz w:val="24"/>
                              </w:rPr>
                            </w:pPr>
                          </w:p>
                          <w:p/>
                          <w:p/>
                        </w:txbxContent>
                      </v:textbox>
                    </v:rect>
                  </w:pict>
                </mc:Fallback>
              </mc:AlternateContent>
            </w: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tc>
      </w:tr>
    </w:tbl>
    <w:p/>
    <w:p/>
    <w:p/>
    <w:p/>
    <w:tbl>
      <w:tblPr>
        <w:tblStyle w:val="9"/>
        <w:tblW w:w="999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8"/>
        <w:gridCol w:w="1418"/>
        <w:gridCol w:w="3745"/>
        <w:gridCol w:w="1006"/>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2478" w:type="dxa"/>
            <w:vMerge w:val="restart"/>
            <w:vAlign w:val="center"/>
          </w:tcPr>
          <w:p>
            <w:pPr>
              <w:spacing w:line="400" w:lineRule="exact"/>
              <w:jc w:val="center"/>
              <w:rPr>
                <w:rFonts w:eastAsia="黑体"/>
                <w:b/>
                <w:sz w:val="36"/>
              </w:rPr>
            </w:pPr>
          </w:p>
        </w:tc>
        <w:tc>
          <w:tcPr>
            <w:tcW w:w="1418" w:type="dxa"/>
            <w:vAlign w:val="center"/>
          </w:tcPr>
          <w:p>
            <w:pPr>
              <w:spacing w:line="400" w:lineRule="exact"/>
              <w:jc w:val="center"/>
              <w:rPr>
                <w:rFonts w:ascii="宋体"/>
                <w:b/>
                <w:sz w:val="30"/>
              </w:rPr>
            </w:pPr>
            <w:r>
              <w:rPr>
                <w:rFonts w:hint="eastAsia" w:ascii="宋体"/>
                <w:b/>
                <w:sz w:val="30"/>
              </w:rPr>
              <w:t>文件</w:t>
            </w:r>
          </w:p>
          <w:p>
            <w:pPr>
              <w:spacing w:line="400" w:lineRule="exact"/>
              <w:jc w:val="center"/>
              <w:rPr>
                <w:rFonts w:ascii="宋体"/>
                <w:b/>
                <w:sz w:val="30"/>
              </w:rPr>
            </w:pPr>
            <w:r>
              <w:rPr>
                <w:rFonts w:hint="eastAsia" w:ascii="宋体"/>
                <w:b/>
                <w:sz w:val="30"/>
              </w:rPr>
              <w:t>名称</w:t>
            </w:r>
          </w:p>
        </w:tc>
        <w:tc>
          <w:tcPr>
            <w:tcW w:w="3745" w:type="dxa"/>
            <w:vAlign w:val="center"/>
          </w:tcPr>
          <w:p>
            <w:pPr>
              <w:spacing w:line="400" w:lineRule="exact"/>
              <w:rPr>
                <w:rFonts w:ascii="宋体"/>
                <w:b/>
                <w:sz w:val="30"/>
              </w:rPr>
            </w:pPr>
            <w:r>
              <w:rPr>
                <w:rFonts w:hint="eastAsia" w:ascii="楷体_GB2312" w:hAnsi="楷体" w:eastAsia="楷体_GB2312"/>
                <w:b/>
                <w:sz w:val="28"/>
                <w:szCs w:val="28"/>
              </w:rPr>
              <w:t>危险源辨识、风险评价及策划控制程序</w:t>
            </w:r>
          </w:p>
        </w:tc>
        <w:tc>
          <w:tcPr>
            <w:tcW w:w="1006" w:type="dxa"/>
            <w:vAlign w:val="center"/>
          </w:tcPr>
          <w:p>
            <w:pPr>
              <w:spacing w:line="400" w:lineRule="exact"/>
              <w:jc w:val="center"/>
              <w:rPr>
                <w:rFonts w:ascii="宋体"/>
                <w:b/>
                <w:sz w:val="30"/>
              </w:rPr>
            </w:pPr>
            <w:r>
              <w:rPr>
                <w:rFonts w:hint="eastAsia" w:ascii="宋体"/>
                <w:b/>
                <w:sz w:val="30"/>
              </w:rPr>
              <w:t>版次</w:t>
            </w:r>
          </w:p>
        </w:tc>
        <w:tc>
          <w:tcPr>
            <w:tcW w:w="1344" w:type="dxa"/>
            <w:vAlign w:val="center"/>
          </w:tcPr>
          <w:p>
            <w:pPr>
              <w:spacing w:line="400" w:lineRule="exact"/>
              <w:jc w:val="center"/>
              <w:rPr>
                <w:rFonts w:ascii="宋体"/>
                <w:b/>
                <w:sz w:val="30"/>
              </w:rPr>
            </w:pPr>
            <w:r>
              <w:rPr>
                <w:rFonts w:hint="eastAsia" w:ascii="宋体"/>
                <w:b/>
                <w:sz w:val="3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atLeast"/>
        </w:trPr>
        <w:tc>
          <w:tcPr>
            <w:tcW w:w="2478" w:type="dxa"/>
            <w:vMerge w:val="continue"/>
            <w:vAlign w:val="center"/>
          </w:tcPr>
          <w:p>
            <w:pPr>
              <w:spacing w:line="400" w:lineRule="exact"/>
              <w:jc w:val="center"/>
              <w:rPr>
                <w:rFonts w:eastAsia="黑体"/>
                <w:b/>
                <w:sz w:val="36"/>
              </w:rPr>
            </w:pPr>
          </w:p>
        </w:tc>
        <w:tc>
          <w:tcPr>
            <w:tcW w:w="1418" w:type="dxa"/>
            <w:vAlign w:val="center"/>
          </w:tcPr>
          <w:p>
            <w:pPr>
              <w:spacing w:line="400" w:lineRule="exact"/>
              <w:jc w:val="center"/>
              <w:rPr>
                <w:rFonts w:ascii="宋体"/>
                <w:b/>
                <w:sz w:val="30"/>
              </w:rPr>
            </w:pPr>
            <w:r>
              <w:rPr>
                <w:rFonts w:hint="eastAsia" w:ascii="宋体"/>
                <w:b/>
                <w:sz w:val="30"/>
              </w:rPr>
              <w:t>文件</w:t>
            </w:r>
          </w:p>
          <w:p>
            <w:pPr>
              <w:spacing w:line="400" w:lineRule="exact"/>
              <w:jc w:val="center"/>
              <w:rPr>
                <w:rFonts w:ascii="宋体"/>
                <w:b/>
                <w:sz w:val="30"/>
              </w:rPr>
            </w:pPr>
            <w:r>
              <w:rPr>
                <w:rFonts w:hint="eastAsia" w:ascii="宋体"/>
                <w:b/>
                <w:sz w:val="30"/>
              </w:rPr>
              <w:t>编号</w:t>
            </w:r>
          </w:p>
        </w:tc>
        <w:tc>
          <w:tcPr>
            <w:tcW w:w="3745" w:type="dxa"/>
            <w:vAlign w:val="center"/>
          </w:tcPr>
          <w:p>
            <w:pPr>
              <w:spacing w:line="400" w:lineRule="exact"/>
              <w:jc w:val="center"/>
              <w:rPr>
                <w:rFonts w:ascii="宋体"/>
                <w:b/>
                <w:sz w:val="30"/>
              </w:rPr>
            </w:pPr>
            <w:r>
              <w:rPr>
                <w:rFonts w:hint="eastAsia" w:ascii="宋体"/>
                <w:b/>
                <w:sz w:val="30"/>
              </w:rPr>
              <w:t>LQY-P-04</w:t>
            </w:r>
          </w:p>
        </w:tc>
        <w:tc>
          <w:tcPr>
            <w:tcW w:w="1006" w:type="dxa"/>
            <w:vAlign w:val="center"/>
          </w:tcPr>
          <w:p>
            <w:pPr>
              <w:spacing w:line="400" w:lineRule="exact"/>
              <w:jc w:val="center"/>
              <w:rPr>
                <w:rFonts w:ascii="宋体"/>
                <w:b/>
                <w:sz w:val="30"/>
              </w:rPr>
            </w:pPr>
            <w:r>
              <w:rPr>
                <w:rFonts w:hint="eastAsia" w:ascii="宋体"/>
                <w:b/>
                <w:sz w:val="30"/>
              </w:rPr>
              <w:t>修改</w:t>
            </w:r>
          </w:p>
          <w:p>
            <w:pPr>
              <w:spacing w:line="400" w:lineRule="exact"/>
              <w:jc w:val="center"/>
              <w:rPr>
                <w:rFonts w:ascii="宋体"/>
                <w:b/>
                <w:sz w:val="30"/>
              </w:rPr>
            </w:pPr>
            <w:r>
              <w:rPr>
                <w:rFonts w:hint="eastAsia" w:ascii="宋体"/>
                <w:b/>
                <w:sz w:val="30"/>
              </w:rPr>
              <w:t>状态</w:t>
            </w:r>
          </w:p>
        </w:tc>
        <w:tc>
          <w:tcPr>
            <w:tcW w:w="1344" w:type="dxa"/>
            <w:vAlign w:val="center"/>
          </w:tcPr>
          <w:p>
            <w:pPr>
              <w:spacing w:line="400" w:lineRule="exact"/>
              <w:jc w:val="center"/>
              <w:rPr>
                <w:rFonts w:ascii="宋体"/>
                <w:b/>
                <w:sz w:val="30"/>
              </w:rPr>
            </w:pPr>
            <w:r>
              <w:rPr>
                <w:rFonts w:hint="eastAsia" w:ascii="宋体"/>
                <w:b/>
                <w:sz w:val="3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8" w:hRule="atLeast"/>
        </w:trPr>
        <w:tc>
          <w:tcPr>
            <w:tcW w:w="9991" w:type="dxa"/>
            <w:gridSpan w:val="5"/>
            <w:tcBorders>
              <w:right w:val="single" w:color="auto" w:sz="4" w:space="0"/>
            </w:tcBorders>
          </w:tcPr>
          <w:p>
            <w:pPr>
              <w:spacing w:line="360" w:lineRule="exact"/>
              <w:rPr>
                <w:rFonts w:ascii="宋体" w:hAnsi="宋体"/>
                <w:b/>
                <w:color w:val="000000"/>
                <w:szCs w:val="21"/>
              </w:rPr>
            </w:pPr>
            <w:r>
              <w:rPr>
                <w:rFonts w:hint="eastAsia" w:ascii="宋体" w:hAnsi="宋体"/>
                <w:b/>
                <w:color w:val="000000"/>
                <w:szCs w:val="21"/>
              </w:rPr>
              <w:t>1.目的</w:t>
            </w:r>
          </w:p>
          <w:p>
            <w:pPr>
              <w:spacing w:line="360" w:lineRule="exact"/>
              <w:ind w:firstLine="420" w:firstLineChars="200"/>
              <w:rPr>
                <w:rFonts w:ascii="宋体" w:hAnsi="宋体"/>
                <w:color w:val="000000"/>
                <w:szCs w:val="21"/>
              </w:rPr>
            </w:pPr>
            <w:r>
              <w:rPr>
                <w:rFonts w:hint="eastAsia" w:ascii="宋体" w:hAnsi="宋体"/>
                <w:color w:val="000000"/>
                <w:szCs w:val="21"/>
              </w:rPr>
              <w:t>为了准确辨识危险根源或状态，评价其风险程度，进行风险分级，实施有效控制，特制定本程序。</w:t>
            </w:r>
          </w:p>
          <w:p>
            <w:pPr>
              <w:spacing w:line="360" w:lineRule="exact"/>
              <w:rPr>
                <w:rFonts w:ascii="宋体" w:hAnsi="宋体"/>
                <w:b/>
                <w:color w:val="000000"/>
                <w:szCs w:val="21"/>
              </w:rPr>
            </w:pPr>
            <w:r>
              <w:rPr>
                <w:rFonts w:hint="eastAsia" w:ascii="宋体" w:hAnsi="宋体"/>
                <w:b/>
                <w:color w:val="000000"/>
                <w:szCs w:val="21"/>
              </w:rPr>
              <w:t>2. 适用范围</w:t>
            </w:r>
          </w:p>
          <w:p>
            <w:pPr>
              <w:spacing w:line="360" w:lineRule="exact"/>
              <w:ind w:firstLine="449" w:firstLineChars="214"/>
              <w:rPr>
                <w:rFonts w:ascii="宋体" w:hAnsi="宋体"/>
                <w:color w:val="000000"/>
                <w:szCs w:val="21"/>
              </w:rPr>
            </w:pPr>
            <w:r>
              <w:rPr>
                <w:rFonts w:hint="eastAsia" w:ascii="宋体" w:hAnsi="宋体"/>
                <w:color w:val="000000"/>
                <w:szCs w:val="21"/>
              </w:rPr>
              <w:t>本程序适用于公司生产现场、办公区等所有活动和区域范围内的危险源辨识、风险评价和风险控制的策划。</w:t>
            </w:r>
          </w:p>
          <w:p>
            <w:pPr>
              <w:spacing w:line="360" w:lineRule="exact"/>
              <w:outlineLvl w:val="0"/>
              <w:rPr>
                <w:rFonts w:ascii="宋体" w:hAnsi="宋体"/>
                <w:b/>
                <w:color w:val="000000"/>
                <w:szCs w:val="21"/>
              </w:rPr>
            </w:pPr>
            <w:r>
              <w:rPr>
                <w:rFonts w:hint="eastAsia" w:ascii="宋体" w:hAnsi="宋体"/>
                <w:b/>
                <w:color w:val="000000"/>
                <w:szCs w:val="21"/>
              </w:rPr>
              <w:t>3.职责</w:t>
            </w:r>
          </w:p>
          <w:p>
            <w:pPr>
              <w:spacing w:line="360" w:lineRule="exact"/>
              <w:outlineLvl w:val="0"/>
              <w:rPr>
                <w:rFonts w:ascii="宋体" w:hAnsi="宋体"/>
                <w:color w:val="000000"/>
                <w:szCs w:val="21"/>
              </w:rPr>
            </w:pPr>
            <w:r>
              <w:rPr>
                <w:rFonts w:hint="eastAsia" w:ascii="宋体" w:hAnsi="宋体"/>
                <w:color w:val="000000"/>
                <w:szCs w:val="21"/>
              </w:rPr>
              <w:t>3.1.综合部负责编制本程序，组织危险源辨识、风险评价和风险控制策划工作。</w:t>
            </w:r>
          </w:p>
          <w:p>
            <w:pPr>
              <w:spacing w:line="360" w:lineRule="exact"/>
              <w:outlineLvl w:val="0"/>
              <w:rPr>
                <w:rFonts w:ascii="宋体" w:hAnsi="宋体"/>
                <w:color w:val="000000"/>
                <w:szCs w:val="21"/>
              </w:rPr>
            </w:pPr>
            <w:r>
              <w:rPr>
                <w:rFonts w:hint="eastAsia" w:ascii="宋体" w:hAnsi="宋体"/>
                <w:color w:val="000000"/>
                <w:szCs w:val="21"/>
              </w:rPr>
              <w:t>3.2.综合部负责汇总各部门的《危险源识别、评价表》，形成全公司的《危险源识别、评价表》，确定出重要的危险源，编制《重大危险源及其控制计划》。</w:t>
            </w:r>
          </w:p>
          <w:p>
            <w:pPr>
              <w:spacing w:line="360" w:lineRule="exact"/>
              <w:outlineLvl w:val="0"/>
              <w:rPr>
                <w:rFonts w:ascii="宋体" w:hAnsi="宋体"/>
                <w:color w:val="000000"/>
                <w:szCs w:val="21"/>
              </w:rPr>
            </w:pPr>
            <w:r>
              <w:rPr>
                <w:rFonts w:hint="eastAsia" w:ascii="宋体" w:hAnsi="宋体"/>
                <w:color w:val="000000"/>
                <w:szCs w:val="21"/>
              </w:rPr>
              <w:t>3.3. 其它各部门参与本部门的危险源辨识、风险评价和风险控制策划工作，形成本部门的《危险源识别、评价表》，并控制本部门及车间的职业健康安全风险。</w:t>
            </w:r>
          </w:p>
          <w:p>
            <w:pPr>
              <w:spacing w:line="360" w:lineRule="exact"/>
              <w:outlineLvl w:val="0"/>
              <w:rPr>
                <w:rFonts w:ascii="宋体" w:hAnsi="宋体"/>
                <w:b/>
                <w:color w:val="000000"/>
                <w:szCs w:val="21"/>
              </w:rPr>
            </w:pPr>
            <w:r>
              <w:rPr>
                <w:rFonts w:hint="eastAsia" w:ascii="宋体" w:hAnsi="宋体"/>
                <w:b/>
                <w:color w:val="000000"/>
                <w:szCs w:val="21"/>
              </w:rPr>
              <w:t>4. 工作程序</w:t>
            </w:r>
          </w:p>
          <w:p>
            <w:pPr>
              <w:spacing w:line="360" w:lineRule="exact"/>
              <w:rPr>
                <w:rFonts w:ascii="宋体" w:hAnsi="宋体"/>
                <w:b/>
                <w:color w:val="000000"/>
                <w:szCs w:val="21"/>
              </w:rPr>
            </w:pPr>
            <w:r>
              <w:rPr>
                <w:rFonts w:hint="eastAsia" w:ascii="宋体" w:hAnsi="宋体"/>
                <w:b/>
                <w:color w:val="000000"/>
                <w:szCs w:val="21"/>
              </w:rPr>
              <w:t>4.1. 总则</w:t>
            </w:r>
          </w:p>
          <w:p>
            <w:pPr>
              <w:spacing w:line="360" w:lineRule="exact"/>
              <w:ind w:firstLine="420" w:firstLineChars="200"/>
              <w:rPr>
                <w:rFonts w:ascii="宋体" w:hAnsi="宋体"/>
                <w:color w:val="000000"/>
                <w:szCs w:val="21"/>
              </w:rPr>
            </w:pPr>
            <w:r>
              <w:rPr>
                <w:rFonts w:hint="eastAsia" w:ascii="宋体" w:hAnsi="宋体"/>
                <w:color w:val="000000"/>
                <w:szCs w:val="21"/>
              </w:rPr>
              <w:t>要控制风险，首先要辨识危险根源或状况，评价其带来危险源的严重程度和可能性，判定其风险级别，据此考虑风险控制的措施，这是持续发展和不断改进的过程。</w:t>
            </w:r>
          </w:p>
          <w:p>
            <w:pPr>
              <w:spacing w:line="360" w:lineRule="exact"/>
              <w:rPr>
                <w:rFonts w:ascii="宋体" w:hAnsi="宋体"/>
                <w:b/>
                <w:color w:val="000000"/>
                <w:szCs w:val="21"/>
              </w:rPr>
            </w:pPr>
            <w:r>
              <w:rPr>
                <w:rFonts w:hint="eastAsia" w:ascii="宋体" w:hAnsi="宋体"/>
                <w:b/>
                <w:color w:val="000000"/>
                <w:szCs w:val="21"/>
              </w:rPr>
              <w:t>4.2. 危险源根源或状态的辨识</w:t>
            </w:r>
          </w:p>
          <w:p>
            <w:pPr>
              <w:spacing w:line="360" w:lineRule="exact"/>
              <w:rPr>
                <w:rFonts w:ascii="宋体" w:hAnsi="宋体"/>
                <w:color w:val="000000"/>
                <w:szCs w:val="21"/>
              </w:rPr>
            </w:pPr>
            <w:r>
              <w:rPr>
                <w:rFonts w:hint="eastAsia" w:ascii="宋体" w:hAnsi="宋体"/>
                <w:color w:val="000000"/>
                <w:szCs w:val="21"/>
              </w:rPr>
              <w:t>4.2.1. 管理者代表组织、制订计划，组织成立辨识小组（由综合部、回收利用部、回收利用部、生产车间、生产车间等各部门的有关人员参加），由综合部牵头，根据公司自身职业健康安全行为特点，最大限度地排查出危险源，并填写各部门的《危险源识别、评价表》。</w:t>
            </w:r>
          </w:p>
          <w:p>
            <w:pPr>
              <w:spacing w:line="360" w:lineRule="exact"/>
              <w:rPr>
                <w:rFonts w:ascii="宋体" w:hAnsi="宋体"/>
                <w:color w:val="000000"/>
                <w:szCs w:val="21"/>
              </w:rPr>
            </w:pPr>
            <w:r>
              <w:rPr>
                <w:rFonts w:hint="eastAsia" w:ascii="宋体" w:hAnsi="宋体"/>
                <w:color w:val="000000"/>
                <w:szCs w:val="21"/>
              </w:rPr>
              <w:t>4.2.2. 在辨识危险根源或状态时，可按以下单元或业务活动进行辨识：</w:t>
            </w:r>
          </w:p>
          <w:p>
            <w:pPr>
              <w:numPr>
                <w:ilvl w:val="0"/>
                <w:numId w:val="2"/>
              </w:numPr>
              <w:spacing w:line="360" w:lineRule="exact"/>
              <w:rPr>
                <w:rFonts w:ascii="宋体" w:hAnsi="宋体"/>
                <w:color w:val="000000"/>
                <w:szCs w:val="21"/>
              </w:rPr>
            </w:pPr>
            <w:r>
              <w:rPr>
                <w:rFonts w:hint="eastAsia" w:ascii="宋体" w:hAnsi="宋体"/>
                <w:color w:val="000000"/>
                <w:szCs w:val="21"/>
              </w:rPr>
              <w:t>作业场所内、外的地理位置；</w:t>
            </w:r>
          </w:p>
          <w:p>
            <w:pPr>
              <w:numPr>
                <w:ilvl w:val="0"/>
                <w:numId w:val="2"/>
              </w:numPr>
              <w:spacing w:line="360" w:lineRule="exact"/>
              <w:rPr>
                <w:rFonts w:ascii="宋体" w:hAnsi="宋体"/>
                <w:color w:val="000000"/>
                <w:szCs w:val="21"/>
              </w:rPr>
            </w:pPr>
            <w:r>
              <w:rPr>
                <w:rFonts w:hint="eastAsia" w:ascii="宋体" w:hAnsi="宋体"/>
                <w:color w:val="000000"/>
                <w:szCs w:val="21"/>
              </w:rPr>
              <w:t>生产过程或所提供销售的阶段；</w:t>
            </w:r>
          </w:p>
          <w:p>
            <w:pPr>
              <w:numPr>
                <w:ilvl w:val="0"/>
                <w:numId w:val="2"/>
              </w:numPr>
              <w:spacing w:line="360" w:lineRule="exact"/>
              <w:rPr>
                <w:rFonts w:ascii="宋体" w:hAnsi="宋体"/>
                <w:color w:val="000000"/>
                <w:szCs w:val="21"/>
              </w:rPr>
            </w:pPr>
            <w:r>
              <w:rPr>
                <w:rFonts w:hint="eastAsia" w:ascii="宋体" w:hAnsi="宋体"/>
                <w:color w:val="000000"/>
                <w:szCs w:val="21"/>
              </w:rPr>
              <w:t>计划和被动性工作；</w:t>
            </w:r>
          </w:p>
          <w:p>
            <w:pPr>
              <w:numPr>
                <w:ilvl w:val="0"/>
                <w:numId w:val="2"/>
              </w:numPr>
              <w:spacing w:line="360" w:lineRule="exact"/>
              <w:rPr>
                <w:rFonts w:ascii="宋体" w:hAnsi="宋体"/>
                <w:color w:val="000000"/>
                <w:szCs w:val="21"/>
              </w:rPr>
            </w:pPr>
            <w:r>
              <w:rPr>
                <w:rFonts w:hint="eastAsia" w:ascii="宋体" w:hAnsi="宋体"/>
                <w:color w:val="000000"/>
                <w:szCs w:val="21"/>
              </w:rPr>
              <w:t>确定的任务；不经常发生的活动。</w:t>
            </w:r>
          </w:p>
          <w:p>
            <w:pPr>
              <w:spacing w:line="360" w:lineRule="exact"/>
              <w:jc w:val="left"/>
              <w:rPr>
                <w:rFonts w:ascii="宋体" w:hAnsi="宋体"/>
                <w:color w:val="000000"/>
                <w:szCs w:val="21"/>
              </w:rPr>
            </w:pPr>
            <w:r>
              <w:rPr>
                <w:rFonts w:hint="eastAsia" w:ascii="宋体" w:hAnsi="宋体"/>
                <w:color w:val="000000"/>
                <w:szCs w:val="21"/>
              </w:rPr>
              <w:t>4.2.3. 危险辨识应全面、系统、多角度、不漏项，包括所有部门、区域和活动，重点放在能量主体、危险物质及其控制和影响因素上，危险源辨识应考虑以下范围：</w:t>
            </w:r>
          </w:p>
          <w:p>
            <w:pPr>
              <w:numPr>
                <w:ilvl w:val="0"/>
                <w:numId w:val="3"/>
              </w:numPr>
              <w:spacing w:line="360" w:lineRule="exact"/>
              <w:rPr>
                <w:rFonts w:ascii="宋体" w:hAnsi="宋体"/>
                <w:color w:val="000000"/>
                <w:szCs w:val="21"/>
              </w:rPr>
            </w:pPr>
            <w:r>
              <w:rPr>
                <w:rFonts w:hint="eastAsia" w:ascii="宋体" w:hAnsi="宋体"/>
                <w:color w:val="000000"/>
                <w:szCs w:val="21"/>
              </w:rPr>
              <w:t>所有常规（如正常的生产和例行检修等）和非常规活动（临时抢修、洪水、火灾等）；</w:t>
            </w:r>
          </w:p>
          <w:p>
            <w:pPr>
              <w:numPr>
                <w:ilvl w:val="0"/>
                <w:numId w:val="3"/>
              </w:numPr>
              <w:spacing w:line="360" w:lineRule="exact"/>
              <w:rPr>
                <w:rFonts w:ascii="宋体" w:hAnsi="宋体"/>
                <w:color w:val="000000"/>
                <w:szCs w:val="21"/>
              </w:rPr>
            </w:pPr>
            <w:r>
              <w:rPr>
                <w:rFonts w:hint="eastAsia" w:ascii="宋体" w:hAnsi="宋体"/>
                <w:color w:val="000000"/>
                <w:szCs w:val="21"/>
              </w:rPr>
              <w:t xml:space="preserve">所有进入作业场所的人员（含本公司员工、访问者和相关方人员等）的活动；     </w:t>
            </w:r>
          </w:p>
          <w:p>
            <w:pPr>
              <w:numPr>
                <w:ilvl w:val="0"/>
                <w:numId w:val="3"/>
              </w:numPr>
              <w:spacing w:line="360" w:lineRule="exact"/>
              <w:rPr>
                <w:rFonts w:ascii="宋体" w:hAnsi="宋体"/>
                <w:color w:val="000000"/>
                <w:szCs w:val="21"/>
              </w:rPr>
            </w:pPr>
            <w:r>
              <w:rPr>
                <w:rFonts w:hint="eastAsia" w:ascii="宋体" w:hAnsi="宋体"/>
                <w:color w:val="000000"/>
                <w:szCs w:val="21"/>
              </w:rPr>
              <w:t>所有作业场所的设施，如建筑物、机械设备、车辆等（含公司所有的或租赁使用的）。</w:t>
            </w:r>
          </w:p>
          <w:p>
            <w:pPr>
              <w:spacing w:line="360" w:lineRule="exact"/>
              <w:rPr>
                <w:rFonts w:ascii="宋体" w:hAnsi="宋体"/>
                <w:color w:val="000000"/>
                <w:szCs w:val="21"/>
              </w:rPr>
            </w:pPr>
            <w:r>
              <w:rPr>
                <w:rFonts w:hint="eastAsia" w:ascii="宋体" w:hAnsi="宋体"/>
                <w:color w:val="000000"/>
                <w:szCs w:val="21"/>
              </w:rPr>
              <w:t>4.2.4. 各部门在进行危险源辨识时，应考虑以下方面内容：</w:t>
            </w:r>
          </w:p>
          <w:p>
            <w:pPr>
              <w:spacing w:line="360" w:lineRule="exact"/>
              <w:ind w:firstLine="420" w:firstLineChars="200"/>
              <w:rPr>
                <w:rFonts w:ascii="宋体" w:hAnsi="宋体"/>
                <w:color w:val="000000"/>
                <w:szCs w:val="21"/>
              </w:rPr>
            </w:pPr>
            <w:r>
              <w:rPr>
                <w:rFonts w:hint="eastAsia" w:ascii="宋体" w:hAnsi="宋体"/>
                <w:color w:val="000000"/>
                <w:szCs w:val="21"/>
              </w:rPr>
              <w:t>a．三种状态：正常（如正常生产）、异常（如停机检修）和紧急（如火灾、爆炸）状态；</w:t>
            </w:r>
          </w:p>
          <w:p>
            <w:pPr>
              <w:spacing w:line="360" w:lineRule="exact"/>
              <w:ind w:firstLine="420" w:firstLineChars="200"/>
              <w:rPr>
                <w:rFonts w:ascii="宋体" w:hAnsi="宋体"/>
                <w:color w:val="000000"/>
                <w:szCs w:val="21"/>
              </w:rPr>
            </w:pPr>
            <w:r>
              <w:rPr>
                <w:rFonts w:hint="eastAsia" w:ascii="宋体" w:hAnsi="宋体"/>
                <w:color w:val="000000"/>
                <w:szCs w:val="21"/>
              </w:rPr>
              <w:t>b. 三种时态：过去、现在和将来。过去出现并一直持续到现在的（如由于技术、资源不足仍未解决的）、现在存在的和将来可能出现的危险源情况都应进行辨识。对于过去存在，现在已经解决的则不必进行辨识；</w:t>
            </w:r>
          </w:p>
          <w:p>
            <w:pPr>
              <w:spacing w:line="360" w:lineRule="exact"/>
              <w:ind w:firstLine="420" w:firstLineChars="200"/>
              <w:rPr>
                <w:rFonts w:ascii="宋体" w:hAnsi="宋体"/>
                <w:color w:val="000000"/>
                <w:szCs w:val="21"/>
              </w:rPr>
            </w:pPr>
            <w:r>
              <w:rPr>
                <w:rFonts w:hint="eastAsia" w:ascii="宋体" w:hAnsi="宋体"/>
                <w:color w:val="000000"/>
                <w:szCs w:val="21"/>
              </w:rPr>
              <w:t>c. 从四种风险因素类型进行辨识：考虑由于机械能、电能、热能、人机工程因素（生理、心理）可能对人造成的伤害。如机械设备伤人，漏电伤人，人员的误操作、不遵守规程等。</w:t>
            </w:r>
          </w:p>
          <w:p>
            <w:pPr>
              <w:spacing w:line="360" w:lineRule="exact"/>
              <w:rPr>
                <w:rFonts w:ascii="宋体" w:hAnsi="宋体"/>
                <w:color w:val="000000"/>
                <w:szCs w:val="21"/>
              </w:rPr>
            </w:pPr>
            <w:r>
              <w:rPr>
                <w:rFonts w:hint="eastAsia" w:ascii="宋体" w:hAnsi="宋体"/>
                <w:color w:val="000000"/>
                <w:szCs w:val="21"/>
              </w:rPr>
              <w:t>4.2.5. 危险源辨识方法可采用询问与交流、现场观察、查阅有关记录、获取外部信息、工作任务分析、安全检查表法、作业条件的危险性评价等方法。</w:t>
            </w:r>
          </w:p>
          <w:p>
            <w:pPr>
              <w:spacing w:line="360" w:lineRule="exact"/>
              <w:rPr>
                <w:rFonts w:ascii="宋体" w:hAnsi="宋体"/>
                <w:b/>
                <w:color w:val="000000"/>
                <w:szCs w:val="21"/>
              </w:rPr>
            </w:pPr>
            <w:r>
              <w:rPr>
                <w:rFonts w:hint="eastAsia" w:ascii="宋体" w:hAnsi="宋体"/>
                <w:b/>
                <w:color w:val="000000"/>
                <w:szCs w:val="21"/>
              </w:rPr>
              <w:t>4.3.  风险评价</w:t>
            </w:r>
          </w:p>
          <w:p>
            <w:pPr>
              <w:tabs>
                <w:tab w:val="left" w:pos="0"/>
              </w:tabs>
              <w:spacing w:line="360" w:lineRule="exact"/>
              <w:rPr>
                <w:rFonts w:ascii="宋体" w:hAnsi="宋体"/>
                <w:color w:val="000000"/>
                <w:szCs w:val="21"/>
              </w:rPr>
            </w:pPr>
            <w:r>
              <w:rPr>
                <w:rFonts w:hint="eastAsia" w:ascii="宋体" w:hAnsi="宋体"/>
                <w:color w:val="000000"/>
                <w:szCs w:val="21"/>
              </w:rPr>
              <w:t>4.3.1. 风险评价的方法</w:t>
            </w:r>
          </w:p>
          <w:p>
            <w:pPr>
              <w:tabs>
                <w:tab w:val="left" w:pos="0"/>
              </w:tabs>
              <w:spacing w:line="360" w:lineRule="exact"/>
              <w:ind w:firstLine="420" w:firstLineChars="200"/>
              <w:rPr>
                <w:rFonts w:ascii="宋体" w:hAnsi="宋体"/>
                <w:color w:val="000000"/>
                <w:szCs w:val="21"/>
              </w:rPr>
            </w:pPr>
            <w:r>
              <w:rPr>
                <w:rFonts w:hint="eastAsia" w:ascii="宋体" w:hAnsi="宋体"/>
                <w:color w:val="000000"/>
                <w:szCs w:val="21"/>
              </w:rPr>
              <w:t>本公司根据作业条件的危险性、环境作业时危险源的程度，采用D=LEC半定量评</w:t>
            </w:r>
          </w:p>
          <w:p>
            <w:pPr>
              <w:tabs>
                <w:tab w:val="left" w:pos="0"/>
              </w:tabs>
              <w:spacing w:line="360" w:lineRule="exact"/>
              <w:rPr>
                <w:rFonts w:ascii="宋体" w:hAnsi="宋体"/>
                <w:color w:val="000000"/>
                <w:szCs w:val="21"/>
              </w:rPr>
            </w:pPr>
            <w:r>
              <w:rPr>
                <w:rFonts w:hint="eastAsia" w:ascii="宋体" w:hAnsi="宋体"/>
                <w:color w:val="000000"/>
                <w:szCs w:val="21"/>
              </w:rPr>
              <w:t>价法，简化评价过程，用系统风险率有关的L、E、C三种因素指标值之积来评价作业</w:t>
            </w:r>
          </w:p>
          <w:p>
            <w:pPr>
              <w:tabs>
                <w:tab w:val="left" w:pos="0"/>
              </w:tabs>
              <w:spacing w:line="360" w:lineRule="exact"/>
              <w:rPr>
                <w:rFonts w:ascii="宋体" w:hAnsi="宋体"/>
                <w:color w:val="000000"/>
                <w:szCs w:val="21"/>
              </w:rPr>
            </w:pPr>
            <w:r>
              <w:rPr>
                <w:rFonts w:hint="eastAsia" w:ascii="宋体" w:hAnsi="宋体"/>
                <w:color w:val="000000"/>
                <w:szCs w:val="21"/>
              </w:rPr>
              <w:t>人员的伤亡风险大小，即L-发生事故的可能性大小，E-人体暴露在危险环境中频繁程度，C-发生事故后造成的损失后果，D即LEC三方的积，值越大表明该系统危险性越大，相反D值越小表明该系统危险性越小。确定当危险性分值D为三级（含三级）以上时为重大危险源因素。</w:t>
            </w:r>
          </w:p>
          <w:p>
            <w:pPr>
              <w:tabs>
                <w:tab w:val="left" w:pos="0"/>
              </w:tabs>
              <w:spacing w:line="360" w:lineRule="exact"/>
              <w:rPr>
                <w:rFonts w:ascii="宋体" w:hAnsi="宋体"/>
                <w:color w:val="000000"/>
                <w:szCs w:val="21"/>
              </w:rPr>
            </w:pPr>
            <w:r>
              <w:rPr>
                <w:rFonts w:hint="eastAsia" w:ascii="宋体" w:hAnsi="宋体"/>
                <w:color w:val="000000"/>
                <w:szCs w:val="21"/>
              </w:rPr>
              <w:t>4.3.1.1. L-发生危险事件的可能性大小。危险事件发生的可能性大小。当用概率来表示时，绝对不可能发生的事件为零，必然发生的事件为1。然而，在作为系统安全考虑时，绝不发生事件是不可能的。所以人为地将发生事件可能性极小分数定为0.1，将必然要发生事件的分数定为10，介于这两种情况之间的情况指定了若干个值，如下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88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00" w:type="dxa"/>
                </w:tcPr>
                <w:p>
                  <w:pPr>
                    <w:tabs>
                      <w:tab w:val="left" w:pos="0"/>
                    </w:tabs>
                    <w:spacing w:line="360" w:lineRule="exact"/>
                    <w:jc w:val="center"/>
                    <w:rPr>
                      <w:rFonts w:ascii="宋体" w:hAnsi="宋体"/>
                      <w:color w:val="000000"/>
                      <w:szCs w:val="21"/>
                    </w:rPr>
                  </w:pPr>
                  <w:r>
                    <w:rPr>
                      <w:rFonts w:hint="eastAsia" w:ascii="宋体" w:hAnsi="宋体"/>
                      <w:color w:val="000000"/>
                      <w:szCs w:val="21"/>
                    </w:rPr>
                    <w:t>等级</w:t>
                  </w:r>
                </w:p>
              </w:tc>
              <w:tc>
                <w:tcPr>
                  <w:tcW w:w="2880" w:type="dxa"/>
                </w:tcPr>
                <w:p>
                  <w:pPr>
                    <w:tabs>
                      <w:tab w:val="left" w:pos="0"/>
                    </w:tabs>
                    <w:spacing w:line="360" w:lineRule="exact"/>
                    <w:ind w:firstLine="658"/>
                    <w:jc w:val="center"/>
                    <w:rPr>
                      <w:rFonts w:ascii="宋体" w:hAnsi="宋体"/>
                      <w:color w:val="000000"/>
                      <w:szCs w:val="21"/>
                    </w:rPr>
                  </w:pPr>
                  <w:r>
                    <w:rPr>
                      <w:rFonts w:hint="eastAsia" w:ascii="宋体" w:hAnsi="宋体"/>
                      <w:color w:val="000000"/>
                      <w:szCs w:val="21"/>
                    </w:rPr>
                    <w:t>分数值</w:t>
                  </w:r>
                </w:p>
              </w:tc>
              <w:tc>
                <w:tcPr>
                  <w:tcW w:w="4320" w:type="dxa"/>
                </w:tcPr>
                <w:p>
                  <w:pPr>
                    <w:tabs>
                      <w:tab w:val="left" w:pos="0"/>
                    </w:tabs>
                    <w:spacing w:line="360" w:lineRule="exact"/>
                    <w:ind w:firstLine="785" w:firstLineChars="374"/>
                    <w:rPr>
                      <w:rFonts w:ascii="宋体" w:hAnsi="宋体"/>
                      <w:color w:val="000000"/>
                      <w:szCs w:val="21"/>
                    </w:rPr>
                  </w:pPr>
                  <w:r>
                    <w:rPr>
                      <w:rFonts w:hint="eastAsia" w:ascii="宋体" w:hAnsi="宋体"/>
                      <w:color w:val="000000"/>
                      <w:szCs w:val="21"/>
                    </w:rPr>
                    <w:t>事故发生的可能性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00" w:type="dxa"/>
                </w:tcPr>
                <w:p>
                  <w:pPr>
                    <w:tabs>
                      <w:tab w:val="left" w:pos="0"/>
                    </w:tabs>
                    <w:spacing w:line="360" w:lineRule="exact"/>
                    <w:jc w:val="center"/>
                    <w:rPr>
                      <w:rFonts w:ascii="宋体" w:hAnsi="宋体"/>
                      <w:color w:val="000000"/>
                      <w:szCs w:val="21"/>
                    </w:rPr>
                  </w:pPr>
                  <w:r>
                    <w:rPr>
                      <w:rFonts w:hint="eastAsia" w:ascii="宋体" w:hAnsi="宋体"/>
                      <w:color w:val="000000"/>
                      <w:szCs w:val="21"/>
                    </w:rPr>
                    <w:t>七级</w:t>
                  </w:r>
                </w:p>
              </w:tc>
              <w:tc>
                <w:tcPr>
                  <w:tcW w:w="2880" w:type="dxa"/>
                </w:tcPr>
                <w:p>
                  <w:pPr>
                    <w:tabs>
                      <w:tab w:val="left" w:pos="0"/>
                    </w:tabs>
                    <w:spacing w:line="360" w:lineRule="exact"/>
                    <w:jc w:val="center"/>
                    <w:rPr>
                      <w:rFonts w:ascii="宋体" w:hAnsi="宋体"/>
                      <w:color w:val="000000"/>
                      <w:szCs w:val="21"/>
                    </w:rPr>
                  </w:pPr>
                  <w:r>
                    <w:rPr>
                      <w:rFonts w:hint="eastAsia" w:ascii="宋体" w:hAnsi="宋体"/>
                      <w:color w:val="000000"/>
                      <w:szCs w:val="21"/>
                    </w:rPr>
                    <w:t>10</w:t>
                  </w:r>
                </w:p>
              </w:tc>
              <w:tc>
                <w:tcPr>
                  <w:tcW w:w="4320" w:type="dxa"/>
                </w:tcPr>
                <w:p>
                  <w:pPr>
                    <w:tabs>
                      <w:tab w:val="left" w:pos="0"/>
                    </w:tabs>
                    <w:spacing w:line="360" w:lineRule="exact"/>
                    <w:rPr>
                      <w:rFonts w:ascii="宋体" w:hAnsi="宋体"/>
                      <w:color w:val="000000"/>
                      <w:szCs w:val="21"/>
                    </w:rPr>
                  </w:pPr>
                  <w:r>
                    <w:rPr>
                      <w:rFonts w:hint="eastAsia" w:ascii="宋体" w:hAnsi="宋体"/>
                      <w:color w:val="000000"/>
                      <w:szCs w:val="21"/>
                    </w:rPr>
                    <w:t>安全可能预料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00" w:type="dxa"/>
                </w:tcPr>
                <w:p>
                  <w:pPr>
                    <w:tabs>
                      <w:tab w:val="left" w:pos="0"/>
                    </w:tabs>
                    <w:spacing w:line="360" w:lineRule="exact"/>
                    <w:jc w:val="center"/>
                    <w:rPr>
                      <w:rFonts w:ascii="宋体" w:hAnsi="宋体"/>
                      <w:color w:val="000000"/>
                      <w:szCs w:val="21"/>
                    </w:rPr>
                  </w:pPr>
                  <w:r>
                    <w:rPr>
                      <w:rFonts w:hint="eastAsia" w:ascii="宋体" w:hAnsi="宋体"/>
                      <w:color w:val="000000"/>
                      <w:szCs w:val="21"/>
                    </w:rPr>
                    <w:t>六级</w:t>
                  </w:r>
                </w:p>
              </w:tc>
              <w:tc>
                <w:tcPr>
                  <w:tcW w:w="2880" w:type="dxa"/>
                </w:tcPr>
                <w:p>
                  <w:pPr>
                    <w:tabs>
                      <w:tab w:val="left" w:pos="0"/>
                    </w:tabs>
                    <w:spacing w:line="360" w:lineRule="exact"/>
                    <w:jc w:val="center"/>
                    <w:rPr>
                      <w:rFonts w:ascii="宋体" w:hAnsi="宋体"/>
                      <w:color w:val="000000"/>
                      <w:szCs w:val="21"/>
                    </w:rPr>
                  </w:pPr>
                  <w:r>
                    <w:rPr>
                      <w:rFonts w:hint="eastAsia" w:ascii="宋体" w:hAnsi="宋体"/>
                      <w:color w:val="000000"/>
                      <w:szCs w:val="21"/>
                    </w:rPr>
                    <w:t>6</w:t>
                  </w:r>
                </w:p>
              </w:tc>
              <w:tc>
                <w:tcPr>
                  <w:tcW w:w="4320" w:type="dxa"/>
                </w:tcPr>
                <w:p>
                  <w:pPr>
                    <w:tabs>
                      <w:tab w:val="left" w:pos="0"/>
                    </w:tabs>
                    <w:spacing w:line="360" w:lineRule="exact"/>
                    <w:rPr>
                      <w:rFonts w:ascii="宋体" w:hAnsi="宋体"/>
                      <w:color w:val="000000"/>
                      <w:szCs w:val="21"/>
                    </w:rPr>
                  </w:pPr>
                  <w:r>
                    <w:rPr>
                      <w:rFonts w:hint="eastAsia" w:ascii="宋体" w:hAnsi="宋体"/>
                      <w:color w:val="000000"/>
                      <w:szCs w:val="21"/>
                    </w:rPr>
                    <w:t>相当可能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00" w:type="dxa"/>
                </w:tcPr>
                <w:p>
                  <w:pPr>
                    <w:tabs>
                      <w:tab w:val="left" w:pos="0"/>
                    </w:tabs>
                    <w:spacing w:line="360" w:lineRule="exact"/>
                    <w:jc w:val="center"/>
                    <w:rPr>
                      <w:rFonts w:ascii="宋体" w:hAnsi="宋体"/>
                      <w:color w:val="000000"/>
                      <w:szCs w:val="21"/>
                    </w:rPr>
                  </w:pPr>
                  <w:r>
                    <w:rPr>
                      <w:rFonts w:hint="eastAsia" w:ascii="宋体" w:hAnsi="宋体"/>
                      <w:color w:val="000000"/>
                      <w:szCs w:val="21"/>
                    </w:rPr>
                    <w:t>五级</w:t>
                  </w:r>
                </w:p>
              </w:tc>
              <w:tc>
                <w:tcPr>
                  <w:tcW w:w="2880" w:type="dxa"/>
                </w:tcPr>
                <w:p>
                  <w:pPr>
                    <w:tabs>
                      <w:tab w:val="left" w:pos="0"/>
                    </w:tabs>
                    <w:spacing w:line="360" w:lineRule="exact"/>
                    <w:jc w:val="center"/>
                    <w:rPr>
                      <w:rFonts w:ascii="宋体" w:hAnsi="宋体"/>
                      <w:color w:val="000000"/>
                      <w:szCs w:val="21"/>
                    </w:rPr>
                  </w:pPr>
                  <w:r>
                    <w:rPr>
                      <w:rFonts w:hint="eastAsia" w:ascii="宋体" w:hAnsi="宋体"/>
                      <w:color w:val="000000"/>
                      <w:szCs w:val="21"/>
                    </w:rPr>
                    <w:t>3</w:t>
                  </w:r>
                </w:p>
              </w:tc>
              <w:tc>
                <w:tcPr>
                  <w:tcW w:w="4320" w:type="dxa"/>
                </w:tcPr>
                <w:p>
                  <w:pPr>
                    <w:tabs>
                      <w:tab w:val="left" w:pos="0"/>
                    </w:tabs>
                    <w:spacing w:line="360" w:lineRule="exact"/>
                    <w:rPr>
                      <w:rFonts w:ascii="宋体" w:hAnsi="宋体"/>
                      <w:color w:val="000000"/>
                      <w:szCs w:val="21"/>
                    </w:rPr>
                  </w:pPr>
                  <w:r>
                    <w:rPr>
                      <w:rFonts w:hint="eastAsia" w:ascii="宋体" w:hAnsi="宋体"/>
                      <w:color w:val="000000"/>
                      <w:szCs w:val="21"/>
                    </w:rPr>
                    <w:t>可能，但不经常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00" w:type="dxa"/>
                </w:tcPr>
                <w:p>
                  <w:pPr>
                    <w:tabs>
                      <w:tab w:val="left" w:pos="0"/>
                    </w:tabs>
                    <w:spacing w:line="360" w:lineRule="exact"/>
                    <w:jc w:val="center"/>
                    <w:rPr>
                      <w:rFonts w:ascii="宋体" w:hAnsi="宋体"/>
                      <w:color w:val="000000"/>
                      <w:szCs w:val="21"/>
                    </w:rPr>
                  </w:pPr>
                  <w:r>
                    <w:rPr>
                      <w:rFonts w:hint="eastAsia" w:ascii="宋体" w:hAnsi="宋体"/>
                      <w:color w:val="000000"/>
                      <w:szCs w:val="21"/>
                    </w:rPr>
                    <w:t>四级</w:t>
                  </w:r>
                </w:p>
              </w:tc>
              <w:tc>
                <w:tcPr>
                  <w:tcW w:w="2880" w:type="dxa"/>
                </w:tcPr>
                <w:p>
                  <w:pPr>
                    <w:tabs>
                      <w:tab w:val="left" w:pos="0"/>
                    </w:tabs>
                    <w:spacing w:line="360" w:lineRule="exact"/>
                    <w:jc w:val="center"/>
                    <w:rPr>
                      <w:rFonts w:ascii="宋体" w:hAnsi="宋体"/>
                      <w:color w:val="000000"/>
                      <w:szCs w:val="21"/>
                    </w:rPr>
                  </w:pPr>
                  <w:r>
                    <w:rPr>
                      <w:rFonts w:hint="eastAsia" w:ascii="宋体" w:hAnsi="宋体"/>
                      <w:color w:val="000000"/>
                      <w:szCs w:val="21"/>
                    </w:rPr>
                    <w:t>1</w:t>
                  </w:r>
                </w:p>
              </w:tc>
              <w:tc>
                <w:tcPr>
                  <w:tcW w:w="4320" w:type="dxa"/>
                </w:tcPr>
                <w:p>
                  <w:pPr>
                    <w:tabs>
                      <w:tab w:val="left" w:pos="0"/>
                    </w:tabs>
                    <w:spacing w:line="360" w:lineRule="exact"/>
                    <w:rPr>
                      <w:rFonts w:ascii="宋体" w:hAnsi="宋体"/>
                      <w:color w:val="000000"/>
                      <w:szCs w:val="21"/>
                    </w:rPr>
                  </w:pPr>
                  <w:r>
                    <w:rPr>
                      <w:rFonts w:hint="eastAsia" w:ascii="宋体" w:hAnsi="宋体"/>
                      <w:color w:val="000000"/>
                      <w:szCs w:val="21"/>
                    </w:rPr>
                    <w:t>可能性小，完全意外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00" w:type="dxa"/>
                </w:tcPr>
                <w:p>
                  <w:pPr>
                    <w:tabs>
                      <w:tab w:val="left" w:pos="0"/>
                    </w:tabs>
                    <w:spacing w:line="360" w:lineRule="exact"/>
                    <w:jc w:val="center"/>
                    <w:rPr>
                      <w:rFonts w:ascii="宋体" w:hAnsi="宋体"/>
                      <w:color w:val="000000"/>
                      <w:szCs w:val="21"/>
                    </w:rPr>
                  </w:pPr>
                  <w:r>
                    <w:rPr>
                      <w:rFonts w:hint="eastAsia" w:ascii="宋体" w:hAnsi="宋体"/>
                      <w:color w:val="000000"/>
                      <w:szCs w:val="21"/>
                    </w:rPr>
                    <w:t>三级</w:t>
                  </w:r>
                </w:p>
              </w:tc>
              <w:tc>
                <w:tcPr>
                  <w:tcW w:w="2880" w:type="dxa"/>
                </w:tcPr>
                <w:p>
                  <w:pPr>
                    <w:tabs>
                      <w:tab w:val="left" w:pos="0"/>
                    </w:tabs>
                    <w:spacing w:line="360" w:lineRule="exact"/>
                    <w:jc w:val="center"/>
                    <w:rPr>
                      <w:rFonts w:ascii="宋体" w:hAnsi="宋体"/>
                      <w:color w:val="000000"/>
                      <w:szCs w:val="21"/>
                    </w:rPr>
                  </w:pPr>
                  <w:r>
                    <w:rPr>
                      <w:rFonts w:hint="eastAsia" w:ascii="宋体" w:hAnsi="宋体"/>
                      <w:color w:val="000000"/>
                      <w:szCs w:val="21"/>
                    </w:rPr>
                    <w:t>0.5</w:t>
                  </w:r>
                </w:p>
              </w:tc>
              <w:tc>
                <w:tcPr>
                  <w:tcW w:w="4320" w:type="dxa"/>
                </w:tcPr>
                <w:p>
                  <w:pPr>
                    <w:tabs>
                      <w:tab w:val="left" w:pos="0"/>
                    </w:tabs>
                    <w:spacing w:line="360" w:lineRule="exact"/>
                    <w:rPr>
                      <w:rFonts w:ascii="宋体" w:hAnsi="宋体"/>
                      <w:color w:val="000000"/>
                      <w:szCs w:val="21"/>
                    </w:rPr>
                  </w:pPr>
                  <w:r>
                    <w:rPr>
                      <w:rFonts w:hint="eastAsia" w:ascii="宋体" w:hAnsi="宋体"/>
                      <w:color w:val="000000"/>
                      <w:szCs w:val="21"/>
                    </w:rPr>
                    <w:t>很不可能，可以设想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00" w:type="dxa"/>
                </w:tcPr>
                <w:p>
                  <w:pPr>
                    <w:tabs>
                      <w:tab w:val="left" w:pos="0"/>
                    </w:tabs>
                    <w:spacing w:line="360" w:lineRule="exact"/>
                    <w:jc w:val="center"/>
                    <w:rPr>
                      <w:rFonts w:ascii="宋体" w:hAnsi="宋体"/>
                      <w:color w:val="000000"/>
                      <w:szCs w:val="21"/>
                    </w:rPr>
                  </w:pPr>
                  <w:r>
                    <w:rPr>
                      <w:rFonts w:hint="eastAsia" w:ascii="宋体" w:hAnsi="宋体"/>
                      <w:color w:val="000000"/>
                      <w:szCs w:val="21"/>
                    </w:rPr>
                    <w:t>二级</w:t>
                  </w:r>
                </w:p>
              </w:tc>
              <w:tc>
                <w:tcPr>
                  <w:tcW w:w="2880" w:type="dxa"/>
                </w:tcPr>
                <w:p>
                  <w:pPr>
                    <w:tabs>
                      <w:tab w:val="left" w:pos="0"/>
                    </w:tabs>
                    <w:spacing w:line="360" w:lineRule="exact"/>
                    <w:jc w:val="center"/>
                    <w:rPr>
                      <w:rFonts w:ascii="宋体" w:hAnsi="宋体"/>
                      <w:color w:val="000000"/>
                      <w:szCs w:val="21"/>
                    </w:rPr>
                  </w:pPr>
                  <w:r>
                    <w:rPr>
                      <w:rFonts w:hint="eastAsia" w:ascii="宋体" w:hAnsi="宋体"/>
                      <w:color w:val="000000"/>
                      <w:szCs w:val="21"/>
                    </w:rPr>
                    <w:t>0.2</w:t>
                  </w:r>
                </w:p>
              </w:tc>
              <w:tc>
                <w:tcPr>
                  <w:tcW w:w="4320" w:type="dxa"/>
                </w:tcPr>
                <w:p>
                  <w:pPr>
                    <w:tabs>
                      <w:tab w:val="left" w:pos="0"/>
                    </w:tabs>
                    <w:spacing w:line="360" w:lineRule="exact"/>
                    <w:rPr>
                      <w:rFonts w:ascii="宋体" w:hAnsi="宋体"/>
                      <w:color w:val="000000"/>
                      <w:szCs w:val="21"/>
                    </w:rPr>
                  </w:pPr>
                  <w:r>
                    <w:rPr>
                      <w:rFonts w:hint="eastAsia" w:ascii="宋体" w:hAnsi="宋体"/>
                      <w:color w:val="000000"/>
                      <w:szCs w:val="21"/>
                    </w:rPr>
                    <w:t>极不可能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00" w:type="dxa"/>
                </w:tcPr>
                <w:p>
                  <w:pPr>
                    <w:tabs>
                      <w:tab w:val="left" w:pos="0"/>
                    </w:tabs>
                    <w:spacing w:line="360" w:lineRule="exact"/>
                    <w:jc w:val="center"/>
                    <w:rPr>
                      <w:rFonts w:ascii="宋体" w:hAnsi="宋体"/>
                      <w:color w:val="000000"/>
                      <w:szCs w:val="21"/>
                    </w:rPr>
                  </w:pPr>
                  <w:r>
                    <w:rPr>
                      <w:rFonts w:hint="eastAsia" w:ascii="宋体" w:hAnsi="宋体"/>
                      <w:color w:val="000000"/>
                      <w:szCs w:val="21"/>
                    </w:rPr>
                    <w:t>一级</w:t>
                  </w:r>
                </w:p>
              </w:tc>
              <w:tc>
                <w:tcPr>
                  <w:tcW w:w="2880" w:type="dxa"/>
                </w:tcPr>
                <w:p>
                  <w:pPr>
                    <w:tabs>
                      <w:tab w:val="left" w:pos="0"/>
                    </w:tabs>
                    <w:spacing w:line="360" w:lineRule="exact"/>
                    <w:jc w:val="center"/>
                    <w:rPr>
                      <w:rFonts w:ascii="宋体" w:hAnsi="宋体"/>
                      <w:color w:val="000000"/>
                      <w:szCs w:val="21"/>
                    </w:rPr>
                  </w:pPr>
                  <w:r>
                    <w:rPr>
                      <w:rFonts w:hint="eastAsia" w:ascii="宋体" w:hAnsi="宋体"/>
                      <w:color w:val="000000"/>
                      <w:szCs w:val="21"/>
                    </w:rPr>
                    <w:t>0.1</w:t>
                  </w:r>
                </w:p>
              </w:tc>
              <w:tc>
                <w:tcPr>
                  <w:tcW w:w="4320" w:type="dxa"/>
                </w:tcPr>
                <w:p>
                  <w:pPr>
                    <w:tabs>
                      <w:tab w:val="left" w:pos="0"/>
                    </w:tabs>
                    <w:spacing w:line="360" w:lineRule="exact"/>
                    <w:rPr>
                      <w:rFonts w:ascii="宋体" w:hAnsi="宋体"/>
                      <w:color w:val="000000"/>
                      <w:szCs w:val="21"/>
                    </w:rPr>
                  </w:pPr>
                  <w:r>
                    <w:rPr>
                      <w:rFonts w:hint="eastAsia" w:ascii="宋体" w:hAnsi="宋体"/>
                      <w:color w:val="000000"/>
                      <w:szCs w:val="21"/>
                    </w:rPr>
                    <w:t>实际不可能</w:t>
                  </w:r>
                </w:p>
              </w:tc>
            </w:tr>
          </w:tbl>
          <w:p>
            <w:pPr>
              <w:tabs>
                <w:tab w:val="left" w:pos="0"/>
              </w:tabs>
              <w:spacing w:line="360" w:lineRule="exact"/>
              <w:rPr>
                <w:rFonts w:ascii="宋体" w:hAnsi="宋体"/>
                <w:color w:val="000000"/>
                <w:szCs w:val="21"/>
              </w:rPr>
            </w:pPr>
            <w:r>
              <w:rPr>
                <w:rFonts w:hint="eastAsia" w:ascii="宋体" w:hAnsi="宋体"/>
                <w:color w:val="000000"/>
                <w:szCs w:val="21"/>
              </w:rPr>
              <w:t>4.3.1.2. E- 暴露于危险环境的频繁程度，人员出现在危险源环境中的时间越多，则危险性越大，连续出现在危险源环境的情况定为10，非常罕见的出现在危险源环境中定为0.5，同样将介于两者之间的情况定为若干个中间值，如下表：</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88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800" w:type="dxa"/>
                </w:tcPr>
                <w:p>
                  <w:pPr>
                    <w:tabs>
                      <w:tab w:val="left" w:pos="0"/>
                    </w:tabs>
                    <w:spacing w:line="360" w:lineRule="exact"/>
                    <w:jc w:val="center"/>
                    <w:rPr>
                      <w:rFonts w:ascii="宋体" w:hAnsi="宋体"/>
                      <w:color w:val="000000"/>
                      <w:szCs w:val="21"/>
                    </w:rPr>
                  </w:pPr>
                  <w:r>
                    <w:rPr>
                      <w:rFonts w:hint="eastAsia" w:ascii="宋体" w:hAnsi="宋体"/>
                      <w:color w:val="000000"/>
                      <w:szCs w:val="21"/>
                    </w:rPr>
                    <w:t>等级</w:t>
                  </w:r>
                </w:p>
              </w:tc>
              <w:tc>
                <w:tcPr>
                  <w:tcW w:w="2880" w:type="dxa"/>
                </w:tcPr>
                <w:p>
                  <w:pPr>
                    <w:tabs>
                      <w:tab w:val="left" w:pos="0"/>
                    </w:tabs>
                    <w:spacing w:line="360" w:lineRule="exact"/>
                    <w:ind w:firstLine="658"/>
                    <w:jc w:val="center"/>
                    <w:rPr>
                      <w:rFonts w:ascii="宋体" w:hAnsi="宋体"/>
                      <w:color w:val="000000"/>
                      <w:szCs w:val="21"/>
                    </w:rPr>
                  </w:pPr>
                  <w:r>
                    <w:rPr>
                      <w:rFonts w:hint="eastAsia" w:ascii="宋体" w:hAnsi="宋体"/>
                      <w:color w:val="000000"/>
                      <w:szCs w:val="21"/>
                    </w:rPr>
                    <w:t>分数值</w:t>
                  </w:r>
                </w:p>
              </w:tc>
              <w:tc>
                <w:tcPr>
                  <w:tcW w:w="4320" w:type="dxa"/>
                </w:tcPr>
                <w:p>
                  <w:pPr>
                    <w:tabs>
                      <w:tab w:val="left" w:pos="0"/>
                    </w:tabs>
                    <w:spacing w:line="360" w:lineRule="exact"/>
                    <w:jc w:val="center"/>
                    <w:rPr>
                      <w:rFonts w:ascii="宋体" w:hAnsi="宋体"/>
                      <w:color w:val="000000"/>
                      <w:szCs w:val="21"/>
                    </w:rPr>
                  </w:pPr>
                  <w:r>
                    <w:rPr>
                      <w:rFonts w:hint="eastAsia" w:ascii="宋体" w:hAnsi="宋体"/>
                      <w:color w:val="000000"/>
                      <w:szCs w:val="21"/>
                    </w:rPr>
                    <w:t>暴露于危险环境的频繁程度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800" w:type="dxa"/>
                </w:tcPr>
                <w:p>
                  <w:pPr>
                    <w:tabs>
                      <w:tab w:val="left" w:pos="0"/>
                    </w:tabs>
                    <w:spacing w:line="360" w:lineRule="exact"/>
                    <w:jc w:val="center"/>
                    <w:rPr>
                      <w:rFonts w:ascii="宋体" w:hAnsi="宋体"/>
                      <w:color w:val="000000"/>
                      <w:szCs w:val="21"/>
                    </w:rPr>
                  </w:pPr>
                  <w:r>
                    <w:rPr>
                      <w:rFonts w:hint="eastAsia" w:ascii="宋体" w:hAnsi="宋体"/>
                      <w:color w:val="000000"/>
                      <w:szCs w:val="21"/>
                    </w:rPr>
                    <w:t>六级</w:t>
                  </w:r>
                </w:p>
              </w:tc>
              <w:tc>
                <w:tcPr>
                  <w:tcW w:w="2880" w:type="dxa"/>
                </w:tcPr>
                <w:p>
                  <w:pPr>
                    <w:tabs>
                      <w:tab w:val="left" w:pos="0"/>
                    </w:tabs>
                    <w:spacing w:line="360" w:lineRule="exact"/>
                    <w:jc w:val="center"/>
                    <w:rPr>
                      <w:rFonts w:ascii="宋体" w:hAnsi="宋体"/>
                      <w:color w:val="000000"/>
                      <w:szCs w:val="21"/>
                    </w:rPr>
                  </w:pPr>
                  <w:r>
                    <w:rPr>
                      <w:rFonts w:hint="eastAsia" w:ascii="宋体" w:hAnsi="宋体"/>
                      <w:color w:val="000000"/>
                      <w:szCs w:val="21"/>
                    </w:rPr>
                    <w:t>10</w:t>
                  </w:r>
                </w:p>
              </w:tc>
              <w:tc>
                <w:tcPr>
                  <w:tcW w:w="4320" w:type="dxa"/>
                </w:tcPr>
                <w:p>
                  <w:pPr>
                    <w:tabs>
                      <w:tab w:val="left" w:pos="0"/>
                    </w:tabs>
                    <w:spacing w:line="360" w:lineRule="exact"/>
                    <w:rPr>
                      <w:rFonts w:ascii="宋体" w:hAnsi="宋体"/>
                      <w:color w:val="000000"/>
                      <w:szCs w:val="21"/>
                    </w:rPr>
                  </w:pPr>
                  <w:r>
                    <w:rPr>
                      <w:rFonts w:hint="eastAsia" w:ascii="宋体" w:hAnsi="宋体"/>
                      <w:color w:val="000000"/>
                      <w:szCs w:val="21"/>
                    </w:rPr>
                    <w:t>连续暴露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800" w:type="dxa"/>
                </w:tcPr>
                <w:p>
                  <w:pPr>
                    <w:tabs>
                      <w:tab w:val="left" w:pos="0"/>
                    </w:tabs>
                    <w:spacing w:line="360" w:lineRule="exact"/>
                    <w:jc w:val="center"/>
                    <w:rPr>
                      <w:rFonts w:ascii="宋体" w:hAnsi="宋体"/>
                      <w:color w:val="000000"/>
                      <w:szCs w:val="21"/>
                    </w:rPr>
                  </w:pPr>
                  <w:r>
                    <w:rPr>
                      <w:rFonts w:hint="eastAsia" w:ascii="宋体" w:hAnsi="宋体"/>
                      <w:color w:val="000000"/>
                      <w:szCs w:val="21"/>
                    </w:rPr>
                    <w:t>五级</w:t>
                  </w:r>
                </w:p>
              </w:tc>
              <w:tc>
                <w:tcPr>
                  <w:tcW w:w="2880" w:type="dxa"/>
                </w:tcPr>
                <w:p>
                  <w:pPr>
                    <w:tabs>
                      <w:tab w:val="left" w:pos="0"/>
                    </w:tabs>
                    <w:spacing w:line="360" w:lineRule="exact"/>
                    <w:jc w:val="center"/>
                    <w:rPr>
                      <w:rFonts w:ascii="宋体" w:hAnsi="宋体"/>
                      <w:color w:val="000000"/>
                      <w:szCs w:val="21"/>
                    </w:rPr>
                  </w:pPr>
                  <w:r>
                    <w:rPr>
                      <w:rFonts w:hint="eastAsia" w:ascii="宋体" w:hAnsi="宋体"/>
                      <w:color w:val="000000"/>
                      <w:szCs w:val="21"/>
                    </w:rPr>
                    <w:t>6</w:t>
                  </w:r>
                </w:p>
              </w:tc>
              <w:tc>
                <w:tcPr>
                  <w:tcW w:w="4320" w:type="dxa"/>
                </w:tcPr>
                <w:p>
                  <w:pPr>
                    <w:tabs>
                      <w:tab w:val="left" w:pos="0"/>
                    </w:tabs>
                    <w:spacing w:line="360" w:lineRule="exact"/>
                    <w:rPr>
                      <w:rFonts w:ascii="宋体" w:hAnsi="宋体"/>
                      <w:color w:val="000000"/>
                      <w:szCs w:val="21"/>
                    </w:rPr>
                  </w:pPr>
                  <w:r>
                    <w:rPr>
                      <w:rFonts w:hint="eastAsia" w:ascii="宋体" w:hAnsi="宋体"/>
                      <w:color w:val="000000"/>
                      <w:szCs w:val="21"/>
                    </w:rPr>
                    <w:t>每天工作时间暴露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800" w:type="dxa"/>
                </w:tcPr>
                <w:p>
                  <w:pPr>
                    <w:tabs>
                      <w:tab w:val="left" w:pos="0"/>
                    </w:tabs>
                    <w:spacing w:line="360" w:lineRule="exact"/>
                    <w:jc w:val="center"/>
                    <w:rPr>
                      <w:rFonts w:ascii="宋体" w:hAnsi="宋体"/>
                      <w:color w:val="000000"/>
                      <w:szCs w:val="21"/>
                    </w:rPr>
                  </w:pPr>
                  <w:r>
                    <w:rPr>
                      <w:rFonts w:hint="eastAsia" w:ascii="宋体" w:hAnsi="宋体"/>
                      <w:color w:val="000000"/>
                      <w:szCs w:val="21"/>
                    </w:rPr>
                    <w:t>四级</w:t>
                  </w:r>
                </w:p>
              </w:tc>
              <w:tc>
                <w:tcPr>
                  <w:tcW w:w="2880" w:type="dxa"/>
                </w:tcPr>
                <w:p>
                  <w:pPr>
                    <w:tabs>
                      <w:tab w:val="left" w:pos="0"/>
                    </w:tabs>
                    <w:spacing w:line="360" w:lineRule="exact"/>
                    <w:jc w:val="center"/>
                    <w:rPr>
                      <w:rFonts w:ascii="宋体" w:hAnsi="宋体"/>
                      <w:color w:val="000000"/>
                      <w:szCs w:val="21"/>
                    </w:rPr>
                  </w:pPr>
                  <w:r>
                    <w:rPr>
                      <w:rFonts w:hint="eastAsia" w:ascii="宋体" w:hAnsi="宋体"/>
                      <w:color w:val="000000"/>
                      <w:szCs w:val="21"/>
                    </w:rPr>
                    <w:t>3</w:t>
                  </w:r>
                </w:p>
              </w:tc>
              <w:tc>
                <w:tcPr>
                  <w:tcW w:w="4320" w:type="dxa"/>
                </w:tcPr>
                <w:p>
                  <w:pPr>
                    <w:tabs>
                      <w:tab w:val="left" w:pos="0"/>
                    </w:tabs>
                    <w:spacing w:line="360" w:lineRule="exact"/>
                    <w:rPr>
                      <w:rFonts w:ascii="宋体" w:hAnsi="宋体"/>
                      <w:color w:val="000000"/>
                      <w:szCs w:val="21"/>
                    </w:rPr>
                  </w:pPr>
                  <w:r>
                    <w:rPr>
                      <w:rFonts w:hint="eastAsia" w:ascii="宋体" w:hAnsi="宋体"/>
                      <w:color w:val="000000"/>
                      <w:szCs w:val="21"/>
                    </w:rPr>
                    <w:t>每周1次暴露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800" w:type="dxa"/>
                </w:tcPr>
                <w:p>
                  <w:pPr>
                    <w:tabs>
                      <w:tab w:val="left" w:pos="0"/>
                    </w:tabs>
                    <w:spacing w:line="360" w:lineRule="exact"/>
                    <w:jc w:val="center"/>
                    <w:rPr>
                      <w:rFonts w:ascii="宋体" w:hAnsi="宋体"/>
                      <w:color w:val="000000"/>
                      <w:szCs w:val="21"/>
                    </w:rPr>
                  </w:pPr>
                  <w:r>
                    <w:rPr>
                      <w:rFonts w:hint="eastAsia" w:ascii="宋体" w:hAnsi="宋体"/>
                      <w:color w:val="000000"/>
                      <w:szCs w:val="21"/>
                    </w:rPr>
                    <w:t>三级</w:t>
                  </w:r>
                </w:p>
              </w:tc>
              <w:tc>
                <w:tcPr>
                  <w:tcW w:w="2880" w:type="dxa"/>
                </w:tcPr>
                <w:p>
                  <w:pPr>
                    <w:tabs>
                      <w:tab w:val="left" w:pos="0"/>
                    </w:tabs>
                    <w:spacing w:line="360" w:lineRule="exact"/>
                    <w:jc w:val="center"/>
                    <w:rPr>
                      <w:rFonts w:ascii="宋体" w:hAnsi="宋体"/>
                      <w:color w:val="000000"/>
                      <w:szCs w:val="21"/>
                    </w:rPr>
                  </w:pPr>
                  <w:r>
                    <w:rPr>
                      <w:rFonts w:hint="eastAsia" w:ascii="宋体" w:hAnsi="宋体"/>
                      <w:color w:val="000000"/>
                      <w:szCs w:val="21"/>
                    </w:rPr>
                    <w:t>2</w:t>
                  </w:r>
                </w:p>
              </w:tc>
              <w:tc>
                <w:tcPr>
                  <w:tcW w:w="4320" w:type="dxa"/>
                </w:tcPr>
                <w:p>
                  <w:pPr>
                    <w:tabs>
                      <w:tab w:val="left" w:pos="0"/>
                    </w:tabs>
                    <w:spacing w:line="360" w:lineRule="exact"/>
                    <w:rPr>
                      <w:rFonts w:ascii="宋体" w:hAnsi="宋体"/>
                      <w:color w:val="000000"/>
                      <w:szCs w:val="21"/>
                    </w:rPr>
                  </w:pPr>
                  <w:r>
                    <w:rPr>
                      <w:rFonts w:hint="eastAsia" w:ascii="宋体" w:hAnsi="宋体"/>
                      <w:color w:val="000000"/>
                      <w:szCs w:val="21"/>
                    </w:rPr>
                    <w:t>每月1次暴露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800" w:type="dxa"/>
                </w:tcPr>
                <w:p>
                  <w:pPr>
                    <w:tabs>
                      <w:tab w:val="left" w:pos="0"/>
                    </w:tabs>
                    <w:spacing w:line="360" w:lineRule="exact"/>
                    <w:jc w:val="center"/>
                    <w:rPr>
                      <w:rFonts w:ascii="宋体" w:hAnsi="宋体"/>
                      <w:color w:val="000000"/>
                      <w:szCs w:val="21"/>
                    </w:rPr>
                  </w:pPr>
                  <w:r>
                    <w:rPr>
                      <w:rFonts w:hint="eastAsia" w:ascii="宋体" w:hAnsi="宋体"/>
                      <w:color w:val="000000"/>
                      <w:szCs w:val="21"/>
                    </w:rPr>
                    <w:t>二级</w:t>
                  </w:r>
                </w:p>
              </w:tc>
              <w:tc>
                <w:tcPr>
                  <w:tcW w:w="2880" w:type="dxa"/>
                </w:tcPr>
                <w:p>
                  <w:pPr>
                    <w:tabs>
                      <w:tab w:val="left" w:pos="0"/>
                    </w:tabs>
                    <w:spacing w:line="360" w:lineRule="exact"/>
                    <w:jc w:val="center"/>
                    <w:rPr>
                      <w:rFonts w:ascii="宋体" w:hAnsi="宋体"/>
                      <w:color w:val="000000"/>
                      <w:szCs w:val="21"/>
                    </w:rPr>
                  </w:pPr>
                  <w:r>
                    <w:rPr>
                      <w:rFonts w:hint="eastAsia" w:ascii="宋体" w:hAnsi="宋体"/>
                      <w:color w:val="000000"/>
                      <w:szCs w:val="21"/>
                    </w:rPr>
                    <w:t>1</w:t>
                  </w:r>
                </w:p>
              </w:tc>
              <w:tc>
                <w:tcPr>
                  <w:tcW w:w="4320" w:type="dxa"/>
                </w:tcPr>
                <w:p>
                  <w:pPr>
                    <w:tabs>
                      <w:tab w:val="left" w:pos="0"/>
                    </w:tabs>
                    <w:spacing w:line="360" w:lineRule="exact"/>
                    <w:rPr>
                      <w:rFonts w:ascii="宋体" w:hAnsi="宋体"/>
                      <w:color w:val="000000"/>
                      <w:szCs w:val="21"/>
                    </w:rPr>
                  </w:pPr>
                  <w:r>
                    <w:rPr>
                      <w:rFonts w:hint="eastAsia" w:ascii="宋体" w:hAnsi="宋体"/>
                      <w:color w:val="000000"/>
                      <w:szCs w:val="21"/>
                    </w:rPr>
                    <w:t>每年几次暴露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800" w:type="dxa"/>
                </w:tcPr>
                <w:p>
                  <w:pPr>
                    <w:tabs>
                      <w:tab w:val="left" w:pos="0"/>
                    </w:tabs>
                    <w:spacing w:line="360" w:lineRule="exact"/>
                    <w:jc w:val="center"/>
                    <w:rPr>
                      <w:rFonts w:ascii="宋体" w:hAnsi="宋体"/>
                      <w:color w:val="000000"/>
                      <w:szCs w:val="21"/>
                    </w:rPr>
                  </w:pPr>
                  <w:r>
                    <w:rPr>
                      <w:rFonts w:hint="eastAsia" w:ascii="宋体" w:hAnsi="宋体"/>
                      <w:color w:val="000000"/>
                      <w:szCs w:val="21"/>
                    </w:rPr>
                    <w:t>一级</w:t>
                  </w:r>
                </w:p>
              </w:tc>
              <w:tc>
                <w:tcPr>
                  <w:tcW w:w="2880" w:type="dxa"/>
                </w:tcPr>
                <w:p>
                  <w:pPr>
                    <w:tabs>
                      <w:tab w:val="left" w:pos="0"/>
                    </w:tabs>
                    <w:spacing w:line="360" w:lineRule="exact"/>
                    <w:jc w:val="center"/>
                    <w:rPr>
                      <w:rFonts w:ascii="宋体" w:hAnsi="宋体"/>
                      <w:color w:val="000000"/>
                      <w:szCs w:val="21"/>
                    </w:rPr>
                  </w:pPr>
                  <w:r>
                    <w:rPr>
                      <w:rFonts w:hint="eastAsia" w:ascii="宋体" w:hAnsi="宋体"/>
                      <w:color w:val="000000"/>
                      <w:szCs w:val="21"/>
                    </w:rPr>
                    <w:t>0.5</w:t>
                  </w:r>
                </w:p>
              </w:tc>
              <w:tc>
                <w:tcPr>
                  <w:tcW w:w="4320" w:type="dxa"/>
                </w:tcPr>
                <w:p>
                  <w:pPr>
                    <w:tabs>
                      <w:tab w:val="left" w:pos="0"/>
                    </w:tabs>
                    <w:spacing w:line="360" w:lineRule="exact"/>
                    <w:rPr>
                      <w:rFonts w:ascii="宋体" w:hAnsi="宋体"/>
                      <w:color w:val="000000"/>
                      <w:szCs w:val="21"/>
                    </w:rPr>
                  </w:pPr>
                  <w:r>
                    <w:rPr>
                      <w:rFonts w:hint="eastAsia" w:ascii="宋体" w:hAnsi="宋体"/>
                      <w:color w:val="000000"/>
                      <w:szCs w:val="21"/>
                    </w:rPr>
                    <w:t>非常罕见地暴露</w:t>
                  </w:r>
                </w:p>
              </w:tc>
            </w:tr>
          </w:tbl>
          <w:p>
            <w:pPr>
              <w:tabs>
                <w:tab w:val="left" w:pos="0"/>
              </w:tabs>
              <w:spacing w:line="360" w:lineRule="exact"/>
              <w:rPr>
                <w:rFonts w:ascii="宋体" w:hAnsi="宋体"/>
                <w:color w:val="000000"/>
                <w:szCs w:val="21"/>
              </w:rPr>
            </w:pPr>
            <w:r>
              <w:rPr>
                <w:rFonts w:hint="eastAsia" w:ascii="宋体" w:hAnsi="宋体"/>
                <w:color w:val="000000"/>
                <w:szCs w:val="21"/>
              </w:rPr>
              <w:t>4.3.1.3. C-发生事件产生的后果，指发生安全事件的严重情况，由于范围广阔，规定分数值为1-100，需救护的轻微伤害定为分数为1，多人以上死亡事故为分数值为100，同样将介于两者之间情况规定为若干个数值，如下表：</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88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800" w:type="dxa"/>
                </w:tcPr>
                <w:p>
                  <w:pPr>
                    <w:tabs>
                      <w:tab w:val="left" w:pos="0"/>
                    </w:tabs>
                    <w:spacing w:line="360" w:lineRule="exact"/>
                    <w:jc w:val="center"/>
                    <w:rPr>
                      <w:rFonts w:ascii="宋体" w:hAnsi="宋体"/>
                      <w:color w:val="000000"/>
                      <w:szCs w:val="21"/>
                    </w:rPr>
                  </w:pPr>
                  <w:r>
                    <w:rPr>
                      <w:rFonts w:hint="eastAsia" w:ascii="宋体" w:hAnsi="宋体"/>
                      <w:color w:val="000000"/>
                      <w:szCs w:val="21"/>
                    </w:rPr>
                    <w:t>等级</w:t>
                  </w:r>
                </w:p>
              </w:tc>
              <w:tc>
                <w:tcPr>
                  <w:tcW w:w="2880" w:type="dxa"/>
                </w:tcPr>
                <w:p>
                  <w:pPr>
                    <w:tabs>
                      <w:tab w:val="left" w:pos="0"/>
                    </w:tabs>
                    <w:spacing w:line="360" w:lineRule="exact"/>
                    <w:ind w:firstLine="658"/>
                    <w:jc w:val="center"/>
                    <w:rPr>
                      <w:rFonts w:ascii="宋体" w:hAnsi="宋体"/>
                      <w:color w:val="000000"/>
                      <w:szCs w:val="21"/>
                    </w:rPr>
                  </w:pPr>
                  <w:r>
                    <w:rPr>
                      <w:rFonts w:hint="eastAsia" w:ascii="宋体" w:hAnsi="宋体"/>
                      <w:color w:val="000000"/>
                      <w:szCs w:val="21"/>
                    </w:rPr>
                    <w:t>分数值</w:t>
                  </w:r>
                </w:p>
              </w:tc>
              <w:tc>
                <w:tcPr>
                  <w:tcW w:w="4320" w:type="dxa"/>
                </w:tcPr>
                <w:p>
                  <w:pPr>
                    <w:tabs>
                      <w:tab w:val="left" w:pos="0"/>
                    </w:tabs>
                    <w:spacing w:line="360" w:lineRule="exact"/>
                    <w:rPr>
                      <w:rFonts w:ascii="宋体" w:hAnsi="宋体"/>
                      <w:color w:val="000000"/>
                      <w:szCs w:val="21"/>
                    </w:rPr>
                  </w:pPr>
                  <w:r>
                    <w:rPr>
                      <w:rFonts w:hint="eastAsia" w:ascii="宋体" w:hAnsi="宋体"/>
                      <w:color w:val="000000"/>
                      <w:szCs w:val="21"/>
                    </w:rPr>
                    <w:t xml:space="preserve">      发生事故产生的后果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800" w:type="dxa"/>
                </w:tcPr>
                <w:p>
                  <w:pPr>
                    <w:tabs>
                      <w:tab w:val="left" w:pos="0"/>
                    </w:tabs>
                    <w:spacing w:line="360" w:lineRule="exact"/>
                    <w:jc w:val="center"/>
                    <w:rPr>
                      <w:rFonts w:ascii="宋体" w:hAnsi="宋体"/>
                      <w:color w:val="000000"/>
                      <w:szCs w:val="21"/>
                    </w:rPr>
                  </w:pPr>
                  <w:r>
                    <w:rPr>
                      <w:rFonts w:hint="eastAsia" w:ascii="宋体" w:hAnsi="宋体"/>
                      <w:color w:val="000000"/>
                      <w:szCs w:val="21"/>
                    </w:rPr>
                    <w:t>六级</w:t>
                  </w:r>
                </w:p>
              </w:tc>
              <w:tc>
                <w:tcPr>
                  <w:tcW w:w="2880" w:type="dxa"/>
                </w:tcPr>
                <w:p>
                  <w:pPr>
                    <w:tabs>
                      <w:tab w:val="left" w:pos="0"/>
                    </w:tabs>
                    <w:spacing w:line="360" w:lineRule="exact"/>
                    <w:jc w:val="center"/>
                    <w:rPr>
                      <w:rFonts w:ascii="宋体" w:hAnsi="宋体"/>
                      <w:color w:val="000000"/>
                      <w:szCs w:val="21"/>
                    </w:rPr>
                  </w:pPr>
                  <w:r>
                    <w:rPr>
                      <w:rFonts w:hint="eastAsia" w:ascii="宋体" w:hAnsi="宋体"/>
                      <w:color w:val="000000"/>
                      <w:szCs w:val="21"/>
                    </w:rPr>
                    <w:t>100</w:t>
                  </w:r>
                </w:p>
              </w:tc>
              <w:tc>
                <w:tcPr>
                  <w:tcW w:w="4320" w:type="dxa"/>
                </w:tcPr>
                <w:p>
                  <w:pPr>
                    <w:tabs>
                      <w:tab w:val="left" w:pos="0"/>
                    </w:tabs>
                    <w:spacing w:line="360" w:lineRule="exact"/>
                    <w:rPr>
                      <w:rFonts w:ascii="宋体" w:hAnsi="宋体"/>
                      <w:color w:val="000000"/>
                      <w:szCs w:val="21"/>
                    </w:rPr>
                  </w:pPr>
                  <w:r>
                    <w:rPr>
                      <w:rFonts w:hint="eastAsia" w:ascii="宋体" w:hAnsi="宋体"/>
                      <w:color w:val="000000"/>
                      <w:szCs w:val="21"/>
                    </w:rPr>
                    <w:t>大灾难，许多人死亡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00" w:type="dxa"/>
                </w:tcPr>
                <w:p>
                  <w:pPr>
                    <w:tabs>
                      <w:tab w:val="left" w:pos="0"/>
                    </w:tabs>
                    <w:spacing w:line="360" w:lineRule="exact"/>
                    <w:jc w:val="center"/>
                    <w:rPr>
                      <w:rFonts w:ascii="宋体" w:hAnsi="宋体"/>
                      <w:color w:val="000000"/>
                      <w:szCs w:val="21"/>
                    </w:rPr>
                  </w:pPr>
                  <w:r>
                    <w:rPr>
                      <w:rFonts w:hint="eastAsia" w:ascii="宋体" w:hAnsi="宋体"/>
                      <w:color w:val="000000"/>
                      <w:szCs w:val="21"/>
                    </w:rPr>
                    <w:t>五级</w:t>
                  </w:r>
                </w:p>
              </w:tc>
              <w:tc>
                <w:tcPr>
                  <w:tcW w:w="2880" w:type="dxa"/>
                </w:tcPr>
                <w:p>
                  <w:pPr>
                    <w:tabs>
                      <w:tab w:val="left" w:pos="0"/>
                    </w:tabs>
                    <w:spacing w:line="360" w:lineRule="exact"/>
                    <w:jc w:val="center"/>
                    <w:rPr>
                      <w:rFonts w:ascii="宋体" w:hAnsi="宋体"/>
                      <w:color w:val="000000"/>
                      <w:szCs w:val="21"/>
                    </w:rPr>
                  </w:pPr>
                  <w:r>
                    <w:rPr>
                      <w:rFonts w:hint="eastAsia" w:ascii="宋体" w:hAnsi="宋体"/>
                      <w:color w:val="000000"/>
                      <w:szCs w:val="21"/>
                    </w:rPr>
                    <w:t>40</w:t>
                  </w:r>
                </w:p>
              </w:tc>
              <w:tc>
                <w:tcPr>
                  <w:tcW w:w="4320" w:type="dxa"/>
                </w:tcPr>
                <w:p>
                  <w:pPr>
                    <w:tabs>
                      <w:tab w:val="left" w:pos="0"/>
                    </w:tabs>
                    <w:spacing w:line="360" w:lineRule="exact"/>
                    <w:rPr>
                      <w:rFonts w:ascii="宋体" w:hAnsi="宋体"/>
                      <w:color w:val="000000"/>
                      <w:szCs w:val="21"/>
                    </w:rPr>
                  </w:pPr>
                  <w:r>
                    <w:rPr>
                      <w:rFonts w:hint="eastAsia" w:ascii="宋体" w:hAnsi="宋体"/>
                      <w:color w:val="000000"/>
                      <w:szCs w:val="21"/>
                    </w:rPr>
                    <w:t>灾难，数人死亡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1800" w:type="dxa"/>
                </w:tcPr>
                <w:p>
                  <w:pPr>
                    <w:tabs>
                      <w:tab w:val="left" w:pos="0"/>
                    </w:tabs>
                    <w:spacing w:line="360" w:lineRule="exact"/>
                    <w:jc w:val="center"/>
                    <w:rPr>
                      <w:rFonts w:ascii="宋体" w:hAnsi="宋体"/>
                      <w:color w:val="000000"/>
                      <w:szCs w:val="21"/>
                    </w:rPr>
                  </w:pPr>
                  <w:r>
                    <w:rPr>
                      <w:rFonts w:hint="eastAsia" w:ascii="宋体" w:hAnsi="宋体"/>
                      <w:color w:val="000000"/>
                      <w:szCs w:val="21"/>
                    </w:rPr>
                    <w:t>四级</w:t>
                  </w:r>
                </w:p>
              </w:tc>
              <w:tc>
                <w:tcPr>
                  <w:tcW w:w="2880" w:type="dxa"/>
                </w:tcPr>
                <w:p>
                  <w:pPr>
                    <w:tabs>
                      <w:tab w:val="left" w:pos="0"/>
                    </w:tabs>
                    <w:spacing w:line="360" w:lineRule="exact"/>
                    <w:jc w:val="center"/>
                    <w:rPr>
                      <w:rFonts w:ascii="宋体" w:hAnsi="宋体"/>
                      <w:color w:val="000000"/>
                      <w:szCs w:val="21"/>
                    </w:rPr>
                  </w:pPr>
                  <w:r>
                    <w:rPr>
                      <w:rFonts w:hint="eastAsia" w:ascii="宋体" w:hAnsi="宋体"/>
                      <w:color w:val="000000"/>
                      <w:szCs w:val="21"/>
                    </w:rPr>
                    <w:t>15</w:t>
                  </w:r>
                </w:p>
              </w:tc>
              <w:tc>
                <w:tcPr>
                  <w:tcW w:w="4320" w:type="dxa"/>
                </w:tcPr>
                <w:p>
                  <w:pPr>
                    <w:tabs>
                      <w:tab w:val="left" w:pos="0"/>
                    </w:tabs>
                    <w:spacing w:line="360" w:lineRule="exact"/>
                    <w:rPr>
                      <w:rFonts w:ascii="宋体" w:hAnsi="宋体"/>
                      <w:color w:val="000000"/>
                      <w:szCs w:val="21"/>
                    </w:rPr>
                  </w:pPr>
                  <w:r>
                    <w:rPr>
                      <w:rFonts w:hint="eastAsia" w:ascii="宋体" w:hAnsi="宋体"/>
                      <w:color w:val="000000"/>
                      <w:szCs w:val="21"/>
                    </w:rPr>
                    <w:t>非常严重，一人死亡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800" w:type="dxa"/>
                </w:tcPr>
                <w:p>
                  <w:pPr>
                    <w:tabs>
                      <w:tab w:val="left" w:pos="0"/>
                    </w:tabs>
                    <w:spacing w:line="360" w:lineRule="exact"/>
                    <w:jc w:val="center"/>
                    <w:rPr>
                      <w:rFonts w:ascii="宋体" w:hAnsi="宋体"/>
                      <w:color w:val="000000"/>
                      <w:szCs w:val="21"/>
                    </w:rPr>
                  </w:pPr>
                  <w:r>
                    <w:rPr>
                      <w:rFonts w:hint="eastAsia" w:ascii="宋体" w:hAnsi="宋体"/>
                      <w:color w:val="000000"/>
                      <w:szCs w:val="21"/>
                    </w:rPr>
                    <w:t>三级</w:t>
                  </w:r>
                </w:p>
              </w:tc>
              <w:tc>
                <w:tcPr>
                  <w:tcW w:w="2880" w:type="dxa"/>
                </w:tcPr>
                <w:p>
                  <w:pPr>
                    <w:tabs>
                      <w:tab w:val="left" w:pos="0"/>
                    </w:tabs>
                    <w:spacing w:line="360" w:lineRule="exact"/>
                    <w:jc w:val="center"/>
                    <w:rPr>
                      <w:rFonts w:ascii="宋体" w:hAnsi="宋体"/>
                      <w:color w:val="000000"/>
                      <w:szCs w:val="21"/>
                    </w:rPr>
                  </w:pPr>
                  <w:r>
                    <w:rPr>
                      <w:rFonts w:hint="eastAsia" w:ascii="宋体" w:hAnsi="宋体"/>
                      <w:color w:val="000000"/>
                      <w:szCs w:val="21"/>
                    </w:rPr>
                    <w:t>7</w:t>
                  </w:r>
                </w:p>
              </w:tc>
              <w:tc>
                <w:tcPr>
                  <w:tcW w:w="4320" w:type="dxa"/>
                </w:tcPr>
                <w:p>
                  <w:pPr>
                    <w:tabs>
                      <w:tab w:val="left" w:pos="0"/>
                    </w:tabs>
                    <w:spacing w:line="360" w:lineRule="exact"/>
                    <w:rPr>
                      <w:rFonts w:ascii="宋体" w:hAnsi="宋体"/>
                      <w:color w:val="000000"/>
                      <w:szCs w:val="21"/>
                    </w:rPr>
                  </w:pPr>
                  <w:r>
                    <w:rPr>
                      <w:rFonts w:hint="eastAsia" w:ascii="宋体" w:hAnsi="宋体"/>
                      <w:color w:val="000000"/>
                      <w:szCs w:val="21"/>
                    </w:rPr>
                    <w:t>严重，重伤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800" w:type="dxa"/>
                </w:tcPr>
                <w:p>
                  <w:pPr>
                    <w:tabs>
                      <w:tab w:val="left" w:pos="0"/>
                    </w:tabs>
                    <w:spacing w:line="360" w:lineRule="exact"/>
                    <w:jc w:val="center"/>
                    <w:rPr>
                      <w:rFonts w:ascii="宋体" w:hAnsi="宋体"/>
                      <w:color w:val="000000"/>
                      <w:szCs w:val="21"/>
                    </w:rPr>
                  </w:pPr>
                  <w:r>
                    <w:rPr>
                      <w:rFonts w:hint="eastAsia" w:ascii="宋体" w:hAnsi="宋体"/>
                      <w:color w:val="000000"/>
                      <w:szCs w:val="21"/>
                    </w:rPr>
                    <w:t>二级</w:t>
                  </w:r>
                </w:p>
              </w:tc>
              <w:tc>
                <w:tcPr>
                  <w:tcW w:w="2880" w:type="dxa"/>
                </w:tcPr>
                <w:p>
                  <w:pPr>
                    <w:tabs>
                      <w:tab w:val="left" w:pos="0"/>
                    </w:tabs>
                    <w:spacing w:line="360" w:lineRule="exact"/>
                    <w:jc w:val="center"/>
                    <w:rPr>
                      <w:rFonts w:ascii="宋体" w:hAnsi="宋体"/>
                      <w:color w:val="000000"/>
                      <w:szCs w:val="21"/>
                    </w:rPr>
                  </w:pPr>
                  <w:r>
                    <w:rPr>
                      <w:rFonts w:hint="eastAsia" w:ascii="宋体" w:hAnsi="宋体"/>
                      <w:color w:val="000000"/>
                      <w:szCs w:val="21"/>
                    </w:rPr>
                    <w:t>3</w:t>
                  </w:r>
                </w:p>
              </w:tc>
              <w:tc>
                <w:tcPr>
                  <w:tcW w:w="4320" w:type="dxa"/>
                </w:tcPr>
                <w:p>
                  <w:pPr>
                    <w:tabs>
                      <w:tab w:val="left" w:pos="0"/>
                    </w:tabs>
                    <w:spacing w:line="360" w:lineRule="exact"/>
                    <w:rPr>
                      <w:rFonts w:ascii="宋体" w:hAnsi="宋体"/>
                      <w:color w:val="000000"/>
                      <w:szCs w:val="21"/>
                    </w:rPr>
                  </w:pPr>
                  <w:r>
                    <w:rPr>
                      <w:rFonts w:hint="eastAsia" w:ascii="宋体" w:hAnsi="宋体"/>
                      <w:color w:val="000000"/>
                      <w:szCs w:val="21"/>
                    </w:rPr>
                    <w:t>重大，致残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800" w:type="dxa"/>
                </w:tcPr>
                <w:p>
                  <w:pPr>
                    <w:tabs>
                      <w:tab w:val="left" w:pos="0"/>
                    </w:tabs>
                    <w:spacing w:line="360" w:lineRule="exact"/>
                    <w:jc w:val="center"/>
                    <w:rPr>
                      <w:rFonts w:ascii="宋体" w:hAnsi="宋体"/>
                      <w:color w:val="000000"/>
                      <w:szCs w:val="21"/>
                    </w:rPr>
                  </w:pPr>
                  <w:r>
                    <w:rPr>
                      <w:rFonts w:hint="eastAsia" w:ascii="宋体" w:hAnsi="宋体"/>
                      <w:color w:val="000000"/>
                      <w:szCs w:val="21"/>
                    </w:rPr>
                    <w:t>一级</w:t>
                  </w:r>
                </w:p>
              </w:tc>
              <w:tc>
                <w:tcPr>
                  <w:tcW w:w="2880" w:type="dxa"/>
                </w:tcPr>
                <w:p>
                  <w:pPr>
                    <w:tabs>
                      <w:tab w:val="left" w:pos="0"/>
                    </w:tabs>
                    <w:spacing w:line="360" w:lineRule="exact"/>
                    <w:jc w:val="center"/>
                    <w:rPr>
                      <w:rFonts w:ascii="宋体" w:hAnsi="宋体"/>
                      <w:color w:val="000000"/>
                      <w:szCs w:val="21"/>
                    </w:rPr>
                  </w:pPr>
                  <w:r>
                    <w:rPr>
                      <w:rFonts w:hint="eastAsia" w:ascii="宋体" w:hAnsi="宋体"/>
                      <w:color w:val="000000"/>
                      <w:szCs w:val="21"/>
                    </w:rPr>
                    <w:t>1</w:t>
                  </w:r>
                </w:p>
              </w:tc>
              <w:tc>
                <w:tcPr>
                  <w:tcW w:w="4320" w:type="dxa"/>
                </w:tcPr>
                <w:p>
                  <w:pPr>
                    <w:tabs>
                      <w:tab w:val="left" w:pos="0"/>
                    </w:tabs>
                    <w:spacing w:line="360" w:lineRule="exact"/>
                    <w:rPr>
                      <w:rFonts w:ascii="宋体" w:hAnsi="宋体"/>
                      <w:color w:val="000000"/>
                      <w:szCs w:val="21"/>
                    </w:rPr>
                  </w:pPr>
                  <w:r>
                    <w:rPr>
                      <w:rFonts w:hint="eastAsia" w:ascii="宋体" w:hAnsi="宋体"/>
                      <w:color w:val="000000"/>
                      <w:szCs w:val="21"/>
                    </w:rPr>
                    <w:t>引人注目，需要救护</w:t>
                  </w:r>
                </w:p>
              </w:tc>
            </w:tr>
          </w:tbl>
          <w:p>
            <w:pPr>
              <w:numPr>
                <w:ilvl w:val="3"/>
                <w:numId w:val="4"/>
              </w:numPr>
              <w:spacing w:line="360" w:lineRule="exact"/>
              <w:rPr>
                <w:rFonts w:ascii="宋体" w:hAnsi="宋体"/>
                <w:color w:val="000000"/>
                <w:szCs w:val="21"/>
              </w:rPr>
            </w:pPr>
            <w:r>
              <w:rPr>
                <w:rFonts w:hint="eastAsia" w:ascii="宋体" w:hAnsi="宋体"/>
                <w:color w:val="000000"/>
                <w:szCs w:val="21"/>
              </w:rPr>
              <w:t>D-危险性分值。根据经验总分在20分以下为低危险，320分以上为环境非常危险，其它介于两者之间定为不同危险等级，危险等级的划分是凭经验判断，难免带有局限性，应用时需根据实际情况予以修正，危险等级及控制方法如下表：</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62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080" w:type="dxa"/>
                </w:tcPr>
                <w:p>
                  <w:pPr>
                    <w:tabs>
                      <w:tab w:val="left" w:pos="0"/>
                    </w:tabs>
                    <w:spacing w:line="360" w:lineRule="exact"/>
                    <w:jc w:val="center"/>
                    <w:rPr>
                      <w:rFonts w:ascii="宋体" w:hAnsi="宋体"/>
                      <w:color w:val="000000"/>
                      <w:szCs w:val="21"/>
                    </w:rPr>
                  </w:pPr>
                  <w:r>
                    <w:rPr>
                      <w:rFonts w:hint="eastAsia" w:ascii="宋体" w:hAnsi="宋体"/>
                      <w:color w:val="000000"/>
                      <w:szCs w:val="21"/>
                    </w:rPr>
                    <w:t>等级</w:t>
                  </w:r>
                </w:p>
              </w:tc>
              <w:tc>
                <w:tcPr>
                  <w:tcW w:w="1080" w:type="dxa"/>
                </w:tcPr>
                <w:p>
                  <w:pPr>
                    <w:tabs>
                      <w:tab w:val="left" w:pos="0"/>
                    </w:tabs>
                    <w:spacing w:line="360" w:lineRule="exact"/>
                    <w:jc w:val="center"/>
                    <w:rPr>
                      <w:rFonts w:ascii="宋体" w:hAnsi="宋体"/>
                      <w:color w:val="000000"/>
                      <w:szCs w:val="21"/>
                    </w:rPr>
                  </w:pPr>
                  <w:r>
                    <w:rPr>
                      <w:rFonts w:hint="eastAsia" w:ascii="宋体" w:hAnsi="宋体"/>
                      <w:color w:val="000000"/>
                      <w:szCs w:val="21"/>
                    </w:rPr>
                    <w:t>分数值</w:t>
                  </w:r>
                </w:p>
              </w:tc>
              <w:tc>
                <w:tcPr>
                  <w:tcW w:w="1620" w:type="dxa"/>
                </w:tcPr>
                <w:p>
                  <w:pPr>
                    <w:tabs>
                      <w:tab w:val="left" w:pos="0"/>
                    </w:tabs>
                    <w:spacing w:line="360" w:lineRule="exact"/>
                    <w:jc w:val="center"/>
                    <w:rPr>
                      <w:rFonts w:ascii="宋体" w:hAnsi="宋体"/>
                      <w:color w:val="000000"/>
                      <w:szCs w:val="21"/>
                    </w:rPr>
                  </w:pPr>
                  <w:r>
                    <w:rPr>
                      <w:rFonts w:hint="eastAsia" w:ascii="宋体" w:hAnsi="宋体"/>
                      <w:color w:val="000000"/>
                      <w:szCs w:val="21"/>
                    </w:rPr>
                    <w:t>危险程度</w:t>
                  </w:r>
                </w:p>
              </w:tc>
              <w:tc>
                <w:tcPr>
                  <w:tcW w:w="5400" w:type="dxa"/>
                </w:tcPr>
                <w:p>
                  <w:pPr>
                    <w:tabs>
                      <w:tab w:val="left" w:pos="0"/>
                    </w:tabs>
                    <w:spacing w:line="360" w:lineRule="exact"/>
                    <w:ind w:left="1077" w:leftChars="513" w:firstLine="630" w:firstLineChars="300"/>
                    <w:rPr>
                      <w:rFonts w:ascii="宋体" w:hAnsi="宋体"/>
                      <w:color w:val="000000"/>
                      <w:szCs w:val="21"/>
                    </w:rPr>
                  </w:pPr>
                  <w:r>
                    <w:rPr>
                      <w:rFonts w:hint="eastAsia" w:ascii="宋体" w:hAnsi="宋体"/>
                      <w:color w:val="000000"/>
                      <w:szCs w:val="21"/>
                    </w:rPr>
                    <w:t>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080" w:type="dxa"/>
                </w:tcPr>
                <w:p>
                  <w:pPr>
                    <w:tabs>
                      <w:tab w:val="left" w:pos="0"/>
                    </w:tabs>
                    <w:spacing w:line="360" w:lineRule="exact"/>
                    <w:jc w:val="center"/>
                    <w:rPr>
                      <w:rFonts w:ascii="宋体" w:hAnsi="宋体"/>
                      <w:color w:val="000000"/>
                      <w:szCs w:val="21"/>
                    </w:rPr>
                  </w:pPr>
                  <w:r>
                    <w:rPr>
                      <w:rFonts w:hint="eastAsia" w:ascii="宋体" w:hAnsi="宋体"/>
                      <w:color w:val="000000"/>
                      <w:szCs w:val="21"/>
                    </w:rPr>
                    <w:t>五级</w:t>
                  </w:r>
                </w:p>
              </w:tc>
              <w:tc>
                <w:tcPr>
                  <w:tcW w:w="1080" w:type="dxa"/>
                </w:tcPr>
                <w:p>
                  <w:pPr>
                    <w:tabs>
                      <w:tab w:val="left" w:pos="0"/>
                    </w:tabs>
                    <w:spacing w:line="360" w:lineRule="exact"/>
                    <w:jc w:val="center"/>
                    <w:rPr>
                      <w:rFonts w:ascii="宋体" w:hAnsi="宋体"/>
                      <w:color w:val="000000"/>
                      <w:szCs w:val="21"/>
                    </w:rPr>
                  </w:pPr>
                  <w:r>
                    <w:rPr>
                      <w:rFonts w:hint="eastAsia" w:ascii="宋体" w:hAnsi="宋体"/>
                      <w:color w:val="000000"/>
                      <w:szCs w:val="21"/>
                    </w:rPr>
                    <w:t>&gt;320</w:t>
                  </w:r>
                </w:p>
              </w:tc>
              <w:tc>
                <w:tcPr>
                  <w:tcW w:w="1620" w:type="dxa"/>
                </w:tcPr>
                <w:p>
                  <w:pPr>
                    <w:tabs>
                      <w:tab w:val="left" w:pos="0"/>
                    </w:tabs>
                    <w:spacing w:line="360" w:lineRule="exact"/>
                    <w:rPr>
                      <w:rFonts w:ascii="宋体" w:hAnsi="宋体"/>
                      <w:color w:val="000000"/>
                      <w:szCs w:val="21"/>
                    </w:rPr>
                  </w:pPr>
                  <w:r>
                    <w:rPr>
                      <w:rFonts w:hint="eastAsia" w:ascii="宋体" w:hAnsi="宋体"/>
                      <w:color w:val="000000"/>
                      <w:szCs w:val="21"/>
                    </w:rPr>
                    <w:t>极其危险，不能继续作业</w:t>
                  </w:r>
                </w:p>
              </w:tc>
              <w:tc>
                <w:tcPr>
                  <w:tcW w:w="5400" w:type="dxa"/>
                </w:tcPr>
                <w:p>
                  <w:pPr>
                    <w:tabs>
                      <w:tab w:val="left" w:pos="0"/>
                    </w:tabs>
                    <w:spacing w:line="360" w:lineRule="exact"/>
                    <w:ind w:left="117"/>
                    <w:rPr>
                      <w:rFonts w:ascii="宋体" w:hAnsi="宋体"/>
                      <w:color w:val="000000"/>
                      <w:szCs w:val="21"/>
                    </w:rPr>
                  </w:pPr>
                  <w:r>
                    <w:rPr>
                      <w:rFonts w:hint="eastAsia" w:ascii="宋体" w:hAnsi="宋体"/>
                      <w:color w:val="000000"/>
                      <w:szCs w:val="21"/>
                    </w:rPr>
                    <w:t>进行评审，只有当风险降低时，才能开始或继续工作；为降低风险不限成本，若即使以无限资源投入也不能降低风险，必须禁止工作。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080" w:type="dxa"/>
                </w:tcPr>
                <w:p>
                  <w:pPr>
                    <w:tabs>
                      <w:tab w:val="left" w:pos="0"/>
                    </w:tabs>
                    <w:spacing w:line="360" w:lineRule="exact"/>
                    <w:jc w:val="center"/>
                    <w:rPr>
                      <w:rFonts w:ascii="宋体" w:hAnsi="宋体"/>
                      <w:color w:val="000000"/>
                      <w:szCs w:val="21"/>
                    </w:rPr>
                  </w:pPr>
                  <w:r>
                    <w:rPr>
                      <w:rFonts w:hint="eastAsia" w:ascii="宋体" w:hAnsi="宋体"/>
                      <w:color w:val="000000"/>
                      <w:szCs w:val="21"/>
                    </w:rPr>
                    <w:t>四级</w:t>
                  </w:r>
                </w:p>
              </w:tc>
              <w:tc>
                <w:tcPr>
                  <w:tcW w:w="1080" w:type="dxa"/>
                </w:tcPr>
                <w:p>
                  <w:pPr>
                    <w:tabs>
                      <w:tab w:val="left" w:pos="0"/>
                    </w:tabs>
                    <w:spacing w:line="360" w:lineRule="exact"/>
                    <w:jc w:val="center"/>
                    <w:rPr>
                      <w:rFonts w:ascii="宋体" w:hAnsi="宋体"/>
                      <w:color w:val="000000"/>
                      <w:szCs w:val="21"/>
                    </w:rPr>
                  </w:pPr>
                  <w:r>
                    <w:rPr>
                      <w:rFonts w:hint="eastAsia" w:ascii="宋体" w:hAnsi="宋体"/>
                      <w:color w:val="000000"/>
                      <w:szCs w:val="21"/>
                    </w:rPr>
                    <w:t>160-320</w:t>
                  </w:r>
                </w:p>
              </w:tc>
              <w:tc>
                <w:tcPr>
                  <w:tcW w:w="1620" w:type="dxa"/>
                </w:tcPr>
                <w:p>
                  <w:pPr>
                    <w:tabs>
                      <w:tab w:val="left" w:pos="0"/>
                    </w:tabs>
                    <w:spacing w:line="360" w:lineRule="exact"/>
                    <w:rPr>
                      <w:rFonts w:ascii="宋体" w:hAnsi="宋体"/>
                      <w:color w:val="000000"/>
                      <w:szCs w:val="21"/>
                    </w:rPr>
                  </w:pPr>
                  <w:r>
                    <w:rPr>
                      <w:rFonts w:hint="eastAsia" w:ascii="宋体" w:hAnsi="宋体"/>
                      <w:color w:val="000000"/>
                      <w:szCs w:val="21"/>
                    </w:rPr>
                    <w:t>高度危险，需立即整改</w:t>
                  </w:r>
                </w:p>
              </w:tc>
              <w:tc>
                <w:tcPr>
                  <w:tcW w:w="5400" w:type="dxa"/>
                </w:tcPr>
                <w:p>
                  <w:pPr>
                    <w:tabs>
                      <w:tab w:val="left" w:pos="0"/>
                    </w:tabs>
                    <w:spacing w:line="360" w:lineRule="exact"/>
                    <w:rPr>
                      <w:rFonts w:ascii="宋体" w:hAnsi="宋体"/>
                      <w:color w:val="000000"/>
                      <w:szCs w:val="21"/>
                    </w:rPr>
                  </w:pPr>
                  <w:r>
                    <w:rPr>
                      <w:rFonts w:hint="eastAsia" w:ascii="宋体" w:hAnsi="宋体"/>
                      <w:color w:val="000000"/>
                      <w:szCs w:val="21"/>
                    </w:rPr>
                    <w:t>制定目标及管理方案；制定控制程序，培训与教育，制定作业文件，加强现场检查监督。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080" w:type="dxa"/>
                </w:tcPr>
                <w:p>
                  <w:pPr>
                    <w:tabs>
                      <w:tab w:val="left" w:pos="0"/>
                    </w:tabs>
                    <w:spacing w:line="360" w:lineRule="exact"/>
                    <w:jc w:val="center"/>
                    <w:rPr>
                      <w:rFonts w:ascii="宋体" w:hAnsi="宋体"/>
                      <w:color w:val="000000"/>
                      <w:szCs w:val="21"/>
                    </w:rPr>
                  </w:pPr>
                  <w:r>
                    <w:rPr>
                      <w:rFonts w:hint="eastAsia" w:ascii="宋体" w:hAnsi="宋体"/>
                      <w:color w:val="000000"/>
                      <w:szCs w:val="21"/>
                    </w:rPr>
                    <w:t>三级</w:t>
                  </w:r>
                </w:p>
              </w:tc>
              <w:tc>
                <w:tcPr>
                  <w:tcW w:w="1080" w:type="dxa"/>
                </w:tcPr>
                <w:p>
                  <w:pPr>
                    <w:tabs>
                      <w:tab w:val="left" w:pos="0"/>
                    </w:tabs>
                    <w:spacing w:line="360" w:lineRule="exact"/>
                    <w:jc w:val="center"/>
                    <w:rPr>
                      <w:rFonts w:ascii="宋体" w:hAnsi="宋体"/>
                      <w:color w:val="000000"/>
                      <w:szCs w:val="21"/>
                    </w:rPr>
                  </w:pPr>
                  <w:r>
                    <w:rPr>
                      <w:rFonts w:hint="eastAsia" w:ascii="宋体" w:hAnsi="宋体"/>
                      <w:color w:val="000000"/>
                      <w:szCs w:val="21"/>
                    </w:rPr>
                    <w:t>70-160</w:t>
                  </w:r>
                </w:p>
              </w:tc>
              <w:tc>
                <w:tcPr>
                  <w:tcW w:w="1620" w:type="dxa"/>
                </w:tcPr>
                <w:p>
                  <w:pPr>
                    <w:tabs>
                      <w:tab w:val="left" w:pos="0"/>
                    </w:tabs>
                    <w:spacing w:line="360" w:lineRule="exact"/>
                    <w:rPr>
                      <w:rFonts w:ascii="宋体" w:hAnsi="宋体"/>
                      <w:color w:val="000000"/>
                      <w:szCs w:val="21"/>
                    </w:rPr>
                  </w:pPr>
                  <w:r>
                    <w:rPr>
                      <w:rFonts w:hint="eastAsia" w:ascii="宋体" w:hAnsi="宋体"/>
                      <w:color w:val="000000"/>
                      <w:szCs w:val="21"/>
                    </w:rPr>
                    <w:t>需要整改</w:t>
                  </w:r>
                </w:p>
              </w:tc>
              <w:tc>
                <w:tcPr>
                  <w:tcW w:w="5400" w:type="dxa"/>
                </w:tcPr>
                <w:p>
                  <w:pPr>
                    <w:tabs>
                      <w:tab w:val="left" w:pos="0"/>
                    </w:tabs>
                    <w:spacing w:line="360" w:lineRule="exact"/>
                    <w:rPr>
                      <w:rFonts w:ascii="宋体" w:hAnsi="宋体"/>
                      <w:color w:val="000000"/>
                      <w:szCs w:val="21"/>
                    </w:rPr>
                  </w:pPr>
                  <w:r>
                    <w:rPr>
                      <w:rFonts w:hint="eastAsia" w:ascii="宋体" w:hAnsi="宋体"/>
                      <w:color w:val="000000"/>
                      <w:szCs w:val="21"/>
                    </w:rPr>
                    <w:t>制定目标及管理方案；制定控制程序，培训与教育，制定作业文件，加强现场检查监督。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080" w:type="dxa"/>
                </w:tcPr>
                <w:p>
                  <w:pPr>
                    <w:tabs>
                      <w:tab w:val="left" w:pos="0"/>
                    </w:tabs>
                    <w:spacing w:line="360" w:lineRule="exact"/>
                    <w:jc w:val="center"/>
                    <w:rPr>
                      <w:rFonts w:ascii="宋体" w:hAnsi="宋体"/>
                      <w:color w:val="000000"/>
                      <w:szCs w:val="21"/>
                    </w:rPr>
                  </w:pPr>
                  <w:r>
                    <w:rPr>
                      <w:rFonts w:hint="eastAsia" w:ascii="宋体" w:hAnsi="宋体"/>
                      <w:color w:val="000000"/>
                      <w:szCs w:val="21"/>
                    </w:rPr>
                    <w:t>二级</w:t>
                  </w:r>
                </w:p>
              </w:tc>
              <w:tc>
                <w:tcPr>
                  <w:tcW w:w="1080" w:type="dxa"/>
                </w:tcPr>
                <w:p>
                  <w:pPr>
                    <w:tabs>
                      <w:tab w:val="left" w:pos="0"/>
                    </w:tabs>
                    <w:spacing w:line="360" w:lineRule="exact"/>
                    <w:jc w:val="center"/>
                    <w:rPr>
                      <w:rFonts w:ascii="宋体" w:hAnsi="宋体"/>
                      <w:color w:val="000000"/>
                      <w:szCs w:val="21"/>
                    </w:rPr>
                  </w:pPr>
                  <w:r>
                    <w:rPr>
                      <w:rFonts w:hint="eastAsia" w:ascii="宋体" w:hAnsi="宋体"/>
                      <w:color w:val="000000"/>
                      <w:szCs w:val="21"/>
                    </w:rPr>
                    <w:t>20-70</w:t>
                  </w:r>
                </w:p>
              </w:tc>
              <w:tc>
                <w:tcPr>
                  <w:tcW w:w="1620" w:type="dxa"/>
                </w:tcPr>
                <w:p>
                  <w:pPr>
                    <w:tabs>
                      <w:tab w:val="left" w:pos="0"/>
                    </w:tabs>
                    <w:spacing w:line="360" w:lineRule="exact"/>
                    <w:rPr>
                      <w:rFonts w:ascii="宋体" w:hAnsi="宋体"/>
                      <w:color w:val="000000"/>
                      <w:szCs w:val="21"/>
                    </w:rPr>
                  </w:pPr>
                  <w:r>
                    <w:rPr>
                      <w:rFonts w:hint="eastAsia" w:ascii="宋体" w:hAnsi="宋体"/>
                      <w:color w:val="000000"/>
                      <w:szCs w:val="21"/>
                    </w:rPr>
                    <w:t>一般危险，需要注意</w:t>
                  </w:r>
                </w:p>
              </w:tc>
              <w:tc>
                <w:tcPr>
                  <w:tcW w:w="5400" w:type="dxa"/>
                </w:tcPr>
                <w:p>
                  <w:pPr>
                    <w:tabs>
                      <w:tab w:val="left" w:pos="0"/>
                    </w:tabs>
                    <w:spacing w:line="360" w:lineRule="exact"/>
                    <w:rPr>
                      <w:rFonts w:ascii="宋体" w:hAnsi="宋体"/>
                      <w:color w:val="000000"/>
                      <w:szCs w:val="21"/>
                    </w:rPr>
                  </w:pPr>
                  <w:r>
                    <w:rPr>
                      <w:rFonts w:hint="eastAsia" w:ascii="宋体" w:hAnsi="宋体"/>
                      <w:color w:val="000000"/>
                      <w:szCs w:val="21"/>
                    </w:rPr>
                    <w:t>运行控制、培训教育；监视和测量。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080" w:type="dxa"/>
                </w:tcPr>
                <w:p>
                  <w:pPr>
                    <w:tabs>
                      <w:tab w:val="left" w:pos="0"/>
                    </w:tabs>
                    <w:spacing w:line="360" w:lineRule="exact"/>
                    <w:jc w:val="center"/>
                    <w:rPr>
                      <w:rFonts w:ascii="宋体" w:hAnsi="宋体"/>
                      <w:color w:val="000000"/>
                      <w:szCs w:val="21"/>
                    </w:rPr>
                  </w:pPr>
                  <w:r>
                    <w:rPr>
                      <w:rFonts w:hint="eastAsia" w:ascii="宋体" w:hAnsi="宋体"/>
                      <w:color w:val="000000"/>
                      <w:szCs w:val="21"/>
                    </w:rPr>
                    <w:t>一级</w:t>
                  </w:r>
                </w:p>
              </w:tc>
              <w:tc>
                <w:tcPr>
                  <w:tcW w:w="1080" w:type="dxa"/>
                </w:tcPr>
                <w:p>
                  <w:pPr>
                    <w:tabs>
                      <w:tab w:val="left" w:pos="0"/>
                    </w:tabs>
                    <w:spacing w:line="360" w:lineRule="exact"/>
                    <w:jc w:val="center"/>
                    <w:rPr>
                      <w:rFonts w:ascii="宋体" w:hAnsi="宋体"/>
                      <w:color w:val="000000"/>
                      <w:szCs w:val="21"/>
                    </w:rPr>
                  </w:pPr>
                  <w:r>
                    <w:rPr>
                      <w:rFonts w:hint="eastAsia" w:ascii="宋体" w:hAnsi="宋体"/>
                      <w:color w:val="000000"/>
                      <w:szCs w:val="21"/>
                    </w:rPr>
                    <w:t>&lt;20</w:t>
                  </w:r>
                </w:p>
              </w:tc>
              <w:tc>
                <w:tcPr>
                  <w:tcW w:w="1620" w:type="dxa"/>
                </w:tcPr>
                <w:p>
                  <w:pPr>
                    <w:tabs>
                      <w:tab w:val="left" w:pos="0"/>
                    </w:tabs>
                    <w:spacing w:line="360" w:lineRule="exact"/>
                    <w:rPr>
                      <w:rFonts w:ascii="宋体" w:hAnsi="宋体"/>
                      <w:color w:val="000000"/>
                      <w:szCs w:val="21"/>
                    </w:rPr>
                  </w:pPr>
                  <w:r>
                    <w:rPr>
                      <w:rFonts w:hint="eastAsia" w:ascii="宋体" w:hAnsi="宋体"/>
                      <w:color w:val="000000"/>
                      <w:szCs w:val="21"/>
                    </w:rPr>
                    <w:t>稍有危险，可以接受</w:t>
                  </w:r>
                </w:p>
              </w:tc>
              <w:tc>
                <w:tcPr>
                  <w:tcW w:w="5400" w:type="dxa"/>
                  <w:tcBorders>
                    <w:bottom w:val="single" w:color="auto" w:sz="4" w:space="0"/>
                  </w:tcBorders>
                </w:tcPr>
                <w:p>
                  <w:pPr>
                    <w:tabs>
                      <w:tab w:val="left" w:pos="0"/>
                    </w:tabs>
                    <w:spacing w:line="360" w:lineRule="exact"/>
                    <w:rPr>
                      <w:rFonts w:ascii="宋体" w:hAnsi="宋体"/>
                      <w:color w:val="000000"/>
                      <w:szCs w:val="21"/>
                    </w:rPr>
                  </w:pPr>
                  <w:r>
                    <w:rPr>
                      <w:rFonts w:hint="eastAsia" w:ascii="宋体" w:hAnsi="宋体"/>
                      <w:color w:val="000000"/>
                      <w:szCs w:val="21"/>
                    </w:rPr>
                    <w:t>保持现有措施，加强现场监督检查。</w:t>
                  </w:r>
                </w:p>
              </w:tc>
            </w:tr>
          </w:tbl>
          <w:p>
            <w:pPr>
              <w:tabs>
                <w:tab w:val="left" w:pos="0"/>
              </w:tabs>
              <w:spacing w:line="360" w:lineRule="exact"/>
              <w:rPr>
                <w:rFonts w:ascii="宋体" w:hAnsi="宋体"/>
                <w:color w:val="000000"/>
                <w:szCs w:val="21"/>
              </w:rPr>
            </w:pPr>
            <w:r>
              <w:rPr>
                <w:rFonts w:hint="eastAsia" w:ascii="宋体" w:hAnsi="宋体"/>
                <w:color w:val="000000"/>
                <w:szCs w:val="21"/>
              </w:rPr>
              <w:t>4.3.2. 风险评价要联系实际,参照以往的经验运行,既要分析可能发生的后果,更要实事求是地分析事故发生的可能性,还要考虑与需要采取措施的能力相适应，风险级别是综合分析评价的结果。以下方面可直接判为重大危险源因素：</w:t>
            </w:r>
          </w:p>
          <w:p>
            <w:pPr>
              <w:numPr>
                <w:ilvl w:val="0"/>
                <w:numId w:val="5"/>
              </w:numPr>
              <w:spacing w:line="360" w:lineRule="exact"/>
              <w:rPr>
                <w:rFonts w:ascii="宋体" w:hAnsi="宋体"/>
                <w:color w:val="000000"/>
                <w:szCs w:val="21"/>
              </w:rPr>
            </w:pPr>
            <w:r>
              <w:rPr>
                <w:rFonts w:hint="eastAsia" w:ascii="宋体" w:hAnsi="宋体"/>
                <w:color w:val="000000"/>
                <w:szCs w:val="21"/>
              </w:rPr>
              <w:t>不符合职业健康安全法律、法规和标准的；</w:t>
            </w:r>
          </w:p>
          <w:p>
            <w:pPr>
              <w:numPr>
                <w:ilvl w:val="0"/>
                <w:numId w:val="5"/>
              </w:numPr>
              <w:spacing w:line="360" w:lineRule="exact"/>
              <w:rPr>
                <w:rFonts w:ascii="宋体" w:hAnsi="宋体"/>
                <w:color w:val="000000"/>
                <w:szCs w:val="21"/>
              </w:rPr>
            </w:pPr>
            <w:r>
              <w:rPr>
                <w:rFonts w:hint="eastAsia" w:ascii="宋体" w:hAnsi="宋体"/>
                <w:color w:val="000000"/>
                <w:szCs w:val="21"/>
              </w:rPr>
              <w:t>相关方有合理抱怨或要求的；</w:t>
            </w:r>
          </w:p>
          <w:p>
            <w:pPr>
              <w:numPr>
                <w:ilvl w:val="0"/>
                <w:numId w:val="5"/>
              </w:numPr>
              <w:spacing w:line="360" w:lineRule="exact"/>
              <w:rPr>
                <w:rFonts w:ascii="宋体" w:hAnsi="宋体"/>
                <w:color w:val="000000"/>
                <w:szCs w:val="21"/>
              </w:rPr>
            </w:pPr>
            <w:r>
              <w:rPr>
                <w:rFonts w:hint="eastAsia" w:ascii="宋体" w:hAnsi="宋体"/>
                <w:color w:val="000000"/>
                <w:szCs w:val="21"/>
              </w:rPr>
              <w:t>曾经发生过事故，现今未采取防范、控制措施的；</w:t>
            </w:r>
          </w:p>
          <w:p>
            <w:pPr>
              <w:numPr>
                <w:ilvl w:val="0"/>
                <w:numId w:val="5"/>
              </w:numPr>
              <w:spacing w:line="360" w:lineRule="exact"/>
              <w:rPr>
                <w:rFonts w:ascii="宋体" w:hAnsi="宋体"/>
                <w:color w:val="000000"/>
                <w:szCs w:val="21"/>
              </w:rPr>
            </w:pPr>
            <w:r>
              <w:rPr>
                <w:rFonts w:hint="eastAsia" w:ascii="宋体" w:hAnsi="宋体"/>
                <w:color w:val="000000"/>
                <w:szCs w:val="21"/>
              </w:rPr>
              <w:t>直接观察到可能导致危险的错误、且无适当控制措施的。</w:t>
            </w:r>
          </w:p>
          <w:p>
            <w:pPr>
              <w:spacing w:line="360" w:lineRule="exact"/>
              <w:rPr>
                <w:rFonts w:ascii="宋体" w:hAnsi="宋体"/>
                <w:color w:val="000000"/>
                <w:szCs w:val="21"/>
              </w:rPr>
            </w:pPr>
            <w:r>
              <w:rPr>
                <w:rFonts w:hint="eastAsia" w:ascii="宋体" w:hAnsi="宋体"/>
                <w:color w:val="000000"/>
                <w:szCs w:val="21"/>
              </w:rPr>
              <w:t>4.3.3. 公司成立危险源辨识和风险评价领导小组，组织有关部门或人员按上述标准和方法进行危险源辨识和风险评价，形成各部门的《危险源识别、评价表》，综合部进行整理、汇总，形成全公司的《危险源识别、评价表》。</w:t>
            </w:r>
          </w:p>
          <w:p>
            <w:pPr>
              <w:spacing w:line="360" w:lineRule="exact"/>
              <w:rPr>
                <w:rFonts w:ascii="宋体" w:hAnsi="宋体"/>
                <w:color w:val="000000"/>
                <w:szCs w:val="21"/>
              </w:rPr>
            </w:pPr>
            <w:r>
              <w:rPr>
                <w:rFonts w:hint="eastAsia" w:ascii="宋体" w:hAnsi="宋体"/>
                <w:color w:val="000000"/>
                <w:szCs w:val="21"/>
              </w:rPr>
              <w:t>4.3.4.综合部对应风险评价的结果，根据汇总的全公司《危险源识别、评价表》及本程序的有关要求，编制《重大危险源及其控制计划》，作为安全管理及制定方针、目标的重要依据。</w:t>
            </w:r>
          </w:p>
          <w:p>
            <w:pPr>
              <w:spacing w:line="360" w:lineRule="exact"/>
              <w:rPr>
                <w:rFonts w:ascii="宋体" w:hAnsi="宋体"/>
                <w:b/>
                <w:color w:val="000000"/>
                <w:szCs w:val="21"/>
              </w:rPr>
            </w:pPr>
            <w:r>
              <w:rPr>
                <w:rFonts w:hint="eastAsia" w:ascii="宋体" w:hAnsi="宋体"/>
                <w:b/>
                <w:color w:val="000000"/>
                <w:szCs w:val="21"/>
              </w:rPr>
              <w:t>4.4. 风险控制的策划</w:t>
            </w:r>
          </w:p>
          <w:p>
            <w:pPr>
              <w:tabs>
                <w:tab w:val="left" w:pos="0"/>
              </w:tabs>
              <w:spacing w:line="360" w:lineRule="exact"/>
              <w:rPr>
                <w:rFonts w:ascii="宋体" w:hAnsi="宋体"/>
                <w:color w:val="000000"/>
                <w:szCs w:val="21"/>
              </w:rPr>
            </w:pPr>
            <w:r>
              <w:rPr>
                <w:rFonts w:hint="eastAsia" w:ascii="宋体" w:hAnsi="宋体"/>
                <w:color w:val="000000"/>
                <w:szCs w:val="21"/>
              </w:rPr>
              <w:t>4.4.1. 对于所有职业健康安全风险，各责任部门都要对其进行有效控制，对所评估出的不可接受风险，责任部门必须采取适当的方法和措施降低其风险等级，最终使其变成可接受风险。对于潜在的、事故件发生后果极为严重的风险要制定目标、管理方案、实施运行控制程序或应急准备和响应管理程序或相应的作业性文件。</w:t>
            </w:r>
          </w:p>
          <w:p>
            <w:pPr>
              <w:tabs>
                <w:tab w:val="left" w:pos="3780"/>
              </w:tabs>
              <w:spacing w:line="360" w:lineRule="exact"/>
              <w:rPr>
                <w:rFonts w:ascii="宋体" w:hAnsi="宋体"/>
                <w:color w:val="000000"/>
                <w:szCs w:val="21"/>
              </w:rPr>
            </w:pPr>
            <w:r>
              <w:rPr>
                <w:rFonts w:hint="eastAsia" w:ascii="宋体" w:hAnsi="宋体"/>
                <w:color w:val="000000"/>
                <w:szCs w:val="21"/>
              </w:rPr>
              <w:t>4.4.2.  风险控制措施包括：</w:t>
            </w:r>
          </w:p>
          <w:p>
            <w:pPr>
              <w:spacing w:line="360" w:lineRule="exact"/>
              <w:ind w:firstLine="420" w:firstLineChars="200"/>
              <w:rPr>
                <w:rFonts w:ascii="宋体" w:hAnsi="宋体"/>
                <w:color w:val="000000"/>
                <w:szCs w:val="21"/>
              </w:rPr>
            </w:pPr>
            <w:r>
              <w:rPr>
                <w:rFonts w:hint="eastAsia" w:ascii="宋体" w:hAnsi="宋体"/>
                <w:color w:val="000000"/>
                <w:szCs w:val="21"/>
              </w:rPr>
              <w:t>a. 制定目标和管理方案；</w:t>
            </w:r>
          </w:p>
          <w:p>
            <w:pPr>
              <w:spacing w:line="360" w:lineRule="exact"/>
              <w:ind w:firstLine="420" w:firstLineChars="200"/>
              <w:rPr>
                <w:rFonts w:ascii="宋体" w:hAnsi="宋体"/>
                <w:color w:val="000000"/>
                <w:szCs w:val="21"/>
              </w:rPr>
            </w:pPr>
            <w:r>
              <w:rPr>
                <w:rFonts w:hint="eastAsia" w:ascii="宋体" w:hAnsi="宋体"/>
                <w:color w:val="000000"/>
                <w:szCs w:val="21"/>
              </w:rPr>
              <w:t>b. 编制程序文件；</w:t>
            </w:r>
          </w:p>
          <w:p>
            <w:pPr>
              <w:spacing w:line="360" w:lineRule="exact"/>
              <w:ind w:firstLine="420" w:firstLineChars="200"/>
              <w:rPr>
                <w:rFonts w:ascii="宋体" w:hAnsi="宋体"/>
                <w:color w:val="000000"/>
                <w:szCs w:val="21"/>
              </w:rPr>
            </w:pPr>
            <w:r>
              <w:rPr>
                <w:rFonts w:hint="eastAsia" w:ascii="宋体" w:hAnsi="宋体"/>
                <w:color w:val="000000"/>
                <w:szCs w:val="21"/>
              </w:rPr>
              <w:t>c. 制定应急程序和预案；</w:t>
            </w:r>
          </w:p>
          <w:p>
            <w:pPr>
              <w:spacing w:line="360" w:lineRule="exact"/>
              <w:ind w:firstLine="420" w:firstLineChars="200"/>
              <w:rPr>
                <w:rFonts w:ascii="宋体" w:hAnsi="宋体"/>
                <w:color w:val="000000"/>
                <w:szCs w:val="21"/>
              </w:rPr>
            </w:pPr>
            <w:r>
              <w:rPr>
                <w:rFonts w:hint="eastAsia" w:ascii="宋体" w:hAnsi="宋体"/>
                <w:color w:val="000000"/>
                <w:szCs w:val="21"/>
              </w:rPr>
              <w:t>d. 管理控制，如制定作业指导书，操作规程、教育培训、日常监督检查等；</w:t>
            </w:r>
          </w:p>
          <w:p>
            <w:pPr>
              <w:spacing w:line="360" w:lineRule="exact"/>
              <w:ind w:firstLine="420" w:firstLineChars="200"/>
              <w:rPr>
                <w:rFonts w:ascii="宋体" w:hAnsi="宋体"/>
                <w:color w:val="000000"/>
                <w:szCs w:val="21"/>
              </w:rPr>
            </w:pPr>
            <w:r>
              <w:rPr>
                <w:rFonts w:hint="eastAsia" w:ascii="宋体" w:hAnsi="宋体"/>
                <w:color w:val="000000"/>
                <w:szCs w:val="21"/>
              </w:rPr>
              <w:t>e. 安全技术控制：如采取通风、机械安全防护等技术措施；</w:t>
            </w:r>
          </w:p>
          <w:p>
            <w:pPr>
              <w:spacing w:line="360" w:lineRule="exact"/>
              <w:rPr>
                <w:rFonts w:ascii="宋体" w:hAnsi="宋体"/>
                <w:color w:val="000000"/>
                <w:szCs w:val="21"/>
              </w:rPr>
            </w:pPr>
            <w:r>
              <w:rPr>
                <w:rFonts w:hint="eastAsia" w:ascii="宋体" w:hAnsi="宋体"/>
                <w:color w:val="000000"/>
                <w:szCs w:val="21"/>
              </w:rPr>
              <w:t xml:space="preserve">    f. </w:t>
            </w:r>
            <w:r>
              <w:rPr>
                <w:rFonts w:hint="eastAsia" w:ascii="宋体" w:hAnsi="宋体"/>
                <w:szCs w:val="21"/>
              </w:rPr>
              <w:t>配备劳保防护用品：购买并配备给相关人员个人防护用品。</w:t>
            </w:r>
          </w:p>
          <w:p>
            <w:pPr>
              <w:spacing w:line="360" w:lineRule="exact"/>
              <w:rPr>
                <w:rFonts w:ascii="宋体" w:hAnsi="宋体"/>
                <w:color w:val="000000"/>
                <w:szCs w:val="21"/>
              </w:rPr>
            </w:pPr>
            <w:r>
              <w:rPr>
                <w:rFonts w:hint="eastAsia" w:ascii="宋体" w:hAnsi="宋体"/>
                <w:b/>
                <w:color w:val="000000"/>
                <w:szCs w:val="21"/>
              </w:rPr>
              <w:t xml:space="preserve">4.5. </w:t>
            </w:r>
            <w:r>
              <w:rPr>
                <w:rFonts w:hint="eastAsia" w:ascii="宋体" w:hAnsi="宋体"/>
                <w:color w:val="000000"/>
                <w:szCs w:val="21"/>
              </w:rPr>
              <w:t>各职能部门和车间在设备、法规、产品等发生变化时要进行相应的危险源辨识、风险评价的风险控制策划工作。当公司有新、改、扩建项目时，在开工前，相关部门应随时识别新项目施工可能产生的新的危险源因素及风险，协助综合部评价、确认出其中的重要危险源，并制定相应控制措施，实施有效控制。</w:t>
            </w:r>
          </w:p>
          <w:p>
            <w:pPr>
              <w:spacing w:line="360" w:lineRule="exact"/>
              <w:rPr>
                <w:rFonts w:ascii="宋体" w:hAnsi="宋体"/>
                <w:color w:val="000000"/>
                <w:szCs w:val="21"/>
              </w:rPr>
            </w:pPr>
            <w:r>
              <w:rPr>
                <w:rFonts w:hint="eastAsia" w:ascii="宋体" w:hAnsi="宋体"/>
                <w:b/>
                <w:color w:val="000000"/>
                <w:szCs w:val="21"/>
              </w:rPr>
              <w:t>4.6.</w:t>
            </w:r>
            <w:r>
              <w:rPr>
                <w:rFonts w:hint="eastAsia" w:ascii="宋体" w:hAnsi="宋体"/>
                <w:color w:val="000000"/>
                <w:szCs w:val="21"/>
              </w:rPr>
              <w:t xml:space="preserve"> 正常情况下，综合部每年对危险源辨识和风险评价的应用效果进行一次检查和评审，必要时及时更新相关信息，并考虑由于职业健康安全目标、管理方案得以完成而导致风险等级的降低时对风险评价结果有关信息进行更新的影响。</w:t>
            </w:r>
          </w:p>
          <w:p>
            <w:pPr>
              <w:spacing w:line="360" w:lineRule="exact"/>
              <w:rPr>
                <w:rFonts w:ascii="宋体" w:hAnsi="宋体"/>
                <w:color w:val="000000"/>
                <w:szCs w:val="21"/>
              </w:rPr>
            </w:pPr>
            <w:r>
              <w:rPr>
                <w:rFonts w:hint="eastAsia" w:ascii="宋体" w:hAnsi="宋体"/>
                <w:b/>
                <w:color w:val="000000"/>
                <w:szCs w:val="21"/>
              </w:rPr>
              <w:t>4.7.</w:t>
            </w:r>
            <w:r>
              <w:rPr>
                <w:rFonts w:hint="eastAsia" w:ascii="宋体" w:hAnsi="宋体"/>
                <w:color w:val="000000"/>
                <w:szCs w:val="21"/>
              </w:rPr>
              <w:t xml:space="preserve"> 所有与危险源辨识、风险评价和风险控制的策划有关的记录由综合部及其他相关部门和车间负责保持，并执行《记录控制程序》。</w:t>
            </w:r>
          </w:p>
          <w:p>
            <w:pPr>
              <w:spacing w:line="360" w:lineRule="exact"/>
              <w:outlineLvl w:val="0"/>
              <w:rPr>
                <w:rFonts w:ascii="宋体" w:hAnsi="宋体"/>
                <w:b/>
                <w:color w:val="000000"/>
                <w:szCs w:val="21"/>
              </w:rPr>
            </w:pPr>
            <w:r>
              <w:rPr>
                <w:rFonts w:hint="eastAsia" w:ascii="宋体" w:hAnsi="宋体"/>
                <w:b/>
                <w:color w:val="000000"/>
                <w:szCs w:val="21"/>
              </w:rPr>
              <w:t>5. 相关／支持性文件</w:t>
            </w:r>
          </w:p>
          <w:p>
            <w:pPr>
              <w:spacing w:line="360" w:lineRule="exact"/>
              <w:rPr>
                <w:rFonts w:ascii="宋体" w:hAnsi="宋体"/>
                <w:color w:val="000000"/>
                <w:szCs w:val="21"/>
              </w:rPr>
            </w:pPr>
            <w:r>
              <w:rPr>
                <w:rFonts w:hint="eastAsia" w:ascii="宋体" w:hAnsi="宋体"/>
                <w:color w:val="000000"/>
                <w:szCs w:val="21"/>
              </w:rPr>
              <w:t>5.1. 《记录控制程序》</w:t>
            </w:r>
          </w:p>
          <w:p>
            <w:pPr>
              <w:spacing w:line="360" w:lineRule="exact"/>
              <w:rPr>
                <w:rFonts w:ascii="宋体" w:hAnsi="宋体"/>
                <w:color w:val="000000"/>
                <w:szCs w:val="21"/>
              </w:rPr>
            </w:pPr>
            <w:r>
              <w:rPr>
                <w:rFonts w:hint="eastAsia" w:ascii="宋体" w:hAnsi="宋体"/>
                <w:color w:val="000000"/>
                <w:szCs w:val="21"/>
              </w:rPr>
              <w:t>5.2. 《文件控制程序》</w:t>
            </w:r>
          </w:p>
          <w:p>
            <w:pPr>
              <w:spacing w:line="360" w:lineRule="exact"/>
              <w:outlineLvl w:val="0"/>
              <w:rPr>
                <w:rFonts w:ascii="宋体" w:hAnsi="宋体"/>
                <w:b/>
                <w:color w:val="000000"/>
                <w:szCs w:val="21"/>
              </w:rPr>
            </w:pPr>
            <w:r>
              <w:rPr>
                <w:rFonts w:hint="eastAsia" w:ascii="宋体" w:hAnsi="宋体"/>
                <w:b/>
                <w:color w:val="000000"/>
                <w:szCs w:val="21"/>
              </w:rPr>
              <w:t>6. 记录</w:t>
            </w:r>
          </w:p>
          <w:p>
            <w:pPr>
              <w:spacing w:line="360" w:lineRule="exact"/>
              <w:rPr>
                <w:rFonts w:ascii="宋体" w:hAnsi="宋体"/>
                <w:color w:val="000000"/>
                <w:szCs w:val="21"/>
              </w:rPr>
            </w:pPr>
            <w:r>
              <w:rPr>
                <w:rFonts w:hint="eastAsia" w:ascii="宋体" w:hAnsi="宋体"/>
                <w:color w:val="000000"/>
                <w:szCs w:val="21"/>
              </w:rPr>
              <w:t>6.1. 《危险源识别、评价表》</w:t>
            </w:r>
          </w:p>
          <w:p>
            <w:pPr>
              <w:spacing w:line="360" w:lineRule="exact"/>
              <w:rPr>
                <w:rFonts w:ascii="宋体" w:hAnsi="宋体"/>
                <w:color w:val="000000"/>
                <w:szCs w:val="21"/>
              </w:rPr>
            </w:pPr>
            <w:r>
              <w:rPr>
                <w:rFonts w:hint="eastAsia" w:ascii="宋体" w:hAnsi="宋体"/>
                <w:color w:val="000000"/>
                <w:szCs w:val="21"/>
              </w:rPr>
              <w:t>6.2. 《重大危险源及其控制计划》</w:t>
            </w:r>
          </w:p>
          <w:p>
            <w:pPr>
              <w:spacing w:line="360" w:lineRule="exact"/>
              <w:rPr>
                <w:rFonts w:ascii="宋体" w:hAnsi="宋体"/>
                <w:color w:val="000000"/>
                <w:szCs w:val="21"/>
              </w:rPr>
            </w:pPr>
          </w:p>
          <w:p>
            <w:pPr>
              <w:spacing w:line="360" w:lineRule="exact"/>
              <w:rPr>
                <w:rFonts w:ascii="宋体" w:hAnsi="宋体"/>
                <w:color w:val="000000"/>
                <w:szCs w:val="21"/>
              </w:rPr>
            </w:pPr>
          </w:p>
          <w:p>
            <w:pPr>
              <w:spacing w:line="360" w:lineRule="exact"/>
              <w:rPr>
                <w:rFonts w:ascii="宋体" w:hAnsi="宋体"/>
                <w:color w:val="000000"/>
                <w:szCs w:val="21"/>
              </w:rPr>
            </w:pPr>
          </w:p>
          <w:p>
            <w:pPr>
              <w:spacing w:line="360" w:lineRule="exact"/>
              <w:rPr>
                <w:rFonts w:ascii="宋体" w:hAnsi="宋体"/>
                <w:color w:val="000000"/>
                <w:szCs w:val="21"/>
              </w:rPr>
            </w:pPr>
          </w:p>
          <w:p>
            <w:pPr>
              <w:spacing w:line="360" w:lineRule="exact"/>
              <w:rPr>
                <w:rFonts w:ascii="宋体" w:hAnsi="宋体"/>
                <w:color w:val="000000"/>
                <w:szCs w:val="21"/>
              </w:rPr>
            </w:pPr>
          </w:p>
          <w:p>
            <w:pPr>
              <w:spacing w:line="360" w:lineRule="exact"/>
              <w:rPr>
                <w:rFonts w:ascii="宋体" w:hAnsi="宋体"/>
                <w:color w:val="000000"/>
                <w:szCs w:val="21"/>
              </w:rPr>
            </w:pPr>
          </w:p>
          <w:p>
            <w:pPr>
              <w:spacing w:line="360" w:lineRule="exact"/>
              <w:rPr>
                <w:rFonts w:ascii="宋体" w:hAnsi="宋体"/>
                <w:color w:val="000000"/>
                <w:szCs w:val="21"/>
              </w:rPr>
            </w:pPr>
          </w:p>
          <w:p>
            <w:pPr>
              <w:spacing w:line="360" w:lineRule="exact"/>
              <w:rPr>
                <w:rFonts w:ascii="宋体" w:hAnsi="宋体"/>
                <w:color w:val="000000"/>
                <w:szCs w:val="21"/>
              </w:rPr>
            </w:pPr>
          </w:p>
          <w:p>
            <w:pPr>
              <w:spacing w:line="360" w:lineRule="exact"/>
              <w:rPr>
                <w:rFonts w:ascii="宋体" w:hAnsi="宋体"/>
                <w:color w:val="000000"/>
                <w:szCs w:val="21"/>
              </w:rPr>
            </w:pPr>
          </w:p>
          <w:p>
            <w:pPr>
              <w:spacing w:line="360" w:lineRule="exact"/>
              <w:rPr>
                <w:rFonts w:ascii="宋体" w:hAnsi="宋体"/>
                <w:color w:val="000000"/>
                <w:szCs w:val="21"/>
              </w:rPr>
            </w:pPr>
          </w:p>
          <w:p>
            <w:pPr>
              <w:spacing w:line="360" w:lineRule="exact"/>
              <w:rPr>
                <w:rFonts w:ascii="宋体" w:hAnsi="宋体"/>
                <w:color w:val="000000"/>
                <w:szCs w:val="21"/>
              </w:rPr>
            </w:pPr>
          </w:p>
          <w:p>
            <w:pPr>
              <w:spacing w:line="360" w:lineRule="exact"/>
              <w:rPr>
                <w:rFonts w:ascii="宋体" w:hAnsi="宋体"/>
                <w:color w:val="000000"/>
                <w:szCs w:val="21"/>
              </w:rPr>
            </w:pPr>
          </w:p>
          <w:p>
            <w:pPr>
              <w:spacing w:line="360" w:lineRule="exact"/>
              <w:rPr>
                <w:rFonts w:ascii="宋体" w:hAnsi="宋体"/>
                <w:color w:val="000000"/>
                <w:szCs w:val="21"/>
              </w:rPr>
            </w:pPr>
          </w:p>
          <w:p>
            <w:pPr>
              <w:spacing w:line="360" w:lineRule="exact"/>
              <w:rPr>
                <w:rFonts w:ascii="宋体" w:hAnsi="宋体"/>
                <w:color w:val="000000"/>
                <w:szCs w:val="21"/>
              </w:rPr>
            </w:pPr>
          </w:p>
          <w:p>
            <w:pPr>
              <w:spacing w:line="360" w:lineRule="exact"/>
              <w:rPr>
                <w:rFonts w:ascii="宋体" w:hAnsi="宋体"/>
                <w:color w:val="000000"/>
                <w:szCs w:val="21"/>
              </w:rPr>
            </w:pPr>
          </w:p>
          <w:p>
            <w:pPr>
              <w:spacing w:line="360" w:lineRule="exact"/>
              <w:rPr>
                <w:rFonts w:ascii="宋体" w:hAnsi="宋体"/>
                <w:color w:val="000000"/>
                <w:szCs w:val="21"/>
              </w:rPr>
            </w:pPr>
          </w:p>
          <w:p>
            <w:pPr>
              <w:spacing w:line="360" w:lineRule="exact"/>
              <w:rPr>
                <w:rFonts w:ascii="宋体" w:hAnsi="宋体"/>
                <w:color w:val="000000"/>
                <w:szCs w:val="21"/>
              </w:rPr>
            </w:pPr>
          </w:p>
          <w:p>
            <w:pPr>
              <w:spacing w:line="360" w:lineRule="exact"/>
              <w:rPr>
                <w:rFonts w:ascii="宋体" w:hAnsi="宋体"/>
                <w:color w:val="000000"/>
                <w:szCs w:val="21"/>
              </w:rPr>
            </w:pPr>
          </w:p>
          <w:p>
            <w:pPr>
              <w:spacing w:line="360" w:lineRule="exact"/>
              <w:rPr>
                <w:rFonts w:ascii="宋体" w:hAnsi="宋体"/>
                <w:color w:val="000000"/>
                <w:szCs w:val="21"/>
              </w:rPr>
            </w:pPr>
          </w:p>
          <w:p>
            <w:pPr>
              <w:spacing w:line="360" w:lineRule="exact"/>
              <w:rPr>
                <w:rFonts w:ascii="宋体" w:hAnsi="宋体"/>
                <w:color w:val="000000"/>
                <w:szCs w:val="21"/>
              </w:rPr>
            </w:pPr>
          </w:p>
        </w:tc>
      </w:tr>
    </w:tbl>
    <w:p/>
    <w:p/>
    <w:p/>
    <w:tbl>
      <w:tblPr>
        <w:tblStyle w:val="9"/>
        <w:tblW w:w="999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8"/>
        <w:gridCol w:w="1418"/>
        <w:gridCol w:w="3745"/>
        <w:gridCol w:w="1006"/>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2478" w:type="dxa"/>
            <w:vMerge w:val="restart"/>
            <w:vAlign w:val="center"/>
          </w:tcPr>
          <w:p>
            <w:pPr>
              <w:spacing w:line="400" w:lineRule="exact"/>
              <w:rPr>
                <w:rFonts w:eastAsia="黑体"/>
                <w:b/>
                <w:sz w:val="36"/>
              </w:rPr>
            </w:pPr>
          </w:p>
        </w:tc>
        <w:tc>
          <w:tcPr>
            <w:tcW w:w="1418" w:type="dxa"/>
            <w:vAlign w:val="center"/>
          </w:tcPr>
          <w:p>
            <w:pPr>
              <w:spacing w:line="400" w:lineRule="exact"/>
              <w:jc w:val="center"/>
              <w:rPr>
                <w:rFonts w:ascii="宋体"/>
                <w:b/>
                <w:sz w:val="30"/>
              </w:rPr>
            </w:pPr>
            <w:r>
              <w:rPr>
                <w:rFonts w:hint="eastAsia" w:ascii="宋体"/>
                <w:b/>
                <w:sz w:val="30"/>
              </w:rPr>
              <w:t>文件</w:t>
            </w:r>
          </w:p>
          <w:p>
            <w:pPr>
              <w:spacing w:line="400" w:lineRule="exact"/>
              <w:jc w:val="center"/>
              <w:rPr>
                <w:rFonts w:ascii="宋体"/>
                <w:b/>
                <w:sz w:val="30"/>
              </w:rPr>
            </w:pPr>
            <w:r>
              <w:rPr>
                <w:rFonts w:hint="eastAsia" w:ascii="宋体"/>
                <w:b/>
                <w:sz w:val="30"/>
              </w:rPr>
              <w:t>名称</w:t>
            </w:r>
          </w:p>
        </w:tc>
        <w:tc>
          <w:tcPr>
            <w:tcW w:w="3745" w:type="dxa"/>
            <w:vAlign w:val="center"/>
          </w:tcPr>
          <w:p>
            <w:pPr>
              <w:spacing w:line="400" w:lineRule="exact"/>
              <w:rPr>
                <w:rFonts w:ascii="宋体"/>
                <w:b/>
                <w:sz w:val="30"/>
              </w:rPr>
            </w:pPr>
            <w:r>
              <w:rPr>
                <w:rFonts w:hint="eastAsia" w:ascii="楷体_GB2312" w:hAnsi="楷体" w:eastAsia="楷体_GB2312"/>
                <w:b/>
                <w:sz w:val="28"/>
                <w:szCs w:val="28"/>
              </w:rPr>
              <w:t>法律法规及其他要求控制程序</w:t>
            </w:r>
          </w:p>
        </w:tc>
        <w:tc>
          <w:tcPr>
            <w:tcW w:w="1006" w:type="dxa"/>
            <w:vAlign w:val="center"/>
          </w:tcPr>
          <w:p>
            <w:pPr>
              <w:spacing w:line="400" w:lineRule="exact"/>
              <w:jc w:val="center"/>
              <w:rPr>
                <w:rFonts w:ascii="宋体"/>
                <w:b/>
                <w:sz w:val="30"/>
              </w:rPr>
            </w:pPr>
            <w:r>
              <w:rPr>
                <w:rFonts w:hint="eastAsia" w:ascii="宋体"/>
                <w:b/>
                <w:sz w:val="30"/>
              </w:rPr>
              <w:t>版次</w:t>
            </w:r>
          </w:p>
        </w:tc>
        <w:tc>
          <w:tcPr>
            <w:tcW w:w="1344" w:type="dxa"/>
            <w:vAlign w:val="center"/>
          </w:tcPr>
          <w:p>
            <w:pPr>
              <w:spacing w:line="400" w:lineRule="exact"/>
              <w:jc w:val="center"/>
              <w:rPr>
                <w:rFonts w:ascii="宋体"/>
                <w:b/>
                <w:sz w:val="30"/>
              </w:rPr>
            </w:pPr>
            <w:r>
              <w:rPr>
                <w:rFonts w:hint="eastAsia" w:ascii="宋体"/>
                <w:b/>
                <w:sz w:val="3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2478" w:type="dxa"/>
            <w:vMerge w:val="continue"/>
            <w:vAlign w:val="center"/>
          </w:tcPr>
          <w:p>
            <w:pPr>
              <w:spacing w:line="400" w:lineRule="exact"/>
              <w:jc w:val="center"/>
              <w:rPr>
                <w:rFonts w:eastAsia="黑体"/>
                <w:b/>
                <w:sz w:val="36"/>
              </w:rPr>
            </w:pPr>
          </w:p>
        </w:tc>
        <w:tc>
          <w:tcPr>
            <w:tcW w:w="1418" w:type="dxa"/>
            <w:vAlign w:val="center"/>
          </w:tcPr>
          <w:p>
            <w:pPr>
              <w:spacing w:line="400" w:lineRule="exact"/>
              <w:jc w:val="center"/>
              <w:rPr>
                <w:rFonts w:ascii="宋体"/>
                <w:b/>
                <w:sz w:val="30"/>
              </w:rPr>
            </w:pPr>
            <w:r>
              <w:rPr>
                <w:rFonts w:hint="eastAsia" w:ascii="宋体"/>
                <w:b/>
                <w:sz w:val="30"/>
              </w:rPr>
              <w:t>文件</w:t>
            </w:r>
          </w:p>
          <w:p>
            <w:pPr>
              <w:spacing w:line="400" w:lineRule="exact"/>
              <w:jc w:val="center"/>
              <w:rPr>
                <w:rFonts w:ascii="宋体"/>
                <w:b/>
                <w:sz w:val="30"/>
              </w:rPr>
            </w:pPr>
            <w:r>
              <w:rPr>
                <w:rFonts w:hint="eastAsia" w:ascii="宋体"/>
                <w:b/>
                <w:sz w:val="30"/>
              </w:rPr>
              <w:t>编号</w:t>
            </w:r>
          </w:p>
        </w:tc>
        <w:tc>
          <w:tcPr>
            <w:tcW w:w="3745" w:type="dxa"/>
            <w:vAlign w:val="center"/>
          </w:tcPr>
          <w:p>
            <w:pPr>
              <w:spacing w:line="400" w:lineRule="exact"/>
              <w:jc w:val="center"/>
              <w:rPr>
                <w:rFonts w:ascii="宋体"/>
                <w:b/>
                <w:sz w:val="30"/>
              </w:rPr>
            </w:pPr>
            <w:r>
              <w:rPr>
                <w:rFonts w:hint="eastAsia" w:ascii="宋体"/>
                <w:b/>
                <w:sz w:val="30"/>
              </w:rPr>
              <w:t>LQY-P-05</w:t>
            </w:r>
          </w:p>
        </w:tc>
        <w:tc>
          <w:tcPr>
            <w:tcW w:w="1006" w:type="dxa"/>
            <w:vAlign w:val="center"/>
          </w:tcPr>
          <w:p>
            <w:pPr>
              <w:spacing w:line="400" w:lineRule="exact"/>
              <w:jc w:val="center"/>
              <w:rPr>
                <w:rFonts w:ascii="宋体"/>
                <w:b/>
                <w:sz w:val="30"/>
              </w:rPr>
            </w:pPr>
            <w:r>
              <w:rPr>
                <w:rFonts w:hint="eastAsia" w:ascii="宋体"/>
                <w:b/>
                <w:sz w:val="30"/>
              </w:rPr>
              <w:t>修改</w:t>
            </w:r>
          </w:p>
          <w:p>
            <w:pPr>
              <w:spacing w:line="400" w:lineRule="exact"/>
              <w:jc w:val="center"/>
              <w:rPr>
                <w:rFonts w:ascii="宋体"/>
                <w:b/>
                <w:sz w:val="30"/>
              </w:rPr>
            </w:pPr>
            <w:r>
              <w:rPr>
                <w:rFonts w:hint="eastAsia" w:ascii="宋体"/>
                <w:b/>
                <w:sz w:val="30"/>
              </w:rPr>
              <w:t>状态</w:t>
            </w:r>
          </w:p>
        </w:tc>
        <w:tc>
          <w:tcPr>
            <w:tcW w:w="1344" w:type="dxa"/>
            <w:vAlign w:val="center"/>
          </w:tcPr>
          <w:p>
            <w:pPr>
              <w:spacing w:line="400" w:lineRule="exact"/>
              <w:jc w:val="center"/>
              <w:rPr>
                <w:rFonts w:ascii="宋体"/>
                <w:b/>
                <w:sz w:val="30"/>
              </w:rPr>
            </w:pPr>
            <w:r>
              <w:rPr>
                <w:rFonts w:hint="eastAsia" w:ascii="宋体"/>
                <w:b/>
                <w:sz w:val="3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991" w:type="dxa"/>
            <w:gridSpan w:val="5"/>
            <w:tcBorders>
              <w:right w:val="single" w:color="auto" w:sz="4" w:space="0"/>
            </w:tcBorders>
          </w:tcPr>
          <w:p>
            <w:pPr>
              <w:spacing w:line="360" w:lineRule="exact"/>
              <w:rPr>
                <w:rFonts w:ascii="宋体" w:hAnsi="宋体"/>
                <w:b/>
                <w:color w:val="000000"/>
                <w:szCs w:val="21"/>
              </w:rPr>
            </w:pPr>
            <w:r>
              <w:rPr>
                <w:rFonts w:hint="eastAsia" w:ascii="宋体" w:hAnsi="宋体"/>
                <w:b/>
                <w:color w:val="000000"/>
                <w:szCs w:val="21"/>
              </w:rPr>
              <w:t>1.目的</w:t>
            </w:r>
          </w:p>
          <w:p>
            <w:pPr>
              <w:spacing w:line="360" w:lineRule="exact"/>
              <w:ind w:firstLine="420" w:firstLineChars="200"/>
              <w:rPr>
                <w:rFonts w:ascii="宋体" w:hAnsi="宋体"/>
                <w:color w:val="000000"/>
                <w:szCs w:val="21"/>
              </w:rPr>
            </w:pPr>
            <w:r>
              <w:rPr>
                <w:rFonts w:hint="eastAsia" w:ascii="宋体" w:hAnsi="宋体"/>
                <w:color w:val="000000"/>
                <w:szCs w:val="21"/>
              </w:rPr>
              <w:t>为及时获取、识别、确认、宣传、贯彻适用于公司的环境、职业健康安全的法律法规及其他要求，并为管理体系的运行提供法律法规依据，特制定本程序。</w:t>
            </w:r>
          </w:p>
          <w:p>
            <w:pPr>
              <w:tabs>
                <w:tab w:val="left" w:pos="1800"/>
              </w:tabs>
              <w:spacing w:line="360" w:lineRule="exact"/>
              <w:outlineLvl w:val="0"/>
              <w:rPr>
                <w:rFonts w:ascii="宋体" w:hAnsi="宋体"/>
                <w:b/>
                <w:color w:val="000000"/>
                <w:szCs w:val="21"/>
              </w:rPr>
            </w:pPr>
            <w:r>
              <w:rPr>
                <w:rFonts w:hint="eastAsia" w:ascii="宋体" w:hAnsi="宋体"/>
                <w:b/>
                <w:color w:val="000000"/>
                <w:szCs w:val="21"/>
              </w:rPr>
              <w:t>2.适用范围</w:t>
            </w:r>
            <w:r>
              <w:rPr>
                <w:rFonts w:hint="eastAsia" w:ascii="宋体" w:hAnsi="宋体"/>
                <w:b/>
                <w:color w:val="000000"/>
                <w:szCs w:val="21"/>
              </w:rPr>
              <w:tab/>
            </w:r>
          </w:p>
          <w:p>
            <w:pPr>
              <w:spacing w:line="360" w:lineRule="exact"/>
              <w:ind w:firstLine="420" w:firstLineChars="200"/>
              <w:rPr>
                <w:rFonts w:ascii="宋体" w:hAnsi="宋体"/>
                <w:color w:val="000000"/>
                <w:szCs w:val="21"/>
              </w:rPr>
            </w:pPr>
            <w:r>
              <w:rPr>
                <w:rFonts w:hint="eastAsia" w:ascii="宋体" w:hAnsi="宋体"/>
                <w:color w:val="000000"/>
                <w:szCs w:val="21"/>
              </w:rPr>
              <w:t>本程序适用于公司与环境、职业健康安全管理体系相关的，尤其是与公司的环境因素和职业健康安全风险有关的法律、法规和其他要求的获取、识别、确认、宣传和贯彻。</w:t>
            </w:r>
          </w:p>
          <w:p>
            <w:pPr>
              <w:spacing w:line="360" w:lineRule="exact"/>
              <w:rPr>
                <w:rFonts w:ascii="宋体" w:hAnsi="宋体"/>
                <w:b/>
                <w:color w:val="000000"/>
                <w:szCs w:val="21"/>
              </w:rPr>
            </w:pPr>
            <w:r>
              <w:rPr>
                <w:rFonts w:hint="eastAsia" w:ascii="宋体" w:hAnsi="宋体"/>
                <w:b/>
                <w:color w:val="000000"/>
                <w:szCs w:val="21"/>
              </w:rPr>
              <w:t>3.职责</w:t>
            </w:r>
          </w:p>
          <w:p>
            <w:pPr>
              <w:spacing w:line="360" w:lineRule="exact"/>
              <w:rPr>
                <w:rFonts w:ascii="宋体" w:hAnsi="宋体"/>
                <w:color w:val="000000"/>
                <w:szCs w:val="21"/>
              </w:rPr>
            </w:pPr>
            <w:r>
              <w:rPr>
                <w:rFonts w:hint="eastAsia" w:ascii="宋体" w:hAnsi="宋体"/>
                <w:color w:val="000000"/>
                <w:szCs w:val="21"/>
              </w:rPr>
              <w:t>3.1. 综合部负责编制并组织实施本程序，汇总各部门收集的法律法规及其他要求，监督检查各部门法律法规的遵循情况。</w:t>
            </w:r>
          </w:p>
          <w:p>
            <w:pPr>
              <w:spacing w:line="360" w:lineRule="exact"/>
              <w:rPr>
                <w:rFonts w:ascii="宋体" w:hAnsi="宋体"/>
                <w:color w:val="000000"/>
                <w:szCs w:val="21"/>
              </w:rPr>
            </w:pPr>
            <w:r>
              <w:rPr>
                <w:rFonts w:hint="eastAsia" w:ascii="宋体" w:hAnsi="宋体"/>
                <w:color w:val="000000"/>
                <w:szCs w:val="21"/>
              </w:rPr>
              <w:t>3.2. 其他各部门负责获取并宣传、贯彻、遵守与本部门有关的法律法规和其他要求。</w:t>
            </w:r>
          </w:p>
          <w:p>
            <w:pPr>
              <w:spacing w:line="360" w:lineRule="exact"/>
              <w:rPr>
                <w:rFonts w:ascii="宋体" w:hAnsi="宋体"/>
                <w:b/>
                <w:color w:val="000000"/>
                <w:szCs w:val="21"/>
              </w:rPr>
            </w:pPr>
            <w:r>
              <w:rPr>
                <w:rFonts w:hint="eastAsia" w:ascii="宋体" w:hAnsi="宋体"/>
                <w:b/>
                <w:color w:val="000000"/>
                <w:szCs w:val="21"/>
              </w:rPr>
              <w:t>4.工作程序</w:t>
            </w:r>
          </w:p>
          <w:p>
            <w:pPr>
              <w:spacing w:line="360" w:lineRule="exact"/>
              <w:rPr>
                <w:rFonts w:ascii="宋体" w:hAnsi="宋体"/>
                <w:b/>
                <w:color w:val="000000"/>
                <w:szCs w:val="21"/>
              </w:rPr>
            </w:pPr>
            <w:r>
              <w:rPr>
                <w:rFonts w:hint="eastAsia" w:ascii="宋体" w:hAnsi="宋体"/>
                <w:b/>
                <w:color w:val="000000"/>
                <w:szCs w:val="21"/>
              </w:rPr>
              <w:t>4.1.  获取途径</w:t>
            </w:r>
          </w:p>
          <w:p>
            <w:pPr>
              <w:spacing w:line="360" w:lineRule="exact"/>
              <w:rPr>
                <w:rFonts w:ascii="宋体" w:hAnsi="宋体"/>
                <w:color w:val="000000"/>
                <w:szCs w:val="21"/>
              </w:rPr>
            </w:pPr>
            <w:r>
              <w:rPr>
                <w:rFonts w:hint="eastAsia" w:ascii="宋体" w:hAnsi="宋体"/>
                <w:color w:val="000000"/>
                <w:szCs w:val="21"/>
              </w:rPr>
              <w:t>4.1.1. 收集法律法规及其他要求的渠道：</w:t>
            </w:r>
          </w:p>
          <w:p>
            <w:pPr>
              <w:numPr>
                <w:ilvl w:val="0"/>
                <w:numId w:val="6"/>
              </w:numPr>
              <w:spacing w:line="360" w:lineRule="exact"/>
              <w:rPr>
                <w:rFonts w:ascii="宋体" w:hAnsi="宋体"/>
                <w:color w:val="000000"/>
                <w:szCs w:val="21"/>
              </w:rPr>
            </w:pPr>
            <w:r>
              <w:rPr>
                <w:rFonts w:hint="eastAsia" w:ascii="宋体" w:hAnsi="宋体"/>
                <w:color w:val="000000"/>
                <w:szCs w:val="21"/>
              </w:rPr>
              <w:t>国家、省、市等上级主管部门；</w:t>
            </w:r>
          </w:p>
          <w:p>
            <w:pPr>
              <w:spacing w:line="360" w:lineRule="exact"/>
              <w:ind w:firstLine="420" w:firstLineChars="200"/>
              <w:rPr>
                <w:rFonts w:ascii="宋体" w:hAnsi="宋体"/>
                <w:color w:val="000000"/>
                <w:szCs w:val="21"/>
              </w:rPr>
            </w:pPr>
            <w:r>
              <w:rPr>
                <w:rFonts w:hint="eastAsia" w:ascii="宋体" w:hAnsi="宋体"/>
                <w:color w:val="000000"/>
                <w:szCs w:val="21"/>
              </w:rPr>
              <w:t>b. 环保局、安监局及环境、职业健康安全主管部门、认证机构等；</w:t>
            </w:r>
          </w:p>
          <w:p>
            <w:pPr>
              <w:spacing w:line="360" w:lineRule="exact"/>
              <w:ind w:left="435"/>
              <w:rPr>
                <w:rFonts w:ascii="宋体" w:hAnsi="宋体"/>
                <w:color w:val="000000"/>
                <w:szCs w:val="21"/>
              </w:rPr>
            </w:pPr>
            <w:r>
              <w:rPr>
                <w:rFonts w:hint="eastAsia" w:ascii="宋体" w:hAnsi="宋体"/>
                <w:color w:val="000000"/>
                <w:szCs w:val="21"/>
              </w:rPr>
              <w:t>c. 其他各种渠道：出版社、报纸、书籍、网络、参加相关部门的会议等。</w:t>
            </w:r>
          </w:p>
          <w:p>
            <w:pPr>
              <w:spacing w:line="360" w:lineRule="exact"/>
              <w:rPr>
                <w:rFonts w:ascii="宋体" w:hAnsi="宋体"/>
                <w:color w:val="000000"/>
                <w:szCs w:val="21"/>
              </w:rPr>
            </w:pPr>
            <w:r>
              <w:rPr>
                <w:rFonts w:hint="eastAsia" w:ascii="宋体" w:hAnsi="宋体"/>
                <w:color w:val="000000"/>
                <w:szCs w:val="21"/>
              </w:rPr>
              <w:t>4.1.2. 各职能部门，应及时通过网络、书店等各种方式联系获取最新的环境、职业健康安全的法律、法规及其他要求。</w:t>
            </w:r>
          </w:p>
          <w:p>
            <w:pPr>
              <w:spacing w:line="360" w:lineRule="exact"/>
              <w:rPr>
                <w:rFonts w:ascii="宋体" w:hAnsi="宋体"/>
                <w:b/>
                <w:color w:val="000000"/>
                <w:szCs w:val="21"/>
              </w:rPr>
            </w:pPr>
            <w:r>
              <w:rPr>
                <w:rFonts w:hint="eastAsia" w:ascii="宋体" w:hAnsi="宋体"/>
                <w:b/>
                <w:color w:val="000000"/>
                <w:szCs w:val="21"/>
              </w:rPr>
              <w:t>4.2. 确认适用性</w:t>
            </w:r>
          </w:p>
          <w:p>
            <w:pPr>
              <w:spacing w:line="360" w:lineRule="exact"/>
              <w:rPr>
                <w:rFonts w:ascii="宋体" w:hAnsi="宋体"/>
                <w:color w:val="000000"/>
                <w:szCs w:val="21"/>
              </w:rPr>
            </w:pPr>
            <w:r>
              <w:rPr>
                <w:rFonts w:hint="eastAsia" w:ascii="宋体" w:hAnsi="宋体"/>
                <w:color w:val="000000"/>
                <w:szCs w:val="21"/>
              </w:rPr>
              <w:t>4.2.1. 各部门对于获取的环境、职业健康安全方面的法律法规和其他要求，由本部门负责人确认适用的章节或条款，报综合部审核确认后，填写《法律、法规及其它要求清单》，并明确适用的章节或条款，并确定将法律法规的要求如何应用于公司所识别的环境因素及危险源，公司在建立、实施和保持环境、职业健康安全管理体系时，应对适用的法律法规予以考虑。</w:t>
            </w:r>
          </w:p>
          <w:p>
            <w:pPr>
              <w:spacing w:line="360" w:lineRule="exact"/>
              <w:rPr>
                <w:rFonts w:ascii="宋体" w:hAnsi="宋体"/>
                <w:color w:val="000000"/>
                <w:szCs w:val="21"/>
              </w:rPr>
            </w:pPr>
            <w:r>
              <w:rPr>
                <w:rFonts w:hint="eastAsia" w:ascii="宋体" w:hAnsi="宋体"/>
                <w:color w:val="000000"/>
                <w:szCs w:val="21"/>
              </w:rPr>
              <w:t>4.2.2. 当现行的环境、职业健康安全方面的法律法规和其他要求更改时，应重新确认并对环境因素、危险源和与之有关的过程或活动进行再次识别和评价。</w:t>
            </w:r>
          </w:p>
          <w:p>
            <w:pPr>
              <w:spacing w:line="360" w:lineRule="exact"/>
              <w:rPr>
                <w:rFonts w:ascii="宋体" w:hAnsi="宋体"/>
                <w:color w:val="000000"/>
                <w:szCs w:val="21"/>
              </w:rPr>
            </w:pPr>
            <w:r>
              <w:rPr>
                <w:rFonts w:hint="eastAsia" w:ascii="宋体" w:hAnsi="宋体"/>
                <w:color w:val="000000"/>
                <w:szCs w:val="21"/>
              </w:rPr>
              <w:t>4.2.3. 对确认生效的法律法规和其他要求，由综合部进行汇总、登记于《法律、法规及其他要求清单》中，根据需要及时发放到相关部门和车间，具体按《文件控制程序》的有关规定执行。</w:t>
            </w:r>
          </w:p>
          <w:p>
            <w:pPr>
              <w:spacing w:line="360" w:lineRule="exact"/>
              <w:rPr>
                <w:rFonts w:ascii="宋体" w:hAnsi="宋体"/>
                <w:color w:val="000000"/>
                <w:szCs w:val="21"/>
              </w:rPr>
            </w:pPr>
            <w:r>
              <w:rPr>
                <w:rFonts w:hint="eastAsia" w:ascii="宋体" w:hAnsi="宋体"/>
                <w:color w:val="000000"/>
                <w:szCs w:val="21"/>
              </w:rPr>
              <w:t>4.2.4. 各部门及车间要结合自己所承担的职责和工作内容组织相关人员对相关法律、法规、标准的学习、宣传或培训，具体执行</w:t>
            </w:r>
            <w:r>
              <w:rPr>
                <w:rFonts w:hint="eastAsia" w:ascii="宋体" w:hAnsi="宋体"/>
                <w:szCs w:val="21"/>
              </w:rPr>
              <w:t>《人力资源控制程序》</w:t>
            </w:r>
            <w:r>
              <w:rPr>
                <w:rFonts w:hint="eastAsia" w:ascii="宋体" w:hAnsi="宋体"/>
                <w:color w:val="000000"/>
                <w:szCs w:val="21"/>
              </w:rPr>
              <w:t>。</w:t>
            </w:r>
          </w:p>
          <w:p>
            <w:pPr>
              <w:spacing w:line="360" w:lineRule="exact"/>
              <w:rPr>
                <w:rFonts w:ascii="宋体" w:hAnsi="宋体"/>
                <w:b/>
                <w:color w:val="000000"/>
                <w:szCs w:val="21"/>
              </w:rPr>
            </w:pPr>
            <w:r>
              <w:rPr>
                <w:rFonts w:hint="eastAsia" w:ascii="宋体" w:hAnsi="宋体"/>
                <w:b/>
                <w:color w:val="000000"/>
                <w:szCs w:val="21"/>
              </w:rPr>
              <w:t>4.3. 法律法规和其他要求的更新</w:t>
            </w:r>
          </w:p>
          <w:p>
            <w:pPr>
              <w:spacing w:line="360" w:lineRule="exact"/>
              <w:rPr>
                <w:rFonts w:ascii="宋体" w:hAnsi="宋体"/>
                <w:color w:val="000000"/>
                <w:szCs w:val="21"/>
              </w:rPr>
            </w:pPr>
            <w:r>
              <w:rPr>
                <w:rFonts w:hint="eastAsia" w:ascii="宋体" w:hAnsi="宋体"/>
                <w:color w:val="000000"/>
                <w:szCs w:val="21"/>
              </w:rPr>
              <w:t>4.3.1. 对已失效的法律法规、规范、标准及其他要求，各责任部门必须按《文件控制程序》的有关规定进行处理，同时更新最新版本的法律法规及其他要求，并将更新后的信息及时传达到公司有关部门及其他相关方，以便于执行。</w:t>
            </w:r>
          </w:p>
          <w:p>
            <w:pPr>
              <w:spacing w:line="360" w:lineRule="exact"/>
              <w:rPr>
                <w:rFonts w:ascii="宋体" w:hAnsi="宋体"/>
                <w:color w:val="000000"/>
                <w:szCs w:val="21"/>
              </w:rPr>
            </w:pPr>
            <w:r>
              <w:rPr>
                <w:rFonts w:hint="eastAsia" w:ascii="宋体" w:hAnsi="宋体"/>
                <w:b/>
                <w:color w:val="000000"/>
                <w:szCs w:val="21"/>
              </w:rPr>
              <w:t xml:space="preserve">4.4. </w:t>
            </w:r>
            <w:r>
              <w:rPr>
                <w:rFonts w:hint="eastAsia" w:ascii="宋体" w:hAnsi="宋体"/>
                <w:color w:val="000000"/>
                <w:szCs w:val="21"/>
              </w:rPr>
              <w:t>综合部会同其他部门每季度对法律法规的遵循情况及其符合性进行一次集中检查及评价，具体执行《合规性评价控制程序》，发现不符合按《改进控制程序》的有关规定执行。</w:t>
            </w:r>
          </w:p>
          <w:p>
            <w:pPr>
              <w:spacing w:line="360" w:lineRule="exact"/>
              <w:rPr>
                <w:rFonts w:ascii="宋体" w:hAnsi="宋体"/>
                <w:b/>
                <w:color w:val="000000"/>
                <w:szCs w:val="21"/>
              </w:rPr>
            </w:pPr>
            <w:r>
              <w:rPr>
                <w:rFonts w:hint="eastAsia" w:ascii="宋体" w:hAnsi="宋体"/>
                <w:b/>
                <w:color w:val="000000"/>
                <w:szCs w:val="21"/>
              </w:rPr>
              <w:t>5. 相关／支持性文件</w:t>
            </w:r>
          </w:p>
          <w:p>
            <w:pPr>
              <w:spacing w:line="360" w:lineRule="exact"/>
              <w:rPr>
                <w:rFonts w:ascii="宋体" w:hAnsi="宋体"/>
                <w:color w:val="000000"/>
                <w:szCs w:val="21"/>
              </w:rPr>
            </w:pPr>
            <w:r>
              <w:rPr>
                <w:rFonts w:hint="eastAsia" w:ascii="宋体" w:hAnsi="宋体"/>
                <w:color w:val="000000"/>
                <w:szCs w:val="21"/>
              </w:rPr>
              <w:t>5.1. 《文件控制程序》</w:t>
            </w:r>
          </w:p>
          <w:p>
            <w:pPr>
              <w:spacing w:line="360" w:lineRule="exact"/>
              <w:rPr>
                <w:rFonts w:ascii="宋体" w:hAnsi="宋体"/>
                <w:color w:val="000000"/>
                <w:szCs w:val="21"/>
              </w:rPr>
            </w:pPr>
            <w:r>
              <w:rPr>
                <w:rFonts w:hint="eastAsia" w:ascii="宋体" w:hAnsi="宋体"/>
                <w:color w:val="000000"/>
                <w:szCs w:val="21"/>
              </w:rPr>
              <w:t xml:space="preserve">5.2. </w:t>
            </w:r>
            <w:r>
              <w:rPr>
                <w:rFonts w:hint="eastAsia" w:ascii="宋体" w:hAnsi="宋体"/>
                <w:szCs w:val="21"/>
              </w:rPr>
              <w:t>《人力资源控制程序》</w:t>
            </w:r>
          </w:p>
          <w:p>
            <w:pPr>
              <w:spacing w:line="360" w:lineRule="exact"/>
              <w:rPr>
                <w:rFonts w:ascii="宋体" w:hAnsi="宋体"/>
                <w:color w:val="000000"/>
                <w:szCs w:val="21"/>
              </w:rPr>
            </w:pPr>
            <w:r>
              <w:rPr>
                <w:rFonts w:hint="eastAsia" w:ascii="宋体" w:hAnsi="宋体"/>
                <w:color w:val="000000"/>
                <w:szCs w:val="21"/>
              </w:rPr>
              <w:t>5.3. 《合规性评价控制程序》</w:t>
            </w:r>
          </w:p>
          <w:p>
            <w:pPr>
              <w:spacing w:line="360" w:lineRule="exact"/>
              <w:rPr>
                <w:rFonts w:ascii="宋体" w:hAnsi="宋体"/>
                <w:color w:val="000000"/>
                <w:szCs w:val="21"/>
              </w:rPr>
            </w:pPr>
            <w:r>
              <w:rPr>
                <w:rFonts w:hint="eastAsia" w:ascii="宋体" w:hAnsi="宋体"/>
                <w:color w:val="000000"/>
                <w:szCs w:val="21"/>
              </w:rPr>
              <w:t>5.4. 《改进控制程序》</w:t>
            </w:r>
          </w:p>
          <w:p>
            <w:pPr>
              <w:spacing w:line="360" w:lineRule="exact"/>
              <w:rPr>
                <w:rFonts w:ascii="宋体" w:hAnsi="宋体"/>
                <w:b/>
                <w:color w:val="000000"/>
                <w:szCs w:val="21"/>
              </w:rPr>
            </w:pPr>
            <w:r>
              <w:rPr>
                <w:rFonts w:hint="eastAsia" w:ascii="宋体" w:hAnsi="宋体"/>
                <w:b/>
                <w:color w:val="000000"/>
                <w:szCs w:val="21"/>
              </w:rPr>
              <w:t>6. 记录</w:t>
            </w:r>
          </w:p>
          <w:p>
            <w:pPr>
              <w:spacing w:line="360" w:lineRule="exact"/>
              <w:rPr>
                <w:rFonts w:ascii="宋体" w:hAnsi="宋体"/>
                <w:color w:val="000000"/>
                <w:szCs w:val="21"/>
              </w:rPr>
            </w:pPr>
            <w:r>
              <w:rPr>
                <w:rFonts w:hint="eastAsia" w:ascii="宋体" w:hAnsi="宋体"/>
                <w:color w:val="000000"/>
                <w:szCs w:val="21"/>
              </w:rPr>
              <w:t>6.1. 《法律、法规及其他要求清单》</w:t>
            </w: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tc>
      </w:tr>
    </w:tbl>
    <w:p/>
    <w:p/>
    <w:p/>
    <w:p/>
    <w:p/>
    <w:p/>
    <w:p/>
    <w:p/>
    <w:p/>
    <w:p/>
    <w:p/>
    <w:p/>
    <w:tbl>
      <w:tblPr>
        <w:tblStyle w:val="9"/>
        <w:tblW w:w="992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42"/>
        <w:gridCol w:w="1701"/>
        <w:gridCol w:w="15"/>
        <w:gridCol w:w="2835"/>
        <w:gridCol w:w="1470"/>
        <w:gridCol w:w="210"/>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2694" w:type="dxa"/>
            <w:vMerge w:val="restart"/>
            <w:vAlign w:val="center"/>
          </w:tcPr>
          <w:p>
            <w:pPr>
              <w:jc w:val="center"/>
              <w:rPr>
                <w:rFonts w:eastAsia="黑体"/>
                <w:b/>
                <w:sz w:val="36"/>
              </w:rPr>
            </w:pPr>
          </w:p>
        </w:tc>
        <w:tc>
          <w:tcPr>
            <w:tcW w:w="1858" w:type="dxa"/>
            <w:gridSpan w:val="3"/>
            <w:vAlign w:val="center"/>
          </w:tcPr>
          <w:p>
            <w:pPr>
              <w:jc w:val="center"/>
              <w:rPr>
                <w:rFonts w:ascii="宋体"/>
                <w:b/>
                <w:sz w:val="28"/>
              </w:rPr>
            </w:pPr>
            <w:r>
              <w:rPr>
                <w:rFonts w:hint="eastAsia" w:ascii="宋体"/>
                <w:b/>
                <w:sz w:val="28"/>
              </w:rPr>
              <w:t>文件名称</w:t>
            </w:r>
          </w:p>
        </w:tc>
        <w:tc>
          <w:tcPr>
            <w:tcW w:w="2835" w:type="dxa"/>
            <w:vAlign w:val="center"/>
          </w:tcPr>
          <w:p>
            <w:pPr>
              <w:jc w:val="center"/>
              <w:rPr>
                <w:rFonts w:ascii="宋体"/>
                <w:b/>
                <w:sz w:val="28"/>
              </w:rPr>
            </w:pPr>
            <w:r>
              <w:rPr>
                <w:rFonts w:hint="eastAsia" w:ascii="宋体"/>
                <w:b/>
                <w:sz w:val="28"/>
              </w:rPr>
              <w:t>记录控制程序</w:t>
            </w:r>
          </w:p>
        </w:tc>
        <w:tc>
          <w:tcPr>
            <w:tcW w:w="1470" w:type="dxa"/>
            <w:vAlign w:val="center"/>
          </w:tcPr>
          <w:p>
            <w:pPr>
              <w:jc w:val="center"/>
              <w:rPr>
                <w:rFonts w:ascii="宋体"/>
                <w:b/>
                <w:sz w:val="28"/>
              </w:rPr>
            </w:pPr>
            <w:r>
              <w:rPr>
                <w:rFonts w:hint="eastAsia" w:ascii="宋体"/>
                <w:b/>
                <w:sz w:val="28"/>
              </w:rPr>
              <w:t>版次</w:t>
            </w:r>
          </w:p>
        </w:tc>
        <w:tc>
          <w:tcPr>
            <w:tcW w:w="1066" w:type="dxa"/>
            <w:gridSpan w:val="2"/>
            <w:vAlign w:val="center"/>
          </w:tcPr>
          <w:p>
            <w:pPr>
              <w:jc w:val="center"/>
              <w:rPr>
                <w:rFonts w:ascii="宋体"/>
                <w:b/>
                <w:sz w:val="28"/>
              </w:rPr>
            </w:pPr>
            <w:r>
              <w:rPr>
                <w:rFonts w:hint="eastAsia" w:ascii="宋体"/>
                <w:b/>
                <w:sz w:val="2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2694" w:type="dxa"/>
            <w:vMerge w:val="continue"/>
            <w:vAlign w:val="center"/>
          </w:tcPr>
          <w:p>
            <w:pPr>
              <w:spacing w:line="400" w:lineRule="exact"/>
              <w:jc w:val="center"/>
              <w:rPr>
                <w:rFonts w:eastAsia="黑体"/>
                <w:b/>
              </w:rPr>
            </w:pPr>
          </w:p>
        </w:tc>
        <w:tc>
          <w:tcPr>
            <w:tcW w:w="1858" w:type="dxa"/>
            <w:gridSpan w:val="3"/>
            <w:vAlign w:val="center"/>
          </w:tcPr>
          <w:p>
            <w:pPr>
              <w:spacing w:line="400" w:lineRule="exact"/>
              <w:jc w:val="center"/>
              <w:rPr>
                <w:rFonts w:ascii="宋体"/>
                <w:b/>
                <w:sz w:val="28"/>
              </w:rPr>
            </w:pPr>
            <w:r>
              <w:rPr>
                <w:rFonts w:hint="eastAsia" w:ascii="宋体"/>
                <w:b/>
                <w:sz w:val="28"/>
              </w:rPr>
              <w:t>文件编号</w:t>
            </w:r>
          </w:p>
        </w:tc>
        <w:tc>
          <w:tcPr>
            <w:tcW w:w="2835" w:type="dxa"/>
            <w:vAlign w:val="center"/>
          </w:tcPr>
          <w:p>
            <w:pPr>
              <w:spacing w:line="400" w:lineRule="exact"/>
              <w:jc w:val="center"/>
              <w:rPr>
                <w:rFonts w:ascii="宋体"/>
                <w:b/>
                <w:sz w:val="28"/>
              </w:rPr>
            </w:pPr>
            <w:r>
              <w:rPr>
                <w:rFonts w:hint="eastAsia" w:ascii="宋体"/>
                <w:b/>
                <w:sz w:val="28"/>
              </w:rPr>
              <w:t>LQY-P-07</w:t>
            </w:r>
          </w:p>
        </w:tc>
        <w:tc>
          <w:tcPr>
            <w:tcW w:w="1470" w:type="dxa"/>
            <w:vAlign w:val="center"/>
          </w:tcPr>
          <w:p>
            <w:pPr>
              <w:spacing w:line="400" w:lineRule="exact"/>
              <w:jc w:val="center"/>
              <w:rPr>
                <w:rFonts w:ascii="宋体"/>
                <w:b/>
                <w:sz w:val="28"/>
              </w:rPr>
            </w:pPr>
            <w:r>
              <w:rPr>
                <w:rFonts w:hint="eastAsia" w:ascii="宋体"/>
                <w:b/>
                <w:sz w:val="28"/>
              </w:rPr>
              <w:t>修改</w:t>
            </w:r>
          </w:p>
          <w:p>
            <w:pPr>
              <w:spacing w:line="400" w:lineRule="exact"/>
              <w:jc w:val="center"/>
              <w:rPr>
                <w:rFonts w:ascii="宋体"/>
                <w:b/>
                <w:sz w:val="28"/>
              </w:rPr>
            </w:pPr>
            <w:r>
              <w:rPr>
                <w:rFonts w:hint="eastAsia" w:ascii="宋体"/>
                <w:b/>
                <w:sz w:val="28"/>
              </w:rPr>
              <w:t>状态</w:t>
            </w:r>
          </w:p>
        </w:tc>
        <w:tc>
          <w:tcPr>
            <w:tcW w:w="1066" w:type="dxa"/>
            <w:gridSpan w:val="2"/>
            <w:vAlign w:val="center"/>
          </w:tcPr>
          <w:p>
            <w:pPr>
              <w:jc w:val="center"/>
              <w:rPr>
                <w:rFonts w:ascii="宋体"/>
                <w:b/>
                <w:sz w:val="28"/>
              </w:rPr>
            </w:pPr>
            <w:r>
              <w:rPr>
                <w:rFonts w:hint="eastAsia" w:ascii="宋体"/>
                <w:b/>
                <w:sz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9923" w:type="dxa"/>
            <w:gridSpan w:val="8"/>
          </w:tcPr>
          <w:p>
            <w:pPr>
              <w:numPr>
                <w:ilvl w:val="0"/>
                <w:numId w:val="7"/>
              </w:numPr>
              <w:spacing w:line="320" w:lineRule="exact"/>
              <w:jc w:val="left"/>
            </w:pPr>
            <w:r>
              <w:rPr>
                <w:rFonts w:hint="eastAsia"/>
              </w:rPr>
              <w:t>目的</w:t>
            </w:r>
          </w:p>
          <w:p>
            <w:pPr>
              <w:spacing w:line="320" w:lineRule="exact"/>
              <w:ind w:firstLine="570"/>
              <w:rPr>
                <w:color w:val="000000"/>
                <w:szCs w:val="21"/>
              </w:rPr>
            </w:pPr>
            <w:r>
              <w:rPr>
                <w:rFonts w:hint="eastAsia"/>
                <w:color w:val="000000"/>
                <w:szCs w:val="21"/>
              </w:rPr>
              <w:t>对管理体系运行所产生的记录进行有效的控制，为证明管理体系有效运行提供有效的客观证据。</w:t>
            </w:r>
          </w:p>
          <w:p>
            <w:pPr>
              <w:numPr>
                <w:ilvl w:val="0"/>
                <w:numId w:val="7"/>
              </w:numPr>
              <w:spacing w:line="320" w:lineRule="exact"/>
              <w:jc w:val="left"/>
            </w:pPr>
            <w:r>
              <w:rPr>
                <w:rFonts w:hint="eastAsia"/>
              </w:rPr>
              <w:t>适用范围：</w:t>
            </w:r>
          </w:p>
          <w:p>
            <w:pPr>
              <w:spacing w:line="320" w:lineRule="exact"/>
              <w:ind w:firstLine="420" w:firstLineChars="200"/>
              <w:rPr>
                <w:color w:val="000000"/>
                <w:szCs w:val="21"/>
              </w:rPr>
            </w:pPr>
            <w:r>
              <w:rPr>
                <w:rFonts w:hint="eastAsia"/>
                <w:color w:val="000000"/>
                <w:szCs w:val="21"/>
              </w:rPr>
              <w:t>适用于管理体系记录的标识、收集、保存、编目、检索和处置等的控制。</w:t>
            </w:r>
          </w:p>
          <w:p>
            <w:pPr>
              <w:numPr>
                <w:ilvl w:val="0"/>
                <w:numId w:val="7"/>
              </w:numPr>
              <w:spacing w:line="320" w:lineRule="exact"/>
              <w:jc w:val="left"/>
            </w:pPr>
            <w:r>
              <w:rPr>
                <w:rFonts w:hint="eastAsia"/>
              </w:rPr>
              <w:t>职责</w:t>
            </w:r>
          </w:p>
          <w:p>
            <w:pPr>
              <w:spacing w:line="320" w:lineRule="exact"/>
              <w:rPr>
                <w:color w:val="000000"/>
                <w:szCs w:val="21"/>
              </w:rPr>
            </w:pPr>
            <w:r>
              <w:rPr>
                <w:color w:val="000000"/>
                <w:szCs w:val="21"/>
              </w:rPr>
              <w:t xml:space="preserve">3.1 </w:t>
            </w:r>
            <w:r>
              <w:rPr>
                <w:rFonts w:hint="eastAsia"/>
                <w:color w:val="000000"/>
                <w:szCs w:val="21"/>
              </w:rPr>
              <w:t>综合部编写《记录一览表》，备案各类记录样表；</w:t>
            </w:r>
          </w:p>
          <w:p>
            <w:pPr>
              <w:spacing w:line="320" w:lineRule="exact"/>
              <w:rPr>
                <w:color w:val="000000"/>
                <w:szCs w:val="21"/>
              </w:rPr>
            </w:pPr>
            <w:r>
              <w:rPr>
                <w:color w:val="000000"/>
                <w:szCs w:val="21"/>
              </w:rPr>
              <w:t xml:space="preserve">3.2 </w:t>
            </w:r>
            <w:r>
              <w:rPr>
                <w:rFonts w:hint="eastAsia"/>
                <w:color w:val="000000"/>
                <w:szCs w:val="21"/>
              </w:rPr>
              <w:t>各部门负责本部门记录的收集、标识、保管和归档；</w:t>
            </w:r>
          </w:p>
          <w:p>
            <w:pPr>
              <w:spacing w:line="320" w:lineRule="exact"/>
              <w:rPr>
                <w:color w:val="000000"/>
                <w:szCs w:val="21"/>
              </w:rPr>
            </w:pPr>
            <w:r>
              <w:rPr>
                <w:rFonts w:hint="eastAsia"/>
                <w:color w:val="000000"/>
                <w:szCs w:val="21"/>
              </w:rPr>
              <w:t>3.3 综合部负责各部门移交的记录的保管。</w:t>
            </w:r>
          </w:p>
          <w:p>
            <w:pPr>
              <w:spacing w:line="320" w:lineRule="exact"/>
              <w:jc w:val="left"/>
              <w:rPr>
                <w:szCs w:val="21"/>
              </w:rPr>
            </w:pPr>
            <w:r>
              <w:rPr>
                <w:rFonts w:hint="eastAsia"/>
                <w:szCs w:val="21"/>
              </w:rPr>
              <w:t>3.4记录填写人应认真、准确填写每一项记录。</w:t>
            </w:r>
          </w:p>
          <w:p>
            <w:pPr>
              <w:numPr>
                <w:ilvl w:val="0"/>
                <w:numId w:val="7"/>
              </w:numPr>
              <w:spacing w:line="320" w:lineRule="exact"/>
              <w:jc w:val="left"/>
            </w:pPr>
            <w:r>
              <w:rPr>
                <w:rFonts w:hint="eastAsia"/>
              </w:rPr>
              <w:t>定义：</w:t>
            </w:r>
          </w:p>
          <w:p>
            <w:pPr>
              <w:spacing w:line="320" w:lineRule="exact"/>
              <w:ind w:left="315"/>
              <w:jc w:val="left"/>
            </w:pPr>
            <w:r>
              <w:rPr>
                <w:rFonts w:hint="eastAsia"/>
              </w:rPr>
              <w:t>记录：为了记载体系的落实执行情况及维持体系运作的佐证资料。</w:t>
            </w:r>
          </w:p>
          <w:p>
            <w:pPr>
              <w:numPr>
                <w:ilvl w:val="0"/>
                <w:numId w:val="7"/>
              </w:numPr>
              <w:spacing w:line="320" w:lineRule="exact"/>
              <w:jc w:val="left"/>
            </w:pPr>
            <w:r>
              <w:rPr>
                <w:rFonts w:hint="eastAsia"/>
              </w:rPr>
              <w:t>工作程序：</w:t>
            </w:r>
          </w:p>
          <w:p>
            <w:pPr>
              <w:spacing w:line="320" w:lineRule="exact"/>
              <w:jc w:val="left"/>
            </w:pPr>
            <w:r>
              <w:rPr>
                <w:rFonts w:hint="eastAsia"/>
              </w:rPr>
              <w:t>5.1流程图（见附件）；</w:t>
            </w:r>
          </w:p>
          <w:p>
            <w:pPr>
              <w:spacing w:line="320" w:lineRule="exact"/>
              <w:jc w:val="left"/>
            </w:pPr>
            <w:r>
              <w:rPr>
                <w:rFonts w:hint="eastAsia"/>
              </w:rPr>
              <w:t>5.2标识</w:t>
            </w:r>
          </w:p>
          <w:p>
            <w:pPr>
              <w:spacing w:line="320" w:lineRule="exact"/>
              <w:jc w:val="left"/>
            </w:pPr>
            <w:r>
              <w:rPr>
                <w:rFonts w:hint="eastAsia"/>
              </w:rPr>
              <w:t>5.2.1记录的标识，即：记录名称和编号；</w:t>
            </w:r>
          </w:p>
          <w:p>
            <w:pPr>
              <w:spacing w:line="320" w:lineRule="exact"/>
              <w:jc w:val="left"/>
            </w:pPr>
            <w:r>
              <w:rPr>
                <w:rFonts w:hint="eastAsia"/>
              </w:rPr>
              <w:t>5.2.2相关部门负责该种记录标识，且每种记录只有一种标识，记录编号方法见《文件和资料控制程序》。</w:t>
            </w:r>
          </w:p>
          <w:p>
            <w:pPr>
              <w:spacing w:line="320" w:lineRule="exact"/>
              <w:jc w:val="left"/>
            </w:pPr>
            <w:r>
              <w:rPr>
                <w:rFonts w:hint="eastAsia"/>
              </w:rPr>
              <w:t>5.3贮存和保护</w:t>
            </w:r>
          </w:p>
          <w:p>
            <w:pPr>
              <w:spacing w:line="320" w:lineRule="exact"/>
              <w:jc w:val="left"/>
            </w:pPr>
            <w:r>
              <w:rPr>
                <w:rFonts w:hint="eastAsia"/>
              </w:rPr>
              <w:t>5.3.1各部门建立本部门《记录一览表》，综合部建立公司《记录一览表》，以便于控制；</w:t>
            </w:r>
          </w:p>
          <w:p>
            <w:pPr>
              <w:spacing w:line="320" w:lineRule="exact"/>
              <w:jc w:val="left"/>
            </w:pPr>
            <w:r>
              <w:rPr>
                <w:rFonts w:hint="eastAsia"/>
              </w:rPr>
              <w:t>5.3.2贮存的记录要专人专柜，如档案架、柜等；</w:t>
            </w:r>
          </w:p>
          <w:p>
            <w:pPr>
              <w:spacing w:line="320" w:lineRule="exact"/>
              <w:jc w:val="left"/>
            </w:pPr>
            <w:r>
              <w:rPr>
                <w:rFonts w:hint="eastAsia"/>
              </w:rPr>
              <w:t>5.3.3为使记录便于检索，各部门要定期存档（一般可每月存一次），并以时间先后顺序存放；</w:t>
            </w:r>
          </w:p>
          <w:p>
            <w:pPr>
              <w:spacing w:line="320" w:lineRule="exact"/>
              <w:jc w:val="left"/>
            </w:pPr>
            <w:r>
              <w:rPr>
                <w:rFonts w:hint="eastAsia"/>
              </w:rPr>
              <w:t>5.3.4要有适宜的环境贮存，并且防止损坏、变质和丢失。</w:t>
            </w:r>
          </w:p>
          <w:p>
            <w:pPr>
              <w:spacing w:line="320" w:lineRule="exact"/>
              <w:rPr>
                <w:color w:val="000000"/>
                <w:szCs w:val="21"/>
              </w:rPr>
            </w:pPr>
            <w:r>
              <w:rPr>
                <w:rFonts w:hint="eastAsia"/>
                <w:color w:val="000000"/>
                <w:szCs w:val="21"/>
              </w:rPr>
              <w:t>5.3.5电子文档类的记录的控制按照《文件控制程序》中对电子文件的规定执行。</w:t>
            </w:r>
          </w:p>
          <w:p>
            <w:pPr>
              <w:spacing w:line="320" w:lineRule="exact"/>
              <w:jc w:val="left"/>
            </w:pPr>
            <w:r>
              <w:rPr>
                <w:rFonts w:hint="eastAsia"/>
              </w:rPr>
              <w:t>5.4借阅</w:t>
            </w:r>
          </w:p>
          <w:p>
            <w:pPr>
              <w:spacing w:line="320" w:lineRule="exact"/>
              <w:jc w:val="left"/>
            </w:pPr>
            <w:r>
              <w:rPr>
                <w:rFonts w:hint="eastAsia"/>
              </w:rPr>
              <w:t>5.4.1机密记录需有关部门指派专人保存，借阅需主管领导同意；</w:t>
            </w:r>
          </w:p>
          <w:p>
            <w:pPr>
              <w:spacing w:line="320" w:lineRule="exact"/>
              <w:jc w:val="left"/>
            </w:pPr>
            <w:r>
              <w:rPr>
                <w:rFonts w:hint="eastAsia"/>
              </w:rPr>
              <w:t>5.4.2非机密记录外借由部门负责人同意即可。</w:t>
            </w:r>
          </w:p>
          <w:p>
            <w:pPr>
              <w:spacing w:line="320" w:lineRule="exact"/>
            </w:pPr>
            <w:r>
              <w:rPr>
                <w:rFonts w:hint="eastAsia"/>
              </w:rPr>
              <w:t>5.5记录的填写</w:t>
            </w:r>
          </w:p>
          <w:p>
            <w:pPr>
              <w:spacing w:line="320" w:lineRule="exact"/>
              <w:rPr>
                <w:color w:val="000000"/>
                <w:szCs w:val="21"/>
              </w:rPr>
            </w:pPr>
            <w:r>
              <w:rPr>
                <w:rFonts w:hint="eastAsia"/>
                <w:color w:val="000000"/>
                <w:szCs w:val="21"/>
                <w:lang w:val="en-GB"/>
              </w:rPr>
              <w:t>5.5.1</w:t>
            </w:r>
            <w:r>
              <w:rPr>
                <w:rFonts w:hint="eastAsia"/>
                <w:color w:val="000000"/>
                <w:szCs w:val="21"/>
              </w:rPr>
              <w:t>及时、正确、完整、字迹清晰、易于识别；</w:t>
            </w:r>
          </w:p>
          <w:p>
            <w:pPr>
              <w:spacing w:line="320" w:lineRule="exact"/>
              <w:rPr>
                <w:color w:val="000000"/>
                <w:szCs w:val="21"/>
              </w:rPr>
            </w:pPr>
            <w:r>
              <w:rPr>
                <w:rFonts w:hint="eastAsia"/>
                <w:color w:val="000000"/>
                <w:szCs w:val="21"/>
              </w:rPr>
              <w:t>5.5.2不得随意涂改，如需要更改，须在原错误处用横线划掉，在旁边填写正确的内容，重要数据应标注更改人的姓名和更改日期；</w:t>
            </w:r>
            <w:r>
              <w:rPr>
                <w:rFonts w:hint="eastAsia"/>
                <w:szCs w:val="21"/>
              </w:rPr>
              <w:t>不得用修正液涂改。</w:t>
            </w:r>
          </w:p>
          <w:p>
            <w:pPr>
              <w:spacing w:line="320" w:lineRule="exact"/>
              <w:jc w:val="left"/>
              <w:rPr>
                <w:szCs w:val="21"/>
              </w:rPr>
            </w:pPr>
            <w:r>
              <w:rPr>
                <w:rFonts w:hint="eastAsia"/>
                <w:color w:val="000000"/>
                <w:szCs w:val="21"/>
                <w:lang w:val="en-GB"/>
              </w:rPr>
              <w:t>5.5.3</w:t>
            </w:r>
            <w:r>
              <w:rPr>
                <w:rFonts w:hint="eastAsia"/>
                <w:color w:val="000000"/>
                <w:szCs w:val="21"/>
              </w:rPr>
              <w:t>不得用红色笔或铅笔填写记录。</w:t>
            </w:r>
          </w:p>
          <w:p>
            <w:pPr>
              <w:spacing w:line="320" w:lineRule="exact"/>
              <w:jc w:val="left"/>
            </w:pPr>
            <w:r>
              <w:rPr>
                <w:rFonts w:hint="eastAsia"/>
              </w:rPr>
              <w:t>5.6保存期限</w:t>
            </w:r>
          </w:p>
          <w:p>
            <w:pPr>
              <w:spacing w:line="320" w:lineRule="exact"/>
              <w:jc w:val="left"/>
            </w:pPr>
            <w:r>
              <w:rPr>
                <w:rFonts w:hint="eastAsia"/>
              </w:rPr>
              <w:t xml:space="preserve">   可分永久、长久（三至八年）、短期（半年至二年）三种，具体参考各程序规定。</w:t>
            </w:r>
          </w:p>
          <w:p>
            <w:pPr>
              <w:spacing w:line="320" w:lineRule="exact"/>
              <w:jc w:val="left"/>
            </w:pPr>
            <w:r>
              <w:rPr>
                <w:rFonts w:hint="eastAsia"/>
              </w:rPr>
              <w:t>5.7超期处理</w:t>
            </w:r>
          </w:p>
          <w:p>
            <w:pPr>
              <w:spacing w:line="320" w:lineRule="exact"/>
              <w:jc w:val="left"/>
            </w:pPr>
            <w:r>
              <w:rPr>
                <w:rFonts w:hint="eastAsia"/>
              </w:rPr>
              <w:t xml:space="preserve">   对于超期记录，各部门主管同意后自行销毁，体系管理有关记录（如内审、管理评审等）经管理者代表批准后销毁。</w:t>
            </w:r>
          </w:p>
          <w:p>
            <w:pPr>
              <w:numPr>
                <w:ilvl w:val="0"/>
                <w:numId w:val="7"/>
              </w:numPr>
              <w:spacing w:line="320" w:lineRule="exact"/>
              <w:jc w:val="left"/>
            </w:pPr>
            <w:r>
              <w:rPr>
                <w:rFonts w:hint="eastAsia"/>
              </w:rPr>
              <w:t>相关/支持性文件</w:t>
            </w:r>
          </w:p>
          <w:p>
            <w:pPr>
              <w:spacing w:line="320" w:lineRule="exact"/>
              <w:jc w:val="left"/>
            </w:pPr>
            <w:r>
              <w:rPr>
                <w:rFonts w:hint="eastAsia"/>
              </w:rPr>
              <w:t>6.1文件和资料控制程序</w:t>
            </w:r>
          </w:p>
          <w:p>
            <w:pPr>
              <w:spacing w:line="320" w:lineRule="exact"/>
              <w:jc w:val="left"/>
            </w:pPr>
            <w:r>
              <w:rPr>
                <w:rFonts w:hint="eastAsia"/>
              </w:rPr>
              <w:t>7、记录                               编号            版本          保存期限</w:t>
            </w:r>
          </w:p>
          <w:p>
            <w:pPr>
              <w:spacing w:line="320" w:lineRule="exact"/>
              <w:jc w:val="left"/>
            </w:pPr>
            <w:r>
              <w:rPr>
                <w:rFonts w:hint="eastAsia"/>
              </w:rPr>
              <w:t>7.1记录一览表                       LQY-P-02-01         01            三年</w:t>
            </w:r>
          </w:p>
          <w:p>
            <w:pPr>
              <w:spacing w:line="320" w:lineRule="exact"/>
              <w:jc w:val="left"/>
            </w:pPr>
            <w:r>
              <w:rPr>
                <w:rFonts w:hint="eastAsia"/>
              </w:rPr>
              <w:t>7.2记录过期处理审批单               LQY-P-02-02         01            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2836" w:type="dxa"/>
            <w:gridSpan w:val="2"/>
            <w:vMerge w:val="restart"/>
            <w:vAlign w:val="center"/>
          </w:tcPr>
          <w:p>
            <w:pPr>
              <w:jc w:val="center"/>
              <w:rPr>
                <w:rFonts w:eastAsia="黑体"/>
                <w:b/>
                <w:sz w:val="36"/>
              </w:rPr>
            </w:pPr>
          </w:p>
        </w:tc>
        <w:tc>
          <w:tcPr>
            <w:tcW w:w="1701" w:type="dxa"/>
            <w:vAlign w:val="center"/>
          </w:tcPr>
          <w:p>
            <w:pPr>
              <w:jc w:val="center"/>
              <w:rPr>
                <w:rFonts w:ascii="宋体"/>
                <w:b/>
                <w:sz w:val="30"/>
              </w:rPr>
            </w:pPr>
            <w:r>
              <w:rPr>
                <w:rFonts w:hint="eastAsia" w:ascii="宋体"/>
                <w:b/>
                <w:sz w:val="30"/>
              </w:rPr>
              <w:t>文件名称</w:t>
            </w:r>
          </w:p>
        </w:tc>
        <w:tc>
          <w:tcPr>
            <w:tcW w:w="2850" w:type="dxa"/>
            <w:gridSpan w:val="2"/>
            <w:vAlign w:val="center"/>
          </w:tcPr>
          <w:p>
            <w:pPr>
              <w:spacing w:line="400" w:lineRule="exact"/>
              <w:jc w:val="center"/>
              <w:rPr>
                <w:rFonts w:ascii="宋体"/>
                <w:b/>
                <w:sz w:val="30"/>
              </w:rPr>
            </w:pPr>
            <w:r>
              <w:rPr>
                <w:rFonts w:hint="eastAsia" w:ascii="宋体"/>
                <w:b/>
                <w:sz w:val="30"/>
              </w:rPr>
              <w:t>内部沟通管理程序</w:t>
            </w:r>
          </w:p>
        </w:tc>
        <w:tc>
          <w:tcPr>
            <w:tcW w:w="1680" w:type="dxa"/>
            <w:gridSpan w:val="2"/>
            <w:vAlign w:val="center"/>
          </w:tcPr>
          <w:p>
            <w:pPr>
              <w:spacing w:line="400" w:lineRule="exact"/>
              <w:jc w:val="center"/>
              <w:rPr>
                <w:rFonts w:ascii="宋体"/>
                <w:b/>
                <w:sz w:val="30"/>
              </w:rPr>
            </w:pPr>
            <w:r>
              <w:rPr>
                <w:rFonts w:hint="eastAsia" w:ascii="宋体"/>
                <w:b/>
                <w:sz w:val="30"/>
              </w:rPr>
              <w:t>版次</w:t>
            </w:r>
          </w:p>
        </w:tc>
        <w:tc>
          <w:tcPr>
            <w:tcW w:w="856" w:type="dxa"/>
            <w:vAlign w:val="center"/>
          </w:tcPr>
          <w:p>
            <w:pPr>
              <w:spacing w:line="400" w:lineRule="exact"/>
              <w:jc w:val="center"/>
              <w:rPr>
                <w:rFonts w:ascii="宋体"/>
                <w:b/>
                <w:sz w:val="30"/>
              </w:rPr>
            </w:pPr>
            <w:r>
              <w:rPr>
                <w:rFonts w:hint="eastAsia" w:ascii="宋体"/>
                <w:b/>
                <w:sz w:val="3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2836" w:type="dxa"/>
            <w:gridSpan w:val="2"/>
            <w:vMerge w:val="continue"/>
            <w:vAlign w:val="center"/>
          </w:tcPr>
          <w:p>
            <w:pPr>
              <w:spacing w:line="400" w:lineRule="exact"/>
              <w:jc w:val="center"/>
              <w:rPr>
                <w:rFonts w:eastAsia="黑体"/>
                <w:b/>
                <w:sz w:val="36"/>
              </w:rPr>
            </w:pPr>
          </w:p>
        </w:tc>
        <w:tc>
          <w:tcPr>
            <w:tcW w:w="1701" w:type="dxa"/>
            <w:vAlign w:val="center"/>
          </w:tcPr>
          <w:p>
            <w:pPr>
              <w:jc w:val="center"/>
              <w:rPr>
                <w:rFonts w:ascii="宋体"/>
                <w:b/>
                <w:sz w:val="30"/>
              </w:rPr>
            </w:pPr>
            <w:r>
              <w:rPr>
                <w:rFonts w:hint="eastAsia" w:ascii="宋体"/>
                <w:b/>
                <w:sz w:val="30"/>
              </w:rPr>
              <w:t>文件编号</w:t>
            </w:r>
          </w:p>
        </w:tc>
        <w:tc>
          <w:tcPr>
            <w:tcW w:w="2850" w:type="dxa"/>
            <w:gridSpan w:val="2"/>
            <w:vAlign w:val="center"/>
          </w:tcPr>
          <w:p>
            <w:pPr>
              <w:spacing w:line="400" w:lineRule="exact"/>
              <w:jc w:val="center"/>
              <w:rPr>
                <w:rFonts w:ascii="宋体"/>
                <w:b/>
                <w:sz w:val="30"/>
              </w:rPr>
            </w:pPr>
            <w:r>
              <w:rPr>
                <w:rFonts w:hint="eastAsia" w:ascii="宋体"/>
                <w:b/>
                <w:sz w:val="30"/>
              </w:rPr>
              <w:t>LQY-P-08</w:t>
            </w:r>
          </w:p>
        </w:tc>
        <w:tc>
          <w:tcPr>
            <w:tcW w:w="1680" w:type="dxa"/>
            <w:gridSpan w:val="2"/>
            <w:vAlign w:val="center"/>
          </w:tcPr>
          <w:p>
            <w:pPr>
              <w:spacing w:line="400" w:lineRule="exact"/>
              <w:jc w:val="center"/>
              <w:rPr>
                <w:rFonts w:ascii="宋体"/>
                <w:b/>
                <w:sz w:val="30"/>
              </w:rPr>
            </w:pPr>
            <w:r>
              <w:rPr>
                <w:rFonts w:hint="eastAsia" w:ascii="宋体"/>
                <w:b/>
                <w:sz w:val="30"/>
              </w:rPr>
              <w:t>修改</w:t>
            </w:r>
          </w:p>
          <w:p>
            <w:pPr>
              <w:spacing w:line="400" w:lineRule="exact"/>
              <w:jc w:val="center"/>
              <w:rPr>
                <w:rFonts w:ascii="宋体"/>
                <w:b/>
                <w:sz w:val="30"/>
              </w:rPr>
            </w:pPr>
            <w:r>
              <w:rPr>
                <w:rFonts w:hint="eastAsia" w:ascii="宋体"/>
                <w:b/>
                <w:sz w:val="30"/>
              </w:rPr>
              <w:t>状态</w:t>
            </w:r>
          </w:p>
        </w:tc>
        <w:tc>
          <w:tcPr>
            <w:tcW w:w="856" w:type="dxa"/>
            <w:vAlign w:val="center"/>
          </w:tcPr>
          <w:p>
            <w:pPr>
              <w:spacing w:line="400" w:lineRule="exact"/>
              <w:jc w:val="center"/>
              <w:rPr>
                <w:rFonts w:ascii="宋体"/>
                <w:b/>
                <w:sz w:val="30"/>
              </w:rPr>
            </w:pPr>
            <w:r>
              <w:rPr>
                <w:rFonts w:hint="eastAsia" w:ascii="宋体"/>
                <w:b/>
                <w:sz w:val="3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5" w:hRule="atLeast"/>
        </w:trPr>
        <w:tc>
          <w:tcPr>
            <w:tcW w:w="9923" w:type="dxa"/>
            <w:gridSpan w:val="8"/>
          </w:tcPr>
          <w:p>
            <w:pPr>
              <w:numPr>
                <w:ilvl w:val="0"/>
                <w:numId w:val="8"/>
              </w:numPr>
              <w:spacing w:line="360" w:lineRule="exact"/>
              <w:jc w:val="left"/>
              <w:rPr>
                <w:rFonts w:ascii="宋体"/>
                <w:szCs w:val="21"/>
              </w:rPr>
            </w:pPr>
            <w:r>
              <w:rPr>
                <w:rFonts w:hint="eastAsia" w:ascii="宋体"/>
                <w:szCs w:val="21"/>
              </w:rPr>
              <w:t>目的：</w:t>
            </w:r>
          </w:p>
          <w:p>
            <w:pPr>
              <w:spacing w:line="360" w:lineRule="exact"/>
              <w:ind w:firstLine="420" w:firstLineChars="200"/>
              <w:jc w:val="left"/>
              <w:rPr>
                <w:rFonts w:ascii="宋体"/>
                <w:szCs w:val="21"/>
              </w:rPr>
            </w:pPr>
            <w:r>
              <w:rPr>
                <w:rFonts w:hint="eastAsia" w:ascii="宋体"/>
                <w:szCs w:val="21"/>
              </w:rPr>
              <w:t>为了确保内部信息能及时准确地传达到各相关部门及相关人员，以利于工作的顺利进行而制定本程序。</w:t>
            </w:r>
          </w:p>
          <w:p>
            <w:pPr>
              <w:numPr>
                <w:ilvl w:val="0"/>
                <w:numId w:val="8"/>
              </w:numPr>
              <w:spacing w:line="360" w:lineRule="exact"/>
              <w:jc w:val="left"/>
              <w:rPr>
                <w:rFonts w:ascii="宋体"/>
                <w:szCs w:val="21"/>
              </w:rPr>
            </w:pPr>
            <w:r>
              <w:rPr>
                <w:rFonts w:hint="eastAsia" w:ascii="宋体"/>
                <w:szCs w:val="21"/>
              </w:rPr>
              <w:t>适用范围：</w:t>
            </w:r>
          </w:p>
          <w:p>
            <w:pPr>
              <w:spacing w:line="360" w:lineRule="exact"/>
              <w:ind w:left="435"/>
              <w:jc w:val="left"/>
              <w:rPr>
                <w:rFonts w:ascii="宋体"/>
                <w:szCs w:val="21"/>
              </w:rPr>
            </w:pPr>
            <w:r>
              <w:rPr>
                <w:rFonts w:hint="eastAsia" w:ascii="宋体"/>
                <w:szCs w:val="21"/>
              </w:rPr>
              <w:t>适用于公司内部信息的传递与处理。</w:t>
            </w:r>
          </w:p>
          <w:p>
            <w:pPr>
              <w:numPr>
                <w:ilvl w:val="0"/>
                <w:numId w:val="8"/>
              </w:numPr>
              <w:spacing w:line="360" w:lineRule="exact"/>
              <w:jc w:val="left"/>
              <w:rPr>
                <w:rFonts w:ascii="宋体"/>
                <w:szCs w:val="21"/>
              </w:rPr>
            </w:pPr>
            <w:r>
              <w:rPr>
                <w:rFonts w:hint="eastAsia" w:ascii="宋体"/>
                <w:szCs w:val="21"/>
              </w:rPr>
              <w:t>职责：</w:t>
            </w:r>
          </w:p>
          <w:p>
            <w:pPr>
              <w:spacing w:line="360" w:lineRule="exact"/>
              <w:jc w:val="left"/>
              <w:rPr>
                <w:rFonts w:ascii="宋体"/>
                <w:szCs w:val="21"/>
              </w:rPr>
            </w:pPr>
            <w:r>
              <w:rPr>
                <w:rFonts w:hint="eastAsia" w:ascii="宋体"/>
                <w:szCs w:val="21"/>
              </w:rPr>
              <w:t>3.1各单位负责工作范围内的信息的收集、传递和交流。</w:t>
            </w:r>
          </w:p>
          <w:p>
            <w:pPr>
              <w:spacing w:line="360" w:lineRule="exact"/>
              <w:jc w:val="left"/>
              <w:rPr>
                <w:rFonts w:ascii="宋体"/>
                <w:szCs w:val="21"/>
              </w:rPr>
            </w:pPr>
            <w:r>
              <w:rPr>
                <w:rFonts w:hint="eastAsia" w:ascii="宋体"/>
                <w:szCs w:val="21"/>
              </w:rPr>
              <w:t>3.2总经理负责主持每月至少召开一次有关公司经营状况的综合性会议。</w:t>
            </w:r>
          </w:p>
          <w:p>
            <w:pPr>
              <w:spacing w:line="360" w:lineRule="exact"/>
              <w:jc w:val="left"/>
              <w:rPr>
                <w:rFonts w:ascii="宋体"/>
                <w:szCs w:val="21"/>
              </w:rPr>
            </w:pPr>
            <w:r>
              <w:rPr>
                <w:rFonts w:hint="eastAsia" w:ascii="宋体"/>
                <w:szCs w:val="21"/>
              </w:rPr>
              <w:t>3.3各分厂厂长负责每星期召开一次本厂工作会议。</w:t>
            </w:r>
          </w:p>
          <w:p>
            <w:pPr>
              <w:numPr>
                <w:ilvl w:val="0"/>
                <w:numId w:val="8"/>
              </w:numPr>
              <w:spacing w:line="360" w:lineRule="exact"/>
              <w:jc w:val="left"/>
              <w:rPr>
                <w:rFonts w:ascii="宋体"/>
                <w:szCs w:val="21"/>
              </w:rPr>
            </w:pPr>
            <w:r>
              <w:rPr>
                <w:rFonts w:hint="eastAsia" w:ascii="宋体"/>
                <w:szCs w:val="21"/>
              </w:rPr>
              <w:t>定义：</w:t>
            </w:r>
          </w:p>
          <w:p>
            <w:pPr>
              <w:spacing w:line="360" w:lineRule="exact"/>
              <w:jc w:val="left"/>
              <w:rPr>
                <w:rFonts w:ascii="宋体"/>
                <w:szCs w:val="21"/>
              </w:rPr>
            </w:pPr>
            <w:r>
              <w:rPr>
                <w:rFonts w:hint="eastAsia" w:ascii="宋体"/>
                <w:szCs w:val="21"/>
              </w:rPr>
              <w:t>4.1横向沟通：指各平行部门间的相互沟通。</w:t>
            </w:r>
          </w:p>
          <w:p>
            <w:pPr>
              <w:spacing w:line="360" w:lineRule="exact"/>
              <w:jc w:val="left"/>
              <w:rPr>
                <w:rFonts w:ascii="宋体"/>
                <w:szCs w:val="21"/>
              </w:rPr>
            </w:pPr>
            <w:r>
              <w:rPr>
                <w:rFonts w:hint="eastAsia" w:ascii="宋体"/>
                <w:szCs w:val="21"/>
              </w:rPr>
              <w:t>4.2纵向沟通：指上级与下级间的相互沟通。</w:t>
            </w:r>
          </w:p>
          <w:p>
            <w:pPr>
              <w:numPr>
                <w:ilvl w:val="0"/>
                <w:numId w:val="8"/>
              </w:numPr>
              <w:spacing w:line="360" w:lineRule="exact"/>
              <w:jc w:val="left"/>
              <w:rPr>
                <w:rFonts w:ascii="宋体"/>
                <w:szCs w:val="21"/>
              </w:rPr>
            </w:pPr>
            <w:r>
              <w:rPr>
                <w:rFonts w:hint="eastAsia" w:ascii="宋体"/>
                <w:szCs w:val="21"/>
              </w:rPr>
              <w:t>工作内容：</w:t>
            </w:r>
          </w:p>
          <w:p>
            <w:pPr>
              <w:spacing w:line="360" w:lineRule="exact"/>
              <w:jc w:val="left"/>
              <w:rPr>
                <w:rFonts w:ascii="宋体"/>
                <w:szCs w:val="21"/>
              </w:rPr>
            </w:pPr>
            <w:r>
              <w:rPr>
                <w:rFonts w:hint="eastAsia" w:ascii="宋体"/>
                <w:szCs w:val="21"/>
              </w:rPr>
              <w:t>5.1内部信息</w:t>
            </w:r>
          </w:p>
          <w:p>
            <w:pPr>
              <w:spacing w:line="360" w:lineRule="exact"/>
              <w:jc w:val="left"/>
              <w:rPr>
                <w:rFonts w:ascii="宋体"/>
                <w:szCs w:val="21"/>
              </w:rPr>
            </w:pPr>
            <w:r>
              <w:rPr>
                <w:rFonts w:hint="eastAsia" w:ascii="宋体"/>
                <w:szCs w:val="21"/>
              </w:rPr>
              <w:t>5.1.1正常信息：如质量方针、质量目标、内部审核报告、管理评审报告以及质量体系运行时的其他记录等。</w:t>
            </w:r>
          </w:p>
          <w:p>
            <w:pPr>
              <w:spacing w:line="360" w:lineRule="exact"/>
              <w:jc w:val="left"/>
              <w:rPr>
                <w:rFonts w:ascii="宋体"/>
                <w:szCs w:val="21"/>
              </w:rPr>
            </w:pPr>
            <w:r>
              <w:rPr>
                <w:rFonts w:hint="eastAsia" w:ascii="宋体"/>
                <w:szCs w:val="21"/>
              </w:rPr>
              <w:t>5.1.2（潜在）不合格信息：如内部审核不合格项报告、纠正和预防措施等；</w:t>
            </w:r>
          </w:p>
          <w:p>
            <w:pPr>
              <w:spacing w:line="360" w:lineRule="exact"/>
              <w:jc w:val="left"/>
              <w:rPr>
                <w:rFonts w:ascii="宋体"/>
                <w:szCs w:val="21"/>
              </w:rPr>
            </w:pPr>
            <w:r>
              <w:rPr>
                <w:rFonts w:hint="eastAsia" w:ascii="宋体"/>
                <w:szCs w:val="21"/>
              </w:rPr>
              <w:t>5.1.3紧急信息：客户投诉等；</w:t>
            </w:r>
          </w:p>
          <w:p>
            <w:pPr>
              <w:spacing w:line="360" w:lineRule="exact"/>
              <w:jc w:val="left"/>
              <w:rPr>
                <w:rFonts w:ascii="宋体"/>
                <w:szCs w:val="21"/>
              </w:rPr>
            </w:pPr>
            <w:r>
              <w:rPr>
                <w:rFonts w:hint="eastAsia" w:ascii="宋体"/>
                <w:szCs w:val="21"/>
              </w:rPr>
              <w:t>5.1.4其他信息：如领导下达的通知、员工的建议等。</w:t>
            </w:r>
          </w:p>
          <w:p>
            <w:pPr>
              <w:spacing w:line="360" w:lineRule="exact"/>
              <w:jc w:val="left"/>
              <w:rPr>
                <w:rFonts w:ascii="宋体"/>
                <w:szCs w:val="21"/>
              </w:rPr>
            </w:pPr>
            <w:r>
              <w:rPr>
                <w:rFonts w:hint="eastAsia" w:ascii="宋体"/>
                <w:szCs w:val="21"/>
              </w:rPr>
              <w:t>5.2内部信息的收集与处理</w:t>
            </w:r>
          </w:p>
          <w:p>
            <w:pPr>
              <w:spacing w:line="360" w:lineRule="exact"/>
              <w:jc w:val="left"/>
              <w:rPr>
                <w:rFonts w:ascii="宋体"/>
                <w:szCs w:val="21"/>
              </w:rPr>
            </w:pPr>
            <w:r>
              <w:rPr>
                <w:rFonts w:hint="eastAsia" w:ascii="宋体"/>
                <w:szCs w:val="21"/>
              </w:rPr>
              <w:t>5.2.1内部沟通方式</w:t>
            </w:r>
          </w:p>
          <w:p>
            <w:pPr>
              <w:spacing w:line="360" w:lineRule="exact"/>
              <w:jc w:val="left"/>
              <w:rPr>
                <w:rFonts w:ascii="宋体"/>
                <w:szCs w:val="21"/>
              </w:rPr>
            </w:pPr>
            <w:r>
              <w:rPr>
                <w:rFonts w:hint="eastAsia" w:ascii="宋体"/>
                <w:szCs w:val="21"/>
              </w:rPr>
              <w:t>5.2.1.1横向沟通：指各部门间的相互沟通，一般采用电话、传真、工作联系单、会议、简报、布告栏等形式；</w:t>
            </w:r>
          </w:p>
          <w:p>
            <w:pPr>
              <w:spacing w:line="360" w:lineRule="exact"/>
              <w:jc w:val="left"/>
              <w:rPr>
                <w:rFonts w:ascii="宋体"/>
                <w:szCs w:val="21"/>
              </w:rPr>
            </w:pPr>
            <w:r>
              <w:rPr>
                <w:rFonts w:hint="eastAsia" w:ascii="宋体"/>
                <w:szCs w:val="21"/>
              </w:rPr>
              <w:t>5.2.1.2纵向沟通：指上级与下级间的沟通，一般采用电话、传真、书面通知、会议、口头、意见箱、培训等形式。</w:t>
            </w:r>
          </w:p>
          <w:p>
            <w:pPr>
              <w:spacing w:line="360" w:lineRule="exact"/>
              <w:jc w:val="left"/>
              <w:rPr>
                <w:rFonts w:ascii="宋体"/>
                <w:szCs w:val="21"/>
              </w:rPr>
            </w:pPr>
            <w:r>
              <w:rPr>
                <w:rFonts w:hint="eastAsia" w:ascii="宋体"/>
                <w:szCs w:val="21"/>
              </w:rPr>
              <w:t>5.2.2内部信息的收集、传递与处理</w:t>
            </w:r>
          </w:p>
          <w:p>
            <w:pPr>
              <w:spacing w:line="360" w:lineRule="exact"/>
              <w:jc w:val="left"/>
              <w:rPr>
                <w:rFonts w:ascii="宋体"/>
                <w:szCs w:val="21"/>
              </w:rPr>
            </w:pPr>
            <w:r>
              <w:rPr>
                <w:rFonts w:hint="eastAsia" w:ascii="宋体"/>
                <w:szCs w:val="21"/>
              </w:rPr>
              <w:t>5.2.2.1正常信息：各部门按相关文件规定收集并传递正常信息：质量方针、质量目标、内部审核报告、管理评审报告等参照相关程序文件规定进行处理。</w:t>
            </w:r>
          </w:p>
          <w:p>
            <w:pPr>
              <w:spacing w:line="360" w:lineRule="exact"/>
              <w:jc w:val="left"/>
              <w:rPr>
                <w:rFonts w:ascii="宋体"/>
                <w:szCs w:val="21"/>
              </w:rPr>
            </w:pPr>
            <w:r>
              <w:rPr>
                <w:rFonts w:hint="eastAsia" w:ascii="宋体"/>
                <w:szCs w:val="21"/>
              </w:rPr>
              <w:t>5.2.2.2紧急信息的收集与处理参照《顾客沟通控制程序》</w:t>
            </w:r>
          </w:p>
          <w:p>
            <w:pPr>
              <w:spacing w:line="360" w:lineRule="exact"/>
              <w:jc w:val="left"/>
              <w:rPr>
                <w:szCs w:val="21"/>
              </w:rPr>
            </w:pPr>
            <w:r>
              <w:rPr>
                <w:rFonts w:hint="eastAsia"/>
                <w:szCs w:val="21"/>
              </w:rPr>
              <w:t>5.2.2.3其他内部信息，提供者可以电话、传真、书面报告等形式传递。</w:t>
            </w:r>
          </w:p>
          <w:p>
            <w:pPr>
              <w:spacing w:line="360" w:lineRule="exact"/>
              <w:jc w:val="left"/>
              <w:rPr>
                <w:szCs w:val="21"/>
              </w:rPr>
            </w:pPr>
            <w:r>
              <w:rPr>
                <w:rFonts w:hint="eastAsia"/>
                <w:szCs w:val="21"/>
              </w:rPr>
              <w:t>5.2.2.4总经理每月至少召集一次各单位负责人参加的综合会议，会议内容包括生产方面和管理方面的内容及各相关单位之间工作的协调，会议记录由综合部保存。</w:t>
            </w:r>
          </w:p>
          <w:p>
            <w:pPr>
              <w:spacing w:line="360" w:lineRule="exact"/>
              <w:jc w:val="left"/>
              <w:rPr>
                <w:szCs w:val="21"/>
              </w:rPr>
            </w:pPr>
            <w:r>
              <w:rPr>
                <w:rFonts w:hint="eastAsia"/>
                <w:szCs w:val="21"/>
              </w:rPr>
              <w:t>5.2.2.5各分厂厂长每星期召开一次工作会议，传达公司信息，对本厂工作情况进行总结并安排下阶段工作，协调本厂各部门间的工作。</w:t>
            </w:r>
          </w:p>
          <w:p>
            <w:pPr>
              <w:spacing w:line="360" w:lineRule="exact"/>
              <w:jc w:val="left"/>
              <w:rPr>
                <w:szCs w:val="21"/>
              </w:rPr>
            </w:pPr>
            <w:r>
              <w:rPr>
                <w:rFonts w:hint="eastAsia"/>
                <w:szCs w:val="21"/>
              </w:rPr>
              <w:t>5.3各部门要健全收发文制度，对接收、传递的重要信息予以记录并保存。</w:t>
            </w:r>
          </w:p>
          <w:p>
            <w:pPr>
              <w:spacing w:line="360" w:lineRule="exact"/>
              <w:jc w:val="left"/>
              <w:rPr>
                <w:szCs w:val="21"/>
              </w:rPr>
            </w:pPr>
            <w:r>
              <w:rPr>
                <w:rFonts w:hint="eastAsia"/>
                <w:szCs w:val="21"/>
              </w:rPr>
              <w:t>5.4对质量管理体系运行过程中的各类记录的控制按《记录管理程序》执行。</w:t>
            </w:r>
          </w:p>
          <w:p>
            <w:pPr>
              <w:numPr>
                <w:ilvl w:val="0"/>
                <w:numId w:val="8"/>
              </w:numPr>
              <w:spacing w:line="360" w:lineRule="exact"/>
              <w:ind w:left="437" w:hanging="437"/>
              <w:jc w:val="left"/>
              <w:rPr>
                <w:szCs w:val="21"/>
              </w:rPr>
            </w:pPr>
            <w:r>
              <w:rPr>
                <w:rFonts w:hint="eastAsia"/>
                <w:szCs w:val="21"/>
              </w:rPr>
              <w:t>相关/支持性文件：</w:t>
            </w:r>
          </w:p>
          <w:p>
            <w:pPr>
              <w:spacing w:line="360" w:lineRule="exact"/>
              <w:jc w:val="left"/>
              <w:rPr>
                <w:szCs w:val="21"/>
              </w:rPr>
            </w:pPr>
            <w:r>
              <w:rPr>
                <w:rFonts w:hint="eastAsia"/>
                <w:szCs w:val="21"/>
              </w:rPr>
              <w:t>6.1记录管理程序</w:t>
            </w:r>
          </w:p>
          <w:p>
            <w:pPr>
              <w:spacing w:line="360" w:lineRule="exact"/>
              <w:jc w:val="left"/>
              <w:rPr>
                <w:szCs w:val="21"/>
              </w:rPr>
            </w:pPr>
            <w:r>
              <w:rPr>
                <w:rFonts w:hint="eastAsia"/>
                <w:szCs w:val="21"/>
              </w:rPr>
              <w:t>6.2内部审核控制程序</w:t>
            </w:r>
          </w:p>
          <w:p>
            <w:pPr>
              <w:spacing w:line="360" w:lineRule="exact"/>
              <w:jc w:val="left"/>
              <w:rPr>
                <w:szCs w:val="21"/>
              </w:rPr>
            </w:pPr>
            <w:r>
              <w:rPr>
                <w:rFonts w:hint="eastAsia"/>
                <w:szCs w:val="21"/>
              </w:rPr>
              <w:t>6.3管理评审程序</w:t>
            </w:r>
          </w:p>
          <w:p>
            <w:pPr>
              <w:spacing w:line="360" w:lineRule="exact"/>
              <w:jc w:val="left"/>
              <w:rPr>
                <w:szCs w:val="21"/>
              </w:rPr>
            </w:pPr>
            <w:r>
              <w:rPr>
                <w:rFonts w:hint="eastAsia"/>
                <w:szCs w:val="21"/>
              </w:rPr>
              <w:t>6.4客户投诉处理程序</w:t>
            </w:r>
          </w:p>
          <w:p>
            <w:pPr>
              <w:spacing w:line="360" w:lineRule="exact"/>
              <w:jc w:val="left"/>
              <w:rPr>
                <w:szCs w:val="21"/>
              </w:rPr>
            </w:pPr>
            <w:r>
              <w:rPr>
                <w:rFonts w:hint="eastAsia"/>
                <w:szCs w:val="21"/>
              </w:rPr>
              <w:t>6.5绩效管理和持续改进控制程序</w:t>
            </w:r>
          </w:p>
          <w:p>
            <w:pPr>
              <w:spacing w:line="360" w:lineRule="exact"/>
              <w:jc w:val="left"/>
              <w:rPr>
                <w:szCs w:val="21"/>
              </w:rPr>
            </w:pPr>
            <w:r>
              <w:rPr>
                <w:rFonts w:hint="eastAsia"/>
                <w:szCs w:val="21"/>
              </w:rPr>
              <w:t>7、记录                    编号             版本        保存期限</w:t>
            </w:r>
          </w:p>
          <w:p>
            <w:pPr>
              <w:spacing w:line="360" w:lineRule="exact"/>
              <w:jc w:val="left"/>
              <w:rPr>
                <w:szCs w:val="21"/>
              </w:rPr>
            </w:pPr>
            <w:r>
              <w:rPr>
                <w:rFonts w:hint="eastAsia"/>
                <w:szCs w:val="21"/>
              </w:rPr>
              <w:t>7.1工作联系单                LQY-P-03-01          01           半年</w:t>
            </w:r>
          </w:p>
        </w:tc>
      </w:tr>
    </w:tbl>
    <w:p/>
    <w:p/>
    <w:p/>
    <w:p/>
    <w:p/>
    <w:p/>
    <w:p/>
    <w:p/>
    <w:p/>
    <w:tbl>
      <w:tblPr>
        <w:tblStyle w:val="9"/>
        <w:tblW w:w="10343"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5"/>
        <w:gridCol w:w="1787"/>
        <w:gridCol w:w="2523"/>
        <w:gridCol w:w="1577"/>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3355" w:type="dxa"/>
            <w:vMerge w:val="restart"/>
            <w:vAlign w:val="center"/>
          </w:tcPr>
          <w:p>
            <w:pPr>
              <w:jc w:val="center"/>
              <w:rPr>
                <w:rFonts w:eastAsia="黑体"/>
                <w:b/>
                <w:sz w:val="36"/>
              </w:rPr>
            </w:pPr>
          </w:p>
        </w:tc>
        <w:tc>
          <w:tcPr>
            <w:tcW w:w="1787" w:type="dxa"/>
            <w:vAlign w:val="center"/>
          </w:tcPr>
          <w:p>
            <w:pPr>
              <w:jc w:val="center"/>
              <w:rPr>
                <w:rFonts w:ascii="宋体"/>
                <w:b/>
                <w:sz w:val="28"/>
              </w:rPr>
            </w:pPr>
            <w:r>
              <w:rPr>
                <w:rFonts w:hint="eastAsia" w:ascii="宋体"/>
                <w:b/>
                <w:sz w:val="28"/>
              </w:rPr>
              <w:t>文件名称</w:t>
            </w:r>
          </w:p>
        </w:tc>
        <w:tc>
          <w:tcPr>
            <w:tcW w:w="2523" w:type="dxa"/>
            <w:vAlign w:val="center"/>
          </w:tcPr>
          <w:p>
            <w:pPr>
              <w:jc w:val="center"/>
              <w:rPr>
                <w:rFonts w:ascii="宋体"/>
                <w:b/>
                <w:sz w:val="28"/>
              </w:rPr>
            </w:pPr>
            <w:r>
              <w:rPr>
                <w:rFonts w:hint="eastAsia" w:ascii="宋体"/>
                <w:b/>
                <w:sz w:val="28"/>
              </w:rPr>
              <w:t>人力资源控制程序</w:t>
            </w:r>
          </w:p>
        </w:tc>
        <w:tc>
          <w:tcPr>
            <w:tcW w:w="1577" w:type="dxa"/>
            <w:vAlign w:val="center"/>
          </w:tcPr>
          <w:p>
            <w:pPr>
              <w:jc w:val="center"/>
              <w:rPr>
                <w:rFonts w:ascii="宋体"/>
                <w:b/>
                <w:sz w:val="28"/>
              </w:rPr>
            </w:pPr>
            <w:r>
              <w:rPr>
                <w:rFonts w:hint="eastAsia" w:ascii="宋体"/>
                <w:b/>
                <w:sz w:val="28"/>
              </w:rPr>
              <w:t>版次</w:t>
            </w:r>
          </w:p>
        </w:tc>
        <w:tc>
          <w:tcPr>
            <w:tcW w:w="1101" w:type="dxa"/>
            <w:vAlign w:val="center"/>
          </w:tcPr>
          <w:p>
            <w:pPr>
              <w:jc w:val="center"/>
              <w:rPr>
                <w:rFonts w:ascii="宋体"/>
                <w:b/>
                <w:sz w:val="28"/>
              </w:rPr>
            </w:pPr>
            <w:r>
              <w:rPr>
                <w:rFonts w:hint="eastAsia" w:ascii="宋体"/>
                <w:b/>
                <w:sz w:val="2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3355" w:type="dxa"/>
            <w:vMerge w:val="continue"/>
            <w:vAlign w:val="center"/>
          </w:tcPr>
          <w:p>
            <w:pPr>
              <w:spacing w:line="400" w:lineRule="exact"/>
              <w:jc w:val="center"/>
              <w:rPr>
                <w:rFonts w:eastAsia="黑体"/>
                <w:b/>
                <w:sz w:val="36"/>
              </w:rPr>
            </w:pPr>
          </w:p>
        </w:tc>
        <w:tc>
          <w:tcPr>
            <w:tcW w:w="1787" w:type="dxa"/>
            <w:vAlign w:val="center"/>
          </w:tcPr>
          <w:p>
            <w:pPr>
              <w:spacing w:line="400" w:lineRule="exact"/>
              <w:jc w:val="center"/>
              <w:rPr>
                <w:rFonts w:ascii="宋体"/>
                <w:b/>
                <w:sz w:val="28"/>
              </w:rPr>
            </w:pPr>
            <w:r>
              <w:rPr>
                <w:rFonts w:hint="eastAsia" w:ascii="宋体"/>
                <w:b/>
                <w:sz w:val="28"/>
              </w:rPr>
              <w:t>文件编号</w:t>
            </w:r>
          </w:p>
        </w:tc>
        <w:tc>
          <w:tcPr>
            <w:tcW w:w="2523" w:type="dxa"/>
            <w:vAlign w:val="center"/>
          </w:tcPr>
          <w:p>
            <w:pPr>
              <w:spacing w:line="400" w:lineRule="exact"/>
              <w:jc w:val="center"/>
              <w:rPr>
                <w:rFonts w:ascii="宋体"/>
                <w:b/>
                <w:sz w:val="28"/>
              </w:rPr>
            </w:pPr>
            <w:r>
              <w:rPr>
                <w:rFonts w:hint="eastAsia" w:ascii="宋体"/>
                <w:b/>
                <w:sz w:val="28"/>
              </w:rPr>
              <w:t>LQY-P-09</w:t>
            </w:r>
          </w:p>
        </w:tc>
        <w:tc>
          <w:tcPr>
            <w:tcW w:w="1577" w:type="dxa"/>
            <w:vAlign w:val="center"/>
          </w:tcPr>
          <w:p>
            <w:pPr>
              <w:spacing w:line="400" w:lineRule="exact"/>
              <w:jc w:val="center"/>
              <w:rPr>
                <w:rFonts w:ascii="宋体"/>
                <w:b/>
                <w:sz w:val="28"/>
              </w:rPr>
            </w:pPr>
            <w:r>
              <w:rPr>
                <w:rFonts w:hint="eastAsia" w:ascii="宋体"/>
                <w:b/>
                <w:sz w:val="28"/>
              </w:rPr>
              <w:t>修改</w:t>
            </w:r>
          </w:p>
          <w:p>
            <w:pPr>
              <w:spacing w:line="400" w:lineRule="exact"/>
              <w:jc w:val="center"/>
              <w:rPr>
                <w:rFonts w:ascii="宋体"/>
                <w:b/>
                <w:sz w:val="28"/>
              </w:rPr>
            </w:pPr>
            <w:r>
              <w:rPr>
                <w:rFonts w:hint="eastAsia" w:ascii="宋体"/>
                <w:b/>
                <w:sz w:val="28"/>
              </w:rPr>
              <w:t>状态</w:t>
            </w:r>
          </w:p>
        </w:tc>
        <w:tc>
          <w:tcPr>
            <w:tcW w:w="1101" w:type="dxa"/>
            <w:vAlign w:val="center"/>
          </w:tcPr>
          <w:p>
            <w:pPr>
              <w:jc w:val="center"/>
              <w:rPr>
                <w:rFonts w:ascii="宋体"/>
                <w:b/>
                <w:sz w:val="28"/>
              </w:rPr>
            </w:pPr>
            <w:r>
              <w:rPr>
                <w:rFonts w:hint="eastAsia" w:ascii="宋体"/>
                <w:b/>
                <w:sz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1" w:hRule="atLeast"/>
        </w:trPr>
        <w:tc>
          <w:tcPr>
            <w:tcW w:w="10343" w:type="dxa"/>
            <w:gridSpan w:val="5"/>
            <w:tcBorders>
              <w:bottom w:val="single" w:color="auto" w:sz="4" w:space="0"/>
            </w:tcBorders>
          </w:tcPr>
          <w:p>
            <w:pPr>
              <w:tabs>
                <w:tab w:val="left" w:pos="0"/>
              </w:tabs>
              <w:spacing w:line="360" w:lineRule="exact"/>
              <w:rPr>
                <w:b/>
                <w:bCs/>
                <w:szCs w:val="21"/>
              </w:rPr>
            </w:pPr>
            <w:r>
              <w:rPr>
                <w:rFonts w:hint="eastAsia"/>
                <w:b/>
                <w:bCs/>
                <w:szCs w:val="21"/>
              </w:rPr>
              <w:t>1 目的</w:t>
            </w:r>
          </w:p>
          <w:p>
            <w:pPr>
              <w:tabs>
                <w:tab w:val="left" w:pos="0"/>
              </w:tabs>
              <w:spacing w:line="360" w:lineRule="exact"/>
              <w:ind w:firstLine="480"/>
              <w:rPr>
                <w:szCs w:val="21"/>
              </w:rPr>
            </w:pPr>
            <w:r>
              <w:rPr>
                <w:rFonts w:hint="eastAsia"/>
                <w:szCs w:val="21"/>
              </w:rPr>
              <w:t>为保证公司的产品品质及满足环保安全的要求，确定所有与产品质量及环境、职业健康安全管理有关的员工适合的岗位任职要求。</w:t>
            </w:r>
          </w:p>
          <w:p>
            <w:pPr>
              <w:tabs>
                <w:tab w:val="left" w:pos="0"/>
              </w:tabs>
              <w:spacing w:line="360" w:lineRule="exact"/>
              <w:rPr>
                <w:b/>
                <w:bCs/>
                <w:szCs w:val="21"/>
              </w:rPr>
            </w:pPr>
            <w:r>
              <w:rPr>
                <w:rFonts w:hint="eastAsia"/>
                <w:b/>
                <w:bCs/>
                <w:szCs w:val="21"/>
              </w:rPr>
              <w:t>2 适用范围</w:t>
            </w:r>
          </w:p>
          <w:p>
            <w:pPr>
              <w:tabs>
                <w:tab w:val="left" w:pos="0"/>
              </w:tabs>
              <w:spacing w:line="360" w:lineRule="exact"/>
              <w:ind w:firstLine="480"/>
              <w:rPr>
                <w:szCs w:val="21"/>
              </w:rPr>
            </w:pPr>
            <w:r>
              <w:rPr>
                <w:rFonts w:hint="eastAsia"/>
                <w:szCs w:val="21"/>
              </w:rPr>
              <w:t>本程序适用于公司管理体系有关的所有人员的招聘和培训。</w:t>
            </w:r>
          </w:p>
          <w:p>
            <w:pPr>
              <w:tabs>
                <w:tab w:val="left" w:pos="0"/>
              </w:tabs>
              <w:spacing w:line="360" w:lineRule="exact"/>
              <w:rPr>
                <w:b/>
                <w:bCs/>
                <w:szCs w:val="21"/>
              </w:rPr>
            </w:pPr>
            <w:r>
              <w:rPr>
                <w:rFonts w:hint="eastAsia"/>
                <w:b/>
                <w:bCs/>
                <w:szCs w:val="21"/>
              </w:rPr>
              <w:t>3 职责</w:t>
            </w:r>
          </w:p>
          <w:p>
            <w:pPr>
              <w:tabs>
                <w:tab w:val="left" w:pos="0"/>
              </w:tabs>
              <w:spacing w:line="360" w:lineRule="exact"/>
              <w:rPr>
                <w:szCs w:val="21"/>
              </w:rPr>
            </w:pPr>
            <w:r>
              <w:rPr>
                <w:rFonts w:hint="eastAsia"/>
                <w:szCs w:val="21"/>
              </w:rPr>
              <w:t>3.1 总经理批准各部门人员的岗位任职要求和公司的年度《培训计划》；</w:t>
            </w:r>
          </w:p>
          <w:p>
            <w:pPr>
              <w:tabs>
                <w:tab w:val="left" w:pos="0"/>
              </w:tabs>
              <w:spacing w:line="360" w:lineRule="exact"/>
              <w:rPr>
                <w:szCs w:val="21"/>
              </w:rPr>
            </w:pPr>
            <w:r>
              <w:rPr>
                <w:rFonts w:hint="eastAsia"/>
                <w:szCs w:val="21"/>
              </w:rPr>
              <w:t>3.2 综合部制定并组织实施公司的年度《培训计划》及效果评价，负责员工能力考评。</w:t>
            </w:r>
          </w:p>
          <w:p>
            <w:pPr>
              <w:tabs>
                <w:tab w:val="left" w:pos="0"/>
              </w:tabs>
              <w:spacing w:line="360" w:lineRule="exact"/>
              <w:rPr>
                <w:b/>
                <w:bCs/>
                <w:szCs w:val="21"/>
              </w:rPr>
            </w:pPr>
            <w:r>
              <w:rPr>
                <w:rFonts w:hint="eastAsia"/>
                <w:b/>
                <w:bCs/>
                <w:szCs w:val="21"/>
              </w:rPr>
              <w:t>4 工作程序</w:t>
            </w:r>
          </w:p>
          <w:p>
            <w:pPr>
              <w:tabs>
                <w:tab w:val="left" w:pos="0"/>
              </w:tabs>
              <w:spacing w:line="360" w:lineRule="exact"/>
              <w:rPr>
                <w:b/>
                <w:bCs/>
                <w:szCs w:val="21"/>
              </w:rPr>
            </w:pPr>
            <w:r>
              <w:rPr>
                <w:rFonts w:hint="eastAsia"/>
                <w:b/>
                <w:bCs/>
                <w:szCs w:val="21"/>
              </w:rPr>
              <w:t>4.1 人力资源配置</w:t>
            </w:r>
          </w:p>
          <w:p>
            <w:pPr>
              <w:tabs>
                <w:tab w:val="left" w:pos="0"/>
              </w:tabs>
              <w:spacing w:line="360" w:lineRule="exact"/>
              <w:rPr>
                <w:szCs w:val="21"/>
              </w:rPr>
            </w:pPr>
            <w:r>
              <w:rPr>
                <w:rFonts w:hint="eastAsia"/>
                <w:szCs w:val="21"/>
              </w:rPr>
              <w:t>4.1.1 岗位能力的识别</w:t>
            </w:r>
          </w:p>
          <w:p>
            <w:pPr>
              <w:tabs>
                <w:tab w:val="left" w:pos="0"/>
              </w:tabs>
              <w:spacing w:line="360" w:lineRule="exact"/>
              <w:rPr>
                <w:szCs w:val="21"/>
              </w:rPr>
            </w:pPr>
            <w:r>
              <w:rPr>
                <w:rFonts w:hint="eastAsia"/>
                <w:szCs w:val="21"/>
              </w:rPr>
              <w:t>4.1.1.1 综合部组织编制公司各类人员的岗位任职要求，明确各岗位工作人员学历、技能、培训及工作经历的具体要求；</w:t>
            </w:r>
          </w:p>
          <w:p>
            <w:pPr>
              <w:tabs>
                <w:tab w:val="left" w:pos="0"/>
              </w:tabs>
              <w:spacing w:line="360" w:lineRule="exact"/>
              <w:rPr>
                <w:szCs w:val="21"/>
              </w:rPr>
            </w:pPr>
            <w:r>
              <w:rPr>
                <w:rFonts w:hint="eastAsia"/>
                <w:szCs w:val="21"/>
              </w:rPr>
              <w:t>4.1.1.2 经审批后的岗位任职要求，由综合部保存，作为人员选择和考评的主要依据。</w:t>
            </w:r>
          </w:p>
          <w:p>
            <w:pPr>
              <w:tabs>
                <w:tab w:val="left" w:pos="0"/>
              </w:tabs>
              <w:spacing w:line="360" w:lineRule="exact"/>
              <w:rPr>
                <w:szCs w:val="21"/>
              </w:rPr>
            </w:pPr>
            <w:r>
              <w:rPr>
                <w:rFonts w:hint="eastAsia"/>
                <w:szCs w:val="21"/>
              </w:rPr>
              <w:t>4.1.2 人力资源配备</w:t>
            </w:r>
          </w:p>
          <w:p>
            <w:pPr>
              <w:tabs>
                <w:tab w:val="left" w:pos="0"/>
              </w:tabs>
              <w:spacing w:line="360" w:lineRule="exact"/>
              <w:rPr>
                <w:szCs w:val="21"/>
              </w:rPr>
            </w:pPr>
            <w:r>
              <w:rPr>
                <w:rFonts w:hint="eastAsia"/>
                <w:szCs w:val="21"/>
              </w:rPr>
              <w:t>4.1.2.1 综合部及各有关部门负责对现有人员的能力进行评估，当不能满足岗位任职要求时，采取培训或其它措施来满足需求；</w:t>
            </w:r>
          </w:p>
          <w:p>
            <w:pPr>
              <w:tabs>
                <w:tab w:val="left" w:pos="0"/>
              </w:tabs>
              <w:spacing w:line="360" w:lineRule="exact"/>
              <w:rPr>
                <w:szCs w:val="21"/>
              </w:rPr>
            </w:pPr>
            <w:r>
              <w:rPr>
                <w:rFonts w:hint="eastAsia"/>
                <w:szCs w:val="21"/>
              </w:rPr>
              <w:t>4.1.2.2 各部门负责人根据本部门的工作职责和现有人员分布情况，填写《人员需求/培训申请单》，经分管副总经理和总经理审批后交综合部；</w:t>
            </w:r>
          </w:p>
          <w:p>
            <w:pPr>
              <w:tabs>
                <w:tab w:val="left" w:pos="0"/>
              </w:tabs>
              <w:spacing w:line="360" w:lineRule="exact"/>
              <w:rPr>
                <w:szCs w:val="21"/>
              </w:rPr>
            </w:pPr>
            <w:r>
              <w:rPr>
                <w:rFonts w:hint="eastAsia"/>
                <w:szCs w:val="21"/>
              </w:rPr>
              <w:t>4.1.2.3 综合部根据各部门的需求以及岗位任职要求招聘或采取其它措施配备所需人员；</w:t>
            </w:r>
          </w:p>
          <w:p>
            <w:pPr>
              <w:tabs>
                <w:tab w:val="left" w:pos="0"/>
              </w:tabs>
              <w:spacing w:line="360" w:lineRule="exact"/>
              <w:rPr>
                <w:szCs w:val="21"/>
              </w:rPr>
            </w:pPr>
            <w:r>
              <w:rPr>
                <w:rFonts w:hint="eastAsia"/>
                <w:szCs w:val="21"/>
              </w:rPr>
              <w:t>4.1.2.4 人员招聘或培训到位后，由需求部门负责人和综合部主管以上人员就其所具备的资格和潜能等进行评估，确定是否录用或任职。</w:t>
            </w:r>
          </w:p>
          <w:p>
            <w:pPr>
              <w:tabs>
                <w:tab w:val="left" w:pos="0"/>
              </w:tabs>
              <w:spacing w:line="360" w:lineRule="exact"/>
              <w:rPr>
                <w:szCs w:val="21"/>
              </w:rPr>
            </w:pPr>
            <w:r>
              <w:rPr>
                <w:rFonts w:hint="eastAsia"/>
                <w:szCs w:val="21"/>
              </w:rPr>
              <w:t>4.1.2.5 人员配备应确保对从事影响产品质量工作的人员和其工作可能具有重大环境影响的人员均满足要求并意识到：</w:t>
            </w:r>
          </w:p>
          <w:p>
            <w:pPr>
              <w:tabs>
                <w:tab w:val="left" w:pos="0"/>
              </w:tabs>
              <w:spacing w:line="360" w:lineRule="exact"/>
              <w:rPr>
                <w:szCs w:val="21"/>
              </w:rPr>
            </w:pPr>
            <w:r>
              <w:rPr>
                <w:rFonts w:hint="eastAsia"/>
                <w:szCs w:val="21"/>
              </w:rPr>
              <w:t>a）从事活动的相关性和重要性，符合方针、程序和管理体系要求的重要性；</w:t>
            </w:r>
          </w:p>
          <w:p>
            <w:pPr>
              <w:tabs>
                <w:tab w:val="left" w:pos="0"/>
              </w:tabs>
              <w:spacing w:line="360" w:lineRule="exact"/>
              <w:rPr>
                <w:szCs w:val="21"/>
              </w:rPr>
            </w:pPr>
            <w:r>
              <w:rPr>
                <w:rFonts w:hint="eastAsia"/>
                <w:szCs w:val="21"/>
              </w:rPr>
              <w:t>b）工作中的重要环境因素和实际或潜在的环境影响，以及个人工作的改进所能带来的环境效益；</w:t>
            </w:r>
          </w:p>
          <w:p>
            <w:pPr>
              <w:tabs>
                <w:tab w:val="left" w:pos="0"/>
              </w:tabs>
              <w:spacing w:line="360" w:lineRule="exact"/>
              <w:rPr>
                <w:szCs w:val="21"/>
              </w:rPr>
            </w:pPr>
            <w:r>
              <w:rPr>
                <w:rFonts w:hint="eastAsia"/>
                <w:szCs w:val="21"/>
              </w:rPr>
              <w:t>c）岗位和作用，及为实现目标如何作出贡献；</w:t>
            </w:r>
          </w:p>
          <w:p>
            <w:pPr>
              <w:tabs>
                <w:tab w:val="left" w:pos="0"/>
              </w:tabs>
              <w:spacing w:line="360" w:lineRule="exact"/>
              <w:rPr>
                <w:szCs w:val="21"/>
              </w:rPr>
            </w:pPr>
            <w:r>
              <w:rPr>
                <w:rFonts w:hint="eastAsia"/>
                <w:szCs w:val="21"/>
              </w:rPr>
              <w:t>d）偏离规定的运行程序的潜在后果。</w:t>
            </w:r>
          </w:p>
          <w:p>
            <w:pPr>
              <w:tabs>
                <w:tab w:val="left" w:pos="0"/>
              </w:tabs>
              <w:spacing w:line="360" w:lineRule="exact"/>
              <w:rPr>
                <w:b/>
                <w:bCs/>
                <w:szCs w:val="21"/>
              </w:rPr>
            </w:pPr>
            <w:r>
              <w:rPr>
                <w:rFonts w:hint="eastAsia"/>
                <w:b/>
                <w:bCs/>
                <w:szCs w:val="21"/>
              </w:rPr>
              <w:t>4.2 培训</w:t>
            </w:r>
          </w:p>
          <w:p>
            <w:pPr>
              <w:tabs>
                <w:tab w:val="left" w:pos="0"/>
              </w:tabs>
              <w:spacing w:line="360" w:lineRule="exact"/>
              <w:rPr>
                <w:szCs w:val="21"/>
              </w:rPr>
            </w:pPr>
            <w:r>
              <w:rPr>
                <w:rFonts w:hint="eastAsia"/>
                <w:szCs w:val="21"/>
              </w:rPr>
              <w:t>4.2.1 培训计划</w:t>
            </w:r>
          </w:p>
          <w:p>
            <w:pPr>
              <w:tabs>
                <w:tab w:val="left" w:pos="0"/>
              </w:tabs>
              <w:spacing w:line="360" w:lineRule="exact"/>
              <w:rPr>
                <w:szCs w:val="21"/>
              </w:rPr>
            </w:pPr>
            <w:r>
              <w:rPr>
                <w:rFonts w:hint="eastAsia"/>
                <w:szCs w:val="21"/>
              </w:rPr>
              <w:t>4.2.1.1 综合部每年年初，根据各部门反馈的意见、基本培训需求及公司发展方向，制定公司本年度培训计划（包括培训对象、时间、内容、教师、培训考核方式等内容），经总经理批准后实施；</w:t>
            </w:r>
          </w:p>
          <w:p>
            <w:pPr>
              <w:tabs>
                <w:tab w:val="left" w:pos="0"/>
              </w:tabs>
              <w:spacing w:line="360" w:lineRule="exact"/>
              <w:rPr>
                <w:szCs w:val="21"/>
              </w:rPr>
            </w:pPr>
            <w:r>
              <w:rPr>
                <w:rFonts w:hint="eastAsia"/>
                <w:szCs w:val="21"/>
              </w:rPr>
              <w:t>4.2.1.2培训计划以外的委外培训须经总经理批准。</w:t>
            </w:r>
          </w:p>
          <w:p>
            <w:pPr>
              <w:tabs>
                <w:tab w:val="left" w:pos="0"/>
              </w:tabs>
              <w:spacing w:line="360" w:lineRule="exact"/>
              <w:rPr>
                <w:szCs w:val="21"/>
              </w:rPr>
            </w:pPr>
            <w:r>
              <w:rPr>
                <w:rFonts w:hint="eastAsia"/>
                <w:szCs w:val="21"/>
              </w:rPr>
              <w:t>4.2.2 培训性质</w:t>
            </w:r>
          </w:p>
          <w:p>
            <w:pPr>
              <w:tabs>
                <w:tab w:val="left" w:pos="0"/>
              </w:tabs>
              <w:spacing w:line="360" w:lineRule="exact"/>
              <w:rPr>
                <w:szCs w:val="21"/>
              </w:rPr>
            </w:pPr>
            <w:r>
              <w:rPr>
                <w:rFonts w:hint="eastAsia"/>
                <w:szCs w:val="21"/>
              </w:rPr>
              <w:t>4.2.2.1 上岗基础教育：公司概况、厂规厂纪、安全卫生、消防知识等在上岗前由综合部进行培训；</w:t>
            </w:r>
          </w:p>
          <w:p>
            <w:pPr>
              <w:tabs>
                <w:tab w:val="left" w:pos="0"/>
              </w:tabs>
              <w:spacing w:line="360" w:lineRule="exact"/>
              <w:rPr>
                <w:szCs w:val="21"/>
              </w:rPr>
            </w:pPr>
            <w:r>
              <w:rPr>
                <w:rFonts w:hint="eastAsia"/>
                <w:szCs w:val="21"/>
              </w:rPr>
              <w:t>4.2.2.2 岗位技能培训：包括所在岗位相关作业文件、注意事项、相关设备性能、操作规程、安全生产教育、现场实际作业及出现紧急情况时应变的措施、管理方针（目标）以及质量、环保、安全的意识、常识等培训内容，由所在岗位部门负责人组织在上岗前进行；</w:t>
            </w:r>
          </w:p>
          <w:p>
            <w:pPr>
              <w:tabs>
                <w:tab w:val="left" w:pos="0"/>
              </w:tabs>
              <w:spacing w:line="360" w:lineRule="exact"/>
              <w:rPr>
                <w:szCs w:val="21"/>
              </w:rPr>
            </w:pPr>
            <w:r>
              <w:rPr>
                <w:rFonts w:hint="eastAsia"/>
                <w:szCs w:val="21"/>
              </w:rPr>
              <w:t>4.2.2.3 转岗人员的培训：转岗人员必须经过培训后方可从事新岗位的工作，由转岗后所在部门负责人组织在上岗前进行培训；</w:t>
            </w:r>
          </w:p>
          <w:p>
            <w:pPr>
              <w:tabs>
                <w:tab w:val="left" w:pos="0"/>
              </w:tabs>
              <w:spacing w:line="360" w:lineRule="exact"/>
              <w:rPr>
                <w:szCs w:val="21"/>
              </w:rPr>
            </w:pPr>
            <w:r>
              <w:rPr>
                <w:rFonts w:hint="eastAsia"/>
                <w:szCs w:val="21"/>
              </w:rPr>
              <w:t>4.2.2.4 在岗人员的培训：为提高员工的岗位技能，对在职员工按培训计划实施培训。</w:t>
            </w:r>
          </w:p>
          <w:p>
            <w:pPr>
              <w:tabs>
                <w:tab w:val="left" w:pos="0"/>
              </w:tabs>
              <w:spacing w:line="360" w:lineRule="exact"/>
              <w:rPr>
                <w:szCs w:val="21"/>
              </w:rPr>
            </w:pPr>
            <w:r>
              <w:rPr>
                <w:rFonts w:hint="eastAsia"/>
                <w:szCs w:val="21"/>
              </w:rPr>
              <w:t>4.2.3 培训计划的实施及要求</w:t>
            </w:r>
          </w:p>
          <w:p>
            <w:pPr>
              <w:tabs>
                <w:tab w:val="left" w:pos="0"/>
              </w:tabs>
              <w:spacing w:line="360" w:lineRule="exact"/>
              <w:ind w:firstLine="420" w:firstLineChars="200"/>
              <w:rPr>
                <w:szCs w:val="21"/>
              </w:rPr>
            </w:pPr>
            <w:r>
              <w:rPr>
                <w:rFonts w:hint="eastAsia"/>
                <w:szCs w:val="21"/>
              </w:rPr>
              <w:t>各部门根据培训计划的时间、内容等准备培训教材或编制培训指导书，组织实施培训。培训时应进行签到并填写培训记录，培训结束后，对培训结果进行总结。以上培训资料须于培训后或考试结束后三日内报综合部存档。</w:t>
            </w:r>
          </w:p>
          <w:p>
            <w:pPr>
              <w:tabs>
                <w:tab w:val="left" w:pos="0"/>
              </w:tabs>
              <w:spacing w:line="360" w:lineRule="exact"/>
              <w:rPr>
                <w:szCs w:val="21"/>
              </w:rPr>
            </w:pPr>
            <w:r>
              <w:rPr>
                <w:rFonts w:hint="eastAsia"/>
                <w:szCs w:val="21"/>
              </w:rPr>
              <w:t>4.2.4 培训效果跟踪与评价</w:t>
            </w:r>
          </w:p>
          <w:p>
            <w:pPr>
              <w:tabs>
                <w:tab w:val="left" w:pos="0"/>
              </w:tabs>
              <w:spacing w:line="360" w:lineRule="exact"/>
              <w:rPr>
                <w:szCs w:val="21"/>
              </w:rPr>
            </w:pPr>
            <w:r>
              <w:rPr>
                <w:rFonts w:hint="eastAsia"/>
                <w:szCs w:val="21"/>
              </w:rPr>
              <w:t>4.2.4.1 每次培训结束后（新员工入厂培训3个月后）综合部协同相关部门评估本次培训的有效性，填写培训记录中相关内容，征求改进培训工作的意见和建议，以便更好地制定下年度培训计划，开展培训工作；</w:t>
            </w:r>
          </w:p>
          <w:p>
            <w:pPr>
              <w:tabs>
                <w:tab w:val="left" w:pos="0"/>
              </w:tabs>
              <w:spacing w:line="360" w:lineRule="exact"/>
              <w:rPr>
                <w:szCs w:val="21"/>
              </w:rPr>
            </w:pPr>
            <w:r>
              <w:rPr>
                <w:rFonts w:hint="eastAsia"/>
                <w:szCs w:val="21"/>
              </w:rPr>
              <w:t>4.2.4.2 培训的有效评估主要从以下几个方面：</w:t>
            </w:r>
          </w:p>
          <w:p>
            <w:pPr>
              <w:numPr>
                <w:ilvl w:val="0"/>
                <w:numId w:val="9"/>
              </w:numPr>
              <w:tabs>
                <w:tab w:val="left" w:pos="0"/>
              </w:tabs>
              <w:spacing w:line="360" w:lineRule="exact"/>
              <w:rPr>
                <w:szCs w:val="21"/>
              </w:rPr>
            </w:pPr>
            <w:r>
              <w:rPr>
                <w:rFonts w:hint="eastAsia"/>
                <w:szCs w:val="21"/>
              </w:rPr>
              <w:t>培训课程本身的评估：包括教材、场地的准备、教学水平、方法、时间等；</w:t>
            </w:r>
          </w:p>
          <w:p>
            <w:pPr>
              <w:numPr>
                <w:ilvl w:val="0"/>
                <w:numId w:val="9"/>
              </w:numPr>
              <w:tabs>
                <w:tab w:val="left" w:pos="0"/>
              </w:tabs>
              <w:spacing w:line="360" w:lineRule="exact"/>
              <w:rPr>
                <w:szCs w:val="21"/>
              </w:rPr>
            </w:pPr>
            <w:r>
              <w:rPr>
                <w:rFonts w:hint="eastAsia"/>
                <w:szCs w:val="21"/>
              </w:rPr>
              <w:t>学员考试成绩的评估：包括笔试、面试、现场提问、答辩等的评分或评级；</w:t>
            </w:r>
          </w:p>
          <w:p>
            <w:pPr>
              <w:numPr>
                <w:ilvl w:val="0"/>
                <w:numId w:val="10"/>
              </w:numPr>
              <w:tabs>
                <w:tab w:val="left" w:pos="0"/>
              </w:tabs>
              <w:spacing w:line="360" w:lineRule="exact"/>
              <w:rPr>
                <w:szCs w:val="21"/>
              </w:rPr>
            </w:pPr>
            <w:r>
              <w:rPr>
                <w:rFonts w:hint="eastAsia"/>
                <w:szCs w:val="21"/>
              </w:rPr>
              <w:t>学员操作能力评估：包括知识的掌握与运用能力、创新能力等；</w:t>
            </w:r>
          </w:p>
          <w:p>
            <w:pPr>
              <w:numPr>
                <w:ilvl w:val="0"/>
                <w:numId w:val="10"/>
              </w:numPr>
              <w:tabs>
                <w:tab w:val="left" w:pos="0"/>
              </w:tabs>
              <w:spacing w:line="360" w:lineRule="exact"/>
              <w:rPr>
                <w:szCs w:val="21"/>
              </w:rPr>
            </w:pPr>
            <w:r>
              <w:rPr>
                <w:rFonts w:hint="eastAsia"/>
                <w:szCs w:val="21"/>
              </w:rPr>
              <w:t>工作绩效评估：包括培训前后合格率、返工率、计划完成率、工作效率等的差异；</w:t>
            </w:r>
          </w:p>
          <w:p>
            <w:pPr>
              <w:numPr>
                <w:ilvl w:val="0"/>
                <w:numId w:val="10"/>
              </w:numPr>
              <w:tabs>
                <w:tab w:val="left" w:pos="-5220"/>
                <w:tab w:val="left" w:pos="0"/>
              </w:tabs>
              <w:spacing w:line="360" w:lineRule="exact"/>
              <w:ind w:left="0" w:firstLine="0"/>
              <w:rPr>
                <w:szCs w:val="21"/>
              </w:rPr>
            </w:pPr>
            <w:r>
              <w:rPr>
                <w:rFonts w:hint="eastAsia"/>
                <w:szCs w:val="21"/>
              </w:rPr>
              <w:t>综合部可不定期对各部门员工的工作绩效进行抽查，抽查方式可通过：员工试用期考核、工作现场巡检等等方式；根据抽查结果，情节轻微的经现场指导后可继续工作，情况严重的需及时安排培训并考核或转换工作岗位，使其具备岗位相适应的能力。</w:t>
            </w:r>
          </w:p>
          <w:p>
            <w:pPr>
              <w:tabs>
                <w:tab w:val="left" w:pos="0"/>
              </w:tabs>
              <w:spacing w:line="360" w:lineRule="exact"/>
              <w:rPr>
                <w:szCs w:val="21"/>
              </w:rPr>
            </w:pPr>
            <w:r>
              <w:rPr>
                <w:rFonts w:hint="eastAsia"/>
                <w:szCs w:val="21"/>
              </w:rPr>
              <w:t>4.2.5 培训档案的建立</w:t>
            </w:r>
          </w:p>
          <w:p>
            <w:pPr>
              <w:tabs>
                <w:tab w:val="left" w:pos="0"/>
              </w:tabs>
              <w:spacing w:line="360" w:lineRule="exact"/>
              <w:rPr>
                <w:szCs w:val="21"/>
              </w:rPr>
            </w:pPr>
            <w:r>
              <w:rPr>
                <w:rFonts w:hint="eastAsia"/>
                <w:szCs w:val="21"/>
              </w:rPr>
              <w:t xml:space="preserve">   综合部将每个员工的培训记录、考核试卷等摘录于《员工培训履历表》上，用于员工的考评。</w:t>
            </w:r>
          </w:p>
          <w:p>
            <w:pPr>
              <w:spacing w:line="360" w:lineRule="exact"/>
              <w:jc w:val="left"/>
              <w:rPr>
                <w:szCs w:val="21"/>
              </w:rPr>
            </w:pPr>
            <w:r>
              <w:rPr>
                <w:rFonts w:hint="eastAsia"/>
                <w:b/>
                <w:bCs/>
                <w:szCs w:val="21"/>
              </w:rPr>
              <w:t xml:space="preserve">5 </w:t>
            </w:r>
            <w:r>
              <w:rPr>
                <w:rFonts w:hint="eastAsia"/>
                <w:szCs w:val="21"/>
              </w:rPr>
              <w:t>相关/支持性文件：</w:t>
            </w:r>
          </w:p>
          <w:p>
            <w:pPr>
              <w:spacing w:line="360" w:lineRule="exact"/>
              <w:jc w:val="left"/>
              <w:rPr>
                <w:szCs w:val="21"/>
              </w:rPr>
            </w:pPr>
            <w:r>
              <w:rPr>
                <w:rFonts w:hint="eastAsia"/>
                <w:szCs w:val="21"/>
              </w:rPr>
              <w:t>5.1内部质量审核控制程序</w:t>
            </w:r>
          </w:p>
          <w:p>
            <w:pPr>
              <w:spacing w:line="360" w:lineRule="exact"/>
              <w:jc w:val="left"/>
              <w:rPr>
                <w:szCs w:val="21"/>
              </w:rPr>
            </w:pPr>
            <w:r>
              <w:rPr>
                <w:rFonts w:hint="eastAsia"/>
                <w:szCs w:val="21"/>
              </w:rPr>
              <w:t>5.2记录管理程序</w:t>
            </w:r>
          </w:p>
          <w:p>
            <w:pPr>
              <w:spacing w:line="360" w:lineRule="exact"/>
              <w:jc w:val="left"/>
              <w:rPr>
                <w:szCs w:val="21"/>
              </w:rPr>
            </w:pPr>
            <w:r>
              <w:rPr>
                <w:rFonts w:hint="eastAsia"/>
                <w:szCs w:val="21"/>
              </w:rPr>
              <w:t>6、记录                            编号                 版本        保存期限</w:t>
            </w:r>
          </w:p>
          <w:p>
            <w:pPr>
              <w:spacing w:line="360" w:lineRule="exact"/>
              <w:jc w:val="left"/>
              <w:rPr>
                <w:szCs w:val="21"/>
              </w:rPr>
            </w:pPr>
            <w:r>
              <w:rPr>
                <w:rFonts w:hint="eastAsia"/>
                <w:szCs w:val="21"/>
              </w:rPr>
              <w:t>6.1年度培训计划                      LQY-P-05-01               01           二年</w:t>
            </w:r>
          </w:p>
          <w:p>
            <w:pPr>
              <w:spacing w:line="360" w:lineRule="exact"/>
              <w:jc w:val="left"/>
              <w:rPr>
                <w:szCs w:val="21"/>
              </w:rPr>
            </w:pPr>
            <w:r>
              <w:rPr>
                <w:rFonts w:hint="eastAsia"/>
                <w:szCs w:val="21"/>
              </w:rPr>
              <w:t>6.2培训签到表                        LQY-P-05-02               01           二年</w:t>
            </w:r>
          </w:p>
          <w:p>
            <w:pPr>
              <w:spacing w:line="360" w:lineRule="exact"/>
              <w:jc w:val="left"/>
              <w:rPr>
                <w:szCs w:val="21"/>
              </w:rPr>
            </w:pPr>
            <w:r>
              <w:rPr>
                <w:rFonts w:hint="eastAsia"/>
                <w:szCs w:val="21"/>
              </w:rPr>
              <w:t>6.3干部职工调动介绍信                LQY-P-05-03               01           二年</w:t>
            </w:r>
          </w:p>
        </w:tc>
      </w:tr>
    </w:tbl>
    <w:p/>
    <w:p/>
    <w:p/>
    <w:p/>
    <w:p/>
    <w:p/>
    <w:p/>
    <w:p/>
    <w:p/>
    <w:tbl>
      <w:tblPr>
        <w:tblStyle w:val="9"/>
        <w:tblW w:w="10343"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2282"/>
        <w:gridCol w:w="2383"/>
        <w:gridCol w:w="1748"/>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830" w:type="dxa"/>
            <w:vMerge w:val="restart"/>
          </w:tcPr>
          <w:p>
            <w:pPr>
              <w:spacing w:line="400" w:lineRule="exact"/>
            </w:pPr>
          </w:p>
        </w:tc>
        <w:tc>
          <w:tcPr>
            <w:tcW w:w="2282" w:type="dxa"/>
            <w:vAlign w:val="center"/>
          </w:tcPr>
          <w:p>
            <w:pPr>
              <w:spacing w:line="400" w:lineRule="exact"/>
              <w:jc w:val="center"/>
              <w:rPr>
                <w:rFonts w:ascii="宋体"/>
                <w:b/>
                <w:sz w:val="28"/>
              </w:rPr>
            </w:pPr>
            <w:r>
              <w:rPr>
                <w:rFonts w:hint="eastAsia" w:ascii="宋体"/>
                <w:b/>
                <w:sz w:val="28"/>
              </w:rPr>
              <w:t>文件名称</w:t>
            </w:r>
          </w:p>
        </w:tc>
        <w:tc>
          <w:tcPr>
            <w:tcW w:w="2383" w:type="dxa"/>
            <w:vAlign w:val="center"/>
          </w:tcPr>
          <w:p>
            <w:pPr>
              <w:spacing w:line="400" w:lineRule="exact"/>
              <w:jc w:val="center"/>
              <w:rPr>
                <w:rFonts w:ascii="宋体"/>
                <w:b/>
                <w:sz w:val="28"/>
              </w:rPr>
            </w:pPr>
            <w:r>
              <w:rPr>
                <w:rFonts w:hint="eastAsia" w:ascii="宋体"/>
                <w:b/>
                <w:sz w:val="28"/>
              </w:rPr>
              <w:t>设施与工作环境控制程序</w:t>
            </w:r>
          </w:p>
        </w:tc>
        <w:tc>
          <w:tcPr>
            <w:tcW w:w="1748" w:type="dxa"/>
            <w:vAlign w:val="center"/>
          </w:tcPr>
          <w:p>
            <w:pPr>
              <w:spacing w:line="400" w:lineRule="exact"/>
              <w:jc w:val="center"/>
              <w:rPr>
                <w:rFonts w:ascii="宋体"/>
                <w:b/>
                <w:sz w:val="28"/>
              </w:rPr>
            </w:pPr>
            <w:r>
              <w:rPr>
                <w:rFonts w:hint="eastAsia" w:ascii="宋体"/>
                <w:b/>
                <w:sz w:val="28"/>
              </w:rPr>
              <w:t>版次</w:t>
            </w:r>
          </w:p>
        </w:tc>
        <w:tc>
          <w:tcPr>
            <w:tcW w:w="1100" w:type="dxa"/>
            <w:vAlign w:val="center"/>
          </w:tcPr>
          <w:p>
            <w:pPr>
              <w:spacing w:line="400" w:lineRule="exact"/>
              <w:jc w:val="center"/>
              <w:rPr>
                <w:rFonts w:ascii="宋体"/>
                <w:b/>
                <w:sz w:val="28"/>
              </w:rPr>
            </w:pPr>
            <w:r>
              <w:rPr>
                <w:rFonts w:hint="eastAsia" w:ascii="宋体"/>
                <w:b/>
                <w:sz w:val="2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2830" w:type="dxa"/>
            <w:vMerge w:val="continue"/>
          </w:tcPr>
          <w:p>
            <w:pPr>
              <w:spacing w:line="400" w:lineRule="exact"/>
              <w:jc w:val="center"/>
              <w:rPr>
                <w:rFonts w:eastAsia="黑体"/>
                <w:b/>
                <w:sz w:val="36"/>
              </w:rPr>
            </w:pPr>
          </w:p>
        </w:tc>
        <w:tc>
          <w:tcPr>
            <w:tcW w:w="2282" w:type="dxa"/>
            <w:vAlign w:val="center"/>
          </w:tcPr>
          <w:p>
            <w:pPr>
              <w:spacing w:line="400" w:lineRule="exact"/>
              <w:jc w:val="center"/>
              <w:rPr>
                <w:rFonts w:ascii="宋体"/>
                <w:b/>
                <w:sz w:val="28"/>
              </w:rPr>
            </w:pPr>
            <w:r>
              <w:rPr>
                <w:rFonts w:hint="eastAsia" w:ascii="宋体"/>
                <w:b/>
                <w:sz w:val="28"/>
              </w:rPr>
              <w:t>文件编号</w:t>
            </w:r>
          </w:p>
        </w:tc>
        <w:tc>
          <w:tcPr>
            <w:tcW w:w="2383" w:type="dxa"/>
            <w:vAlign w:val="center"/>
          </w:tcPr>
          <w:p>
            <w:pPr>
              <w:spacing w:line="400" w:lineRule="exact"/>
              <w:jc w:val="center"/>
              <w:rPr>
                <w:rFonts w:ascii="宋体"/>
                <w:b/>
                <w:sz w:val="28"/>
              </w:rPr>
            </w:pPr>
            <w:r>
              <w:rPr>
                <w:rFonts w:hint="eastAsia" w:ascii="宋体"/>
                <w:b/>
                <w:sz w:val="28"/>
              </w:rPr>
              <w:t>LQY—P—10</w:t>
            </w:r>
          </w:p>
        </w:tc>
        <w:tc>
          <w:tcPr>
            <w:tcW w:w="1748" w:type="dxa"/>
            <w:vAlign w:val="center"/>
          </w:tcPr>
          <w:p>
            <w:pPr>
              <w:spacing w:line="400" w:lineRule="exact"/>
              <w:jc w:val="center"/>
              <w:rPr>
                <w:rFonts w:ascii="宋体"/>
                <w:b/>
                <w:sz w:val="28"/>
              </w:rPr>
            </w:pPr>
            <w:r>
              <w:rPr>
                <w:rFonts w:hint="eastAsia" w:ascii="宋体"/>
                <w:b/>
                <w:sz w:val="28"/>
              </w:rPr>
              <w:t>修改状态</w:t>
            </w:r>
          </w:p>
        </w:tc>
        <w:tc>
          <w:tcPr>
            <w:tcW w:w="1100" w:type="dxa"/>
            <w:vAlign w:val="center"/>
          </w:tcPr>
          <w:p>
            <w:pPr>
              <w:spacing w:line="400" w:lineRule="exact"/>
              <w:jc w:val="center"/>
              <w:rPr>
                <w:rFonts w:ascii="宋体"/>
                <w:b/>
                <w:sz w:val="28"/>
              </w:rPr>
            </w:pPr>
            <w:r>
              <w:rPr>
                <w:rFonts w:hint="eastAsia" w:ascii="宋体"/>
                <w:b/>
                <w:sz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343" w:type="dxa"/>
            <w:gridSpan w:val="5"/>
          </w:tcPr>
          <w:p>
            <w:pPr>
              <w:spacing w:line="360" w:lineRule="exact"/>
              <w:jc w:val="left"/>
              <w:rPr>
                <w:szCs w:val="21"/>
              </w:rPr>
            </w:pPr>
            <w:r>
              <w:rPr>
                <w:rFonts w:hint="eastAsia"/>
                <w:szCs w:val="21"/>
              </w:rPr>
              <w:t>1. 目的：</w:t>
            </w:r>
          </w:p>
          <w:p>
            <w:pPr>
              <w:spacing w:line="360" w:lineRule="exact"/>
              <w:jc w:val="left"/>
              <w:rPr>
                <w:rFonts w:ascii="宋体" w:hAnsi="宋体" w:cs="宋体"/>
                <w:szCs w:val="21"/>
              </w:rPr>
            </w:pPr>
            <w:r>
              <w:rPr>
                <w:rFonts w:hint="eastAsia" w:ascii="宋体" w:hAnsi="宋体" w:cs="宋体"/>
                <w:szCs w:val="21"/>
              </w:rPr>
              <w:t>确定并提供和维护为实现产品符合性所需要的基础设施，确定并管理为实现产品符合性所需的工作环境中人和物的因素。</w:t>
            </w:r>
          </w:p>
          <w:p>
            <w:pPr>
              <w:spacing w:line="360" w:lineRule="exact"/>
              <w:jc w:val="left"/>
              <w:rPr>
                <w:szCs w:val="21"/>
              </w:rPr>
            </w:pPr>
            <w:r>
              <w:rPr>
                <w:rFonts w:hint="eastAsia"/>
                <w:szCs w:val="21"/>
              </w:rPr>
              <w:t>2. 适用范围：</w:t>
            </w:r>
          </w:p>
          <w:p>
            <w:pPr>
              <w:spacing w:line="360" w:lineRule="exact"/>
              <w:jc w:val="left"/>
              <w:rPr>
                <w:szCs w:val="21"/>
              </w:rPr>
            </w:pPr>
            <w:r>
              <w:rPr>
                <w:rFonts w:hint="eastAsia"/>
                <w:szCs w:val="21"/>
              </w:rPr>
              <w:t xml:space="preserve">  </w:t>
            </w:r>
            <w:r>
              <w:rPr>
                <w:rFonts w:hint="eastAsia" w:ascii="宋体" w:hAnsi="宋体" w:cs="宋体"/>
                <w:szCs w:val="21"/>
              </w:rPr>
              <w:t>适用于为实现产品符合性所需的基础设施，如建筑物、工作场所、生产设施、模具、工装、工具、支持性设施，如通讯或信息系统，运输设施等的控制；对工作环境中人和物的因素进行控制。</w:t>
            </w:r>
          </w:p>
          <w:p>
            <w:pPr>
              <w:spacing w:line="360" w:lineRule="exact"/>
              <w:jc w:val="left"/>
              <w:rPr>
                <w:szCs w:val="21"/>
              </w:rPr>
            </w:pPr>
            <w:r>
              <w:rPr>
                <w:rFonts w:hint="eastAsia"/>
                <w:szCs w:val="21"/>
              </w:rPr>
              <w:t>3. 职责：</w:t>
            </w:r>
          </w:p>
          <w:p>
            <w:pPr>
              <w:spacing w:line="360" w:lineRule="exact"/>
              <w:jc w:val="left"/>
              <w:rPr>
                <w:szCs w:val="21"/>
              </w:rPr>
            </w:pPr>
            <w:r>
              <w:rPr>
                <w:rFonts w:hint="eastAsia"/>
                <w:szCs w:val="21"/>
              </w:rPr>
              <w:t>3.1人员配置由综合部安排实施，确保符合公司对人力资源的要求。</w:t>
            </w:r>
          </w:p>
          <w:p>
            <w:pPr>
              <w:spacing w:line="360" w:lineRule="exact"/>
              <w:jc w:val="left"/>
              <w:rPr>
                <w:szCs w:val="21"/>
              </w:rPr>
            </w:pPr>
            <w:r>
              <w:rPr>
                <w:rFonts w:hint="eastAsia"/>
                <w:szCs w:val="21"/>
              </w:rPr>
              <w:t>3.2 综合部负责基建设施（办公楼、厂房、宿舍等基础建筑）的配置。</w:t>
            </w:r>
          </w:p>
          <w:p>
            <w:pPr>
              <w:spacing w:line="360" w:lineRule="exact"/>
              <w:jc w:val="left"/>
              <w:rPr>
                <w:szCs w:val="21"/>
              </w:rPr>
            </w:pPr>
            <w:r>
              <w:rPr>
                <w:rFonts w:hint="eastAsia"/>
                <w:szCs w:val="21"/>
              </w:rPr>
              <w:t>3.3 生产车间负责供水、供热、供电设施和生产设施的管理。</w:t>
            </w:r>
          </w:p>
          <w:p>
            <w:pPr>
              <w:spacing w:line="360" w:lineRule="exact"/>
              <w:jc w:val="left"/>
              <w:rPr>
                <w:szCs w:val="21"/>
              </w:rPr>
            </w:pPr>
            <w:r>
              <w:rPr>
                <w:rFonts w:hint="eastAsia"/>
                <w:szCs w:val="21"/>
              </w:rPr>
              <w:t>3.4 综合部负责工作环境的管理。</w:t>
            </w:r>
          </w:p>
          <w:p>
            <w:pPr>
              <w:spacing w:line="360" w:lineRule="exact"/>
              <w:jc w:val="left"/>
              <w:rPr>
                <w:szCs w:val="21"/>
              </w:rPr>
            </w:pPr>
            <w:r>
              <w:rPr>
                <w:rFonts w:hint="eastAsia"/>
                <w:szCs w:val="21"/>
              </w:rPr>
              <w:t>4. 定义： 无。</w:t>
            </w:r>
          </w:p>
          <w:p>
            <w:pPr>
              <w:spacing w:line="360" w:lineRule="exact"/>
              <w:jc w:val="left"/>
              <w:rPr>
                <w:szCs w:val="21"/>
              </w:rPr>
            </w:pPr>
            <w:r>
              <w:rPr>
                <w:rFonts w:hint="eastAsia"/>
                <w:szCs w:val="21"/>
              </w:rPr>
              <w:t>4.1 资源： 包括人、物、设备、工作环境和资金。</w:t>
            </w:r>
          </w:p>
          <w:p>
            <w:pPr>
              <w:spacing w:line="360" w:lineRule="exact"/>
              <w:jc w:val="left"/>
              <w:rPr>
                <w:szCs w:val="21"/>
              </w:rPr>
            </w:pPr>
            <w:r>
              <w:rPr>
                <w:rFonts w:hint="eastAsia"/>
                <w:szCs w:val="21"/>
              </w:rPr>
              <w:t>4.2 工作环境： 包括工作纪律、各种规章制度、职工的劳保用品等企业文件及硬件环境、厂容厂貌等。</w:t>
            </w:r>
          </w:p>
          <w:p>
            <w:pPr>
              <w:spacing w:line="360" w:lineRule="exact"/>
              <w:jc w:val="left"/>
              <w:rPr>
                <w:szCs w:val="21"/>
              </w:rPr>
            </w:pPr>
            <w:r>
              <w:rPr>
                <w:rFonts w:hint="eastAsia"/>
                <w:szCs w:val="21"/>
              </w:rPr>
              <w:t>4.3 卫生检查：按照“5S</w:t>
            </w:r>
            <w:r>
              <w:rPr>
                <w:szCs w:val="21"/>
              </w:rPr>
              <w:t>”</w:t>
            </w:r>
            <w:r>
              <w:rPr>
                <w:rFonts w:hint="eastAsia"/>
                <w:szCs w:val="21"/>
              </w:rPr>
              <w:t>表单的要求进行管理。</w:t>
            </w:r>
          </w:p>
          <w:p>
            <w:pPr>
              <w:spacing w:line="360" w:lineRule="exact"/>
              <w:jc w:val="left"/>
              <w:rPr>
                <w:szCs w:val="21"/>
              </w:rPr>
            </w:pPr>
            <w:r>
              <w:rPr>
                <w:rFonts w:hint="eastAsia"/>
                <w:szCs w:val="21"/>
              </w:rPr>
              <w:t>5. 工作内容</w:t>
            </w:r>
          </w:p>
          <w:p>
            <w:pPr>
              <w:spacing w:line="360" w:lineRule="exact"/>
              <w:jc w:val="left"/>
              <w:rPr>
                <w:szCs w:val="21"/>
              </w:rPr>
            </w:pPr>
            <w:r>
              <w:rPr>
                <w:rFonts w:hint="eastAsia"/>
                <w:szCs w:val="21"/>
              </w:rPr>
              <w:t>5.1 公司通过以下方式确保体系管理所需得到满足：</w:t>
            </w:r>
          </w:p>
          <w:p>
            <w:pPr>
              <w:spacing w:line="360" w:lineRule="exact"/>
              <w:jc w:val="left"/>
              <w:rPr>
                <w:szCs w:val="21"/>
              </w:rPr>
            </w:pPr>
            <w:r>
              <w:rPr>
                <w:rFonts w:hint="eastAsia"/>
                <w:szCs w:val="21"/>
              </w:rPr>
              <w:t>5.1.1 通过管理评审对资源的适应性进行评审，并将信息反馈给领导，由公司领导根据评审结果来决定是否增加资源。</w:t>
            </w:r>
          </w:p>
          <w:p>
            <w:pPr>
              <w:spacing w:line="360" w:lineRule="exact"/>
              <w:jc w:val="left"/>
              <w:rPr>
                <w:szCs w:val="21"/>
              </w:rPr>
            </w:pPr>
            <w:r>
              <w:rPr>
                <w:rFonts w:hint="eastAsia"/>
                <w:szCs w:val="21"/>
              </w:rPr>
              <w:t>5.1.2 管理体系运行过程中发现资源不足时，由相关部门提出申请，报董事长决定是否配置资源。</w:t>
            </w:r>
          </w:p>
          <w:p>
            <w:pPr>
              <w:spacing w:line="360" w:lineRule="exact"/>
              <w:jc w:val="left"/>
              <w:rPr>
                <w:szCs w:val="21"/>
              </w:rPr>
            </w:pPr>
            <w:r>
              <w:rPr>
                <w:rFonts w:hint="eastAsia"/>
                <w:szCs w:val="21"/>
              </w:rPr>
              <w:t>5.2 人力资源的控制按照《人力资源控制程序》执行。</w:t>
            </w:r>
          </w:p>
          <w:p>
            <w:pPr>
              <w:spacing w:line="360" w:lineRule="exact"/>
              <w:jc w:val="left"/>
              <w:rPr>
                <w:szCs w:val="21"/>
              </w:rPr>
            </w:pPr>
            <w:r>
              <w:rPr>
                <w:rFonts w:hint="eastAsia"/>
                <w:szCs w:val="21"/>
              </w:rPr>
              <w:t>5.3 设施管理</w:t>
            </w:r>
          </w:p>
          <w:p>
            <w:pPr>
              <w:spacing w:line="360" w:lineRule="exact"/>
              <w:jc w:val="left"/>
              <w:rPr>
                <w:szCs w:val="21"/>
              </w:rPr>
            </w:pPr>
            <w:r>
              <w:rPr>
                <w:rFonts w:hint="eastAsia"/>
                <w:szCs w:val="21"/>
              </w:rPr>
              <w:t>5.3.1 厂房的管理</w:t>
            </w:r>
          </w:p>
          <w:p>
            <w:pPr>
              <w:spacing w:line="360" w:lineRule="exact"/>
              <w:jc w:val="left"/>
              <w:rPr>
                <w:szCs w:val="21"/>
              </w:rPr>
            </w:pPr>
            <w:r>
              <w:rPr>
                <w:rFonts w:hint="eastAsia"/>
                <w:szCs w:val="21"/>
              </w:rPr>
              <w:t>5.3.1.1 由生产车间进行基础设施状况检查，发现问题，及时联系人员维修。</w:t>
            </w:r>
          </w:p>
          <w:p>
            <w:pPr>
              <w:spacing w:line="360" w:lineRule="exact"/>
              <w:jc w:val="left"/>
              <w:rPr>
                <w:szCs w:val="21"/>
              </w:rPr>
            </w:pPr>
            <w:r>
              <w:rPr>
                <w:rFonts w:hint="eastAsia"/>
                <w:szCs w:val="21"/>
              </w:rPr>
              <w:t>5.3.1.2 各部门如发现基础设施异常或损坏时，应立即通知综合部，由综合部处理。</w:t>
            </w:r>
          </w:p>
          <w:p>
            <w:pPr>
              <w:spacing w:line="360" w:lineRule="exact"/>
              <w:jc w:val="left"/>
              <w:rPr>
                <w:szCs w:val="21"/>
              </w:rPr>
            </w:pPr>
            <w:r>
              <w:rPr>
                <w:rFonts w:hint="eastAsia"/>
                <w:szCs w:val="21"/>
              </w:rPr>
              <w:t>5.3.2 供电设施的管理</w:t>
            </w:r>
          </w:p>
          <w:p>
            <w:pPr>
              <w:spacing w:line="360" w:lineRule="exact"/>
              <w:jc w:val="left"/>
              <w:rPr>
                <w:szCs w:val="21"/>
              </w:rPr>
            </w:pPr>
            <w:r>
              <w:rPr>
                <w:rFonts w:hint="eastAsia"/>
                <w:szCs w:val="21"/>
              </w:rPr>
              <w:t>5.3.2.1 生产车间生产人员应将所有设施列成《供电设施一览表》， 以明了目前公司的供电设施。</w:t>
            </w:r>
          </w:p>
          <w:p>
            <w:pPr>
              <w:spacing w:line="360" w:lineRule="exact"/>
              <w:jc w:val="left"/>
              <w:rPr>
                <w:szCs w:val="21"/>
              </w:rPr>
            </w:pPr>
            <w:r>
              <w:rPr>
                <w:rFonts w:hint="eastAsia"/>
                <w:szCs w:val="21"/>
              </w:rPr>
              <w:t>5.3.2.2 针对供电设施的易损零配件，要有效备妥各项零配件，已应维修之急，避免延误生产。</w:t>
            </w:r>
          </w:p>
          <w:p>
            <w:pPr>
              <w:spacing w:line="360" w:lineRule="exact"/>
              <w:jc w:val="left"/>
              <w:rPr>
                <w:szCs w:val="21"/>
              </w:rPr>
            </w:pPr>
            <w:r>
              <w:rPr>
                <w:rFonts w:hint="eastAsia"/>
                <w:szCs w:val="21"/>
              </w:rPr>
              <w:t>5.3.2.3 生产车间生产人员应根据供电设施的需求，要对供电设施进行定期保养。</w:t>
            </w:r>
          </w:p>
          <w:p>
            <w:pPr>
              <w:spacing w:line="360" w:lineRule="exact"/>
              <w:jc w:val="left"/>
              <w:rPr>
                <w:szCs w:val="21"/>
              </w:rPr>
            </w:pPr>
            <w:r>
              <w:rPr>
                <w:rFonts w:hint="eastAsia"/>
                <w:szCs w:val="21"/>
              </w:rPr>
              <w:t>5.3.3 供水、供热设施的管理</w:t>
            </w:r>
          </w:p>
          <w:p>
            <w:pPr>
              <w:spacing w:line="360" w:lineRule="exact"/>
              <w:jc w:val="left"/>
              <w:rPr>
                <w:szCs w:val="21"/>
              </w:rPr>
            </w:pPr>
            <w:r>
              <w:rPr>
                <w:rFonts w:hint="eastAsia"/>
                <w:szCs w:val="21"/>
              </w:rPr>
              <w:t xml:space="preserve">    各单位维修组负责对供水、供热设施进行检查、维修、保养；各使用单位如发现异常或损坏，应及时通知生产车间，由生产车间组织人员进行检查、维修。</w:t>
            </w:r>
          </w:p>
          <w:p>
            <w:pPr>
              <w:spacing w:line="360" w:lineRule="exact"/>
              <w:jc w:val="left"/>
              <w:rPr>
                <w:szCs w:val="21"/>
              </w:rPr>
            </w:pPr>
            <w:r>
              <w:rPr>
                <w:rFonts w:hint="eastAsia"/>
                <w:szCs w:val="21"/>
              </w:rPr>
              <w:t>5.3.4 生产设备的管理按照《设备管理控制程序》执行。</w:t>
            </w:r>
          </w:p>
          <w:p>
            <w:pPr>
              <w:spacing w:line="360" w:lineRule="exact"/>
              <w:jc w:val="left"/>
              <w:rPr>
                <w:szCs w:val="21"/>
              </w:rPr>
            </w:pPr>
            <w:r>
              <w:rPr>
                <w:rFonts w:hint="eastAsia"/>
                <w:szCs w:val="21"/>
              </w:rPr>
              <w:t>5.4. 工作环境的管理</w:t>
            </w:r>
          </w:p>
          <w:p>
            <w:pPr>
              <w:spacing w:line="360" w:lineRule="exact"/>
              <w:jc w:val="left"/>
              <w:rPr>
                <w:szCs w:val="21"/>
              </w:rPr>
            </w:pPr>
            <w:r>
              <w:rPr>
                <w:rFonts w:hint="eastAsia"/>
                <w:szCs w:val="21"/>
              </w:rPr>
              <w:t>5.4.1 企业文化</w:t>
            </w:r>
          </w:p>
          <w:p>
            <w:pPr>
              <w:spacing w:line="360" w:lineRule="exact"/>
              <w:jc w:val="left"/>
              <w:rPr>
                <w:szCs w:val="21"/>
              </w:rPr>
            </w:pPr>
            <w:r>
              <w:rPr>
                <w:rFonts w:hint="eastAsia"/>
                <w:szCs w:val="21"/>
              </w:rPr>
              <w:t>5.4.1.1 规章制度：各单位要建立健全为确保公司产品的质量所规定的各项规章制度。</w:t>
            </w:r>
          </w:p>
          <w:p>
            <w:pPr>
              <w:spacing w:line="360" w:lineRule="exact"/>
              <w:jc w:val="left"/>
              <w:rPr>
                <w:szCs w:val="21"/>
              </w:rPr>
            </w:pPr>
            <w:r>
              <w:rPr>
                <w:rFonts w:hint="eastAsia"/>
                <w:szCs w:val="21"/>
              </w:rPr>
              <w:t>5.4.1.2 劳保用品：为确保公司人员生产时的安全和工效，应根据不同人员的使用要求，配备必要的劳保用品，以确保对人体健康不构成危害。</w:t>
            </w:r>
          </w:p>
          <w:p>
            <w:pPr>
              <w:spacing w:line="360" w:lineRule="exact"/>
              <w:jc w:val="left"/>
              <w:rPr>
                <w:szCs w:val="21"/>
              </w:rPr>
            </w:pPr>
            <w:r>
              <w:rPr>
                <w:rFonts w:hint="eastAsia"/>
                <w:szCs w:val="21"/>
              </w:rPr>
              <w:t>5.4.2 硬件管理</w:t>
            </w:r>
          </w:p>
          <w:p>
            <w:pPr>
              <w:spacing w:line="360" w:lineRule="exact"/>
              <w:jc w:val="left"/>
              <w:rPr>
                <w:szCs w:val="21"/>
              </w:rPr>
            </w:pPr>
            <w:r>
              <w:rPr>
                <w:rFonts w:hint="eastAsia"/>
                <w:szCs w:val="21"/>
              </w:rPr>
              <w:t>5.4.2.1 对生产车间的工作环境要求： 温度、湿度、照明、噪音、防尘等要满足相关工作环境要求。</w:t>
            </w:r>
          </w:p>
          <w:p>
            <w:pPr>
              <w:spacing w:line="360" w:lineRule="exact"/>
              <w:jc w:val="left"/>
              <w:rPr>
                <w:szCs w:val="21"/>
              </w:rPr>
            </w:pPr>
            <w:r>
              <w:rPr>
                <w:rFonts w:hint="eastAsia"/>
                <w:szCs w:val="21"/>
              </w:rPr>
              <w:t>5.4.2.2 对仓库的工作环境要求： 防火、防潮、防尘等应满足仓库要求的，具体按照《产品防护控制程序》执行。</w:t>
            </w:r>
          </w:p>
          <w:p>
            <w:pPr>
              <w:spacing w:line="360" w:lineRule="exact"/>
              <w:jc w:val="left"/>
            </w:pPr>
            <w:r>
              <w:rPr>
                <w:rFonts w:hint="eastAsia"/>
              </w:rPr>
              <w:t>5.4.2.3 对厂区的工作环境要求：整齐、清洁、绿化，由综合部负责派人管理。</w:t>
            </w:r>
          </w:p>
          <w:p>
            <w:pPr>
              <w:spacing w:line="360" w:lineRule="exact"/>
              <w:jc w:val="left"/>
            </w:pPr>
            <w:r>
              <w:rPr>
                <w:rFonts w:hint="eastAsia"/>
              </w:rPr>
              <w:t>5.4.2.4 对综合部的工作环境要求： 整齐、清洁、光线充足，并配置必要的办公用品。</w:t>
            </w:r>
          </w:p>
          <w:p>
            <w:pPr>
              <w:spacing w:line="360" w:lineRule="exact"/>
              <w:jc w:val="left"/>
            </w:pPr>
            <w:r>
              <w:rPr>
                <w:rFonts w:hint="eastAsia"/>
              </w:rPr>
              <w:t>6. 相关/支持性文件</w:t>
            </w:r>
          </w:p>
          <w:p>
            <w:pPr>
              <w:spacing w:line="360" w:lineRule="exact"/>
              <w:jc w:val="left"/>
            </w:pPr>
            <w:r>
              <w:rPr>
                <w:rFonts w:hint="eastAsia"/>
              </w:rPr>
              <w:t>6.1 培训控制程序</w:t>
            </w:r>
          </w:p>
          <w:p>
            <w:pPr>
              <w:spacing w:line="360" w:lineRule="exact"/>
              <w:jc w:val="left"/>
            </w:pPr>
            <w:r>
              <w:rPr>
                <w:rFonts w:hint="eastAsia"/>
              </w:rPr>
              <w:t>6.2 设备管理控制程序</w:t>
            </w:r>
          </w:p>
          <w:p>
            <w:pPr>
              <w:spacing w:line="360" w:lineRule="exact"/>
              <w:jc w:val="left"/>
            </w:pPr>
            <w:r>
              <w:rPr>
                <w:rFonts w:hint="eastAsia"/>
              </w:rPr>
              <w:t>6.3 产品防护控制程序</w:t>
            </w:r>
          </w:p>
          <w:p>
            <w:pPr>
              <w:spacing w:line="360" w:lineRule="exact"/>
              <w:jc w:val="left"/>
            </w:pPr>
            <w:r>
              <w:rPr>
                <w:rFonts w:hint="eastAsia"/>
              </w:rPr>
              <w:t>7. 记录                    编号                     版本                   保存期限</w:t>
            </w:r>
          </w:p>
          <w:p>
            <w:pPr>
              <w:spacing w:line="360" w:lineRule="exact"/>
              <w:jc w:val="left"/>
            </w:pPr>
            <w:r>
              <w:rPr>
                <w:rFonts w:hint="eastAsia"/>
              </w:rPr>
              <w:t>7.1 设施一览表             LQY-P-06-01                    01                      三年</w:t>
            </w: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tc>
      </w:tr>
    </w:tbl>
    <w:p/>
    <w:p/>
    <w:tbl>
      <w:tblPr>
        <w:tblStyle w:val="9"/>
        <w:tblW w:w="1022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2"/>
        <w:gridCol w:w="1785"/>
        <w:gridCol w:w="2730"/>
        <w:gridCol w:w="1470"/>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3082" w:type="dxa"/>
            <w:vMerge w:val="restart"/>
            <w:vAlign w:val="center"/>
          </w:tcPr>
          <w:p>
            <w:pPr>
              <w:jc w:val="center"/>
              <w:rPr>
                <w:rFonts w:eastAsia="黑体"/>
                <w:b/>
                <w:sz w:val="36"/>
              </w:rPr>
            </w:pPr>
          </w:p>
        </w:tc>
        <w:tc>
          <w:tcPr>
            <w:tcW w:w="1785" w:type="dxa"/>
            <w:vAlign w:val="center"/>
          </w:tcPr>
          <w:p>
            <w:pPr>
              <w:jc w:val="center"/>
              <w:rPr>
                <w:rFonts w:ascii="宋体"/>
                <w:b/>
                <w:sz w:val="28"/>
              </w:rPr>
            </w:pPr>
            <w:r>
              <w:rPr>
                <w:rFonts w:hint="eastAsia" w:ascii="宋体"/>
                <w:b/>
                <w:sz w:val="28"/>
              </w:rPr>
              <w:t>文件名称</w:t>
            </w:r>
          </w:p>
        </w:tc>
        <w:tc>
          <w:tcPr>
            <w:tcW w:w="2730" w:type="dxa"/>
            <w:vAlign w:val="center"/>
          </w:tcPr>
          <w:p>
            <w:pPr>
              <w:jc w:val="center"/>
              <w:rPr>
                <w:rFonts w:ascii="宋体"/>
                <w:b/>
                <w:sz w:val="28"/>
              </w:rPr>
            </w:pPr>
            <w:r>
              <w:rPr>
                <w:rFonts w:hint="eastAsia" w:ascii="宋体"/>
                <w:b/>
                <w:sz w:val="28"/>
              </w:rPr>
              <w:t>设备管理控制程序</w:t>
            </w:r>
          </w:p>
        </w:tc>
        <w:tc>
          <w:tcPr>
            <w:tcW w:w="1470" w:type="dxa"/>
            <w:vAlign w:val="center"/>
          </w:tcPr>
          <w:p>
            <w:pPr>
              <w:jc w:val="center"/>
              <w:rPr>
                <w:rFonts w:ascii="宋体"/>
                <w:b/>
                <w:sz w:val="28"/>
              </w:rPr>
            </w:pPr>
            <w:r>
              <w:rPr>
                <w:rFonts w:hint="eastAsia" w:ascii="宋体"/>
                <w:b/>
                <w:sz w:val="28"/>
              </w:rPr>
              <w:t>版次</w:t>
            </w:r>
          </w:p>
        </w:tc>
        <w:tc>
          <w:tcPr>
            <w:tcW w:w="1155" w:type="dxa"/>
            <w:vAlign w:val="center"/>
          </w:tcPr>
          <w:p>
            <w:pPr>
              <w:jc w:val="center"/>
              <w:rPr>
                <w:rFonts w:ascii="宋体"/>
                <w:b/>
                <w:sz w:val="28"/>
              </w:rPr>
            </w:pPr>
            <w:r>
              <w:rPr>
                <w:rFonts w:hint="eastAsia" w:ascii="宋体"/>
                <w:b/>
                <w:sz w:val="2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3082" w:type="dxa"/>
            <w:vMerge w:val="continue"/>
            <w:vAlign w:val="center"/>
          </w:tcPr>
          <w:p>
            <w:pPr>
              <w:spacing w:line="400" w:lineRule="exact"/>
              <w:jc w:val="center"/>
              <w:rPr>
                <w:rFonts w:eastAsia="黑体"/>
                <w:b/>
                <w:sz w:val="36"/>
              </w:rPr>
            </w:pPr>
          </w:p>
        </w:tc>
        <w:tc>
          <w:tcPr>
            <w:tcW w:w="1785" w:type="dxa"/>
            <w:vAlign w:val="center"/>
          </w:tcPr>
          <w:p>
            <w:pPr>
              <w:spacing w:line="400" w:lineRule="exact"/>
              <w:jc w:val="center"/>
              <w:rPr>
                <w:rFonts w:ascii="宋体"/>
                <w:b/>
                <w:sz w:val="28"/>
              </w:rPr>
            </w:pPr>
            <w:r>
              <w:rPr>
                <w:rFonts w:hint="eastAsia" w:ascii="宋体"/>
                <w:b/>
                <w:sz w:val="28"/>
              </w:rPr>
              <w:t>文件编号</w:t>
            </w:r>
          </w:p>
        </w:tc>
        <w:tc>
          <w:tcPr>
            <w:tcW w:w="2730" w:type="dxa"/>
            <w:vAlign w:val="center"/>
          </w:tcPr>
          <w:p>
            <w:pPr>
              <w:spacing w:line="400" w:lineRule="exact"/>
              <w:jc w:val="center"/>
              <w:rPr>
                <w:rFonts w:ascii="宋体"/>
                <w:b/>
                <w:sz w:val="28"/>
              </w:rPr>
            </w:pPr>
            <w:r>
              <w:rPr>
                <w:rFonts w:hint="eastAsia" w:ascii="宋体"/>
                <w:b/>
                <w:sz w:val="28"/>
              </w:rPr>
              <w:t>LQY-P-11</w:t>
            </w:r>
          </w:p>
        </w:tc>
        <w:tc>
          <w:tcPr>
            <w:tcW w:w="1470" w:type="dxa"/>
            <w:vAlign w:val="center"/>
          </w:tcPr>
          <w:p>
            <w:pPr>
              <w:spacing w:line="400" w:lineRule="exact"/>
              <w:jc w:val="center"/>
              <w:rPr>
                <w:rFonts w:ascii="宋体"/>
                <w:b/>
                <w:sz w:val="28"/>
              </w:rPr>
            </w:pPr>
            <w:r>
              <w:rPr>
                <w:rFonts w:hint="eastAsia" w:ascii="宋体"/>
                <w:b/>
                <w:sz w:val="28"/>
              </w:rPr>
              <w:t>修改</w:t>
            </w:r>
          </w:p>
          <w:p>
            <w:pPr>
              <w:spacing w:line="400" w:lineRule="exact"/>
              <w:jc w:val="center"/>
              <w:rPr>
                <w:rFonts w:ascii="宋体"/>
                <w:b/>
                <w:sz w:val="28"/>
              </w:rPr>
            </w:pPr>
            <w:r>
              <w:rPr>
                <w:rFonts w:hint="eastAsia" w:ascii="宋体"/>
                <w:b/>
                <w:sz w:val="28"/>
              </w:rPr>
              <w:t>状态</w:t>
            </w:r>
          </w:p>
        </w:tc>
        <w:tc>
          <w:tcPr>
            <w:tcW w:w="1155" w:type="dxa"/>
            <w:vAlign w:val="center"/>
          </w:tcPr>
          <w:p>
            <w:pPr>
              <w:spacing w:line="400" w:lineRule="exact"/>
              <w:jc w:val="center"/>
              <w:rPr>
                <w:rFonts w:ascii="宋体"/>
                <w:b/>
                <w:sz w:val="28"/>
              </w:rPr>
            </w:pPr>
            <w:r>
              <w:rPr>
                <w:rFonts w:hint="eastAsia" w:ascii="宋体"/>
                <w:b/>
                <w:sz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9" w:hRule="atLeast"/>
        </w:trPr>
        <w:tc>
          <w:tcPr>
            <w:tcW w:w="10222" w:type="dxa"/>
            <w:gridSpan w:val="5"/>
            <w:tcBorders>
              <w:bottom w:val="single" w:color="auto" w:sz="4" w:space="0"/>
            </w:tcBorders>
          </w:tcPr>
          <w:p>
            <w:pPr>
              <w:numPr>
                <w:ilvl w:val="0"/>
                <w:numId w:val="11"/>
              </w:numPr>
              <w:spacing w:line="360" w:lineRule="exact"/>
              <w:jc w:val="left"/>
              <w:rPr>
                <w:szCs w:val="21"/>
              </w:rPr>
            </w:pPr>
            <w:r>
              <w:rPr>
                <w:rFonts w:hint="eastAsia"/>
                <w:szCs w:val="21"/>
              </w:rPr>
              <w:t>目的：</w:t>
            </w:r>
          </w:p>
          <w:p>
            <w:pPr>
              <w:spacing w:line="360" w:lineRule="exact"/>
              <w:ind w:left="315"/>
              <w:jc w:val="left"/>
              <w:rPr>
                <w:szCs w:val="21"/>
              </w:rPr>
            </w:pPr>
            <w:r>
              <w:rPr>
                <w:rFonts w:hint="eastAsia"/>
                <w:szCs w:val="21"/>
              </w:rPr>
              <w:t>通过对公司生产设备的管理以确保设备正常的运转，保持良好的工作状态。</w:t>
            </w:r>
          </w:p>
          <w:p>
            <w:pPr>
              <w:numPr>
                <w:ilvl w:val="0"/>
                <w:numId w:val="11"/>
              </w:numPr>
              <w:spacing w:line="360" w:lineRule="exact"/>
              <w:jc w:val="left"/>
              <w:rPr>
                <w:szCs w:val="21"/>
              </w:rPr>
            </w:pPr>
            <w:r>
              <w:rPr>
                <w:rFonts w:hint="eastAsia"/>
                <w:szCs w:val="21"/>
              </w:rPr>
              <w:t>适用范围：</w:t>
            </w:r>
          </w:p>
          <w:p>
            <w:pPr>
              <w:spacing w:line="360" w:lineRule="exact"/>
              <w:ind w:left="315"/>
              <w:jc w:val="left"/>
              <w:rPr>
                <w:szCs w:val="21"/>
              </w:rPr>
            </w:pPr>
            <w:r>
              <w:rPr>
                <w:rFonts w:hint="eastAsia"/>
                <w:szCs w:val="21"/>
              </w:rPr>
              <w:t>适用公司内所有影响产品质量的生产设备的控制。</w:t>
            </w:r>
          </w:p>
          <w:p>
            <w:pPr>
              <w:numPr>
                <w:ilvl w:val="0"/>
                <w:numId w:val="11"/>
              </w:numPr>
              <w:spacing w:line="360" w:lineRule="exact"/>
              <w:jc w:val="left"/>
              <w:rPr>
                <w:szCs w:val="21"/>
              </w:rPr>
            </w:pPr>
            <w:r>
              <w:rPr>
                <w:rFonts w:hint="eastAsia"/>
                <w:szCs w:val="21"/>
              </w:rPr>
              <w:t>职责：</w:t>
            </w:r>
          </w:p>
          <w:p>
            <w:pPr>
              <w:spacing w:line="360" w:lineRule="exact"/>
              <w:jc w:val="left"/>
              <w:rPr>
                <w:szCs w:val="21"/>
              </w:rPr>
            </w:pPr>
            <w:r>
              <w:rPr>
                <w:rFonts w:hint="eastAsia"/>
                <w:szCs w:val="21"/>
              </w:rPr>
              <w:t>3.1生产车间负责新增设备的论证、造型、购置，并组织使用单位安装调试；</w:t>
            </w:r>
          </w:p>
          <w:p>
            <w:pPr>
              <w:spacing w:line="360" w:lineRule="exact"/>
              <w:jc w:val="left"/>
              <w:rPr>
                <w:szCs w:val="21"/>
              </w:rPr>
            </w:pPr>
            <w:r>
              <w:rPr>
                <w:rFonts w:hint="eastAsia"/>
                <w:szCs w:val="21"/>
              </w:rPr>
              <w:t>3.2生产车间负责公司设备的日常管理工作；</w:t>
            </w:r>
          </w:p>
          <w:p>
            <w:pPr>
              <w:spacing w:line="360" w:lineRule="exact"/>
              <w:jc w:val="left"/>
              <w:rPr>
                <w:szCs w:val="21"/>
              </w:rPr>
            </w:pPr>
            <w:r>
              <w:rPr>
                <w:rFonts w:hint="eastAsia"/>
                <w:szCs w:val="21"/>
              </w:rPr>
              <w:t>3.3生产车间负责设备的更新改造和大修理计划的制定实施。</w:t>
            </w:r>
          </w:p>
          <w:p>
            <w:pPr>
              <w:numPr>
                <w:ilvl w:val="0"/>
                <w:numId w:val="11"/>
              </w:numPr>
              <w:spacing w:line="360" w:lineRule="exact"/>
              <w:jc w:val="left"/>
              <w:rPr>
                <w:szCs w:val="21"/>
              </w:rPr>
            </w:pPr>
            <w:r>
              <w:rPr>
                <w:rFonts w:hint="eastAsia"/>
                <w:szCs w:val="21"/>
              </w:rPr>
              <w:t>定义：无。</w:t>
            </w:r>
          </w:p>
          <w:p>
            <w:pPr>
              <w:numPr>
                <w:ilvl w:val="0"/>
                <w:numId w:val="11"/>
              </w:numPr>
              <w:spacing w:line="360" w:lineRule="exact"/>
              <w:jc w:val="left"/>
              <w:rPr>
                <w:szCs w:val="21"/>
              </w:rPr>
            </w:pPr>
            <w:r>
              <w:rPr>
                <w:rFonts w:hint="eastAsia"/>
                <w:szCs w:val="21"/>
              </w:rPr>
              <w:t>工作程序：；</w:t>
            </w:r>
          </w:p>
          <w:p>
            <w:pPr>
              <w:spacing w:line="360" w:lineRule="exact"/>
              <w:jc w:val="left"/>
              <w:rPr>
                <w:szCs w:val="21"/>
              </w:rPr>
            </w:pPr>
            <w:r>
              <w:rPr>
                <w:rFonts w:hint="eastAsia"/>
                <w:szCs w:val="21"/>
              </w:rPr>
              <w:t>5.1流程图（见附件）；</w:t>
            </w:r>
          </w:p>
          <w:p>
            <w:pPr>
              <w:spacing w:line="360" w:lineRule="exact"/>
              <w:jc w:val="left"/>
              <w:rPr>
                <w:szCs w:val="21"/>
              </w:rPr>
            </w:pPr>
            <w:r>
              <w:rPr>
                <w:rFonts w:hint="eastAsia"/>
                <w:szCs w:val="21"/>
              </w:rPr>
              <w:t>5.2设备购置</w:t>
            </w:r>
          </w:p>
          <w:p>
            <w:pPr>
              <w:spacing w:line="360" w:lineRule="exact"/>
              <w:jc w:val="left"/>
              <w:rPr>
                <w:szCs w:val="21"/>
              </w:rPr>
            </w:pPr>
            <w:r>
              <w:rPr>
                <w:rFonts w:hint="eastAsia"/>
                <w:szCs w:val="21"/>
              </w:rPr>
              <w:t>5.2.1新设备的购置由使用单位填写《设备购置计划申请表》，说明购置理由、类型和论证结论，并由生产车间审查，报总经理审批后购置；</w:t>
            </w:r>
          </w:p>
          <w:p>
            <w:pPr>
              <w:spacing w:line="360" w:lineRule="exact"/>
              <w:jc w:val="left"/>
              <w:rPr>
                <w:szCs w:val="21"/>
              </w:rPr>
            </w:pPr>
            <w:r>
              <w:rPr>
                <w:rFonts w:hint="eastAsia"/>
                <w:szCs w:val="21"/>
              </w:rPr>
              <w:t>5.2.2新设备到厂后，由生产车间组织使用单位对设备进行开箱验收，并填写《设备开箱验收、移交记录》，检查有关主机、技术资料以及随机附件是否齐全，然后进行安装；</w:t>
            </w:r>
          </w:p>
          <w:p>
            <w:pPr>
              <w:spacing w:line="360" w:lineRule="exact"/>
              <w:jc w:val="left"/>
              <w:rPr>
                <w:szCs w:val="21"/>
              </w:rPr>
            </w:pPr>
            <w:r>
              <w:rPr>
                <w:rFonts w:hint="eastAsia"/>
                <w:szCs w:val="21"/>
              </w:rPr>
              <w:t>5.2.3设备安装完毕，进行调试验收，验收合格后使用单位和生产车间分别登记《设备台帐》和《设备履历表》，并由生产车间进行统一编号和资料管理；</w:t>
            </w:r>
          </w:p>
          <w:p>
            <w:pPr>
              <w:spacing w:line="360" w:lineRule="exact"/>
              <w:jc w:val="left"/>
              <w:rPr>
                <w:szCs w:val="21"/>
              </w:rPr>
            </w:pPr>
            <w:r>
              <w:rPr>
                <w:rFonts w:hint="eastAsia"/>
                <w:szCs w:val="21"/>
              </w:rPr>
              <w:t>若设备调试验收不合格，通知设备厂商解决。</w:t>
            </w:r>
          </w:p>
          <w:p>
            <w:pPr>
              <w:spacing w:line="360" w:lineRule="exact"/>
              <w:jc w:val="left"/>
              <w:rPr>
                <w:szCs w:val="21"/>
              </w:rPr>
            </w:pPr>
            <w:r>
              <w:rPr>
                <w:rFonts w:hint="eastAsia"/>
                <w:szCs w:val="21"/>
              </w:rPr>
              <w:t>5.3设备的日常管理</w:t>
            </w:r>
          </w:p>
          <w:p>
            <w:pPr>
              <w:spacing w:line="360" w:lineRule="exact"/>
              <w:jc w:val="left"/>
              <w:rPr>
                <w:szCs w:val="21"/>
              </w:rPr>
            </w:pPr>
            <w:r>
              <w:rPr>
                <w:rFonts w:hint="eastAsia"/>
                <w:szCs w:val="21"/>
              </w:rPr>
              <w:t>5.3.1操作工人在操作设备前必须熟悉设备的性能，严格按照操作规程或作业指导书的要求进行操作；</w:t>
            </w:r>
          </w:p>
          <w:p>
            <w:pPr>
              <w:spacing w:line="360" w:lineRule="exact"/>
              <w:jc w:val="left"/>
              <w:rPr>
                <w:szCs w:val="21"/>
              </w:rPr>
            </w:pPr>
            <w:r>
              <w:rPr>
                <w:rFonts w:hint="eastAsia"/>
                <w:szCs w:val="21"/>
              </w:rPr>
              <w:t>5.3.2班组长对设备进行日常检查，填写《主要设备交接班记录》；</w:t>
            </w:r>
          </w:p>
          <w:p>
            <w:pPr>
              <w:spacing w:line="360" w:lineRule="exact"/>
              <w:jc w:val="left"/>
              <w:rPr>
                <w:szCs w:val="21"/>
              </w:rPr>
            </w:pPr>
            <w:r>
              <w:rPr>
                <w:rFonts w:hint="eastAsia"/>
                <w:szCs w:val="21"/>
              </w:rPr>
              <w:t>5.3.3设备的操作者要经过培训，大型关键设备的操作者须持证上岗；</w:t>
            </w:r>
          </w:p>
          <w:p>
            <w:pPr>
              <w:spacing w:line="360" w:lineRule="exact"/>
              <w:jc w:val="left"/>
              <w:rPr>
                <w:szCs w:val="21"/>
              </w:rPr>
            </w:pPr>
            <w:r>
              <w:rPr>
                <w:rFonts w:hint="eastAsia"/>
                <w:szCs w:val="21"/>
              </w:rPr>
              <w:t>5.3.4设备停用由使用单位办理封存手续，并进行标识。</w:t>
            </w:r>
          </w:p>
          <w:p>
            <w:pPr>
              <w:spacing w:line="360" w:lineRule="exact"/>
              <w:jc w:val="left"/>
              <w:rPr>
                <w:szCs w:val="21"/>
              </w:rPr>
            </w:pPr>
            <w:r>
              <w:rPr>
                <w:rFonts w:hint="eastAsia"/>
                <w:szCs w:val="21"/>
              </w:rPr>
              <w:t>5.4设备的修理</w:t>
            </w:r>
          </w:p>
          <w:p>
            <w:pPr>
              <w:spacing w:line="360" w:lineRule="exact"/>
              <w:jc w:val="left"/>
              <w:rPr>
                <w:szCs w:val="21"/>
              </w:rPr>
            </w:pPr>
            <w:r>
              <w:rPr>
                <w:rFonts w:hint="eastAsia"/>
                <w:szCs w:val="21"/>
              </w:rPr>
              <w:t>5.4.1由使用单位管理员根据设备的使用年限、运行状况提出大修计划，并填写《设备大修理计划表》报该单位厂部审批，根据生产计划状况制定大修理计划并批准实施；</w:t>
            </w:r>
          </w:p>
          <w:p>
            <w:pPr>
              <w:spacing w:line="360" w:lineRule="exact"/>
              <w:jc w:val="left"/>
              <w:rPr>
                <w:szCs w:val="21"/>
              </w:rPr>
            </w:pPr>
            <w:r>
              <w:rPr>
                <w:rFonts w:hint="eastAsia"/>
                <w:szCs w:val="21"/>
              </w:rPr>
              <w:t>5.4.2大修后的设备要进行试运行，确定无误后方可正常运转；</w:t>
            </w:r>
          </w:p>
          <w:p>
            <w:pPr>
              <w:spacing w:line="360" w:lineRule="exact"/>
              <w:jc w:val="left"/>
            </w:pPr>
            <w:r>
              <w:rPr>
                <w:rFonts w:hint="eastAsia"/>
              </w:rPr>
              <w:t>5.4.3设备的一般故障，由使用单位负责解决，关键设备的较大事故，由使用部门报告分析，报厂长和生产车间，查明原因，分清责任并及时解决，设备事故报告由生产车间存档。</w:t>
            </w:r>
          </w:p>
          <w:p>
            <w:pPr>
              <w:spacing w:line="360" w:lineRule="exact"/>
              <w:jc w:val="left"/>
            </w:pPr>
            <w:r>
              <w:rPr>
                <w:rFonts w:hint="eastAsia"/>
              </w:rPr>
              <w:t>5.5设备的更新改造</w:t>
            </w:r>
          </w:p>
          <w:p>
            <w:pPr>
              <w:spacing w:line="360" w:lineRule="exact"/>
              <w:jc w:val="left"/>
            </w:pPr>
            <w:r>
              <w:rPr>
                <w:rFonts w:hint="eastAsia"/>
              </w:rPr>
              <w:t>5.5.1设备的更新改造由使用单位提出书面论证，由生产车间进行技术工艺等方面的论证，报总经理批准后方可实施；</w:t>
            </w:r>
          </w:p>
          <w:p>
            <w:pPr>
              <w:spacing w:line="360" w:lineRule="exact"/>
              <w:jc w:val="left"/>
            </w:pPr>
            <w:r>
              <w:rPr>
                <w:rFonts w:hint="eastAsia"/>
              </w:rPr>
              <w:t>5.5.2设备改造完毕后，进行调试验收合格，由生产车间入档。</w:t>
            </w:r>
          </w:p>
          <w:p>
            <w:pPr>
              <w:spacing w:line="360" w:lineRule="exact"/>
              <w:jc w:val="left"/>
            </w:pPr>
            <w:r>
              <w:rPr>
                <w:rFonts w:hint="eastAsia"/>
              </w:rPr>
              <w:t>5.6设备的报废处理</w:t>
            </w:r>
          </w:p>
          <w:p>
            <w:pPr>
              <w:spacing w:line="360" w:lineRule="exact"/>
              <w:jc w:val="left"/>
            </w:pPr>
            <w:r>
              <w:rPr>
                <w:rFonts w:hint="eastAsia"/>
              </w:rPr>
              <w:t>5.6.1根据设备的使用年限且主要机构已严重老化、损坏、无法修复改造或严重影响安全、且耗能大、环境污染严重而无法治理的设备，由使用单位填写设备报废申请表，并报生产车间，由生产车间现场观察并进行性能论证后，报总经理审批；</w:t>
            </w:r>
          </w:p>
          <w:p>
            <w:pPr>
              <w:spacing w:line="360" w:lineRule="exact"/>
              <w:jc w:val="left"/>
            </w:pPr>
            <w:r>
              <w:rPr>
                <w:rFonts w:hint="eastAsia"/>
              </w:rPr>
              <w:t>5.6.2设备的报废经公司领导批复后方可实施，并由生产车间进行帐务处理。</w:t>
            </w:r>
          </w:p>
          <w:p>
            <w:pPr>
              <w:numPr>
                <w:ilvl w:val="0"/>
                <w:numId w:val="12"/>
              </w:numPr>
              <w:spacing w:line="360" w:lineRule="exact"/>
              <w:jc w:val="left"/>
            </w:pPr>
            <w:r>
              <w:rPr>
                <w:rFonts w:hint="eastAsia"/>
              </w:rPr>
              <w:t>相关/支持性文件</w:t>
            </w:r>
          </w:p>
          <w:p>
            <w:pPr>
              <w:spacing w:line="360" w:lineRule="exact"/>
              <w:jc w:val="left"/>
            </w:pPr>
            <w:r>
              <w:rPr>
                <w:rFonts w:hint="eastAsia"/>
              </w:rPr>
              <w:t>6.1检验和试验控制程序</w:t>
            </w:r>
          </w:p>
          <w:p>
            <w:pPr>
              <w:spacing w:line="360" w:lineRule="exact"/>
              <w:jc w:val="left"/>
            </w:pPr>
            <w:r>
              <w:rPr>
                <w:rFonts w:hint="eastAsia"/>
              </w:rPr>
              <w:t>6.2采购控制程序</w:t>
            </w:r>
          </w:p>
          <w:p>
            <w:pPr>
              <w:spacing w:line="360" w:lineRule="exact"/>
              <w:jc w:val="left"/>
            </w:pPr>
            <w:r>
              <w:rPr>
                <w:rFonts w:hint="eastAsia"/>
              </w:rPr>
              <w:t>6.3培训控制程序</w:t>
            </w:r>
          </w:p>
          <w:p>
            <w:pPr>
              <w:spacing w:line="360" w:lineRule="exact"/>
              <w:jc w:val="left"/>
            </w:pPr>
            <w:r>
              <w:rPr>
                <w:rFonts w:hint="eastAsia"/>
              </w:rPr>
              <w:t>7、记录                                    编号               版本           保存期限</w:t>
            </w:r>
          </w:p>
          <w:p>
            <w:pPr>
              <w:spacing w:line="360" w:lineRule="exact"/>
              <w:jc w:val="left"/>
            </w:pPr>
            <w:r>
              <w:rPr>
                <w:rFonts w:hint="eastAsia"/>
              </w:rPr>
              <w:t>7.1设备购置计划申请表                        LQY-P-13-01            01              三年</w:t>
            </w:r>
          </w:p>
          <w:p>
            <w:pPr>
              <w:spacing w:line="360" w:lineRule="exact"/>
              <w:jc w:val="left"/>
            </w:pPr>
            <w:r>
              <w:rPr>
                <w:rFonts w:hint="eastAsia"/>
              </w:rPr>
              <w:t>7.2设备开箱验收、移交记录                    LQY-P-13-02            01              三年</w:t>
            </w:r>
          </w:p>
          <w:p>
            <w:pPr>
              <w:spacing w:line="360" w:lineRule="exact"/>
              <w:jc w:val="left"/>
            </w:pPr>
            <w:r>
              <w:rPr>
                <w:rFonts w:hint="eastAsia"/>
              </w:rPr>
              <w:t>7.3主要设备交接班记录                        LQY-P-13-03            01              一年</w:t>
            </w:r>
          </w:p>
          <w:p>
            <w:pPr>
              <w:spacing w:line="360" w:lineRule="exact"/>
              <w:jc w:val="left"/>
            </w:pPr>
            <w:r>
              <w:rPr>
                <w:rFonts w:hint="eastAsia"/>
              </w:rPr>
              <w:t>7.4设备事故报告单                            LQY-P-13-04            01              三年</w:t>
            </w:r>
          </w:p>
          <w:p>
            <w:pPr>
              <w:spacing w:line="360" w:lineRule="exact"/>
              <w:jc w:val="left"/>
            </w:pPr>
            <w:r>
              <w:rPr>
                <w:rFonts w:hint="eastAsia"/>
              </w:rPr>
              <w:t>7.5设备报废审批表                            LQY-P-13-05            01              三年</w:t>
            </w:r>
          </w:p>
          <w:p>
            <w:pPr>
              <w:spacing w:line="360" w:lineRule="exact"/>
              <w:jc w:val="left"/>
            </w:pPr>
            <w:r>
              <w:rPr>
                <w:rFonts w:hint="eastAsia"/>
              </w:rPr>
              <w:t>7.6设备台帐                                  LQY-P-13-06            01              长期</w:t>
            </w:r>
          </w:p>
          <w:p>
            <w:pPr>
              <w:spacing w:line="360" w:lineRule="exact"/>
              <w:jc w:val="left"/>
            </w:pPr>
            <w:r>
              <w:rPr>
                <w:rFonts w:hint="eastAsia"/>
              </w:rPr>
              <w:t>7.7设备履历表                                LQY-P-13-07            01              长期</w:t>
            </w:r>
          </w:p>
          <w:p>
            <w:pPr>
              <w:spacing w:line="360" w:lineRule="exact"/>
              <w:jc w:val="left"/>
            </w:pPr>
            <w:r>
              <w:rPr>
                <w:rFonts w:hint="eastAsia"/>
              </w:rPr>
              <w:t>7.8设备大修理计划表                          LQY-P-13-08            01              三年</w:t>
            </w: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tc>
      </w:tr>
    </w:tbl>
    <w:p/>
    <w:p/>
    <w:p/>
    <w:tbl>
      <w:tblPr>
        <w:tblStyle w:val="9"/>
        <w:tblW w:w="1004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6"/>
        <w:gridCol w:w="1842"/>
        <w:gridCol w:w="3129"/>
        <w:gridCol w:w="1260"/>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2836" w:type="dxa"/>
            <w:vMerge w:val="restart"/>
            <w:vAlign w:val="center"/>
          </w:tcPr>
          <w:p>
            <w:pPr>
              <w:spacing w:line="400" w:lineRule="exact"/>
              <w:jc w:val="center"/>
              <w:rPr>
                <w:rFonts w:eastAsia="黑体"/>
                <w:b/>
                <w:sz w:val="36"/>
              </w:rPr>
            </w:pPr>
          </w:p>
        </w:tc>
        <w:tc>
          <w:tcPr>
            <w:tcW w:w="1842" w:type="dxa"/>
            <w:vAlign w:val="center"/>
          </w:tcPr>
          <w:p>
            <w:pPr>
              <w:spacing w:line="400" w:lineRule="exact"/>
              <w:jc w:val="center"/>
              <w:rPr>
                <w:rFonts w:ascii="宋体"/>
                <w:b/>
                <w:sz w:val="28"/>
              </w:rPr>
            </w:pPr>
            <w:r>
              <w:rPr>
                <w:rFonts w:hint="eastAsia" w:ascii="宋体"/>
                <w:b/>
                <w:sz w:val="28"/>
              </w:rPr>
              <w:t>文件名称</w:t>
            </w:r>
          </w:p>
        </w:tc>
        <w:tc>
          <w:tcPr>
            <w:tcW w:w="3129" w:type="dxa"/>
            <w:vAlign w:val="center"/>
          </w:tcPr>
          <w:p>
            <w:pPr>
              <w:spacing w:line="400" w:lineRule="exact"/>
              <w:jc w:val="center"/>
              <w:rPr>
                <w:rFonts w:ascii="宋体"/>
                <w:b/>
                <w:sz w:val="28"/>
              </w:rPr>
            </w:pPr>
            <w:r>
              <w:rPr>
                <w:rFonts w:hint="eastAsia" w:ascii="宋体"/>
                <w:b/>
                <w:sz w:val="28"/>
              </w:rPr>
              <w:t>检验、测量和试验设备控制程序</w:t>
            </w:r>
          </w:p>
        </w:tc>
        <w:tc>
          <w:tcPr>
            <w:tcW w:w="1260" w:type="dxa"/>
            <w:vAlign w:val="center"/>
          </w:tcPr>
          <w:p>
            <w:pPr>
              <w:spacing w:line="400" w:lineRule="exact"/>
              <w:jc w:val="center"/>
              <w:rPr>
                <w:rFonts w:ascii="宋体"/>
                <w:b/>
                <w:sz w:val="28"/>
              </w:rPr>
            </w:pPr>
            <w:r>
              <w:rPr>
                <w:rFonts w:hint="eastAsia" w:ascii="宋体"/>
                <w:b/>
                <w:sz w:val="28"/>
              </w:rPr>
              <w:t>版次</w:t>
            </w:r>
          </w:p>
        </w:tc>
        <w:tc>
          <w:tcPr>
            <w:tcW w:w="975" w:type="dxa"/>
            <w:vAlign w:val="center"/>
          </w:tcPr>
          <w:p>
            <w:pPr>
              <w:spacing w:line="400" w:lineRule="exact"/>
              <w:jc w:val="center"/>
              <w:rPr>
                <w:rFonts w:ascii="宋体"/>
                <w:b/>
                <w:sz w:val="28"/>
              </w:rPr>
            </w:pPr>
            <w:r>
              <w:rPr>
                <w:rFonts w:hint="eastAsia" w:ascii="宋体"/>
                <w:b/>
                <w:sz w:val="2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2836" w:type="dxa"/>
            <w:vMerge w:val="continue"/>
            <w:vAlign w:val="center"/>
          </w:tcPr>
          <w:p>
            <w:pPr>
              <w:spacing w:line="400" w:lineRule="exact"/>
              <w:jc w:val="center"/>
              <w:rPr>
                <w:rFonts w:eastAsia="黑体"/>
                <w:b/>
                <w:sz w:val="36"/>
              </w:rPr>
            </w:pPr>
          </w:p>
        </w:tc>
        <w:tc>
          <w:tcPr>
            <w:tcW w:w="1842" w:type="dxa"/>
            <w:vAlign w:val="center"/>
          </w:tcPr>
          <w:p>
            <w:pPr>
              <w:spacing w:line="400" w:lineRule="exact"/>
              <w:jc w:val="center"/>
              <w:rPr>
                <w:rFonts w:ascii="宋体"/>
                <w:b/>
                <w:sz w:val="28"/>
              </w:rPr>
            </w:pPr>
            <w:r>
              <w:rPr>
                <w:rFonts w:hint="eastAsia" w:ascii="宋体"/>
                <w:b/>
                <w:sz w:val="28"/>
              </w:rPr>
              <w:t>文件编号</w:t>
            </w:r>
          </w:p>
        </w:tc>
        <w:tc>
          <w:tcPr>
            <w:tcW w:w="3129" w:type="dxa"/>
            <w:vAlign w:val="center"/>
          </w:tcPr>
          <w:p>
            <w:pPr>
              <w:spacing w:line="400" w:lineRule="exact"/>
              <w:jc w:val="center"/>
              <w:rPr>
                <w:rFonts w:ascii="宋体"/>
                <w:b/>
                <w:sz w:val="28"/>
              </w:rPr>
            </w:pPr>
            <w:r>
              <w:rPr>
                <w:rFonts w:hint="eastAsia" w:ascii="宋体"/>
                <w:b/>
                <w:sz w:val="28"/>
              </w:rPr>
              <w:t>LQY-P-12</w:t>
            </w:r>
          </w:p>
        </w:tc>
        <w:tc>
          <w:tcPr>
            <w:tcW w:w="1260" w:type="dxa"/>
            <w:vAlign w:val="center"/>
          </w:tcPr>
          <w:p>
            <w:pPr>
              <w:spacing w:line="400" w:lineRule="exact"/>
              <w:jc w:val="center"/>
              <w:rPr>
                <w:rFonts w:ascii="宋体"/>
                <w:b/>
                <w:sz w:val="28"/>
              </w:rPr>
            </w:pPr>
            <w:r>
              <w:rPr>
                <w:rFonts w:hint="eastAsia" w:ascii="宋体"/>
                <w:b/>
                <w:sz w:val="28"/>
              </w:rPr>
              <w:t>修改</w:t>
            </w:r>
          </w:p>
          <w:p>
            <w:pPr>
              <w:spacing w:line="400" w:lineRule="exact"/>
              <w:jc w:val="center"/>
              <w:rPr>
                <w:rFonts w:ascii="宋体"/>
                <w:b/>
                <w:sz w:val="28"/>
              </w:rPr>
            </w:pPr>
            <w:r>
              <w:rPr>
                <w:rFonts w:hint="eastAsia" w:ascii="宋体"/>
                <w:b/>
                <w:sz w:val="28"/>
              </w:rPr>
              <w:t>状态</w:t>
            </w:r>
          </w:p>
        </w:tc>
        <w:tc>
          <w:tcPr>
            <w:tcW w:w="975" w:type="dxa"/>
            <w:vAlign w:val="center"/>
          </w:tcPr>
          <w:p>
            <w:pPr>
              <w:spacing w:line="400" w:lineRule="exact"/>
              <w:jc w:val="center"/>
              <w:rPr>
                <w:rFonts w:ascii="宋体"/>
                <w:b/>
                <w:sz w:val="28"/>
              </w:rPr>
            </w:pPr>
            <w:r>
              <w:rPr>
                <w:rFonts w:hint="eastAsia" w:ascii="宋体"/>
                <w:b/>
                <w:sz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1" w:hRule="atLeast"/>
        </w:trPr>
        <w:tc>
          <w:tcPr>
            <w:tcW w:w="10042" w:type="dxa"/>
            <w:gridSpan w:val="5"/>
            <w:tcBorders>
              <w:bottom w:val="single" w:color="auto" w:sz="4" w:space="0"/>
            </w:tcBorders>
          </w:tcPr>
          <w:p>
            <w:pPr>
              <w:numPr>
                <w:ilvl w:val="0"/>
                <w:numId w:val="13"/>
              </w:numPr>
              <w:spacing w:line="360" w:lineRule="exact"/>
              <w:jc w:val="left"/>
              <w:rPr>
                <w:rFonts w:ascii="宋体" w:hAnsi="宋体"/>
              </w:rPr>
            </w:pPr>
            <w:r>
              <w:rPr>
                <w:rFonts w:hint="eastAsia" w:ascii="宋体" w:hAnsi="宋体"/>
              </w:rPr>
              <w:t>目的：</w:t>
            </w:r>
          </w:p>
          <w:p>
            <w:pPr>
              <w:spacing w:line="360" w:lineRule="exact"/>
              <w:jc w:val="left"/>
              <w:rPr>
                <w:rFonts w:ascii="宋体" w:hAnsi="宋体"/>
              </w:rPr>
            </w:pPr>
            <w:r>
              <w:rPr>
                <w:rFonts w:hint="eastAsia" w:ascii="宋体" w:hAnsi="宋体"/>
              </w:rPr>
              <w:t>为确保检验、测量和试验设备的校准、使用、维修、调试等过程中实施有效控制，以保证其可靠性、准确性，使测量手段处于受控状态。</w:t>
            </w:r>
          </w:p>
          <w:p>
            <w:pPr>
              <w:numPr>
                <w:ilvl w:val="0"/>
                <w:numId w:val="13"/>
              </w:numPr>
              <w:spacing w:line="360" w:lineRule="exact"/>
              <w:jc w:val="left"/>
              <w:rPr>
                <w:rFonts w:ascii="宋体" w:hAnsi="宋体"/>
              </w:rPr>
            </w:pPr>
            <w:r>
              <w:rPr>
                <w:rFonts w:hint="eastAsia" w:ascii="宋体" w:hAnsi="宋体"/>
              </w:rPr>
              <w:t>适用范围：</w:t>
            </w:r>
          </w:p>
          <w:p>
            <w:pPr>
              <w:spacing w:line="360" w:lineRule="exact"/>
              <w:jc w:val="left"/>
              <w:rPr>
                <w:rFonts w:ascii="宋体" w:hAnsi="宋体"/>
              </w:rPr>
            </w:pPr>
            <w:r>
              <w:rPr>
                <w:rFonts w:hint="eastAsia" w:ascii="宋体" w:hAnsi="宋体"/>
              </w:rPr>
              <w:t>公司内各生产厂、生产工序、产成品及包装入库等所使用的检验、测量和试验设备。</w:t>
            </w:r>
          </w:p>
          <w:p>
            <w:pPr>
              <w:numPr>
                <w:ilvl w:val="0"/>
                <w:numId w:val="13"/>
              </w:numPr>
              <w:spacing w:line="360" w:lineRule="exact"/>
              <w:jc w:val="left"/>
              <w:rPr>
                <w:rFonts w:ascii="宋体" w:hAnsi="宋体"/>
              </w:rPr>
            </w:pPr>
            <w:r>
              <w:rPr>
                <w:rFonts w:hint="eastAsia" w:ascii="宋体" w:hAnsi="宋体"/>
              </w:rPr>
              <w:t>职责：</w:t>
            </w:r>
          </w:p>
          <w:p>
            <w:pPr>
              <w:spacing w:line="360" w:lineRule="exact"/>
              <w:jc w:val="left"/>
              <w:rPr>
                <w:rFonts w:ascii="宋体" w:hAnsi="宋体"/>
              </w:rPr>
            </w:pPr>
            <w:r>
              <w:rPr>
                <w:rFonts w:hint="eastAsia" w:ascii="宋体" w:hAnsi="宋体"/>
              </w:rPr>
              <w:t>3.1生产车间负责对企业最高标准器的按时送检、测量装置的配备，制定组织实施周期检定计划、计量管理制度，并监督检查；</w:t>
            </w:r>
          </w:p>
          <w:p>
            <w:pPr>
              <w:spacing w:line="360" w:lineRule="exact"/>
              <w:jc w:val="left"/>
              <w:rPr>
                <w:rFonts w:ascii="宋体" w:hAnsi="宋体"/>
              </w:rPr>
            </w:pPr>
            <w:r>
              <w:rPr>
                <w:rFonts w:hint="eastAsia" w:ascii="宋体" w:hAnsi="宋体"/>
              </w:rPr>
              <w:t>3.2生产车间负责对公司各分厂、车间、测量装置台帐的建立，统一管理全公司的测量装置；</w:t>
            </w:r>
          </w:p>
          <w:p>
            <w:pPr>
              <w:spacing w:line="360" w:lineRule="exact"/>
              <w:jc w:val="left"/>
              <w:rPr>
                <w:rFonts w:ascii="宋体" w:hAnsi="宋体"/>
              </w:rPr>
            </w:pPr>
            <w:r>
              <w:rPr>
                <w:rFonts w:hint="eastAsia" w:ascii="宋体" w:hAnsi="宋体"/>
              </w:rPr>
              <w:t>3.3生产车间负责测量装置的检定、调试、修理，确保测量装置的准确性；</w:t>
            </w:r>
          </w:p>
          <w:p>
            <w:pPr>
              <w:spacing w:line="360" w:lineRule="exact"/>
              <w:jc w:val="left"/>
              <w:rPr>
                <w:rFonts w:ascii="宋体" w:hAnsi="宋体"/>
              </w:rPr>
            </w:pPr>
            <w:r>
              <w:rPr>
                <w:rFonts w:hint="eastAsia" w:ascii="宋体" w:hAnsi="宋体"/>
              </w:rPr>
              <w:t>3.4生产车间组织测量装置的申购、采购、入库检定计划，落实测量装置的流转、降级、报废、核准制度。</w:t>
            </w:r>
          </w:p>
          <w:p>
            <w:pPr>
              <w:numPr>
                <w:ilvl w:val="0"/>
                <w:numId w:val="13"/>
              </w:numPr>
              <w:spacing w:line="360" w:lineRule="exact"/>
              <w:jc w:val="left"/>
              <w:rPr>
                <w:rFonts w:ascii="宋体" w:hAnsi="宋体"/>
              </w:rPr>
            </w:pPr>
            <w:r>
              <w:rPr>
                <w:rFonts w:hint="eastAsia" w:ascii="宋体" w:hAnsi="宋体"/>
              </w:rPr>
              <w:t>定义：无</w:t>
            </w:r>
          </w:p>
          <w:p>
            <w:pPr>
              <w:numPr>
                <w:ilvl w:val="0"/>
                <w:numId w:val="13"/>
              </w:numPr>
              <w:spacing w:line="360" w:lineRule="exact"/>
              <w:jc w:val="left"/>
              <w:rPr>
                <w:rFonts w:ascii="宋体" w:hAnsi="宋体"/>
              </w:rPr>
            </w:pPr>
            <w:r>
              <w:rPr>
                <w:rFonts w:hint="eastAsia" w:ascii="宋体" w:hAnsi="宋体"/>
              </w:rPr>
              <w:t>工作程序：</w:t>
            </w:r>
          </w:p>
          <w:p>
            <w:pPr>
              <w:spacing w:line="360" w:lineRule="exact"/>
              <w:jc w:val="left"/>
              <w:rPr>
                <w:rFonts w:ascii="宋体" w:hAnsi="宋体"/>
              </w:rPr>
            </w:pPr>
            <w:r>
              <w:rPr>
                <w:rFonts w:hint="eastAsia" w:ascii="宋体" w:hAnsi="宋体"/>
              </w:rPr>
              <w:t>5.1流程图（见附件）。</w:t>
            </w:r>
          </w:p>
          <w:p>
            <w:pPr>
              <w:spacing w:line="360" w:lineRule="exact"/>
              <w:jc w:val="left"/>
              <w:rPr>
                <w:rFonts w:ascii="宋体" w:hAnsi="宋体"/>
              </w:rPr>
            </w:pPr>
            <w:r>
              <w:rPr>
                <w:rFonts w:hint="eastAsia" w:ascii="宋体" w:hAnsi="宋体"/>
              </w:rPr>
              <w:t>5.2检验、测量和试验设备的申购、采购</w:t>
            </w:r>
          </w:p>
          <w:p>
            <w:pPr>
              <w:spacing w:line="360" w:lineRule="exact"/>
              <w:jc w:val="left"/>
              <w:rPr>
                <w:rFonts w:ascii="宋体" w:hAnsi="宋体"/>
              </w:rPr>
            </w:pPr>
            <w:r>
              <w:rPr>
                <w:rFonts w:hint="eastAsia" w:ascii="宋体" w:hAnsi="宋体"/>
              </w:rPr>
              <w:t>5.2.1各使用测量装置的部门因生产及产品质量需要测量装置时，须由该部门负责人填写测量装置申请计划单，综合部负责人签字后报回收利用部购买；</w:t>
            </w:r>
          </w:p>
          <w:p>
            <w:pPr>
              <w:spacing w:line="360" w:lineRule="exact"/>
              <w:jc w:val="left"/>
              <w:rPr>
                <w:rFonts w:ascii="宋体" w:hAnsi="宋体"/>
              </w:rPr>
            </w:pPr>
            <w:r>
              <w:rPr>
                <w:rFonts w:hint="eastAsia" w:ascii="宋体" w:hAnsi="宋体"/>
              </w:rPr>
              <w:t>5.2.2生产车间根据测量装置的精度要求、型号规格、测量范围、等级及生产厂家进行分析评定后报回收利用部门采购。</w:t>
            </w:r>
          </w:p>
          <w:p>
            <w:pPr>
              <w:spacing w:line="360" w:lineRule="exact"/>
              <w:jc w:val="left"/>
              <w:rPr>
                <w:rFonts w:ascii="宋体" w:hAnsi="宋体"/>
              </w:rPr>
            </w:pPr>
            <w:r>
              <w:rPr>
                <w:rFonts w:hint="eastAsia" w:ascii="宋体" w:hAnsi="宋体"/>
              </w:rPr>
              <w:t>5.3检验、测量和试验设备的入库、确认、发放</w:t>
            </w:r>
          </w:p>
          <w:p>
            <w:pPr>
              <w:spacing w:line="360" w:lineRule="exact"/>
              <w:jc w:val="left"/>
              <w:rPr>
                <w:rFonts w:ascii="宋体" w:hAnsi="宋体"/>
              </w:rPr>
            </w:pPr>
            <w:r>
              <w:rPr>
                <w:rFonts w:hint="eastAsia" w:ascii="宋体" w:hAnsi="宋体"/>
              </w:rPr>
              <w:t>5.3.1采购回厂的测量装置由计量室人员进行验收，验证其有无“MC”标志、合格证书及必要的软件、资料，验证合格后准予入库，不合格的则办理退货或调换手续，并做好记录；</w:t>
            </w:r>
          </w:p>
          <w:p>
            <w:pPr>
              <w:spacing w:line="360" w:lineRule="exact"/>
              <w:jc w:val="left"/>
              <w:rPr>
                <w:rFonts w:ascii="宋体" w:hAnsi="宋体"/>
              </w:rPr>
            </w:pPr>
            <w:r>
              <w:rPr>
                <w:rFonts w:hint="eastAsia" w:ascii="宋体" w:hAnsi="宋体"/>
              </w:rPr>
              <w:t>5.3.2入库后的测量装置在发放前由生产车间检定人员按照国家计量检定规程或校验规范进行检定；</w:t>
            </w:r>
          </w:p>
          <w:p>
            <w:pPr>
              <w:spacing w:line="360" w:lineRule="exact"/>
              <w:jc w:val="left"/>
              <w:rPr>
                <w:rFonts w:ascii="宋体" w:hAnsi="宋体"/>
              </w:rPr>
            </w:pPr>
            <w:r>
              <w:rPr>
                <w:rFonts w:hint="eastAsia" w:ascii="宋体" w:hAnsi="宋体"/>
              </w:rPr>
              <w:t>5.3.3经检定合格的测量装置由生产车间按长、热、力、电等种类编号入台帐做好原始记录并签发合格证书，注明检定日期和有效日期，做好标识；</w:t>
            </w:r>
          </w:p>
          <w:p>
            <w:pPr>
              <w:spacing w:line="360" w:lineRule="exact"/>
              <w:jc w:val="left"/>
              <w:rPr>
                <w:rFonts w:ascii="宋体" w:hAnsi="宋体"/>
              </w:rPr>
            </w:pPr>
            <w:r>
              <w:rPr>
                <w:rFonts w:hint="eastAsia" w:ascii="宋体" w:hAnsi="宋体"/>
              </w:rPr>
              <w:t>5.3.4各使用部门领取测量装置后由部门负责人分类编号入部门台帐，使用前必须进行校验并根据生产车间检定人员出据的合格证书所标明的有效日期对下一周期进行安排监督送检，不得超出证书所标明的有效日期。</w:t>
            </w:r>
          </w:p>
          <w:p>
            <w:pPr>
              <w:spacing w:line="360" w:lineRule="exact"/>
              <w:jc w:val="left"/>
              <w:rPr>
                <w:rFonts w:ascii="宋体" w:hAnsi="宋体"/>
              </w:rPr>
            </w:pPr>
            <w:r>
              <w:rPr>
                <w:rFonts w:hint="eastAsia" w:ascii="宋体" w:hAnsi="宋体"/>
              </w:rPr>
              <w:t>5.4检验、测量和试验设备的控制</w:t>
            </w:r>
          </w:p>
          <w:p>
            <w:pPr>
              <w:spacing w:line="360" w:lineRule="exact"/>
              <w:jc w:val="left"/>
              <w:rPr>
                <w:rFonts w:ascii="宋体" w:hAnsi="宋体"/>
              </w:rPr>
            </w:pPr>
            <w:r>
              <w:rPr>
                <w:rFonts w:hint="eastAsia" w:ascii="宋体" w:hAnsi="宋体"/>
              </w:rPr>
              <w:t>5.4.1公司用最高标准器必须有国家质量技术监督局授权部门进行检定后并颁发的合格证书，方可进行传递，使用过程中应严格按照国家质量技术监督局颁布的最新标准实施；</w:t>
            </w:r>
          </w:p>
          <w:p>
            <w:pPr>
              <w:spacing w:line="360" w:lineRule="exact"/>
              <w:jc w:val="left"/>
              <w:rPr>
                <w:rFonts w:ascii="宋体" w:hAnsi="宋体"/>
              </w:rPr>
            </w:pPr>
            <w:r>
              <w:rPr>
                <w:rFonts w:hint="eastAsia" w:ascii="宋体" w:hAnsi="宋体"/>
              </w:rPr>
              <w:t>5.4.2企业最高标准器的使用必须在法定的有效期内，以保证其达到规定的准确度要求；</w:t>
            </w:r>
          </w:p>
          <w:p>
            <w:pPr>
              <w:spacing w:line="360" w:lineRule="exact"/>
              <w:jc w:val="left"/>
              <w:rPr>
                <w:rFonts w:ascii="宋体" w:hAnsi="宋体"/>
              </w:rPr>
            </w:pPr>
            <w:r>
              <w:rPr>
                <w:rFonts w:hint="eastAsia" w:ascii="宋体" w:hAnsi="宋体"/>
              </w:rPr>
              <w:t>5.4.3计量室在使用计量标准器进行检定时，其环境条件应符合检定标准中温度、湿度的要求，检定人员应随时检查核准标准器具的使用情况，发现问题及时纠正；</w:t>
            </w:r>
          </w:p>
          <w:p>
            <w:pPr>
              <w:spacing w:line="360" w:lineRule="exact"/>
              <w:jc w:val="left"/>
              <w:rPr>
                <w:rFonts w:ascii="宋体" w:hAnsi="宋体"/>
              </w:rPr>
            </w:pPr>
            <w:r>
              <w:rPr>
                <w:rFonts w:hint="eastAsia" w:ascii="宋体" w:hAnsi="宋体"/>
              </w:rPr>
              <w:t>5.4.4使用测量装置的人员严格按计量室制定的维护保养制度对所用测量装置经常擦拭、清洗、涂油，定期维护保养，妥善保管，使测量装置处于完好状态，以确保测量精度；</w:t>
            </w:r>
          </w:p>
          <w:p>
            <w:pPr>
              <w:spacing w:line="360" w:lineRule="exact"/>
              <w:jc w:val="left"/>
              <w:rPr>
                <w:rFonts w:ascii="宋体" w:hAnsi="宋体"/>
              </w:rPr>
            </w:pPr>
            <w:r>
              <w:rPr>
                <w:rFonts w:hint="eastAsia" w:ascii="宋体" w:hAnsi="宋体"/>
              </w:rPr>
              <w:t>5.4.5使用测量装置的人员如发现测量装置偏离校准状态时，应立即停止使用，由生产车间联系检定校准，并通知生产车间对在测量装置偏离校准状态时所加工的产品进行控制；</w:t>
            </w:r>
          </w:p>
          <w:p>
            <w:pPr>
              <w:spacing w:line="360" w:lineRule="exact"/>
              <w:jc w:val="left"/>
              <w:rPr>
                <w:rFonts w:ascii="宋体" w:hAnsi="宋体"/>
              </w:rPr>
            </w:pPr>
            <w:r>
              <w:rPr>
                <w:rFonts w:hint="eastAsia" w:ascii="宋体" w:hAnsi="宋体"/>
              </w:rPr>
              <w:t>5.4.6强制检定及依法检定的测量装置的周期检定计划和抽查计划由生产车间参照国家规定的检定周其及在用计量器具使用情况及周检合格率情况情况制定或调整；</w:t>
            </w:r>
          </w:p>
          <w:p>
            <w:pPr>
              <w:spacing w:line="360" w:lineRule="exact"/>
              <w:jc w:val="left"/>
              <w:rPr>
                <w:rFonts w:ascii="宋体" w:hAnsi="宋体"/>
              </w:rPr>
            </w:pPr>
            <w:r>
              <w:rPr>
                <w:rFonts w:hint="eastAsia" w:ascii="宋体" w:hAnsi="宋体"/>
              </w:rPr>
              <w:t>5.4.7对上级计量部门授权本公司开展检定的项目由本公司计量室实施检定工作，无授权检定的应根据国家规定检定周期，按周期计划送有关授权部门检定或联系来厂检定。</w:t>
            </w:r>
          </w:p>
          <w:p>
            <w:pPr>
              <w:spacing w:line="360" w:lineRule="exact"/>
              <w:jc w:val="left"/>
              <w:rPr>
                <w:rFonts w:ascii="宋体" w:hAnsi="宋体"/>
              </w:rPr>
            </w:pPr>
            <w:r>
              <w:rPr>
                <w:rFonts w:hint="eastAsia" w:ascii="宋体" w:hAnsi="宋体"/>
              </w:rPr>
              <w:t>5.5检验、测量和试验设备的流转、降级、报废</w:t>
            </w:r>
          </w:p>
          <w:p>
            <w:pPr>
              <w:spacing w:line="360" w:lineRule="exact"/>
              <w:jc w:val="left"/>
              <w:rPr>
                <w:rFonts w:ascii="宋体" w:hAnsi="宋体"/>
              </w:rPr>
            </w:pPr>
            <w:r>
              <w:rPr>
                <w:rFonts w:hint="eastAsia" w:ascii="宋体" w:hAnsi="宋体"/>
              </w:rPr>
              <w:t>5.5.1测量装置因使用年限过长或其他情况，经维修已达不到精度要求时，能降级使用的降级使用，不能降级使用的由生产车间检定修理人员提出报废报告，综合部主任批准后方可报废，报废的测量装置应做到标识、封存、隔离；</w:t>
            </w:r>
          </w:p>
          <w:p>
            <w:pPr>
              <w:spacing w:line="360" w:lineRule="exact"/>
              <w:jc w:val="left"/>
              <w:rPr>
                <w:rFonts w:ascii="宋体" w:hAnsi="宋体"/>
              </w:rPr>
            </w:pPr>
            <w:r>
              <w:rPr>
                <w:rFonts w:hint="eastAsia" w:ascii="宋体" w:hAnsi="宋体"/>
              </w:rPr>
              <w:t>5.5.2使用测量装置的人员因工作调动或无需使用的、退厂的，各厂负责人应随时到生产车间办理流转迁移、收回手续，并在台帐上注明标记。</w:t>
            </w:r>
          </w:p>
          <w:p>
            <w:pPr>
              <w:spacing w:line="360" w:lineRule="exact"/>
              <w:jc w:val="left"/>
              <w:rPr>
                <w:rFonts w:ascii="宋体" w:hAnsi="宋体"/>
              </w:rPr>
            </w:pPr>
            <w:r>
              <w:rPr>
                <w:rFonts w:hint="eastAsia" w:ascii="宋体" w:hAnsi="宋体"/>
              </w:rPr>
              <w:t>5.6当合同或顾客要求时，生产车间负责提供测量装置的技术资料、相关证件，让顾客验证测量装置的适宜性和正确性。</w:t>
            </w:r>
          </w:p>
          <w:p>
            <w:pPr>
              <w:spacing w:line="360" w:lineRule="exact"/>
              <w:jc w:val="left"/>
              <w:rPr>
                <w:rFonts w:ascii="宋体" w:hAnsi="宋体"/>
              </w:rPr>
            </w:pPr>
            <w:r>
              <w:rPr>
                <w:rFonts w:hint="eastAsia" w:ascii="宋体" w:hAnsi="宋体"/>
              </w:rPr>
              <w:t>5.7有关检定规程应作为外来文件按《文件和资料控制程序》进行版本控制。</w:t>
            </w:r>
          </w:p>
          <w:p>
            <w:pPr>
              <w:numPr>
                <w:ilvl w:val="0"/>
                <w:numId w:val="13"/>
              </w:numPr>
              <w:spacing w:line="360" w:lineRule="exact"/>
              <w:jc w:val="left"/>
              <w:rPr>
                <w:rFonts w:ascii="宋体" w:hAnsi="宋体"/>
              </w:rPr>
            </w:pPr>
            <w:r>
              <w:rPr>
                <w:rFonts w:hint="eastAsia" w:ascii="宋体" w:hAnsi="宋体"/>
              </w:rPr>
              <w:t>相关/支持性文件：</w:t>
            </w:r>
          </w:p>
          <w:p>
            <w:pPr>
              <w:spacing w:line="360" w:lineRule="exact"/>
              <w:jc w:val="left"/>
              <w:rPr>
                <w:rFonts w:ascii="宋体" w:hAnsi="宋体"/>
              </w:rPr>
            </w:pPr>
            <w:r>
              <w:rPr>
                <w:rFonts w:hint="eastAsia" w:ascii="宋体" w:hAnsi="宋体"/>
              </w:rPr>
              <w:t>6.1中华人民共和国计量检定规程</w:t>
            </w:r>
          </w:p>
          <w:p>
            <w:pPr>
              <w:numPr>
                <w:ilvl w:val="0"/>
                <w:numId w:val="13"/>
              </w:numPr>
              <w:spacing w:line="360" w:lineRule="exact"/>
              <w:jc w:val="left"/>
              <w:rPr>
                <w:rFonts w:ascii="宋体" w:hAnsi="宋体"/>
              </w:rPr>
            </w:pPr>
            <w:r>
              <w:rPr>
                <w:rFonts w:hint="eastAsia" w:ascii="宋体" w:hAnsi="宋体"/>
              </w:rPr>
              <w:t>记录                                        编号              版本         保存期限</w:t>
            </w:r>
          </w:p>
          <w:p>
            <w:pPr>
              <w:spacing w:line="360" w:lineRule="exact"/>
              <w:jc w:val="left"/>
              <w:rPr>
                <w:rFonts w:ascii="宋体" w:hAnsi="宋体"/>
              </w:rPr>
            </w:pPr>
            <w:r>
              <w:rPr>
                <w:rFonts w:hint="eastAsia" w:ascii="宋体" w:hAnsi="宋体"/>
              </w:rPr>
              <w:t>7.1检验、测量和试验设备购置计划申请表            LQY-P-17-01            01           一年</w:t>
            </w:r>
          </w:p>
          <w:p>
            <w:pPr>
              <w:spacing w:line="360" w:lineRule="exact"/>
              <w:jc w:val="left"/>
              <w:rPr>
                <w:rFonts w:ascii="宋体" w:hAnsi="宋体"/>
              </w:rPr>
            </w:pPr>
            <w:r>
              <w:rPr>
                <w:rFonts w:hint="eastAsia" w:ascii="宋体" w:hAnsi="宋体"/>
              </w:rPr>
              <w:t>7.2检验、测量和试验设备采购审批表                LQY-P-17-02            01           一年</w:t>
            </w:r>
          </w:p>
          <w:p>
            <w:pPr>
              <w:spacing w:line="360" w:lineRule="exact"/>
              <w:jc w:val="left"/>
              <w:rPr>
                <w:rFonts w:ascii="宋体" w:hAnsi="宋体"/>
              </w:rPr>
            </w:pPr>
            <w:r>
              <w:rPr>
                <w:rFonts w:hint="eastAsia" w:ascii="宋体" w:hAnsi="宋体"/>
              </w:rPr>
              <w:t>7.3检验、测量和试验设备台帐                      LQY-P-17-03            01           三年</w:t>
            </w:r>
          </w:p>
          <w:p>
            <w:pPr>
              <w:spacing w:line="360" w:lineRule="exact"/>
              <w:jc w:val="left"/>
              <w:rPr>
                <w:rFonts w:ascii="宋体" w:hAnsi="宋体"/>
              </w:rPr>
            </w:pPr>
            <w:r>
              <w:rPr>
                <w:rFonts w:hint="eastAsia" w:ascii="宋体" w:hAnsi="宋体"/>
              </w:rPr>
              <w:t>7.4检验、测量和试验设备周期检定计划              LQY-P-17-04            01           三年</w:t>
            </w:r>
          </w:p>
          <w:p>
            <w:pPr>
              <w:spacing w:line="360" w:lineRule="exact"/>
              <w:jc w:val="left"/>
              <w:rPr>
                <w:rFonts w:ascii="宋体" w:hAnsi="宋体"/>
              </w:rPr>
            </w:pPr>
            <w:r>
              <w:rPr>
                <w:rFonts w:hint="eastAsia" w:ascii="宋体" w:hAnsi="宋体"/>
              </w:rPr>
              <w:t>7.5检验、测量和试验设备检定记录                  LQY-P-17-05            01           一年</w:t>
            </w:r>
          </w:p>
          <w:p>
            <w:pPr>
              <w:spacing w:line="360" w:lineRule="exact"/>
              <w:jc w:val="left"/>
              <w:rPr>
                <w:rFonts w:ascii="宋体" w:hAnsi="宋体"/>
              </w:rPr>
            </w:pPr>
            <w:r>
              <w:rPr>
                <w:rFonts w:hint="eastAsia" w:ascii="宋体" w:hAnsi="宋体"/>
              </w:rPr>
              <w:t>7.6检验、测量和试验设备修理记录                  LQY-P-17-06            01           一年</w:t>
            </w:r>
          </w:p>
          <w:p>
            <w:pPr>
              <w:spacing w:line="360" w:lineRule="exact"/>
              <w:jc w:val="left"/>
              <w:rPr>
                <w:rFonts w:ascii="宋体" w:hAnsi="宋体"/>
              </w:rPr>
            </w:pPr>
            <w:r>
              <w:rPr>
                <w:rFonts w:hint="eastAsia" w:ascii="宋体" w:hAnsi="宋体"/>
              </w:rPr>
              <w:t>7.7检验、测量和试验设备更新、迁移、报废报告      LQY-P-17-07            01           三年</w:t>
            </w:r>
          </w:p>
          <w:p>
            <w:pPr>
              <w:spacing w:line="360" w:lineRule="exact"/>
              <w:jc w:val="left"/>
              <w:rPr>
                <w:rFonts w:ascii="宋体" w:hAnsi="宋体"/>
              </w:rPr>
            </w:pPr>
            <w:r>
              <w:rPr>
                <w:rFonts w:hint="eastAsia" w:ascii="宋体" w:hAnsi="宋体"/>
              </w:rPr>
              <w:t>7.8检验、和试验设备抽查记录                      LQY-P-17-08            01           三年</w:t>
            </w:r>
          </w:p>
        </w:tc>
      </w:tr>
    </w:tbl>
    <w:p/>
    <w:p/>
    <w:p/>
    <w:p/>
    <w:p/>
    <w:p/>
    <w:p/>
    <w:tbl>
      <w:tblPr>
        <w:tblStyle w:val="9"/>
        <w:tblW w:w="1020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1984"/>
        <w:gridCol w:w="3150"/>
        <w:gridCol w:w="1684"/>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2411" w:type="dxa"/>
            <w:vMerge w:val="restart"/>
            <w:vAlign w:val="center"/>
          </w:tcPr>
          <w:p>
            <w:pPr>
              <w:spacing w:line="400" w:lineRule="exact"/>
              <w:jc w:val="center"/>
              <w:rPr>
                <w:rFonts w:eastAsia="黑体"/>
                <w:b/>
                <w:sz w:val="36"/>
              </w:rPr>
            </w:pPr>
          </w:p>
        </w:tc>
        <w:tc>
          <w:tcPr>
            <w:tcW w:w="1984" w:type="dxa"/>
            <w:vAlign w:val="center"/>
          </w:tcPr>
          <w:p>
            <w:pPr>
              <w:spacing w:line="400" w:lineRule="exact"/>
              <w:jc w:val="center"/>
              <w:rPr>
                <w:rFonts w:ascii="宋体"/>
                <w:b/>
                <w:sz w:val="28"/>
              </w:rPr>
            </w:pPr>
            <w:r>
              <w:rPr>
                <w:rFonts w:hint="eastAsia" w:ascii="宋体"/>
                <w:b/>
                <w:sz w:val="28"/>
              </w:rPr>
              <w:t>文件名称</w:t>
            </w:r>
          </w:p>
        </w:tc>
        <w:tc>
          <w:tcPr>
            <w:tcW w:w="3150" w:type="dxa"/>
            <w:vAlign w:val="center"/>
          </w:tcPr>
          <w:p>
            <w:pPr>
              <w:spacing w:line="400" w:lineRule="exact"/>
              <w:rPr>
                <w:rFonts w:ascii="宋体"/>
                <w:b/>
                <w:sz w:val="28"/>
              </w:rPr>
            </w:pPr>
            <w:r>
              <w:rPr>
                <w:rFonts w:hint="eastAsia" w:ascii="宋体"/>
                <w:b/>
                <w:sz w:val="28"/>
              </w:rPr>
              <w:t>与顾客有关的过程控制程序</w:t>
            </w:r>
          </w:p>
        </w:tc>
        <w:tc>
          <w:tcPr>
            <w:tcW w:w="1684" w:type="dxa"/>
            <w:vAlign w:val="center"/>
          </w:tcPr>
          <w:p>
            <w:pPr>
              <w:spacing w:line="400" w:lineRule="exact"/>
              <w:jc w:val="center"/>
              <w:rPr>
                <w:rFonts w:ascii="宋体"/>
                <w:b/>
                <w:sz w:val="28"/>
              </w:rPr>
            </w:pPr>
            <w:r>
              <w:rPr>
                <w:rFonts w:hint="eastAsia" w:ascii="宋体"/>
                <w:b/>
                <w:sz w:val="28"/>
              </w:rPr>
              <w:t>版次</w:t>
            </w:r>
          </w:p>
        </w:tc>
        <w:tc>
          <w:tcPr>
            <w:tcW w:w="978" w:type="dxa"/>
            <w:vAlign w:val="center"/>
          </w:tcPr>
          <w:p>
            <w:pPr>
              <w:spacing w:line="400" w:lineRule="exact"/>
              <w:jc w:val="center"/>
              <w:rPr>
                <w:rFonts w:ascii="宋体"/>
                <w:b/>
                <w:sz w:val="28"/>
              </w:rPr>
            </w:pPr>
            <w:r>
              <w:rPr>
                <w:rFonts w:hint="eastAsia" w:ascii="宋体"/>
                <w:b/>
                <w:sz w:val="2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2411" w:type="dxa"/>
            <w:vMerge w:val="continue"/>
            <w:vAlign w:val="center"/>
          </w:tcPr>
          <w:p>
            <w:pPr>
              <w:spacing w:line="400" w:lineRule="exact"/>
              <w:jc w:val="center"/>
              <w:rPr>
                <w:rFonts w:eastAsia="黑体"/>
                <w:b/>
                <w:sz w:val="36"/>
              </w:rPr>
            </w:pPr>
          </w:p>
        </w:tc>
        <w:tc>
          <w:tcPr>
            <w:tcW w:w="1984" w:type="dxa"/>
            <w:vAlign w:val="center"/>
          </w:tcPr>
          <w:p>
            <w:pPr>
              <w:spacing w:line="400" w:lineRule="exact"/>
              <w:jc w:val="center"/>
              <w:rPr>
                <w:rFonts w:ascii="宋体"/>
                <w:b/>
                <w:sz w:val="28"/>
              </w:rPr>
            </w:pPr>
            <w:r>
              <w:rPr>
                <w:rFonts w:hint="eastAsia" w:ascii="宋体"/>
                <w:b/>
                <w:sz w:val="28"/>
              </w:rPr>
              <w:t>文件编号</w:t>
            </w:r>
          </w:p>
        </w:tc>
        <w:tc>
          <w:tcPr>
            <w:tcW w:w="3150" w:type="dxa"/>
            <w:vAlign w:val="center"/>
          </w:tcPr>
          <w:p>
            <w:pPr>
              <w:spacing w:line="400" w:lineRule="exact"/>
              <w:jc w:val="center"/>
              <w:rPr>
                <w:rFonts w:ascii="宋体"/>
                <w:b/>
                <w:sz w:val="28"/>
              </w:rPr>
            </w:pPr>
            <w:r>
              <w:rPr>
                <w:rFonts w:hint="eastAsia" w:ascii="宋体"/>
                <w:b/>
                <w:sz w:val="28"/>
              </w:rPr>
              <w:t>LQY-P-13</w:t>
            </w:r>
          </w:p>
        </w:tc>
        <w:tc>
          <w:tcPr>
            <w:tcW w:w="1684" w:type="dxa"/>
            <w:vAlign w:val="center"/>
          </w:tcPr>
          <w:p>
            <w:pPr>
              <w:spacing w:line="400" w:lineRule="exact"/>
              <w:jc w:val="center"/>
              <w:rPr>
                <w:rFonts w:ascii="宋体"/>
                <w:b/>
                <w:sz w:val="28"/>
              </w:rPr>
            </w:pPr>
            <w:r>
              <w:rPr>
                <w:rFonts w:hint="eastAsia" w:ascii="宋体"/>
                <w:b/>
                <w:sz w:val="28"/>
              </w:rPr>
              <w:t>修改</w:t>
            </w:r>
          </w:p>
          <w:p>
            <w:pPr>
              <w:spacing w:line="400" w:lineRule="exact"/>
              <w:jc w:val="center"/>
              <w:rPr>
                <w:rFonts w:ascii="宋体"/>
                <w:b/>
                <w:sz w:val="28"/>
              </w:rPr>
            </w:pPr>
            <w:r>
              <w:rPr>
                <w:rFonts w:hint="eastAsia" w:ascii="宋体"/>
                <w:b/>
                <w:sz w:val="28"/>
              </w:rPr>
              <w:t>状态</w:t>
            </w:r>
          </w:p>
        </w:tc>
        <w:tc>
          <w:tcPr>
            <w:tcW w:w="978" w:type="dxa"/>
            <w:vAlign w:val="center"/>
          </w:tcPr>
          <w:p>
            <w:pPr>
              <w:spacing w:line="400" w:lineRule="exact"/>
              <w:jc w:val="center"/>
              <w:rPr>
                <w:rFonts w:ascii="宋体"/>
                <w:b/>
                <w:sz w:val="28"/>
              </w:rPr>
            </w:pPr>
            <w:r>
              <w:rPr>
                <w:rFonts w:hint="eastAsia" w:ascii="宋体"/>
                <w:b/>
                <w:sz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5" w:hRule="atLeast"/>
        </w:trPr>
        <w:tc>
          <w:tcPr>
            <w:tcW w:w="10207" w:type="dxa"/>
            <w:gridSpan w:val="5"/>
          </w:tcPr>
          <w:p>
            <w:pPr>
              <w:numPr>
                <w:ilvl w:val="0"/>
                <w:numId w:val="14"/>
              </w:numPr>
              <w:spacing w:line="320" w:lineRule="exact"/>
              <w:jc w:val="left"/>
              <w:rPr>
                <w:szCs w:val="21"/>
              </w:rPr>
            </w:pPr>
            <w:r>
              <w:rPr>
                <w:rFonts w:hint="eastAsia"/>
                <w:szCs w:val="21"/>
              </w:rPr>
              <w:t>目的：</w:t>
            </w:r>
          </w:p>
          <w:p>
            <w:pPr>
              <w:spacing w:line="320" w:lineRule="exact"/>
              <w:ind w:firstLine="420" w:firstLineChars="200"/>
              <w:rPr>
                <w:rFonts w:ascii="宋体" w:hAnsi="宋体"/>
                <w:szCs w:val="21"/>
              </w:rPr>
            </w:pPr>
            <w:r>
              <w:rPr>
                <w:rFonts w:hint="eastAsia" w:ascii="宋体" w:hAnsi="宋体"/>
                <w:szCs w:val="21"/>
              </w:rPr>
              <w:t>明确合同的要求并形成文件，对与顾客有关的过程进行控制，满足顾客的要求。</w:t>
            </w:r>
          </w:p>
          <w:p>
            <w:pPr>
              <w:numPr>
                <w:ilvl w:val="0"/>
                <w:numId w:val="14"/>
              </w:numPr>
              <w:spacing w:line="320" w:lineRule="exact"/>
              <w:jc w:val="left"/>
              <w:rPr>
                <w:szCs w:val="21"/>
              </w:rPr>
            </w:pPr>
            <w:r>
              <w:rPr>
                <w:rFonts w:hint="eastAsia"/>
                <w:szCs w:val="21"/>
              </w:rPr>
              <w:t>适用范围：</w:t>
            </w:r>
          </w:p>
          <w:p>
            <w:pPr>
              <w:spacing w:line="320" w:lineRule="exact"/>
              <w:ind w:firstLine="420" w:firstLineChars="200"/>
              <w:rPr>
                <w:szCs w:val="21"/>
              </w:rPr>
            </w:pPr>
            <w:r>
              <w:rPr>
                <w:rFonts w:hint="eastAsia"/>
                <w:szCs w:val="21"/>
              </w:rPr>
              <w:t>适用于顾客产品要求的确定、评审以及与顾客的沟通。</w:t>
            </w:r>
          </w:p>
          <w:p>
            <w:pPr>
              <w:numPr>
                <w:ilvl w:val="0"/>
                <w:numId w:val="14"/>
              </w:numPr>
              <w:spacing w:line="320" w:lineRule="exact"/>
              <w:jc w:val="left"/>
              <w:rPr>
                <w:szCs w:val="21"/>
              </w:rPr>
            </w:pPr>
            <w:r>
              <w:rPr>
                <w:rFonts w:hint="eastAsia"/>
                <w:szCs w:val="21"/>
              </w:rPr>
              <w:t>职责：</w:t>
            </w:r>
          </w:p>
          <w:p>
            <w:pPr>
              <w:spacing w:line="320" w:lineRule="exact"/>
              <w:jc w:val="left"/>
              <w:rPr>
                <w:szCs w:val="21"/>
              </w:rPr>
            </w:pPr>
            <w:r>
              <w:rPr>
                <w:rFonts w:hint="eastAsia"/>
                <w:szCs w:val="21"/>
              </w:rPr>
              <w:t>3.1回收利用部门负责组织合同评审；</w:t>
            </w:r>
          </w:p>
          <w:p>
            <w:pPr>
              <w:spacing w:line="320" w:lineRule="exact"/>
              <w:jc w:val="left"/>
              <w:rPr>
                <w:szCs w:val="21"/>
              </w:rPr>
            </w:pPr>
            <w:r>
              <w:rPr>
                <w:rFonts w:hint="eastAsia"/>
                <w:szCs w:val="21"/>
              </w:rPr>
              <w:t>3.2生产车间门负责评审合同质量要求的内容；</w:t>
            </w:r>
          </w:p>
          <w:p>
            <w:pPr>
              <w:spacing w:line="320" w:lineRule="exact"/>
              <w:jc w:val="left"/>
              <w:rPr>
                <w:szCs w:val="21"/>
              </w:rPr>
            </w:pPr>
            <w:r>
              <w:rPr>
                <w:rFonts w:hint="eastAsia"/>
                <w:szCs w:val="21"/>
              </w:rPr>
              <w:t>3.3生产车间门负责评审合同中技术标准和工艺规定等要求；</w:t>
            </w:r>
          </w:p>
          <w:p>
            <w:pPr>
              <w:spacing w:line="320" w:lineRule="exact"/>
              <w:jc w:val="left"/>
              <w:rPr>
                <w:szCs w:val="21"/>
              </w:rPr>
            </w:pPr>
            <w:r>
              <w:rPr>
                <w:rFonts w:hint="eastAsia"/>
                <w:szCs w:val="21"/>
              </w:rPr>
              <w:t>3.4物资回收利用部门负责评审满足合同要求的原材料供应；</w:t>
            </w:r>
          </w:p>
          <w:p>
            <w:pPr>
              <w:spacing w:line="320" w:lineRule="exact"/>
              <w:jc w:val="left"/>
              <w:rPr>
                <w:szCs w:val="21"/>
              </w:rPr>
            </w:pPr>
            <w:r>
              <w:rPr>
                <w:rFonts w:hint="eastAsia"/>
                <w:szCs w:val="21"/>
              </w:rPr>
              <w:t>3.5生产车间门负责评审满足合同要求的生产能力；</w:t>
            </w:r>
          </w:p>
          <w:p>
            <w:pPr>
              <w:numPr>
                <w:ilvl w:val="0"/>
                <w:numId w:val="14"/>
              </w:numPr>
              <w:spacing w:line="320" w:lineRule="exact"/>
              <w:jc w:val="left"/>
              <w:rPr>
                <w:szCs w:val="21"/>
              </w:rPr>
            </w:pPr>
            <w:r>
              <w:rPr>
                <w:rFonts w:hint="eastAsia"/>
                <w:szCs w:val="21"/>
              </w:rPr>
              <w:t>定义：</w:t>
            </w:r>
          </w:p>
          <w:p>
            <w:pPr>
              <w:spacing w:line="320" w:lineRule="exact"/>
              <w:ind w:left="315"/>
              <w:jc w:val="left"/>
              <w:rPr>
                <w:szCs w:val="21"/>
              </w:rPr>
            </w:pPr>
            <w:r>
              <w:rPr>
                <w:rFonts w:hint="eastAsia"/>
                <w:szCs w:val="21"/>
              </w:rPr>
              <w:t>旧规格产品：曾经在本公司生产过的产品，为旧规格产品（即常规产品）。</w:t>
            </w:r>
          </w:p>
          <w:p>
            <w:pPr>
              <w:spacing w:line="320" w:lineRule="exact"/>
              <w:ind w:left="315"/>
              <w:jc w:val="left"/>
              <w:rPr>
                <w:szCs w:val="21"/>
              </w:rPr>
            </w:pPr>
            <w:r>
              <w:rPr>
                <w:rFonts w:hint="eastAsia"/>
                <w:szCs w:val="21"/>
              </w:rPr>
              <w:t>新规格产品：从未在本公司批量生产过的产品，为新规格产品（即非常规产品）。</w:t>
            </w:r>
          </w:p>
          <w:p>
            <w:pPr>
              <w:numPr>
                <w:ilvl w:val="0"/>
                <w:numId w:val="14"/>
              </w:numPr>
              <w:spacing w:line="320" w:lineRule="exact"/>
              <w:jc w:val="left"/>
              <w:rPr>
                <w:szCs w:val="21"/>
              </w:rPr>
            </w:pPr>
            <w:r>
              <w:rPr>
                <w:rFonts w:hint="eastAsia"/>
                <w:szCs w:val="21"/>
              </w:rPr>
              <w:t>工作程序：</w:t>
            </w:r>
          </w:p>
          <w:p>
            <w:pPr>
              <w:spacing w:line="320" w:lineRule="exact"/>
              <w:jc w:val="left"/>
              <w:rPr>
                <w:szCs w:val="21"/>
              </w:rPr>
            </w:pPr>
            <w:r>
              <w:rPr>
                <w:rFonts w:hint="eastAsia"/>
                <w:szCs w:val="21"/>
              </w:rPr>
              <w:t>5.1流程图（见附件）</w:t>
            </w:r>
          </w:p>
          <w:p>
            <w:pPr>
              <w:spacing w:line="320" w:lineRule="exact"/>
              <w:jc w:val="left"/>
              <w:rPr>
                <w:szCs w:val="21"/>
              </w:rPr>
            </w:pPr>
            <w:r>
              <w:rPr>
                <w:rFonts w:hint="eastAsia"/>
                <w:szCs w:val="21"/>
              </w:rPr>
              <w:t>5.2合同形式</w:t>
            </w:r>
          </w:p>
          <w:p>
            <w:pPr>
              <w:spacing w:line="320" w:lineRule="exact"/>
              <w:jc w:val="left"/>
              <w:rPr>
                <w:szCs w:val="21"/>
              </w:rPr>
            </w:pPr>
            <w:r>
              <w:rPr>
                <w:rFonts w:hint="eastAsia"/>
                <w:szCs w:val="21"/>
              </w:rPr>
              <w:t>5.2.1合同有书面合同、协议、信函、传真、电话、口头协商、招标书等形式。</w:t>
            </w:r>
          </w:p>
          <w:p>
            <w:pPr>
              <w:spacing w:line="320" w:lineRule="exact"/>
              <w:jc w:val="left"/>
              <w:rPr>
                <w:szCs w:val="21"/>
              </w:rPr>
            </w:pPr>
            <w:r>
              <w:rPr>
                <w:rFonts w:hint="eastAsia"/>
                <w:szCs w:val="21"/>
              </w:rPr>
              <w:t>5.2.2不论以何种方式接收的合同，均应清楚地表达顾客的要求和条件。</w:t>
            </w:r>
          </w:p>
          <w:p>
            <w:pPr>
              <w:spacing w:line="320" w:lineRule="exact"/>
              <w:jc w:val="left"/>
              <w:rPr>
                <w:szCs w:val="21"/>
              </w:rPr>
            </w:pPr>
            <w:r>
              <w:rPr>
                <w:rFonts w:hint="eastAsia"/>
                <w:szCs w:val="21"/>
              </w:rPr>
              <w:t>5.3合同洽谈</w:t>
            </w:r>
          </w:p>
          <w:p>
            <w:pPr>
              <w:spacing w:line="320" w:lineRule="exact"/>
              <w:jc w:val="left"/>
              <w:rPr>
                <w:szCs w:val="21"/>
              </w:rPr>
            </w:pPr>
            <w:r>
              <w:rPr>
                <w:rFonts w:hint="eastAsia"/>
                <w:szCs w:val="21"/>
              </w:rPr>
              <w:t>5.3.1合同在正式签订或定单下发之前，回收利用部门就合同产品的具体要求通过各种方式与顾客进行洽谈，对顾客的各项要求了解清楚。</w:t>
            </w:r>
          </w:p>
          <w:p>
            <w:pPr>
              <w:spacing w:line="320" w:lineRule="exact"/>
              <w:jc w:val="left"/>
              <w:rPr>
                <w:szCs w:val="21"/>
              </w:rPr>
            </w:pPr>
            <w:r>
              <w:rPr>
                <w:rFonts w:hint="eastAsia"/>
                <w:szCs w:val="21"/>
              </w:rPr>
              <w:t>5.3.2合同洽谈完毕，进行评审，评审通过后方可签订。</w:t>
            </w:r>
          </w:p>
          <w:p>
            <w:pPr>
              <w:spacing w:line="320" w:lineRule="exact"/>
              <w:jc w:val="left"/>
              <w:rPr>
                <w:szCs w:val="21"/>
              </w:rPr>
            </w:pPr>
            <w:r>
              <w:rPr>
                <w:rFonts w:hint="eastAsia"/>
                <w:szCs w:val="21"/>
              </w:rPr>
              <w:t>5.4合同评审的内容</w:t>
            </w:r>
          </w:p>
          <w:p>
            <w:pPr>
              <w:spacing w:line="320" w:lineRule="exact"/>
              <w:jc w:val="left"/>
              <w:rPr>
                <w:szCs w:val="21"/>
              </w:rPr>
            </w:pPr>
            <w:r>
              <w:rPr>
                <w:rFonts w:hint="eastAsia"/>
                <w:szCs w:val="21"/>
              </w:rPr>
              <w:t>5.4.1在与顾客签订正式合同/定单前，相关部门需就下列内容进行评审：价格、品种、规格、数量、包装方式、质量要求、运输方式、交货日期、付款方式等内容。</w:t>
            </w:r>
          </w:p>
          <w:p>
            <w:pPr>
              <w:spacing w:line="320" w:lineRule="exact"/>
              <w:jc w:val="left"/>
              <w:rPr>
                <w:szCs w:val="21"/>
              </w:rPr>
            </w:pPr>
            <w:r>
              <w:rPr>
                <w:rFonts w:hint="eastAsia"/>
                <w:szCs w:val="21"/>
              </w:rPr>
              <w:t>5.4.2评审中相关部门分别就上述内容作出评价和承诺，对不能满足要求的部分，由回收利用部门与顾客联系，在取得顾客同意后，方可签定合同或定单。</w:t>
            </w:r>
          </w:p>
          <w:p>
            <w:pPr>
              <w:spacing w:line="320" w:lineRule="exact"/>
              <w:jc w:val="left"/>
              <w:rPr>
                <w:szCs w:val="21"/>
              </w:rPr>
            </w:pPr>
            <w:r>
              <w:rPr>
                <w:rFonts w:hint="eastAsia"/>
                <w:szCs w:val="21"/>
              </w:rPr>
              <w:t>5.5评审要求</w:t>
            </w:r>
          </w:p>
          <w:p>
            <w:pPr>
              <w:spacing w:line="320" w:lineRule="exact"/>
              <w:jc w:val="left"/>
            </w:pPr>
            <w:r>
              <w:rPr>
                <w:rFonts w:hint="eastAsia"/>
              </w:rPr>
              <w:t>5.5.1合同条款中有关质量、数量、交货期、包装、交付等各项要求是否合理、明确；</w:t>
            </w:r>
          </w:p>
          <w:p>
            <w:pPr>
              <w:spacing w:line="320" w:lineRule="exact"/>
              <w:jc w:val="left"/>
            </w:pPr>
            <w:r>
              <w:rPr>
                <w:rFonts w:hint="eastAsia"/>
              </w:rPr>
              <w:t>5.5.2合同条款是否准确、规范及完善，公司能否接受。</w:t>
            </w:r>
          </w:p>
          <w:p>
            <w:pPr>
              <w:spacing w:line="320" w:lineRule="exact"/>
              <w:jc w:val="left"/>
            </w:pPr>
            <w:r>
              <w:rPr>
                <w:rFonts w:hint="eastAsia"/>
              </w:rPr>
              <w:t>5.6合同评审的方式及步骤</w:t>
            </w:r>
          </w:p>
          <w:p>
            <w:pPr>
              <w:spacing w:line="320" w:lineRule="exact"/>
              <w:jc w:val="left"/>
            </w:pPr>
            <w:r>
              <w:rPr>
                <w:rFonts w:hint="eastAsia"/>
              </w:rPr>
              <w:t>5.6.1合同评审可以采取不同的方式，主要包括：电话评审、会议评审、口头评审等；</w:t>
            </w:r>
          </w:p>
          <w:p>
            <w:pPr>
              <w:spacing w:line="320" w:lineRule="exact"/>
              <w:jc w:val="left"/>
            </w:pPr>
            <w:r>
              <w:rPr>
                <w:rFonts w:hint="eastAsia"/>
              </w:rPr>
              <w:t>5.6.2旧规格产品：由回收利用部门直接与生产单位联系，确认能否按时供货即可；</w:t>
            </w:r>
          </w:p>
          <w:p>
            <w:pPr>
              <w:spacing w:line="320" w:lineRule="exact"/>
              <w:jc w:val="left"/>
            </w:pPr>
            <w:r>
              <w:rPr>
                <w:rFonts w:hint="eastAsia"/>
              </w:rPr>
              <w:t>5.6.3新规格产品：需由以下部门参与评审：生产单位、综合部门、生产车间门、物资回收利用部门，由各部门负责相关事项评审确认；</w:t>
            </w:r>
          </w:p>
          <w:p>
            <w:pPr>
              <w:spacing w:line="320" w:lineRule="exact"/>
              <w:jc w:val="left"/>
            </w:pPr>
            <w:r>
              <w:rPr>
                <w:rFonts w:hint="eastAsia"/>
              </w:rPr>
              <w:t>5.6.4回收利用部门根据上述相关部门的评审意见，由部门经理签字并加盖合同章后，与顾客正式签订合同/定单。</w:t>
            </w:r>
          </w:p>
          <w:p>
            <w:pPr>
              <w:spacing w:line="320" w:lineRule="exact"/>
              <w:jc w:val="left"/>
            </w:pPr>
            <w:r>
              <w:rPr>
                <w:rFonts w:hint="eastAsia"/>
              </w:rPr>
              <w:t>5.7评审记录及合同保管</w:t>
            </w:r>
          </w:p>
          <w:p>
            <w:pPr>
              <w:spacing w:line="320" w:lineRule="exact"/>
              <w:jc w:val="left"/>
            </w:pPr>
            <w:r>
              <w:rPr>
                <w:rFonts w:hint="eastAsia"/>
              </w:rPr>
              <w:t>5.7.1对于信函、传真、电话等要货方式，业务人员根据实际情况，随时予以评审、答复，并做好记录；</w:t>
            </w:r>
          </w:p>
          <w:p>
            <w:pPr>
              <w:spacing w:line="320" w:lineRule="exact"/>
              <w:jc w:val="left"/>
            </w:pPr>
            <w:r>
              <w:rPr>
                <w:rFonts w:hint="eastAsia"/>
              </w:rPr>
              <w:t>5.7.2回收利用部门将各项合同及相关资料由业务经办人管理，签定的所有合同/定单要在《合同登记表》上记录。</w:t>
            </w:r>
          </w:p>
          <w:p>
            <w:pPr>
              <w:spacing w:line="320" w:lineRule="exact"/>
              <w:jc w:val="left"/>
            </w:pPr>
            <w:r>
              <w:rPr>
                <w:rFonts w:hint="eastAsia"/>
              </w:rPr>
              <w:t>5.8合同的变更</w:t>
            </w:r>
          </w:p>
          <w:p>
            <w:pPr>
              <w:spacing w:line="320" w:lineRule="exact"/>
              <w:jc w:val="left"/>
            </w:pPr>
            <w:r>
              <w:rPr>
                <w:rFonts w:hint="eastAsia"/>
              </w:rPr>
              <w:t>5.8.1当顾客提出合同更改时，由回收利用部门负责人批准，将相应更改信息传递到各相关部门；</w:t>
            </w:r>
          </w:p>
          <w:p>
            <w:pPr>
              <w:spacing w:line="320" w:lineRule="exact"/>
              <w:jc w:val="left"/>
            </w:pPr>
            <w:r>
              <w:rPr>
                <w:rFonts w:hint="eastAsia"/>
              </w:rPr>
              <w:t>5.8.2本公司相关部门提出更改时，由回收利用部门通知顾客，经顾客同意后，方可更改合同。更改后，应及时通知各相关部门执行。</w:t>
            </w:r>
          </w:p>
          <w:p>
            <w:pPr>
              <w:spacing w:line="320" w:lineRule="exact"/>
              <w:jc w:val="left"/>
            </w:pPr>
            <w:r>
              <w:rPr>
                <w:rFonts w:hint="eastAsia"/>
              </w:rPr>
              <w:t>5.9国内销售合同，需由法律顾问处对合同条款进行审查，并加盖合同专用章。</w:t>
            </w:r>
          </w:p>
          <w:p>
            <w:pPr>
              <w:spacing w:line="320" w:lineRule="exact"/>
              <w:jc w:val="left"/>
            </w:pPr>
            <w:r>
              <w:rPr>
                <w:rFonts w:hint="eastAsia"/>
              </w:rPr>
              <w:t>5.10 与顾客沟通</w:t>
            </w:r>
          </w:p>
          <w:p>
            <w:pPr>
              <w:spacing w:line="320" w:lineRule="exact"/>
              <w:jc w:val="left"/>
            </w:pPr>
            <w:r>
              <w:rPr>
                <w:rFonts w:hint="eastAsia"/>
              </w:rPr>
              <w:t>5.10.1日常顾客信息处理。</w:t>
            </w:r>
          </w:p>
          <w:p>
            <w:pPr>
              <w:spacing w:line="320" w:lineRule="exact"/>
              <w:jc w:val="left"/>
            </w:pPr>
            <w:r>
              <w:rPr>
                <w:rFonts w:hint="eastAsia"/>
              </w:rPr>
              <w:t>1） 回收利用部门在接到顾客的传真或电话时，要充分了解顾客的要求，并及时反馈给相关单位。</w:t>
            </w:r>
          </w:p>
          <w:p>
            <w:pPr>
              <w:spacing w:line="320" w:lineRule="exact"/>
              <w:jc w:val="left"/>
            </w:pPr>
            <w:r>
              <w:rPr>
                <w:rFonts w:hint="eastAsia"/>
              </w:rPr>
              <w:t>2） 对顾客合同订单参照《合同/订单评审管理程序》进行评审。</w:t>
            </w:r>
          </w:p>
          <w:p>
            <w:pPr>
              <w:spacing w:line="320" w:lineRule="exact"/>
              <w:jc w:val="left"/>
            </w:pPr>
            <w:r>
              <w:rPr>
                <w:rFonts w:hint="eastAsia"/>
              </w:rPr>
              <w:t>3） 生产厂及各相关部门要配合回收利用部门提供符合要求的产品。</w:t>
            </w:r>
          </w:p>
          <w:p>
            <w:pPr>
              <w:spacing w:line="320" w:lineRule="exact"/>
              <w:jc w:val="left"/>
            </w:pPr>
            <w:r>
              <w:rPr>
                <w:rFonts w:hint="eastAsia"/>
              </w:rPr>
              <w:t>4） 回收利用部门及时征求顾客对产品及服务的满意程度，并负责收集顾客的来函、来电、传真及接待来访人员，把有关顾客的信息及时传给相关部门，作为改进参考，制定完善、相应的服务方式和措施。</w:t>
            </w:r>
          </w:p>
          <w:p>
            <w:pPr>
              <w:spacing w:line="320" w:lineRule="exact"/>
              <w:jc w:val="left"/>
            </w:pPr>
            <w:r>
              <w:rPr>
                <w:rFonts w:hint="eastAsia"/>
              </w:rPr>
              <w:t>5） 回收利用部门要每年两次进行顾客满意度调查，具体按《顾客满意度管理程序》执行，并建立顾客服务档案。</w:t>
            </w:r>
          </w:p>
          <w:p>
            <w:pPr>
              <w:spacing w:line="320" w:lineRule="exact"/>
              <w:jc w:val="left"/>
            </w:pPr>
            <w:r>
              <w:rPr>
                <w:rFonts w:hint="eastAsia"/>
              </w:rPr>
              <w:t>5.10.2 顾客投诉处理</w:t>
            </w:r>
          </w:p>
          <w:p>
            <w:pPr>
              <w:spacing w:line="320" w:lineRule="exact"/>
              <w:jc w:val="left"/>
            </w:pPr>
            <w:r>
              <w:rPr>
                <w:rFonts w:hint="eastAsia"/>
              </w:rPr>
              <w:t>1） 回收利用部门接到顾客以电话、传真等方式提出的投诉时，接待者要热情、耐心、细致地给以回答；并将这些投诉资料及时上报主管领导。同时填写《顾客投诉及处理记录》，尽快通知相关部门进行核查分析。</w:t>
            </w:r>
          </w:p>
          <w:p>
            <w:pPr>
              <w:spacing w:line="320" w:lineRule="exact"/>
              <w:jc w:val="left"/>
            </w:pPr>
            <w:r>
              <w:rPr>
                <w:rFonts w:hint="eastAsia"/>
              </w:rPr>
              <w:t>2） 若顾客投诉直接由于回收利用部门的工作质量引起，而非产品质量问题，回收利用部门要认真查明原因，并以书面形式制定纠正措施，同时填写《顾客投诉及处理记录》，报部门领导，由回收利用部给顾客予以答复，争取顾客的满意。</w:t>
            </w:r>
          </w:p>
          <w:p>
            <w:pPr>
              <w:spacing w:line="320" w:lineRule="exact"/>
              <w:jc w:val="left"/>
            </w:pPr>
            <w:r>
              <w:rPr>
                <w:rFonts w:hint="eastAsia"/>
              </w:rPr>
              <w:t>3） 若顾客投诉确属产品内在质量原因引起的，生产车间根据回收利用部门填写的《顾客投诉及处理记录》和投诉的有关资料，查核有关记录或去现场调查或以传真照片中的形式作出鉴定。确属公司产品质量原因的，认真填写《顾客投诉及处理记录》的有关栏目，并确定责任单位，由其制定纠正措施，反馈回收利用部门，回收利用部门根据反馈回的《顾客投诉及处理记录》的内容拟定方案，报总经理批准后，在五天内给予答复，争取顾客的满意。</w:t>
            </w:r>
          </w:p>
          <w:p>
            <w:pPr>
              <w:spacing w:line="320" w:lineRule="exact"/>
              <w:jc w:val="left"/>
            </w:pPr>
            <w:r>
              <w:rPr>
                <w:rFonts w:hint="eastAsia"/>
              </w:rPr>
              <w:t>4） 回收利用部门对纠正措施进行跟踪验证并记录在《顾客投诉及处理记录》中。</w:t>
            </w:r>
          </w:p>
          <w:p>
            <w:pPr>
              <w:spacing w:line="320" w:lineRule="exact"/>
              <w:jc w:val="left"/>
            </w:pPr>
            <w:r>
              <w:rPr>
                <w:rFonts w:hint="eastAsia"/>
              </w:rPr>
              <w:t>5.10.3 与顾客的沟通</w:t>
            </w:r>
          </w:p>
          <w:p>
            <w:pPr>
              <w:spacing w:line="320" w:lineRule="exact"/>
              <w:jc w:val="left"/>
            </w:pPr>
            <w:r>
              <w:rPr>
                <w:rFonts w:hint="eastAsia"/>
              </w:rPr>
              <w:t>5.3.1 当有新购的重大设备、工装或移动时，应由生产车间通知回收利用部门，由回收利用部门与顾客进行沟通。</w:t>
            </w:r>
          </w:p>
          <w:p>
            <w:pPr>
              <w:spacing w:line="320" w:lineRule="exact"/>
              <w:jc w:val="left"/>
            </w:pPr>
            <w:r>
              <w:rPr>
                <w:rFonts w:hint="eastAsia"/>
              </w:rPr>
              <w:t>5.3.2 当出货后发现有不良品时，应由生产车间通知回收利用部门，由回收利用部门与顾客进行沟通。</w:t>
            </w:r>
          </w:p>
          <w:p>
            <w:pPr>
              <w:numPr>
                <w:ilvl w:val="0"/>
                <w:numId w:val="14"/>
              </w:numPr>
              <w:spacing w:line="320" w:lineRule="exact"/>
              <w:jc w:val="left"/>
            </w:pPr>
            <w:r>
              <w:rPr>
                <w:rFonts w:hint="eastAsia"/>
              </w:rPr>
              <w:t>相关/支持性文件</w:t>
            </w:r>
          </w:p>
          <w:p>
            <w:pPr>
              <w:spacing w:line="320" w:lineRule="exact"/>
              <w:jc w:val="left"/>
            </w:pPr>
            <w:r>
              <w:rPr>
                <w:rFonts w:hint="eastAsia"/>
              </w:rPr>
              <w:t>6.1生产计划控制程序</w:t>
            </w:r>
          </w:p>
          <w:p>
            <w:pPr>
              <w:spacing w:line="320" w:lineRule="exact"/>
              <w:jc w:val="left"/>
            </w:pPr>
            <w:r>
              <w:rPr>
                <w:rFonts w:hint="eastAsia"/>
              </w:rPr>
              <w:t>6.2不合格品控制程序</w:t>
            </w:r>
          </w:p>
          <w:p>
            <w:pPr>
              <w:spacing w:line="320" w:lineRule="exact"/>
              <w:jc w:val="left"/>
            </w:pPr>
            <w:r>
              <w:rPr>
                <w:rFonts w:hint="eastAsia"/>
              </w:rPr>
              <w:t>7、记录                               编号              版本           保存期限</w:t>
            </w:r>
          </w:p>
          <w:p>
            <w:pPr>
              <w:spacing w:line="320" w:lineRule="exact"/>
              <w:jc w:val="left"/>
            </w:pPr>
            <w:r>
              <w:rPr>
                <w:rFonts w:hint="eastAsia"/>
              </w:rPr>
              <w:t>7.1合同评审记录                         LQY-P-07-01            01             二年</w:t>
            </w:r>
          </w:p>
          <w:p>
            <w:pPr>
              <w:spacing w:line="320" w:lineRule="exact"/>
              <w:jc w:val="left"/>
            </w:pPr>
            <w:r>
              <w:rPr>
                <w:rFonts w:hint="eastAsia"/>
              </w:rPr>
              <w:t>7.2合同登记表                           LQY-P-07-02            01             二年</w:t>
            </w:r>
          </w:p>
          <w:p>
            <w:pPr>
              <w:spacing w:line="320" w:lineRule="exact"/>
              <w:jc w:val="left"/>
            </w:pPr>
            <w:r>
              <w:rPr>
                <w:rFonts w:hint="eastAsia"/>
              </w:rPr>
              <w:t>7.3合同更改申请表                       LQY-P-07-03            01             二年</w:t>
            </w:r>
          </w:p>
          <w:p>
            <w:pPr>
              <w:spacing w:line="320" w:lineRule="exact"/>
              <w:jc w:val="left"/>
            </w:pPr>
            <w:r>
              <w:rPr>
                <w:rFonts w:hint="eastAsia"/>
              </w:rPr>
              <w:t>7.4顾客档案                           LQY-P-08-01              01                    三年</w:t>
            </w:r>
          </w:p>
          <w:p>
            <w:pPr>
              <w:spacing w:line="320" w:lineRule="exact"/>
              <w:jc w:val="left"/>
            </w:pPr>
            <w:r>
              <w:rPr>
                <w:rFonts w:hint="eastAsia"/>
              </w:rPr>
              <w:t>7.5 顾客投诉及处理记录                 LQY-P-08-02              01                    二年</w:t>
            </w:r>
          </w:p>
          <w:p>
            <w:pPr>
              <w:spacing w:line="320" w:lineRule="exact"/>
              <w:jc w:val="left"/>
            </w:pPr>
          </w:p>
          <w:p>
            <w:pPr>
              <w:spacing w:line="320" w:lineRule="exact"/>
              <w:jc w:val="left"/>
            </w:pPr>
          </w:p>
          <w:p>
            <w:pPr>
              <w:spacing w:line="320" w:lineRule="exact"/>
              <w:jc w:val="left"/>
            </w:pPr>
          </w:p>
          <w:p>
            <w:pPr>
              <w:spacing w:line="320" w:lineRule="exact"/>
              <w:jc w:val="left"/>
            </w:pPr>
          </w:p>
          <w:p>
            <w:pPr>
              <w:spacing w:line="320" w:lineRule="exact"/>
              <w:jc w:val="left"/>
            </w:pPr>
          </w:p>
          <w:p>
            <w:pPr>
              <w:spacing w:line="320" w:lineRule="exact"/>
              <w:jc w:val="left"/>
              <w:rPr>
                <w:szCs w:val="21"/>
              </w:rPr>
            </w:pPr>
          </w:p>
        </w:tc>
      </w:tr>
    </w:tbl>
    <w:p/>
    <w:p/>
    <w:p/>
    <w:tbl>
      <w:tblPr>
        <w:tblStyle w:val="9"/>
        <w:tblW w:w="1020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2126"/>
        <w:gridCol w:w="2688"/>
        <w:gridCol w:w="170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694" w:type="dxa"/>
            <w:vMerge w:val="restart"/>
          </w:tcPr>
          <w:p>
            <w:pPr>
              <w:spacing w:line="400" w:lineRule="exact"/>
            </w:pPr>
          </w:p>
        </w:tc>
        <w:tc>
          <w:tcPr>
            <w:tcW w:w="2126" w:type="dxa"/>
            <w:vAlign w:val="center"/>
          </w:tcPr>
          <w:p>
            <w:pPr>
              <w:spacing w:line="400" w:lineRule="exact"/>
              <w:jc w:val="center"/>
              <w:rPr>
                <w:rFonts w:ascii="宋体"/>
                <w:b/>
                <w:sz w:val="28"/>
              </w:rPr>
            </w:pPr>
            <w:r>
              <w:rPr>
                <w:rFonts w:hint="eastAsia" w:ascii="宋体"/>
                <w:b/>
                <w:sz w:val="28"/>
              </w:rPr>
              <w:t>文件名称</w:t>
            </w:r>
          </w:p>
        </w:tc>
        <w:tc>
          <w:tcPr>
            <w:tcW w:w="2688" w:type="dxa"/>
            <w:vAlign w:val="center"/>
          </w:tcPr>
          <w:p>
            <w:pPr>
              <w:spacing w:line="400" w:lineRule="exact"/>
              <w:jc w:val="center"/>
              <w:rPr>
                <w:rFonts w:ascii="宋体"/>
                <w:b/>
                <w:sz w:val="28"/>
              </w:rPr>
            </w:pPr>
            <w:r>
              <w:rPr>
                <w:rFonts w:hint="eastAsia" w:ascii="宋体"/>
                <w:b/>
                <w:sz w:val="28"/>
              </w:rPr>
              <w:t>合格供方及相关方控制程序</w:t>
            </w:r>
          </w:p>
        </w:tc>
        <w:tc>
          <w:tcPr>
            <w:tcW w:w="1707" w:type="dxa"/>
            <w:vAlign w:val="center"/>
          </w:tcPr>
          <w:p>
            <w:pPr>
              <w:spacing w:line="400" w:lineRule="exact"/>
              <w:jc w:val="center"/>
              <w:rPr>
                <w:rFonts w:ascii="宋体"/>
                <w:b/>
                <w:sz w:val="28"/>
              </w:rPr>
            </w:pPr>
            <w:r>
              <w:rPr>
                <w:rFonts w:hint="eastAsia" w:ascii="宋体"/>
                <w:b/>
                <w:sz w:val="28"/>
              </w:rPr>
              <w:t>版次</w:t>
            </w:r>
          </w:p>
        </w:tc>
        <w:tc>
          <w:tcPr>
            <w:tcW w:w="992" w:type="dxa"/>
            <w:vAlign w:val="center"/>
          </w:tcPr>
          <w:p>
            <w:pPr>
              <w:spacing w:line="400" w:lineRule="exact"/>
              <w:jc w:val="center"/>
              <w:rPr>
                <w:rFonts w:ascii="宋体"/>
                <w:b/>
                <w:sz w:val="28"/>
              </w:rPr>
            </w:pPr>
            <w:r>
              <w:rPr>
                <w:rFonts w:hint="eastAsia" w:ascii="宋体"/>
                <w:b/>
                <w:sz w:val="2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694" w:type="dxa"/>
            <w:vMerge w:val="continue"/>
          </w:tcPr>
          <w:p>
            <w:pPr>
              <w:spacing w:line="400" w:lineRule="exact"/>
              <w:jc w:val="center"/>
              <w:rPr>
                <w:rFonts w:eastAsia="黑体"/>
                <w:b/>
                <w:sz w:val="36"/>
              </w:rPr>
            </w:pPr>
          </w:p>
        </w:tc>
        <w:tc>
          <w:tcPr>
            <w:tcW w:w="2126" w:type="dxa"/>
            <w:vAlign w:val="center"/>
          </w:tcPr>
          <w:p>
            <w:pPr>
              <w:spacing w:line="400" w:lineRule="exact"/>
              <w:jc w:val="center"/>
              <w:rPr>
                <w:rFonts w:ascii="宋体"/>
                <w:b/>
                <w:sz w:val="28"/>
              </w:rPr>
            </w:pPr>
            <w:r>
              <w:rPr>
                <w:rFonts w:hint="eastAsia" w:ascii="宋体"/>
                <w:b/>
                <w:sz w:val="28"/>
              </w:rPr>
              <w:t>文件编号</w:t>
            </w:r>
          </w:p>
        </w:tc>
        <w:tc>
          <w:tcPr>
            <w:tcW w:w="2688" w:type="dxa"/>
            <w:vAlign w:val="center"/>
          </w:tcPr>
          <w:p>
            <w:pPr>
              <w:spacing w:line="400" w:lineRule="exact"/>
              <w:jc w:val="center"/>
              <w:rPr>
                <w:rFonts w:ascii="宋体"/>
                <w:b/>
                <w:sz w:val="28"/>
              </w:rPr>
            </w:pPr>
            <w:r>
              <w:rPr>
                <w:rFonts w:hint="eastAsia" w:ascii="宋体"/>
                <w:b/>
                <w:sz w:val="28"/>
              </w:rPr>
              <w:t>LQY—P—14</w:t>
            </w:r>
          </w:p>
        </w:tc>
        <w:tc>
          <w:tcPr>
            <w:tcW w:w="1707" w:type="dxa"/>
            <w:vAlign w:val="center"/>
          </w:tcPr>
          <w:p>
            <w:pPr>
              <w:spacing w:line="400" w:lineRule="exact"/>
              <w:jc w:val="center"/>
              <w:rPr>
                <w:rFonts w:ascii="宋体"/>
                <w:b/>
                <w:sz w:val="28"/>
              </w:rPr>
            </w:pPr>
            <w:r>
              <w:rPr>
                <w:rFonts w:hint="eastAsia" w:ascii="宋体"/>
                <w:b/>
                <w:sz w:val="28"/>
              </w:rPr>
              <w:t>修改状态</w:t>
            </w:r>
          </w:p>
        </w:tc>
        <w:tc>
          <w:tcPr>
            <w:tcW w:w="992" w:type="dxa"/>
            <w:vAlign w:val="center"/>
          </w:tcPr>
          <w:p>
            <w:pPr>
              <w:spacing w:line="400" w:lineRule="exact"/>
              <w:jc w:val="center"/>
              <w:rPr>
                <w:rFonts w:ascii="宋体"/>
                <w:b/>
                <w:sz w:val="28"/>
              </w:rPr>
            </w:pPr>
            <w:r>
              <w:rPr>
                <w:rFonts w:hint="eastAsia" w:ascii="宋体"/>
                <w:b/>
                <w:sz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5" w:hRule="atLeast"/>
        </w:trPr>
        <w:tc>
          <w:tcPr>
            <w:tcW w:w="10207" w:type="dxa"/>
            <w:gridSpan w:val="5"/>
          </w:tcPr>
          <w:p>
            <w:pPr>
              <w:spacing w:line="320" w:lineRule="exact"/>
              <w:jc w:val="left"/>
              <w:rPr>
                <w:rFonts w:ascii="宋体" w:hAnsi="宋体"/>
                <w:szCs w:val="21"/>
              </w:rPr>
            </w:pPr>
            <w:r>
              <w:rPr>
                <w:rFonts w:hint="eastAsia" w:ascii="宋体" w:hAnsi="宋体"/>
                <w:szCs w:val="21"/>
              </w:rPr>
              <w:t>1. 目的：</w:t>
            </w:r>
          </w:p>
          <w:p>
            <w:pPr>
              <w:spacing w:line="320" w:lineRule="exact"/>
              <w:ind w:firstLine="315" w:firstLineChars="150"/>
              <w:jc w:val="left"/>
              <w:rPr>
                <w:rFonts w:ascii="宋体" w:hAnsi="宋体"/>
                <w:szCs w:val="21"/>
              </w:rPr>
            </w:pPr>
            <w:r>
              <w:rPr>
                <w:rFonts w:hint="eastAsia" w:ascii="宋体" w:hAnsi="宋体"/>
                <w:bCs/>
                <w:szCs w:val="21"/>
              </w:rPr>
              <w:t>调查、评价供应商、承包方及相关方的环境和职业健康安全状况，并对其施加影响，促进其环境和职业健康安全行为的改进，减少环境影响，防止人身伤亡事故和健康损害的发生，强化安全管理，特制定本程序。</w:t>
            </w:r>
          </w:p>
          <w:p>
            <w:pPr>
              <w:spacing w:line="320" w:lineRule="exact"/>
              <w:jc w:val="left"/>
              <w:rPr>
                <w:rFonts w:ascii="宋体" w:hAnsi="宋体"/>
                <w:szCs w:val="21"/>
              </w:rPr>
            </w:pPr>
            <w:r>
              <w:rPr>
                <w:rFonts w:hint="eastAsia" w:ascii="宋体" w:hAnsi="宋体"/>
                <w:szCs w:val="21"/>
              </w:rPr>
              <w:t>2. 适用范围：</w:t>
            </w:r>
          </w:p>
          <w:p>
            <w:pPr>
              <w:spacing w:line="320" w:lineRule="exact"/>
              <w:ind w:firstLine="420" w:firstLineChars="200"/>
              <w:rPr>
                <w:rFonts w:ascii="宋体" w:hAnsi="宋体"/>
                <w:bCs/>
                <w:szCs w:val="21"/>
              </w:rPr>
            </w:pPr>
            <w:r>
              <w:rPr>
                <w:rFonts w:hint="eastAsia" w:ascii="宋体" w:hAnsi="宋体"/>
                <w:szCs w:val="21"/>
              </w:rPr>
              <w:t xml:space="preserve">   </w:t>
            </w:r>
            <w:r>
              <w:rPr>
                <w:rFonts w:hint="eastAsia" w:ascii="宋体" w:hAnsi="宋体"/>
                <w:bCs/>
                <w:szCs w:val="21"/>
              </w:rPr>
              <w:t>本程序适用于公司所属各部门。</w:t>
            </w:r>
          </w:p>
          <w:p>
            <w:pPr>
              <w:spacing w:line="320" w:lineRule="exact"/>
              <w:jc w:val="left"/>
              <w:rPr>
                <w:rFonts w:ascii="宋体" w:hAnsi="宋体"/>
                <w:szCs w:val="21"/>
              </w:rPr>
            </w:pPr>
            <w:r>
              <w:rPr>
                <w:rFonts w:hint="eastAsia" w:ascii="宋体" w:hAnsi="宋体"/>
                <w:szCs w:val="21"/>
              </w:rPr>
              <w:t>3. 职责：</w:t>
            </w:r>
          </w:p>
          <w:p>
            <w:pPr>
              <w:spacing w:line="320" w:lineRule="exact"/>
              <w:rPr>
                <w:rFonts w:ascii="宋体" w:hAnsi="宋体"/>
                <w:bCs/>
                <w:szCs w:val="21"/>
              </w:rPr>
            </w:pPr>
            <w:r>
              <w:rPr>
                <w:rFonts w:hint="eastAsia" w:ascii="宋体" w:hAnsi="宋体"/>
                <w:bCs/>
                <w:szCs w:val="21"/>
              </w:rPr>
              <w:t>3.1回收利用部相关人员执行环境和职业健康安全的法律法规和其他要求。</w:t>
            </w:r>
          </w:p>
          <w:p>
            <w:pPr>
              <w:spacing w:line="320" w:lineRule="exact"/>
              <w:rPr>
                <w:rFonts w:ascii="宋体" w:hAnsi="宋体"/>
                <w:bCs/>
                <w:szCs w:val="21"/>
              </w:rPr>
            </w:pPr>
            <w:r>
              <w:rPr>
                <w:rFonts w:hint="eastAsia" w:ascii="宋体" w:hAnsi="宋体"/>
                <w:bCs/>
                <w:szCs w:val="21"/>
              </w:rPr>
              <w:t>3.2回收利用部负责对供方环境保护情况和安全生产情况的调查和评定，并对其施加环境和职业健康安全影响和信息交流，负责督促供方提供危险化学品的“安全技术说明书”。</w:t>
            </w:r>
          </w:p>
          <w:p>
            <w:pPr>
              <w:spacing w:line="320" w:lineRule="exact"/>
              <w:rPr>
                <w:rFonts w:ascii="宋体" w:hAnsi="宋体"/>
                <w:bCs/>
                <w:szCs w:val="21"/>
              </w:rPr>
            </w:pPr>
            <w:r>
              <w:rPr>
                <w:rFonts w:hint="eastAsia" w:ascii="宋体" w:hAnsi="宋体"/>
                <w:bCs/>
                <w:szCs w:val="21"/>
              </w:rPr>
              <w:t>3.3综合部负责对进公司区域工作的承包方和相关方的环境和职业健康安全行为进行监督管理。</w:t>
            </w:r>
          </w:p>
          <w:p>
            <w:pPr>
              <w:spacing w:line="320" w:lineRule="exact"/>
              <w:rPr>
                <w:rFonts w:ascii="宋体" w:hAnsi="宋体"/>
                <w:bCs/>
                <w:szCs w:val="21"/>
              </w:rPr>
            </w:pPr>
            <w:r>
              <w:rPr>
                <w:rFonts w:hint="eastAsia" w:ascii="宋体" w:hAnsi="宋体"/>
                <w:bCs/>
                <w:szCs w:val="21"/>
              </w:rPr>
              <w:t>3.4回收利用部门负责向用户宣传公司环境和职业健康安全管理体系的方针和安全管理要求，并收集产品和服务相关的环境和职业健康安全信息。</w:t>
            </w:r>
          </w:p>
          <w:p>
            <w:pPr>
              <w:spacing w:line="320" w:lineRule="exact"/>
              <w:jc w:val="left"/>
              <w:rPr>
                <w:rFonts w:ascii="宋体" w:hAnsi="宋体"/>
                <w:szCs w:val="21"/>
              </w:rPr>
            </w:pPr>
            <w:r>
              <w:rPr>
                <w:rFonts w:hint="eastAsia" w:ascii="宋体" w:hAnsi="宋体"/>
                <w:szCs w:val="21"/>
              </w:rPr>
              <w:t>4. 定义：</w:t>
            </w:r>
          </w:p>
          <w:p>
            <w:pPr>
              <w:spacing w:line="320" w:lineRule="exact"/>
              <w:rPr>
                <w:rFonts w:ascii="宋体" w:hAnsi="宋体"/>
                <w:bCs/>
                <w:szCs w:val="21"/>
              </w:rPr>
            </w:pPr>
            <w:r>
              <w:rPr>
                <w:rFonts w:hint="eastAsia" w:ascii="宋体" w:hAnsi="宋体"/>
                <w:bCs/>
                <w:szCs w:val="21"/>
              </w:rPr>
              <w:t>4.1供应商：指为公司生产和服务提供产品及服务的供应单位。</w:t>
            </w:r>
          </w:p>
          <w:p>
            <w:pPr>
              <w:spacing w:line="320" w:lineRule="exact"/>
              <w:rPr>
                <w:rFonts w:ascii="宋体" w:hAnsi="宋体"/>
                <w:bCs/>
                <w:szCs w:val="21"/>
              </w:rPr>
            </w:pPr>
            <w:r>
              <w:rPr>
                <w:rFonts w:hint="eastAsia" w:ascii="宋体" w:hAnsi="宋体"/>
                <w:bCs/>
                <w:szCs w:val="21"/>
              </w:rPr>
              <w:t>4.2承包方：指为公司各种新建、改建、扩建工程进行施工、设备（施）安装的单位。</w:t>
            </w:r>
          </w:p>
          <w:p>
            <w:pPr>
              <w:spacing w:line="320" w:lineRule="exact"/>
              <w:rPr>
                <w:rFonts w:ascii="宋体" w:hAnsi="宋体"/>
                <w:bCs/>
                <w:szCs w:val="21"/>
              </w:rPr>
            </w:pPr>
            <w:r>
              <w:rPr>
                <w:rFonts w:hint="eastAsia" w:ascii="宋体" w:hAnsi="宋体"/>
                <w:bCs/>
                <w:szCs w:val="21"/>
              </w:rPr>
              <w:t>4.3相关方：指关注组织的环境和职业健康安全绩效或受其环境和职业健康安全绩效影响的个人或团体。</w:t>
            </w:r>
          </w:p>
          <w:p>
            <w:pPr>
              <w:spacing w:line="320" w:lineRule="exact"/>
              <w:rPr>
                <w:rFonts w:ascii="宋体" w:hAnsi="宋体"/>
                <w:bCs/>
                <w:szCs w:val="21"/>
              </w:rPr>
            </w:pPr>
            <w:r>
              <w:rPr>
                <w:rFonts w:hint="eastAsia" w:ascii="宋体" w:hAnsi="宋体"/>
                <w:bCs/>
                <w:szCs w:val="21"/>
              </w:rPr>
              <w:t>4.4资质证明：指供应商从事某领域的产品设计、生产、经营或服务活动所必须具备的安全条件，并得到行业主管部门的认可批准。</w:t>
            </w:r>
          </w:p>
          <w:p>
            <w:pPr>
              <w:spacing w:line="320" w:lineRule="exact"/>
              <w:jc w:val="left"/>
              <w:rPr>
                <w:rFonts w:ascii="宋体" w:hAnsi="宋体"/>
                <w:b/>
                <w:szCs w:val="21"/>
              </w:rPr>
            </w:pPr>
            <w:r>
              <w:rPr>
                <w:rFonts w:hint="eastAsia" w:ascii="宋体" w:hAnsi="宋体"/>
                <w:b/>
                <w:szCs w:val="21"/>
              </w:rPr>
              <w:t>5. 工作程序</w:t>
            </w:r>
          </w:p>
          <w:p>
            <w:pPr>
              <w:spacing w:line="320" w:lineRule="exact"/>
              <w:jc w:val="left"/>
              <w:rPr>
                <w:rFonts w:ascii="宋体" w:hAnsi="宋体"/>
                <w:b/>
                <w:szCs w:val="21"/>
              </w:rPr>
            </w:pPr>
            <w:r>
              <w:rPr>
                <w:rFonts w:hint="eastAsia" w:ascii="宋体" w:hAnsi="宋体"/>
                <w:b/>
                <w:szCs w:val="21"/>
              </w:rPr>
              <w:t>5.1 流程图（见附件）</w:t>
            </w:r>
          </w:p>
          <w:p>
            <w:pPr>
              <w:spacing w:line="320" w:lineRule="exact"/>
              <w:jc w:val="left"/>
              <w:rPr>
                <w:rFonts w:ascii="宋体" w:hAnsi="宋体"/>
                <w:b/>
                <w:szCs w:val="21"/>
              </w:rPr>
            </w:pPr>
            <w:r>
              <w:rPr>
                <w:rFonts w:hint="eastAsia" w:ascii="宋体" w:hAnsi="宋体"/>
                <w:b/>
                <w:szCs w:val="21"/>
              </w:rPr>
              <w:t>5.2 合格供方的初选</w:t>
            </w:r>
          </w:p>
          <w:p>
            <w:pPr>
              <w:spacing w:line="320" w:lineRule="exact"/>
              <w:jc w:val="left"/>
              <w:rPr>
                <w:rFonts w:ascii="宋体" w:hAnsi="宋体"/>
                <w:szCs w:val="21"/>
              </w:rPr>
            </w:pPr>
            <w:r>
              <w:rPr>
                <w:rFonts w:hint="eastAsia" w:ascii="宋体" w:hAnsi="宋体"/>
                <w:szCs w:val="21"/>
              </w:rPr>
              <w:t>5.2.1 回收利用部门根据物资采购需求，通过不同渠道向生产厂家发出采购标准，根据要求对供方在物资保证能力方面进行评价，以初选确定供方。</w:t>
            </w:r>
          </w:p>
          <w:p>
            <w:pPr>
              <w:spacing w:line="320" w:lineRule="exact"/>
              <w:jc w:val="left"/>
              <w:rPr>
                <w:rFonts w:ascii="宋体" w:hAnsi="宋体"/>
                <w:szCs w:val="21"/>
              </w:rPr>
            </w:pPr>
            <w:r>
              <w:rPr>
                <w:rFonts w:hint="eastAsia" w:ascii="宋体" w:hAnsi="宋体"/>
                <w:szCs w:val="21"/>
              </w:rPr>
              <w:t>5.2.2 必要时，回收利用部门和生产车间可组织有关人员到供方进行调查，以了解供方的供货保证能力。</w:t>
            </w:r>
          </w:p>
          <w:p>
            <w:pPr>
              <w:spacing w:line="320" w:lineRule="exact"/>
              <w:jc w:val="left"/>
              <w:rPr>
                <w:rFonts w:ascii="宋体" w:hAnsi="宋体"/>
                <w:szCs w:val="21"/>
              </w:rPr>
            </w:pPr>
            <w:r>
              <w:rPr>
                <w:rFonts w:hint="eastAsia" w:ascii="宋体" w:hAnsi="宋体"/>
                <w:szCs w:val="21"/>
              </w:rPr>
              <w:t>5.2.3 通过调查及供方提供的有关资料，经分析、比较，初选出有关供方，并建立供方档案。</w:t>
            </w:r>
          </w:p>
          <w:p>
            <w:pPr>
              <w:spacing w:line="320" w:lineRule="exact"/>
              <w:rPr>
                <w:rFonts w:ascii="宋体" w:hAnsi="宋体"/>
                <w:bCs/>
                <w:szCs w:val="21"/>
              </w:rPr>
            </w:pPr>
            <w:r>
              <w:rPr>
                <w:rFonts w:hint="eastAsia" w:ascii="宋体" w:hAnsi="宋体"/>
                <w:bCs/>
                <w:szCs w:val="21"/>
              </w:rPr>
              <w:t>回收利用部在选择供应商时，必须收集供方在环境和职业健康安全方面相关的资质证明材料。</w:t>
            </w:r>
          </w:p>
          <w:p>
            <w:pPr>
              <w:spacing w:line="320" w:lineRule="exact"/>
              <w:rPr>
                <w:rFonts w:ascii="宋体" w:hAnsi="宋体"/>
                <w:bCs/>
                <w:szCs w:val="21"/>
              </w:rPr>
            </w:pPr>
            <w:r>
              <w:rPr>
                <w:rFonts w:hint="eastAsia" w:ascii="宋体" w:hAnsi="宋体"/>
                <w:bCs/>
                <w:szCs w:val="21"/>
              </w:rPr>
              <w:t>5.2.4凡涉及危险化学品按国家危险化学品管理规定执行，供应商须具备国家、省市行政主管部门颁发的生产许可证、经营许可证、产品合格证，且应提供“化学品安全技术说明书”和“化学品安全标签”。</w:t>
            </w:r>
          </w:p>
          <w:p>
            <w:pPr>
              <w:spacing w:line="320" w:lineRule="exact"/>
              <w:rPr>
                <w:rFonts w:ascii="宋体" w:hAnsi="宋体"/>
                <w:bCs/>
                <w:szCs w:val="21"/>
              </w:rPr>
            </w:pPr>
            <w:r>
              <w:rPr>
                <w:rFonts w:hint="eastAsia" w:ascii="宋体" w:hAnsi="宋体"/>
                <w:bCs/>
                <w:szCs w:val="21"/>
              </w:rPr>
              <w:t>5.2.5除5.2.4所列以外的其它材料等应符合国家有关环境和职业健康安全法规、标准的要求。</w:t>
            </w:r>
          </w:p>
          <w:p>
            <w:pPr>
              <w:spacing w:line="320" w:lineRule="exact"/>
              <w:rPr>
                <w:rFonts w:ascii="宋体" w:hAnsi="宋体"/>
                <w:bCs/>
                <w:szCs w:val="21"/>
              </w:rPr>
            </w:pPr>
            <w:r>
              <w:rPr>
                <w:rFonts w:hint="eastAsia" w:ascii="宋体" w:hAnsi="宋体"/>
                <w:bCs/>
                <w:szCs w:val="21"/>
              </w:rPr>
              <w:t>5.2.6对于其他劳动防护、特种设备也应满足职业健康安全要求。</w:t>
            </w:r>
          </w:p>
          <w:p>
            <w:pPr>
              <w:spacing w:line="320" w:lineRule="exact"/>
              <w:jc w:val="left"/>
              <w:rPr>
                <w:rFonts w:ascii="宋体" w:hAnsi="宋体"/>
                <w:b/>
                <w:szCs w:val="21"/>
              </w:rPr>
            </w:pPr>
            <w:r>
              <w:rPr>
                <w:rFonts w:hint="eastAsia" w:ascii="宋体" w:hAnsi="宋体"/>
                <w:b/>
                <w:szCs w:val="21"/>
              </w:rPr>
              <w:t>5.3 合格供方的确定</w:t>
            </w:r>
          </w:p>
          <w:p>
            <w:pPr>
              <w:spacing w:line="320" w:lineRule="exact"/>
              <w:jc w:val="left"/>
              <w:rPr>
                <w:rFonts w:ascii="宋体" w:hAnsi="宋体"/>
                <w:szCs w:val="21"/>
              </w:rPr>
            </w:pPr>
            <w:r>
              <w:rPr>
                <w:rFonts w:hint="eastAsia" w:ascii="宋体" w:hAnsi="宋体"/>
                <w:szCs w:val="21"/>
              </w:rPr>
              <w:t>5.3.1 回收利用部门根据初选的供方当中，货比三家，根据实际情况填写《供方评定表》，报分管领导审核后，作为合格供方，回收利用部门根据《供方评定表》编制《合格供方名单》，回收利用部门和生产车间各一份存档。</w:t>
            </w:r>
          </w:p>
          <w:p>
            <w:pPr>
              <w:spacing w:line="320" w:lineRule="exact"/>
              <w:jc w:val="left"/>
              <w:rPr>
                <w:rFonts w:ascii="宋体" w:hAnsi="宋体"/>
                <w:szCs w:val="21"/>
              </w:rPr>
            </w:pPr>
            <w:r>
              <w:rPr>
                <w:rFonts w:hint="eastAsia" w:ascii="宋体" w:hAnsi="宋体"/>
                <w:szCs w:val="21"/>
              </w:rPr>
              <w:t>5.3.2 对下列供方，经回收利用部门负责人批准后，可直接登入《合格供方名单》：</w:t>
            </w:r>
          </w:p>
          <w:p>
            <w:pPr>
              <w:spacing w:line="320" w:lineRule="exact"/>
              <w:jc w:val="left"/>
              <w:rPr>
                <w:rFonts w:ascii="宋体" w:hAnsi="宋体"/>
                <w:szCs w:val="21"/>
              </w:rPr>
            </w:pPr>
            <w:r>
              <w:rPr>
                <w:rFonts w:hint="eastAsia" w:ascii="宋体" w:hAnsi="宋体"/>
                <w:szCs w:val="21"/>
              </w:rPr>
              <w:t>5.3.2.1 客户指定的供方；</w:t>
            </w:r>
          </w:p>
          <w:p>
            <w:pPr>
              <w:spacing w:line="320" w:lineRule="exact"/>
              <w:jc w:val="left"/>
              <w:rPr>
                <w:rFonts w:ascii="宋体" w:hAnsi="宋体"/>
                <w:szCs w:val="21"/>
              </w:rPr>
            </w:pPr>
            <w:r>
              <w:rPr>
                <w:rFonts w:hint="eastAsia" w:ascii="宋体" w:hAnsi="宋体"/>
                <w:szCs w:val="21"/>
              </w:rPr>
              <w:t>5.3.2.2 独家经营的供方；</w:t>
            </w:r>
          </w:p>
          <w:p>
            <w:pPr>
              <w:spacing w:line="320" w:lineRule="exact"/>
              <w:jc w:val="left"/>
              <w:rPr>
                <w:rFonts w:ascii="宋体" w:hAnsi="宋体"/>
                <w:szCs w:val="21"/>
              </w:rPr>
            </w:pPr>
            <w:r>
              <w:rPr>
                <w:rFonts w:hint="eastAsia" w:ascii="宋体" w:hAnsi="宋体"/>
                <w:szCs w:val="21"/>
              </w:rPr>
              <w:t>5.3.2.3 已获得ISO9000标准认证的供方；</w:t>
            </w:r>
          </w:p>
          <w:p>
            <w:pPr>
              <w:spacing w:line="320" w:lineRule="exact"/>
              <w:jc w:val="left"/>
              <w:rPr>
                <w:rFonts w:ascii="宋体" w:hAnsi="宋体"/>
                <w:szCs w:val="21"/>
              </w:rPr>
            </w:pPr>
            <w:r>
              <w:rPr>
                <w:rFonts w:hint="eastAsia" w:ascii="宋体" w:hAnsi="宋体"/>
                <w:szCs w:val="21"/>
              </w:rPr>
              <w:t>5.3.2.4 已建立两年以上的供需关系，且服务、质量、交货期均能满足要求的供方。</w:t>
            </w:r>
          </w:p>
          <w:p>
            <w:pPr>
              <w:spacing w:line="320" w:lineRule="exact"/>
              <w:jc w:val="left"/>
              <w:rPr>
                <w:rFonts w:ascii="宋体" w:hAnsi="宋体"/>
                <w:szCs w:val="21"/>
              </w:rPr>
            </w:pPr>
            <w:r>
              <w:rPr>
                <w:rFonts w:hint="eastAsia" w:ascii="宋体" w:hAnsi="宋体"/>
                <w:bCs/>
                <w:szCs w:val="21"/>
              </w:rPr>
              <w:t>5.3.3回收利用部签订合同前应对以上内容审核供应商，签订的合同条款中必须符合国家环境和职业健康安全的法规、标准。</w:t>
            </w:r>
          </w:p>
          <w:p>
            <w:pPr>
              <w:spacing w:line="320" w:lineRule="exact"/>
              <w:jc w:val="left"/>
              <w:rPr>
                <w:rFonts w:ascii="宋体" w:hAnsi="宋体"/>
                <w:b/>
                <w:szCs w:val="21"/>
              </w:rPr>
            </w:pPr>
            <w:r>
              <w:rPr>
                <w:rFonts w:hint="eastAsia" w:ascii="宋体" w:hAnsi="宋体"/>
                <w:b/>
                <w:szCs w:val="21"/>
              </w:rPr>
              <w:t>5.4 合格供方的考核</w:t>
            </w:r>
          </w:p>
          <w:p>
            <w:pPr>
              <w:spacing w:line="320" w:lineRule="exact"/>
              <w:jc w:val="left"/>
              <w:rPr>
                <w:rFonts w:ascii="宋体" w:hAnsi="宋体"/>
                <w:szCs w:val="21"/>
              </w:rPr>
            </w:pPr>
            <w:r>
              <w:rPr>
                <w:rFonts w:hint="eastAsia" w:ascii="宋体" w:hAnsi="宋体"/>
                <w:szCs w:val="21"/>
              </w:rPr>
              <w:t>5.4.1 回收利用部门和生产车间对主要供方应填写《供方月绩效考核表》，对供应在交货时间、数量、质量等方面进行考核，正常情况下，应当半年至少一次对供方重新评定，如连续三次或一年当中累计五次不能满足本公司的采购需求，取消其合格供方资格，并重新编制《合格供方名单》。</w:t>
            </w:r>
          </w:p>
          <w:p>
            <w:pPr>
              <w:spacing w:line="320" w:lineRule="exact"/>
              <w:jc w:val="left"/>
              <w:rPr>
                <w:rFonts w:ascii="宋体" w:hAnsi="宋体"/>
                <w:szCs w:val="21"/>
              </w:rPr>
            </w:pPr>
            <w:r>
              <w:rPr>
                <w:rFonts w:hint="eastAsia" w:ascii="宋体" w:hAnsi="宋体"/>
                <w:szCs w:val="21"/>
              </w:rPr>
              <w:t>5.4.2 回收利用部门和生产车间应通过不同方式定期或不定期对已正式供货的供方进行质量跟踪，对供货质量下降的合格供方，要求其限度改进，在规定时间内仍然达不到要求的，取消其合格供方资格。</w:t>
            </w:r>
          </w:p>
          <w:p>
            <w:pPr>
              <w:spacing w:line="320" w:lineRule="exact"/>
              <w:rPr>
                <w:rFonts w:ascii="宋体" w:hAnsi="宋体"/>
                <w:b/>
                <w:bCs/>
                <w:szCs w:val="21"/>
              </w:rPr>
            </w:pPr>
            <w:r>
              <w:rPr>
                <w:rFonts w:hint="eastAsia" w:ascii="宋体" w:hAnsi="宋体"/>
                <w:b/>
                <w:bCs/>
                <w:szCs w:val="21"/>
              </w:rPr>
              <w:t>5.5供应商的环境和职业健康安全状况调查</w:t>
            </w:r>
          </w:p>
          <w:p>
            <w:pPr>
              <w:spacing w:line="320" w:lineRule="exact"/>
              <w:rPr>
                <w:rFonts w:ascii="宋体" w:hAnsi="宋体"/>
                <w:bCs/>
                <w:szCs w:val="21"/>
              </w:rPr>
            </w:pPr>
            <w:r>
              <w:rPr>
                <w:rFonts w:hint="eastAsia" w:ascii="宋体" w:hAnsi="宋体"/>
                <w:bCs/>
                <w:szCs w:val="21"/>
              </w:rPr>
              <w:t>5.5.1回收利用部在对供应商进行评价时，应评价供应商的环境和职业健康安全状况情况，对供应商的环境和职业健康安全状况进行调查评定，</w:t>
            </w:r>
          </w:p>
          <w:p>
            <w:pPr>
              <w:spacing w:line="320" w:lineRule="exact"/>
              <w:rPr>
                <w:rFonts w:ascii="宋体" w:hAnsi="宋体"/>
                <w:bCs/>
                <w:szCs w:val="21"/>
              </w:rPr>
            </w:pPr>
            <w:r>
              <w:rPr>
                <w:rFonts w:hint="eastAsia" w:ascii="宋体" w:hAnsi="宋体"/>
                <w:bCs/>
                <w:szCs w:val="21"/>
              </w:rPr>
              <w:t>5.5.2 回收利用部用调查表和日常工作中掌握的情况进行综合评定，填写《供方环境和职业健康安全调查评定表》，按《采购控制程序》要求执行。</w:t>
            </w:r>
          </w:p>
          <w:p>
            <w:pPr>
              <w:spacing w:line="320" w:lineRule="exact"/>
              <w:rPr>
                <w:rFonts w:ascii="宋体" w:hAnsi="宋体"/>
                <w:bCs/>
                <w:szCs w:val="21"/>
              </w:rPr>
            </w:pPr>
            <w:r>
              <w:rPr>
                <w:rFonts w:hint="eastAsia" w:ascii="宋体" w:hAnsi="宋体"/>
                <w:bCs/>
                <w:szCs w:val="21"/>
              </w:rPr>
              <w:t>5.5.3回收利用部应建立《合格供方名单》，并在合格供应商中进行采购。</w:t>
            </w:r>
          </w:p>
          <w:p>
            <w:pPr>
              <w:spacing w:line="320" w:lineRule="exact"/>
              <w:rPr>
                <w:rFonts w:ascii="宋体" w:hAnsi="宋体"/>
                <w:bCs/>
                <w:szCs w:val="21"/>
              </w:rPr>
            </w:pPr>
            <w:r>
              <w:rPr>
                <w:rFonts w:hint="eastAsia" w:ascii="宋体" w:hAnsi="宋体"/>
                <w:bCs/>
                <w:szCs w:val="21"/>
              </w:rPr>
              <w:t>5.5.4回收利用部每年对供应商的环境和职业健康安全行为进行一次重新评定，重点评定其是否遵守国家环境和职业健康安全法律、法规和其他要求；是否遵守公司环境和职业健康安全管理体系的要求；是否对本企业的环境和职业健康安全状况进行了持续改进。</w:t>
            </w:r>
          </w:p>
          <w:p>
            <w:pPr>
              <w:spacing w:line="320" w:lineRule="exact"/>
              <w:rPr>
                <w:rFonts w:ascii="宋体" w:hAnsi="宋体"/>
                <w:bCs/>
                <w:szCs w:val="21"/>
              </w:rPr>
            </w:pPr>
            <w:r>
              <w:rPr>
                <w:rFonts w:hint="eastAsia" w:ascii="宋体" w:hAnsi="宋体"/>
                <w:bCs/>
                <w:szCs w:val="21"/>
              </w:rPr>
              <w:t>5.5.5应根据监督评定结果，对《合格供方名单》进行更新。</w:t>
            </w:r>
          </w:p>
          <w:p>
            <w:pPr>
              <w:spacing w:line="320" w:lineRule="exact"/>
              <w:rPr>
                <w:rFonts w:ascii="宋体" w:hAnsi="宋体"/>
                <w:b/>
                <w:bCs/>
                <w:szCs w:val="21"/>
              </w:rPr>
            </w:pPr>
            <w:r>
              <w:rPr>
                <w:rFonts w:hint="eastAsia" w:ascii="宋体" w:hAnsi="宋体"/>
                <w:b/>
                <w:bCs/>
                <w:szCs w:val="21"/>
              </w:rPr>
              <w:t>5.6对承包相关方的环境和职业健康安全管理</w:t>
            </w:r>
          </w:p>
          <w:p>
            <w:pPr>
              <w:spacing w:line="320" w:lineRule="exact"/>
              <w:rPr>
                <w:rFonts w:ascii="宋体" w:hAnsi="宋体"/>
                <w:bCs/>
                <w:szCs w:val="21"/>
              </w:rPr>
            </w:pPr>
            <w:r>
              <w:rPr>
                <w:rFonts w:hint="eastAsia" w:ascii="宋体" w:hAnsi="宋体"/>
                <w:bCs/>
                <w:szCs w:val="21"/>
              </w:rPr>
              <w:t>5.6.1在公司内施工的承包方，在项目施工前应进行环保和劳动安全培训，签订环保安全协议，承诺遵守公司环境和劳动安全管理规章制度，接受环境保护和施工安全的检查。</w:t>
            </w:r>
          </w:p>
          <w:p>
            <w:pPr>
              <w:spacing w:line="320" w:lineRule="exact"/>
              <w:rPr>
                <w:rFonts w:ascii="宋体" w:hAnsi="宋体"/>
                <w:bCs/>
                <w:szCs w:val="21"/>
              </w:rPr>
            </w:pPr>
            <w:r>
              <w:rPr>
                <w:rFonts w:hint="eastAsia" w:ascii="宋体" w:hAnsi="宋体"/>
                <w:bCs/>
                <w:szCs w:val="21"/>
              </w:rPr>
              <w:t>5.6.2综合部应对在公司施工的承包相关方施加环境和职业健康安全影响，督促其执行国家、行业和本单位的安全法规和规章制度。</w:t>
            </w:r>
          </w:p>
          <w:p>
            <w:pPr>
              <w:spacing w:line="320" w:lineRule="exact"/>
              <w:rPr>
                <w:rFonts w:ascii="宋体" w:hAnsi="宋体"/>
                <w:bCs/>
                <w:szCs w:val="21"/>
              </w:rPr>
            </w:pPr>
            <w:r>
              <w:rPr>
                <w:rFonts w:hint="eastAsia" w:ascii="宋体" w:hAnsi="宋体"/>
                <w:bCs/>
                <w:szCs w:val="21"/>
              </w:rPr>
              <w:t>5.6.3对于承担基础建设项目的承包方，由综合部对承包方施加环境和职业健康安全影响，督促其执行国家、行业和本单位的环境和职业健康安全法规和规章制度，对于违规的承包方提出处理意见，直至停止其作业。</w:t>
            </w:r>
          </w:p>
          <w:p>
            <w:pPr>
              <w:spacing w:line="320" w:lineRule="exact"/>
              <w:rPr>
                <w:rFonts w:ascii="宋体" w:hAnsi="宋体"/>
                <w:b/>
                <w:bCs/>
                <w:szCs w:val="21"/>
              </w:rPr>
            </w:pPr>
            <w:r>
              <w:rPr>
                <w:rFonts w:hint="eastAsia" w:ascii="宋体" w:hAnsi="宋体"/>
                <w:b/>
                <w:bCs/>
                <w:szCs w:val="21"/>
              </w:rPr>
              <w:t>5.7对客户的环境和职业健康安全管理</w:t>
            </w:r>
          </w:p>
          <w:p>
            <w:pPr>
              <w:spacing w:line="320" w:lineRule="exact"/>
              <w:rPr>
                <w:rFonts w:ascii="宋体" w:hAnsi="宋体"/>
                <w:bCs/>
                <w:szCs w:val="21"/>
              </w:rPr>
            </w:pPr>
            <w:r>
              <w:rPr>
                <w:rFonts w:hint="eastAsia" w:ascii="宋体" w:hAnsi="宋体"/>
                <w:bCs/>
                <w:szCs w:val="21"/>
              </w:rPr>
              <w:t>5.7.1回收利用部门负责向用户宣传公司环境和职业健康安全管理体系的方针和有关环境和职业健康安全管理要求，并收集产品和服务相关的环境和职业健康安全信息。</w:t>
            </w:r>
          </w:p>
          <w:p>
            <w:pPr>
              <w:spacing w:line="320" w:lineRule="exact"/>
              <w:rPr>
                <w:rFonts w:ascii="宋体" w:hAnsi="宋体"/>
                <w:bCs/>
                <w:szCs w:val="21"/>
              </w:rPr>
            </w:pPr>
            <w:r>
              <w:rPr>
                <w:rFonts w:hint="eastAsia" w:ascii="宋体" w:hAnsi="宋体"/>
                <w:bCs/>
                <w:szCs w:val="21"/>
              </w:rPr>
              <w:t>5.7.2接受客户、服务方对公司环境和职业健康安全管理体系的建议及抱怨，并按《信息交流与协商程序》规定进行传递和回复。</w:t>
            </w:r>
          </w:p>
          <w:p>
            <w:pPr>
              <w:spacing w:line="320" w:lineRule="exact"/>
              <w:rPr>
                <w:rFonts w:ascii="宋体" w:hAnsi="宋体"/>
                <w:bCs/>
                <w:szCs w:val="21"/>
              </w:rPr>
            </w:pPr>
            <w:r>
              <w:rPr>
                <w:rFonts w:hint="eastAsia" w:ascii="宋体" w:hAnsi="宋体"/>
                <w:bCs/>
                <w:szCs w:val="21"/>
              </w:rPr>
              <w:t>5.7.3回收利用部负责向社会及客户通报公司的活动、生产或服务过程中所取得的环境和职业健康安全工作的绩效。</w:t>
            </w:r>
          </w:p>
          <w:p>
            <w:pPr>
              <w:spacing w:line="320" w:lineRule="exact"/>
              <w:jc w:val="left"/>
              <w:rPr>
                <w:rFonts w:ascii="宋体" w:hAnsi="宋体"/>
                <w:szCs w:val="21"/>
              </w:rPr>
            </w:pPr>
            <w:r>
              <w:rPr>
                <w:rFonts w:hint="eastAsia" w:ascii="宋体" w:hAnsi="宋体"/>
                <w:szCs w:val="21"/>
              </w:rPr>
              <w:t>6. 相关/支持性文件</w:t>
            </w:r>
          </w:p>
          <w:p>
            <w:pPr>
              <w:spacing w:line="320" w:lineRule="exact"/>
              <w:jc w:val="left"/>
              <w:rPr>
                <w:rFonts w:ascii="宋体" w:hAnsi="宋体"/>
                <w:szCs w:val="21"/>
              </w:rPr>
            </w:pPr>
            <w:r>
              <w:rPr>
                <w:rFonts w:hint="eastAsia" w:ascii="宋体" w:hAnsi="宋体"/>
                <w:szCs w:val="21"/>
              </w:rPr>
              <w:t>6.1 采购控制程序</w:t>
            </w:r>
          </w:p>
          <w:p>
            <w:pPr>
              <w:spacing w:line="320" w:lineRule="exact"/>
              <w:jc w:val="left"/>
              <w:rPr>
                <w:rFonts w:ascii="宋体" w:hAnsi="宋体"/>
                <w:szCs w:val="21"/>
              </w:rPr>
            </w:pPr>
            <w:r>
              <w:rPr>
                <w:rFonts w:hint="eastAsia" w:ascii="宋体" w:hAnsi="宋体"/>
                <w:szCs w:val="21"/>
              </w:rPr>
              <w:t>6.2 检验和试验控制程序</w:t>
            </w:r>
          </w:p>
          <w:p>
            <w:pPr>
              <w:spacing w:line="320" w:lineRule="exact"/>
              <w:jc w:val="left"/>
              <w:rPr>
                <w:rFonts w:ascii="宋体" w:hAnsi="宋体"/>
                <w:szCs w:val="21"/>
              </w:rPr>
            </w:pPr>
            <w:r>
              <w:rPr>
                <w:rFonts w:hint="eastAsia" w:ascii="宋体" w:hAnsi="宋体"/>
                <w:szCs w:val="21"/>
              </w:rPr>
              <w:t>7. 记录                           编号                  版本              保存期限</w:t>
            </w:r>
          </w:p>
          <w:p>
            <w:pPr>
              <w:spacing w:line="320" w:lineRule="exact"/>
              <w:jc w:val="left"/>
              <w:rPr>
                <w:rFonts w:ascii="宋体" w:hAnsi="宋体"/>
                <w:szCs w:val="21"/>
              </w:rPr>
            </w:pPr>
            <w:r>
              <w:rPr>
                <w:rFonts w:hint="eastAsia" w:ascii="宋体" w:hAnsi="宋体"/>
                <w:szCs w:val="21"/>
              </w:rPr>
              <w:t>7.1 供方评定表                       LQY-P-09-01               01                 一年</w:t>
            </w:r>
          </w:p>
          <w:p>
            <w:pPr>
              <w:spacing w:line="320" w:lineRule="exact"/>
              <w:jc w:val="left"/>
              <w:rPr>
                <w:rFonts w:ascii="宋体" w:hAnsi="宋体"/>
                <w:szCs w:val="21"/>
              </w:rPr>
            </w:pPr>
            <w:r>
              <w:rPr>
                <w:rFonts w:hint="eastAsia" w:ascii="宋体" w:hAnsi="宋体"/>
                <w:szCs w:val="21"/>
              </w:rPr>
              <w:t>7.2 合格供方名单                     LQY-P-09-01               01                 一年</w:t>
            </w:r>
          </w:p>
          <w:p>
            <w:pPr>
              <w:spacing w:line="320" w:lineRule="exact"/>
              <w:jc w:val="left"/>
              <w:rPr>
                <w:rFonts w:ascii="宋体" w:hAnsi="宋体"/>
                <w:szCs w:val="21"/>
              </w:rPr>
            </w:pPr>
            <w:r>
              <w:rPr>
                <w:rFonts w:hint="eastAsia" w:ascii="宋体" w:hAnsi="宋体"/>
                <w:szCs w:val="21"/>
              </w:rPr>
              <w:t>7.3 供方月绩效考核表                 LQY-P-09-01               01                 一年</w:t>
            </w:r>
          </w:p>
          <w:p>
            <w:pPr>
              <w:spacing w:line="320" w:lineRule="exact"/>
              <w:jc w:val="left"/>
              <w:rPr>
                <w:rFonts w:ascii="宋体" w:hAnsi="宋体"/>
                <w:szCs w:val="21"/>
              </w:rPr>
            </w:pPr>
            <w:r>
              <w:rPr>
                <w:rFonts w:hint="eastAsia" w:ascii="宋体" w:hAnsi="宋体"/>
                <w:szCs w:val="21"/>
              </w:rPr>
              <w:t>7.4 供方定期考核表                   LQY-P-09-01               01                 一年</w:t>
            </w:r>
          </w:p>
          <w:p>
            <w:pPr>
              <w:spacing w:line="320" w:lineRule="exact"/>
              <w:jc w:val="left"/>
              <w:rPr>
                <w:rFonts w:ascii="宋体" w:hAnsi="宋体"/>
                <w:szCs w:val="21"/>
              </w:rPr>
            </w:pPr>
          </w:p>
          <w:p>
            <w:pPr>
              <w:spacing w:line="320" w:lineRule="exact"/>
              <w:jc w:val="left"/>
              <w:rPr>
                <w:rFonts w:ascii="宋体" w:hAnsi="宋体"/>
                <w:szCs w:val="21"/>
              </w:rPr>
            </w:pPr>
          </w:p>
          <w:p>
            <w:pPr>
              <w:spacing w:line="320" w:lineRule="exact"/>
              <w:jc w:val="left"/>
              <w:rPr>
                <w:rFonts w:ascii="宋体" w:hAnsi="宋体"/>
                <w:szCs w:val="21"/>
              </w:rPr>
            </w:pPr>
          </w:p>
          <w:p>
            <w:pPr>
              <w:spacing w:line="320" w:lineRule="exact"/>
              <w:jc w:val="left"/>
              <w:rPr>
                <w:rFonts w:ascii="宋体" w:hAnsi="宋体"/>
                <w:szCs w:val="21"/>
              </w:rPr>
            </w:pPr>
          </w:p>
        </w:tc>
      </w:tr>
    </w:tbl>
    <w:p/>
    <w:p/>
    <w:tbl>
      <w:tblPr>
        <w:tblStyle w:val="9"/>
        <w:tblW w:w="1020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6"/>
        <w:gridCol w:w="2126"/>
        <w:gridCol w:w="2546"/>
        <w:gridCol w:w="170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836" w:type="dxa"/>
            <w:vMerge w:val="restart"/>
          </w:tcPr>
          <w:p>
            <w:pPr>
              <w:spacing w:line="400" w:lineRule="exact"/>
            </w:pPr>
          </w:p>
        </w:tc>
        <w:tc>
          <w:tcPr>
            <w:tcW w:w="2126" w:type="dxa"/>
            <w:vAlign w:val="center"/>
          </w:tcPr>
          <w:p>
            <w:pPr>
              <w:spacing w:line="400" w:lineRule="exact"/>
              <w:jc w:val="center"/>
              <w:rPr>
                <w:rFonts w:ascii="宋体"/>
                <w:b/>
                <w:sz w:val="28"/>
              </w:rPr>
            </w:pPr>
            <w:r>
              <w:rPr>
                <w:rFonts w:hint="eastAsia" w:ascii="宋体"/>
                <w:b/>
                <w:sz w:val="28"/>
              </w:rPr>
              <w:t>文件名称</w:t>
            </w:r>
          </w:p>
        </w:tc>
        <w:tc>
          <w:tcPr>
            <w:tcW w:w="2546" w:type="dxa"/>
            <w:vAlign w:val="center"/>
          </w:tcPr>
          <w:p>
            <w:pPr>
              <w:spacing w:line="400" w:lineRule="exact"/>
              <w:jc w:val="center"/>
              <w:rPr>
                <w:rFonts w:ascii="宋体"/>
                <w:b/>
                <w:sz w:val="28"/>
              </w:rPr>
            </w:pPr>
            <w:r>
              <w:rPr>
                <w:rFonts w:hint="eastAsia" w:ascii="宋体"/>
                <w:b/>
                <w:sz w:val="28"/>
              </w:rPr>
              <w:t>采购控制程序</w:t>
            </w:r>
          </w:p>
        </w:tc>
        <w:tc>
          <w:tcPr>
            <w:tcW w:w="1707" w:type="dxa"/>
            <w:vAlign w:val="center"/>
          </w:tcPr>
          <w:p>
            <w:pPr>
              <w:spacing w:line="400" w:lineRule="exact"/>
              <w:jc w:val="center"/>
              <w:rPr>
                <w:rFonts w:ascii="宋体"/>
                <w:b/>
                <w:sz w:val="28"/>
              </w:rPr>
            </w:pPr>
            <w:r>
              <w:rPr>
                <w:rFonts w:hint="eastAsia" w:ascii="宋体"/>
                <w:b/>
                <w:sz w:val="28"/>
              </w:rPr>
              <w:t>版次</w:t>
            </w:r>
          </w:p>
        </w:tc>
        <w:tc>
          <w:tcPr>
            <w:tcW w:w="992" w:type="dxa"/>
            <w:vAlign w:val="center"/>
          </w:tcPr>
          <w:p>
            <w:pPr>
              <w:spacing w:line="400" w:lineRule="exact"/>
              <w:jc w:val="center"/>
              <w:rPr>
                <w:rFonts w:ascii="宋体"/>
                <w:b/>
                <w:sz w:val="28"/>
              </w:rPr>
            </w:pPr>
            <w:r>
              <w:rPr>
                <w:rFonts w:hint="eastAsia" w:ascii="宋体"/>
                <w:b/>
                <w:sz w:val="2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836" w:type="dxa"/>
            <w:vMerge w:val="continue"/>
          </w:tcPr>
          <w:p>
            <w:pPr>
              <w:spacing w:line="400" w:lineRule="exact"/>
              <w:jc w:val="center"/>
              <w:rPr>
                <w:rFonts w:eastAsia="黑体"/>
                <w:b/>
                <w:sz w:val="36"/>
              </w:rPr>
            </w:pPr>
          </w:p>
        </w:tc>
        <w:tc>
          <w:tcPr>
            <w:tcW w:w="2126" w:type="dxa"/>
            <w:vAlign w:val="center"/>
          </w:tcPr>
          <w:p>
            <w:pPr>
              <w:spacing w:line="400" w:lineRule="exact"/>
              <w:jc w:val="center"/>
              <w:rPr>
                <w:rFonts w:ascii="宋体"/>
                <w:b/>
                <w:sz w:val="28"/>
              </w:rPr>
            </w:pPr>
            <w:r>
              <w:rPr>
                <w:rFonts w:hint="eastAsia" w:ascii="宋体"/>
                <w:b/>
                <w:sz w:val="28"/>
              </w:rPr>
              <w:t>文件编号</w:t>
            </w:r>
          </w:p>
        </w:tc>
        <w:tc>
          <w:tcPr>
            <w:tcW w:w="2546" w:type="dxa"/>
            <w:vAlign w:val="center"/>
          </w:tcPr>
          <w:p>
            <w:pPr>
              <w:spacing w:line="400" w:lineRule="exact"/>
              <w:jc w:val="center"/>
              <w:rPr>
                <w:rFonts w:ascii="宋体"/>
                <w:b/>
                <w:sz w:val="28"/>
              </w:rPr>
            </w:pPr>
            <w:r>
              <w:rPr>
                <w:rFonts w:hint="eastAsia" w:ascii="宋体"/>
                <w:b/>
                <w:sz w:val="28"/>
              </w:rPr>
              <w:t>LQY—P—15</w:t>
            </w:r>
          </w:p>
        </w:tc>
        <w:tc>
          <w:tcPr>
            <w:tcW w:w="1707" w:type="dxa"/>
            <w:vAlign w:val="center"/>
          </w:tcPr>
          <w:p>
            <w:pPr>
              <w:spacing w:line="400" w:lineRule="exact"/>
              <w:jc w:val="center"/>
              <w:rPr>
                <w:rFonts w:ascii="宋体"/>
                <w:b/>
                <w:sz w:val="28"/>
              </w:rPr>
            </w:pPr>
            <w:r>
              <w:rPr>
                <w:rFonts w:hint="eastAsia" w:ascii="宋体"/>
                <w:b/>
                <w:sz w:val="28"/>
              </w:rPr>
              <w:t>修改状态</w:t>
            </w:r>
          </w:p>
        </w:tc>
        <w:tc>
          <w:tcPr>
            <w:tcW w:w="992" w:type="dxa"/>
            <w:vAlign w:val="center"/>
          </w:tcPr>
          <w:p>
            <w:pPr>
              <w:spacing w:line="400" w:lineRule="exact"/>
              <w:jc w:val="center"/>
              <w:rPr>
                <w:rFonts w:ascii="宋体"/>
                <w:b/>
                <w:sz w:val="28"/>
              </w:rPr>
            </w:pPr>
            <w:r>
              <w:rPr>
                <w:rFonts w:hint="eastAsia" w:ascii="宋体"/>
                <w:b/>
                <w:sz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5" w:hRule="atLeast"/>
        </w:trPr>
        <w:tc>
          <w:tcPr>
            <w:tcW w:w="10207" w:type="dxa"/>
            <w:gridSpan w:val="5"/>
          </w:tcPr>
          <w:p>
            <w:pPr>
              <w:spacing w:line="360" w:lineRule="exact"/>
              <w:jc w:val="left"/>
              <w:rPr>
                <w:szCs w:val="21"/>
              </w:rPr>
            </w:pPr>
            <w:r>
              <w:rPr>
                <w:rFonts w:hint="eastAsia"/>
                <w:szCs w:val="21"/>
              </w:rPr>
              <w:t>1. 目的：</w:t>
            </w:r>
          </w:p>
          <w:p>
            <w:pPr>
              <w:spacing w:line="360" w:lineRule="exact"/>
              <w:jc w:val="left"/>
              <w:rPr>
                <w:szCs w:val="21"/>
              </w:rPr>
            </w:pPr>
            <w:r>
              <w:rPr>
                <w:rFonts w:hint="eastAsia"/>
                <w:szCs w:val="21"/>
              </w:rPr>
              <w:t>对物资采购过程继续控制，保证所采购物资符合规定与使用要求。</w:t>
            </w:r>
          </w:p>
          <w:p>
            <w:pPr>
              <w:spacing w:line="360" w:lineRule="exact"/>
              <w:jc w:val="left"/>
              <w:rPr>
                <w:szCs w:val="21"/>
              </w:rPr>
            </w:pPr>
            <w:r>
              <w:rPr>
                <w:rFonts w:hint="eastAsia"/>
                <w:szCs w:val="21"/>
              </w:rPr>
              <w:t>2.适用范围：</w:t>
            </w:r>
          </w:p>
          <w:p>
            <w:pPr>
              <w:spacing w:line="360" w:lineRule="exact"/>
              <w:jc w:val="left"/>
              <w:rPr>
                <w:szCs w:val="21"/>
              </w:rPr>
            </w:pPr>
            <w:r>
              <w:rPr>
                <w:rFonts w:hint="eastAsia"/>
                <w:szCs w:val="21"/>
              </w:rPr>
              <w:t xml:space="preserve">  适用于本公司生产过程所需的所有物资的采购控制。</w:t>
            </w:r>
          </w:p>
          <w:p>
            <w:pPr>
              <w:spacing w:line="360" w:lineRule="exact"/>
              <w:jc w:val="left"/>
              <w:rPr>
                <w:szCs w:val="21"/>
              </w:rPr>
            </w:pPr>
            <w:r>
              <w:rPr>
                <w:rFonts w:hint="eastAsia"/>
                <w:szCs w:val="21"/>
              </w:rPr>
              <w:t>3.职责：</w:t>
            </w:r>
          </w:p>
          <w:p>
            <w:pPr>
              <w:spacing w:line="360" w:lineRule="exact"/>
              <w:jc w:val="left"/>
              <w:rPr>
                <w:szCs w:val="21"/>
              </w:rPr>
            </w:pPr>
            <w:r>
              <w:rPr>
                <w:rFonts w:hint="eastAsia"/>
                <w:szCs w:val="21"/>
              </w:rPr>
              <w:t>3.1 回收利用部门根据各部门采购申请，结合仓库库存情况急技术要求制定采购计划，并负责采购。</w:t>
            </w:r>
          </w:p>
          <w:p>
            <w:pPr>
              <w:spacing w:line="360" w:lineRule="exact"/>
              <w:jc w:val="left"/>
              <w:rPr>
                <w:szCs w:val="21"/>
              </w:rPr>
            </w:pPr>
            <w:r>
              <w:rPr>
                <w:rFonts w:hint="eastAsia"/>
                <w:szCs w:val="21"/>
              </w:rPr>
              <w:t>3.2 生产车间负责入厂物资的检验。</w:t>
            </w:r>
          </w:p>
          <w:p>
            <w:pPr>
              <w:spacing w:line="360" w:lineRule="exact"/>
              <w:jc w:val="left"/>
              <w:rPr>
                <w:szCs w:val="21"/>
              </w:rPr>
            </w:pPr>
            <w:r>
              <w:rPr>
                <w:rFonts w:hint="eastAsia"/>
                <w:szCs w:val="21"/>
              </w:rPr>
              <w:t>3.3 回收利用部门负责不合格物资与供方联系处置。</w:t>
            </w:r>
          </w:p>
          <w:p>
            <w:pPr>
              <w:spacing w:line="360" w:lineRule="exact"/>
              <w:jc w:val="left"/>
              <w:rPr>
                <w:szCs w:val="21"/>
              </w:rPr>
            </w:pPr>
            <w:r>
              <w:rPr>
                <w:rFonts w:hint="eastAsia"/>
                <w:szCs w:val="21"/>
              </w:rPr>
              <w:t>4. 定义： 无</w:t>
            </w:r>
          </w:p>
          <w:p>
            <w:pPr>
              <w:spacing w:line="360" w:lineRule="exact"/>
              <w:jc w:val="left"/>
              <w:rPr>
                <w:szCs w:val="21"/>
              </w:rPr>
            </w:pPr>
            <w:r>
              <w:rPr>
                <w:rFonts w:hint="eastAsia"/>
                <w:szCs w:val="21"/>
              </w:rPr>
              <w:t>5. 工作程序：</w:t>
            </w:r>
          </w:p>
          <w:p>
            <w:pPr>
              <w:spacing w:line="360" w:lineRule="exact"/>
              <w:jc w:val="left"/>
              <w:rPr>
                <w:szCs w:val="21"/>
              </w:rPr>
            </w:pPr>
            <w:r>
              <w:rPr>
                <w:rFonts w:hint="eastAsia"/>
                <w:szCs w:val="21"/>
              </w:rPr>
              <w:t>5.1 流程图（见附件）。</w:t>
            </w:r>
          </w:p>
          <w:p>
            <w:pPr>
              <w:spacing w:line="360" w:lineRule="exact"/>
              <w:jc w:val="left"/>
              <w:rPr>
                <w:szCs w:val="21"/>
              </w:rPr>
            </w:pPr>
            <w:r>
              <w:rPr>
                <w:rFonts w:hint="eastAsia"/>
                <w:szCs w:val="21"/>
              </w:rPr>
              <w:t>5.2 采购计划的制定</w:t>
            </w:r>
          </w:p>
          <w:p>
            <w:pPr>
              <w:spacing w:line="360" w:lineRule="exact"/>
              <w:jc w:val="left"/>
              <w:rPr>
                <w:szCs w:val="21"/>
              </w:rPr>
            </w:pPr>
            <w:r>
              <w:rPr>
                <w:rFonts w:hint="eastAsia"/>
                <w:szCs w:val="21"/>
              </w:rPr>
              <w:t>5.2.1 生产根据产品销售合同或订单，结合库存情况制定采购计划，报分管经理批准后，报给物资供应回收利用部门。</w:t>
            </w:r>
          </w:p>
          <w:p>
            <w:pPr>
              <w:spacing w:line="360" w:lineRule="exact"/>
              <w:jc w:val="left"/>
              <w:rPr>
                <w:szCs w:val="21"/>
              </w:rPr>
            </w:pPr>
            <w:r>
              <w:rPr>
                <w:rFonts w:hint="eastAsia"/>
                <w:szCs w:val="21"/>
              </w:rPr>
              <w:t>5.2.2 回收利用部门根据生产单位物资采购申请制定计划，通过函电或直接到合格供方处，与供方联系采购。</w:t>
            </w:r>
          </w:p>
          <w:p>
            <w:pPr>
              <w:spacing w:line="360" w:lineRule="exact"/>
              <w:jc w:val="left"/>
              <w:rPr>
                <w:szCs w:val="21"/>
              </w:rPr>
            </w:pPr>
            <w:r>
              <w:rPr>
                <w:rFonts w:hint="eastAsia"/>
                <w:szCs w:val="21"/>
              </w:rPr>
              <w:t>5.3 采购合同的签订</w:t>
            </w:r>
          </w:p>
          <w:p>
            <w:pPr>
              <w:spacing w:line="360" w:lineRule="exact"/>
              <w:jc w:val="left"/>
              <w:rPr>
                <w:szCs w:val="21"/>
              </w:rPr>
            </w:pPr>
            <w:r>
              <w:rPr>
                <w:rFonts w:hint="eastAsia"/>
                <w:szCs w:val="21"/>
              </w:rPr>
              <w:t xml:space="preserve">   对所采购的物资，必要时，回收利用部门应与供方签订合同。</w:t>
            </w:r>
          </w:p>
          <w:p>
            <w:pPr>
              <w:spacing w:line="360" w:lineRule="exact"/>
              <w:jc w:val="left"/>
              <w:rPr>
                <w:szCs w:val="21"/>
              </w:rPr>
            </w:pPr>
            <w:r>
              <w:rPr>
                <w:rFonts w:hint="eastAsia"/>
                <w:szCs w:val="21"/>
              </w:rPr>
              <w:t>5.4 采购</w:t>
            </w:r>
          </w:p>
          <w:p>
            <w:pPr>
              <w:spacing w:line="360" w:lineRule="exact"/>
              <w:jc w:val="left"/>
              <w:rPr>
                <w:szCs w:val="21"/>
              </w:rPr>
            </w:pPr>
            <w:r>
              <w:rPr>
                <w:rFonts w:hint="eastAsia"/>
                <w:szCs w:val="21"/>
              </w:rPr>
              <w:t>5.4.1 回收利用部门根据采购计划按有关采购标准自合格供方处采购。</w:t>
            </w:r>
          </w:p>
          <w:p>
            <w:pPr>
              <w:spacing w:line="360" w:lineRule="exact"/>
              <w:jc w:val="left"/>
              <w:rPr>
                <w:szCs w:val="21"/>
              </w:rPr>
            </w:pPr>
            <w:r>
              <w:rPr>
                <w:rFonts w:hint="eastAsia"/>
                <w:szCs w:val="21"/>
              </w:rPr>
              <w:t>5.4.2 采购的所有物资应有产品合格证，无产品合格证的，原则上不得采购。</w:t>
            </w:r>
          </w:p>
          <w:p>
            <w:pPr>
              <w:spacing w:line="360" w:lineRule="exact"/>
              <w:jc w:val="left"/>
              <w:rPr>
                <w:szCs w:val="21"/>
              </w:rPr>
            </w:pPr>
            <w:r>
              <w:rPr>
                <w:rFonts w:hint="eastAsia"/>
                <w:szCs w:val="21"/>
              </w:rPr>
              <w:t>5.4.3 对于急需物资和零星物资的采购，及无法按程序确定的供方，由申请部门提报临时性计划，经申请领导部门签字，物资公司分管经理批准后进行采购。</w:t>
            </w:r>
          </w:p>
          <w:p>
            <w:pPr>
              <w:spacing w:line="360" w:lineRule="exact"/>
              <w:jc w:val="left"/>
              <w:rPr>
                <w:szCs w:val="21"/>
              </w:rPr>
            </w:pPr>
            <w:r>
              <w:rPr>
                <w:rFonts w:hint="eastAsia"/>
                <w:szCs w:val="21"/>
              </w:rPr>
              <w:t>5.5 采购物资的验证</w:t>
            </w:r>
          </w:p>
          <w:p>
            <w:pPr>
              <w:spacing w:line="360" w:lineRule="exact"/>
              <w:jc w:val="left"/>
              <w:rPr>
                <w:szCs w:val="21"/>
              </w:rPr>
            </w:pPr>
            <w:r>
              <w:rPr>
                <w:rFonts w:hint="eastAsia"/>
                <w:szCs w:val="21"/>
              </w:rPr>
              <w:t>5.5.1 采购物资到公司后，由生产车间按《检验和试验控制程序》规定进行检验，检验合格后，方可办理入库手续；对检验不合格的物资，须经生产、技术、质检、回收利用部门审批特殊放行，并填写《特采申请单》，降级使用，或通知回收利用部门联系退货。</w:t>
            </w:r>
          </w:p>
          <w:p>
            <w:pPr>
              <w:spacing w:line="360" w:lineRule="exact"/>
              <w:jc w:val="left"/>
              <w:rPr>
                <w:szCs w:val="21"/>
              </w:rPr>
            </w:pPr>
            <w:r>
              <w:rPr>
                <w:rFonts w:hint="eastAsia"/>
                <w:szCs w:val="21"/>
              </w:rPr>
              <w:t>5.5.2 对检验不合格或在使用过程中出现质量问题的，严格按《不合格品控制程序》执行，回收利用部门应及时联系供方解决。</w:t>
            </w:r>
          </w:p>
          <w:p>
            <w:pPr>
              <w:spacing w:line="360" w:lineRule="exact"/>
              <w:jc w:val="left"/>
              <w:rPr>
                <w:szCs w:val="21"/>
              </w:rPr>
            </w:pPr>
            <w:r>
              <w:rPr>
                <w:rFonts w:hint="eastAsia"/>
                <w:szCs w:val="21"/>
              </w:rPr>
              <w:t>5.5.3 进厂物资经生产车间检验后，保存各种家用记录文件。</w:t>
            </w:r>
          </w:p>
          <w:p>
            <w:pPr>
              <w:spacing w:line="360" w:lineRule="exact"/>
              <w:jc w:val="left"/>
              <w:rPr>
                <w:szCs w:val="21"/>
              </w:rPr>
            </w:pPr>
            <w:r>
              <w:rPr>
                <w:rFonts w:hint="eastAsia"/>
                <w:szCs w:val="21"/>
              </w:rPr>
              <w:t>5.5.4 必要时公司可在采购合同（或协议）中注明到供方处进行验证，公司应在采购合同中规定验证的安排以及产品放行方式。</w:t>
            </w:r>
          </w:p>
          <w:p>
            <w:pPr>
              <w:spacing w:line="360" w:lineRule="exact"/>
              <w:jc w:val="left"/>
              <w:rPr>
                <w:szCs w:val="21"/>
              </w:rPr>
            </w:pPr>
            <w:r>
              <w:rPr>
                <w:rFonts w:hint="eastAsia"/>
                <w:szCs w:val="21"/>
              </w:rPr>
              <w:t>5.5.5有合同要求时，顾客在供方处对供方的产品进行验证，公司不能把该验证用作供方对质量进行了有效控制的证据。</w:t>
            </w:r>
          </w:p>
          <w:p>
            <w:pPr>
              <w:spacing w:line="360" w:lineRule="exact"/>
              <w:jc w:val="left"/>
              <w:rPr>
                <w:szCs w:val="21"/>
              </w:rPr>
            </w:pPr>
            <w:r>
              <w:rPr>
                <w:rFonts w:hint="eastAsia"/>
                <w:szCs w:val="21"/>
              </w:rPr>
              <w:t>5.6 采购文件的管理</w:t>
            </w:r>
          </w:p>
          <w:p>
            <w:pPr>
              <w:spacing w:line="360" w:lineRule="exact"/>
              <w:jc w:val="left"/>
              <w:rPr>
                <w:szCs w:val="21"/>
              </w:rPr>
            </w:pPr>
            <w:r>
              <w:rPr>
                <w:rFonts w:hint="eastAsia"/>
                <w:szCs w:val="21"/>
              </w:rPr>
              <w:t>有关技术资料、生产计划及对外签订的各种合同或协议，回收利用部门应指定专人管理，妥善保管。</w:t>
            </w:r>
          </w:p>
          <w:p>
            <w:pPr>
              <w:spacing w:line="360" w:lineRule="exact"/>
              <w:jc w:val="left"/>
              <w:rPr>
                <w:szCs w:val="21"/>
              </w:rPr>
            </w:pPr>
            <w:r>
              <w:rPr>
                <w:rFonts w:hint="eastAsia"/>
                <w:szCs w:val="21"/>
              </w:rPr>
              <w:t>6. 相关/支持性文件：</w:t>
            </w:r>
          </w:p>
          <w:p>
            <w:pPr>
              <w:spacing w:line="360" w:lineRule="exact"/>
              <w:jc w:val="left"/>
              <w:rPr>
                <w:szCs w:val="21"/>
              </w:rPr>
            </w:pPr>
            <w:r>
              <w:rPr>
                <w:rFonts w:hint="eastAsia"/>
                <w:szCs w:val="21"/>
              </w:rPr>
              <w:t>6.1 供应商管理程序</w:t>
            </w:r>
          </w:p>
          <w:p>
            <w:pPr>
              <w:spacing w:line="360" w:lineRule="exact"/>
              <w:jc w:val="left"/>
              <w:rPr>
                <w:szCs w:val="21"/>
              </w:rPr>
            </w:pPr>
            <w:r>
              <w:rPr>
                <w:rFonts w:hint="eastAsia"/>
                <w:szCs w:val="21"/>
              </w:rPr>
              <w:t>6.2 检验和试验控制程序</w:t>
            </w:r>
          </w:p>
          <w:p>
            <w:pPr>
              <w:spacing w:line="360" w:lineRule="exact"/>
              <w:jc w:val="left"/>
              <w:rPr>
                <w:szCs w:val="21"/>
              </w:rPr>
            </w:pPr>
            <w:r>
              <w:rPr>
                <w:rFonts w:hint="eastAsia"/>
                <w:szCs w:val="21"/>
              </w:rPr>
              <w:t>6.3 产品标识和可追溯性控制程序</w:t>
            </w:r>
          </w:p>
          <w:p>
            <w:pPr>
              <w:spacing w:line="360" w:lineRule="exact"/>
              <w:jc w:val="left"/>
              <w:rPr>
                <w:szCs w:val="21"/>
              </w:rPr>
            </w:pPr>
            <w:r>
              <w:rPr>
                <w:rFonts w:hint="eastAsia"/>
                <w:szCs w:val="21"/>
              </w:rPr>
              <w:t>6.4 不合格品控制程序</w:t>
            </w:r>
          </w:p>
          <w:p>
            <w:pPr>
              <w:spacing w:line="360" w:lineRule="exact"/>
              <w:jc w:val="left"/>
              <w:rPr>
                <w:szCs w:val="21"/>
              </w:rPr>
            </w:pPr>
            <w:r>
              <w:rPr>
                <w:rFonts w:hint="eastAsia"/>
                <w:szCs w:val="21"/>
              </w:rPr>
              <w:t>7. 记录                         编号                 版本                保存期限</w:t>
            </w:r>
          </w:p>
          <w:p>
            <w:pPr>
              <w:spacing w:line="360" w:lineRule="exact"/>
              <w:jc w:val="left"/>
              <w:rPr>
                <w:szCs w:val="21"/>
              </w:rPr>
            </w:pPr>
            <w:r>
              <w:rPr>
                <w:rFonts w:hint="eastAsia"/>
                <w:szCs w:val="21"/>
              </w:rPr>
              <w:t>7.1 采购计划                      LQY-P-10-01               01                  一年</w:t>
            </w: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p>
            <w:pPr>
              <w:spacing w:line="360" w:lineRule="exact"/>
              <w:jc w:val="left"/>
              <w:rPr>
                <w:szCs w:val="21"/>
              </w:rPr>
            </w:pPr>
          </w:p>
        </w:tc>
      </w:tr>
    </w:tbl>
    <w:p/>
    <w:p/>
    <w:tbl>
      <w:tblPr>
        <w:tblStyle w:val="9"/>
        <w:tblW w:w="10605"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2126"/>
        <w:gridCol w:w="3134"/>
        <w:gridCol w:w="16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7" w:hRule="atLeast"/>
        </w:trPr>
        <w:tc>
          <w:tcPr>
            <w:tcW w:w="2405" w:type="dxa"/>
            <w:vMerge w:val="restart"/>
            <w:vAlign w:val="center"/>
          </w:tcPr>
          <w:p>
            <w:pPr>
              <w:spacing w:line="400" w:lineRule="exact"/>
              <w:jc w:val="center"/>
              <w:rPr>
                <w:rFonts w:eastAsia="黑体"/>
                <w:b/>
                <w:sz w:val="36"/>
              </w:rPr>
            </w:pPr>
          </w:p>
        </w:tc>
        <w:tc>
          <w:tcPr>
            <w:tcW w:w="2126" w:type="dxa"/>
            <w:vAlign w:val="center"/>
          </w:tcPr>
          <w:p>
            <w:pPr>
              <w:spacing w:line="400" w:lineRule="exact"/>
              <w:jc w:val="center"/>
              <w:rPr>
                <w:rFonts w:ascii="宋体"/>
                <w:b/>
                <w:sz w:val="30"/>
              </w:rPr>
            </w:pPr>
            <w:r>
              <w:rPr>
                <w:rFonts w:hint="eastAsia" w:ascii="宋体"/>
                <w:b/>
                <w:sz w:val="30"/>
              </w:rPr>
              <w:t>文件名称</w:t>
            </w:r>
          </w:p>
        </w:tc>
        <w:tc>
          <w:tcPr>
            <w:tcW w:w="3134" w:type="dxa"/>
            <w:vAlign w:val="center"/>
          </w:tcPr>
          <w:p>
            <w:pPr>
              <w:spacing w:line="400" w:lineRule="exact"/>
              <w:jc w:val="center"/>
              <w:rPr>
                <w:rFonts w:ascii="宋体"/>
                <w:b/>
                <w:sz w:val="30"/>
              </w:rPr>
            </w:pPr>
            <w:r>
              <w:rPr>
                <w:rFonts w:hint="eastAsia" w:ascii="宋体"/>
                <w:b/>
                <w:sz w:val="30"/>
              </w:rPr>
              <w:t>生产和服务运作控制程序</w:t>
            </w:r>
          </w:p>
        </w:tc>
        <w:tc>
          <w:tcPr>
            <w:tcW w:w="1680" w:type="dxa"/>
            <w:vAlign w:val="center"/>
          </w:tcPr>
          <w:p>
            <w:pPr>
              <w:spacing w:line="400" w:lineRule="exact"/>
              <w:jc w:val="center"/>
              <w:rPr>
                <w:rFonts w:ascii="宋体"/>
                <w:b/>
                <w:sz w:val="30"/>
              </w:rPr>
            </w:pPr>
            <w:r>
              <w:rPr>
                <w:rFonts w:hint="eastAsia" w:ascii="宋体"/>
                <w:b/>
                <w:sz w:val="30"/>
              </w:rPr>
              <w:t>版次</w:t>
            </w:r>
          </w:p>
        </w:tc>
        <w:tc>
          <w:tcPr>
            <w:tcW w:w="1260" w:type="dxa"/>
            <w:vAlign w:val="center"/>
          </w:tcPr>
          <w:p>
            <w:pPr>
              <w:spacing w:line="400" w:lineRule="exact"/>
              <w:jc w:val="center"/>
              <w:rPr>
                <w:rFonts w:ascii="宋体"/>
                <w:b/>
                <w:sz w:val="30"/>
              </w:rPr>
            </w:pPr>
            <w:r>
              <w:rPr>
                <w:rFonts w:hint="eastAsia" w:ascii="宋体"/>
                <w:b/>
                <w:sz w:val="3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80" w:hRule="atLeast"/>
        </w:trPr>
        <w:tc>
          <w:tcPr>
            <w:tcW w:w="2405" w:type="dxa"/>
            <w:vMerge w:val="continue"/>
            <w:vAlign w:val="center"/>
          </w:tcPr>
          <w:p>
            <w:pPr>
              <w:spacing w:line="400" w:lineRule="exact"/>
              <w:jc w:val="center"/>
              <w:rPr>
                <w:rFonts w:eastAsia="黑体"/>
                <w:b/>
                <w:sz w:val="36"/>
              </w:rPr>
            </w:pPr>
          </w:p>
        </w:tc>
        <w:tc>
          <w:tcPr>
            <w:tcW w:w="2126" w:type="dxa"/>
            <w:vAlign w:val="center"/>
          </w:tcPr>
          <w:p>
            <w:pPr>
              <w:spacing w:line="400" w:lineRule="exact"/>
              <w:jc w:val="center"/>
              <w:rPr>
                <w:rFonts w:ascii="宋体"/>
                <w:b/>
                <w:sz w:val="30"/>
              </w:rPr>
            </w:pPr>
            <w:r>
              <w:rPr>
                <w:rFonts w:hint="eastAsia" w:ascii="宋体"/>
                <w:b/>
                <w:sz w:val="30"/>
              </w:rPr>
              <w:t>文件编号</w:t>
            </w:r>
          </w:p>
        </w:tc>
        <w:tc>
          <w:tcPr>
            <w:tcW w:w="3134" w:type="dxa"/>
            <w:vAlign w:val="center"/>
          </w:tcPr>
          <w:p>
            <w:pPr>
              <w:spacing w:line="400" w:lineRule="exact"/>
              <w:jc w:val="center"/>
              <w:rPr>
                <w:rFonts w:ascii="宋体"/>
                <w:b/>
                <w:sz w:val="30"/>
              </w:rPr>
            </w:pPr>
            <w:r>
              <w:rPr>
                <w:rFonts w:hint="eastAsia" w:ascii="宋体"/>
                <w:b/>
                <w:sz w:val="30"/>
              </w:rPr>
              <w:t>LQY-P-16</w:t>
            </w:r>
          </w:p>
        </w:tc>
        <w:tc>
          <w:tcPr>
            <w:tcW w:w="1680" w:type="dxa"/>
            <w:vAlign w:val="center"/>
          </w:tcPr>
          <w:p>
            <w:pPr>
              <w:spacing w:line="400" w:lineRule="exact"/>
              <w:jc w:val="center"/>
              <w:rPr>
                <w:rFonts w:ascii="宋体"/>
                <w:b/>
                <w:sz w:val="30"/>
              </w:rPr>
            </w:pPr>
            <w:r>
              <w:rPr>
                <w:rFonts w:hint="eastAsia" w:ascii="宋体"/>
                <w:b/>
                <w:sz w:val="30"/>
              </w:rPr>
              <w:t>修改</w:t>
            </w:r>
          </w:p>
          <w:p>
            <w:pPr>
              <w:spacing w:line="400" w:lineRule="exact"/>
              <w:jc w:val="center"/>
              <w:rPr>
                <w:rFonts w:ascii="宋体"/>
                <w:b/>
                <w:sz w:val="30"/>
              </w:rPr>
            </w:pPr>
            <w:r>
              <w:rPr>
                <w:rFonts w:hint="eastAsia" w:ascii="宋体"/>
                <w:b/>
                <w:sz w:val="30"/>
              </w:rPr>
              <w:t>状态</w:t>
            </w:r>
          </w:p>
        </w:tc>
        <w:tc>
          <w:tcPr>
            <w:tcW w:w="1260" w:type="dxa"/>
            <w:vAlign w:val="center"/>
          </w:tcPr>
          <w:p>
            <w:pPr>
              <w:spacing w:line="400" w:lineRule="exact"/>
              <w:jc w:val="center"/>
              <w:rPr>
                <w:rFonts w:ascii="宋体"/>
                <w:b/>
                <w:sz w:val="30"/>
              </w:rPr>
            </w:pPr>
            <w:r>
              <w:rPr>
                <w:rFonts w:hint="eastAsia" w:ascii="宋体"/>
                <w:b/>
                <w:sz w:val="3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84" w:hRule="atLeast"/>
        </w:trPr>
        <w:tc>
          <w:tcPr>
            <w:tcW w:w="10605" w:type="dxa"/>
            <w:gridSpan w:val="5"/>
          </w:tcPr>
          <w:p>
            <w:pPr>
              <w:spacing w:line="320" w:lineRule="exact"/>
              <w:rPr>
                <w:rFonts w:ascii="宋体" w:hAnsi="宋体" w:cs="宋体"/>
                <w:szCs w:val="21"/>
              </w:rPr>
            </w:pPr>
            <w:r>
              <w:rPr>
                <w:rFonts w:hint="eastAsia" w:ascii="宋体" w:hAnsi="宋体" w:cs="宋体"/>
                <w:szCs w:val="21"/>
              </w:rPr>
              <w:t>1. 目的：</w:t>
            </w:r>
          </w:p>
          <w:p>
            <w:pPr>
              <w:spacing w:line="320" w:lineRule="exact"/>
              <w:ind w:firstLine="420" w:firstLineChars="200"/>
              <w:rPr>
                <w:rFonts w:ascii="宋体" w:hAnsi="宋体" w:cs="宋体"/>
                <w:szCs w:val="21"/>
              </w:rPr>
            </w:pPr>
            <w:r>
              <w:rPr>
                <w:rFonts w:hint="eastAsia" w:ascii="宋体" w:hAnsi="宋体" w:cs="宋体"/>
                <w:szCs w:val="21"/>
              </w:rPr>
              <w:t>对生产、服务过程进行有效控制，以确保满足顾客的需求和期望。</w:t>
            </w:r>
          </w:p>
          <w:p>
            <w:pPr>
              <w:spacing w:line="320" w:lineRule="exact"/>
              <w:ind w:left="1340" w:hanging="1339" w:hangingChars="638"/>
              <w:rPr>
                <w:rFonts w:ascii="宋体" w:hAnsi="宋体" w:cs="宋体"/>
                <w:szCs w:val="21"/>
              </w:rPr>
            </w:pPr>
            <w:r>
              <w:rPr>
                <w:rFonts w:hint="eastAsia" w:ascii="宋体" w:hAnsi="宋体" w:cs="宋体"/>
                <w:szCs w:val="21"/>
              </w:rPr>
              <w:t>2. 适用范围：</w:t>
            </w:r>
          </w:p>
          <w:p>
            <w:pPr>
              <w:spacing w:line="320" w:lineRule="exact"/>
              <w:ind w:firstLine="420" w:firstLineChars="200"/>
              <w:jc w:val="left"/>
              <w:rPr>
                <w:rFonts w:ascii="宋体" w:hAnsi="宋体" w:cs="宋体"/>
                <w:szCs w:val="21"/>
              </w:rPr>
            </w:pPr>
            <w:r>
              <w:rPr>
                <w:rFonts w:hint="eastAsia" w:ascii="宋体" w:hAnsi="宋体" w:cs="宋体"/>
                <w:szCs w:val="21"/>
              </w:rPr>
              <w:t>适用于对本公司生产的产品的形成过程的确定，产品的防护及放行，产品的标识和可追溯性，产品交付和适用的交付后的活动。</w:t>
            </w:r>
          </w:p>
          <w:p>
            <w:pPr>
              <w:spacing w:line="320" w:lineRule="exact"/>
              <w:rPr>
                <w:rFonts w:ascii="宋体" w:hAnsi="宋体" w:cs="宋体"/>
                <w:szCs w:val="21"/>
              </w:rPr>
            </w:pPr>
            <w:r>
              <w:rPr>
                <w:rFonts w:hint="eastAsia" w:ascii="宋体" w:hAnsi="宋体" w:cs="宋体"/>
                <w:szCs w:val="21"/>
              </w:rPr>
              <w:t xml:space="preserve">3. 职责 </w:t>
            </w:r>
          </w:p>
          <w:p>
            <w:pPr>
              <w:spacing w:line="320" w:lineRule="exact"/>
              <w:ind w:left="512" w:hanging="512" w:hangingChars="244"/>
              <w:rPr>
                <w:rFonts w:ascii="宋体" w:hAnsi="宋体" w:cs="宋体"/>
                <w:szCs w:val="21"/>
              </w:rPr>
            </w:pPr>
            <w:r>
              <w:rPr>
                <w:rFonts w:hint="eastAsia" w:ascii="宋体" w:hAnsi="宋体" w:cs="宋体"/>
                <w:szCs w:val="21"/>
              </w:rPr>
              <w:t>3.1. 生产车间：负责下达《生产作业计划》，指导各分厂、车间进行生产和过程的控制，负责生产设施的维护保养，负责生产中产品的防护和标识。</w:t>
            </w:r>
          </w:p>
          <w:p>
            <w:pPr>
              <w:spacing w:line="320" w:lineRule="exact"/>
              <w:rPr>
                <w:rFonts w:ascii="宋体" w:hAnsi="宋体" w:cs="宋体"/>
                <w:szCs w:val="21"/>
              </w:rPr>
            </w:pPr>
            <w:r>
              <w:rPr>
                <w:rFonts w:hint="eastAsia" w:ascii="宋体" w:hAnsi="宋体" w:cs="宋体"/>
                <w:szCs w:val="21"/>
              </w:rPr>
              <w:t>3.2. 生产车间：负责编制相应的产品工艺文件，负责生产过程中产品的检测和确认。</w:t>
            </w:r>
          </w:p>
          <w:p>
            <w:pPr>
              <w:spacing w:line="320" w:lineRule="exact"/>
              <w:rPr>
                <w:rFonts w:ascii="宋体" w:hAnsi="宋体" w:cs="宋体"/>
                <w:szCs w:val="21"/>
              </w:rPr>
            </w:pPr>
            <w:r>
              <w:rPr>
                <w:rFonts w:hint="eastAsia" w:ascii="宋体" w:hAnsi="宋体" w:cs="宋体"/>
                <w:szCs w:val="21"/>
              </w:rPr>
              <w:t>3.3. 回收利用部：负责产品的交付及与顾客的联系。</w:t>
            </w:r>
          </w:p>
          <w:p>
            <w:pPr>
              <w:spacing w:line="320" w:lineRule="exact"/>
              <w:rPr>
                <w:rFonts w:ascii="宋体" w:hAnsi="宋体" w:cs="宋体"/>
                <w:szCs w:val="21"/>
              </w:rPr>
            </w:pPr>
            <w:r>
              <w:rPr>
                <w:rFonts w:hint="eastAsia" w:ascii="宋体" w:hAnsi="宋体" w:cs="宋体"/>
                <w:szCs w:val="21"/>
              </w:rPr>
              <w:t>4. 程序</w:t>
            </w:r>
          </w:p>
          <w:p>
            <w:pPr>
              <w:spacing w:line="320" w:lineRule="exact"/>
              <w:rPr>
                <w:rFonts w:ascii="宋体" w:hAnsi="宋体" w:cs="宋体"/>
                <w:szCs w:val="21"/>
              </w:rPr>
            </w:pPr>
            <w:r>
              <w:rPr>
                <w:rFonts w:hint="eastAsia" w:ascii="宋体" w:hAnsi="宋体" w:cs="宋体"/>
                <w:szCs w:val="21"/>
              </w:rPr>
              <w:t>4.1. 获得规定产品特性的信息和文件。</w:t>
            </w:r>
          </w:p>
          <w:p>
            <w:pPr>
              <w:spacing w:line="320" w:lineRule="exact"/>
              <w:rPr>
                <w:rFonts w:ascii="宋体" w:hAnsi="宋体" w:cs="宋体"/>
                <w:szCs w:val="21"/>
              </w:rPr>
            </w:pPr>
            <w:r>
              <w:rPr>
                <w:rFonts w:hint="eastAsia" w:ascii="宋体" w:hAnsi="宋体" w:cs="宋体"/>
                <w:szCs w:val="21"/>
              </w:rPr>
              <w:t>4.1.1. 根据产品实现过程策划的输出和顾客要求评审的输出等获得必要的生产信息，分别执行相应的《设计和开发控制程序》和《与顾客有关的过程控制程序》文件的有关规定。</w:t>
            </w:r>
          </w:p>
          <w:p>
            <w:pPr>
              <w:spacing w:line="320" w:lineRule="exact"/>
              <w:rPr>
                <w:rFonts w:ascii="宋体" w:hAnsi="宋体" w:cs="宋体"/>
                <w:szCs w:val="21"/>
              </w:rPr>
            </w:pPr>
            <w:r>
              <w:rPr>
                <w:rFonts w:hint="eastAsia" w:ascii="宋体" w:hAnsi="宋体" w:cs="宋体"/>
                <w:szCs w:val="21"/>
              </w:rPr>
              <w:t>4.1.2. 对关键过程和特殊过程应编制作业指导书，其它情况下，如必要也应编制作业指导书。</w:t>
            </w:r>
          </w:p>
          <w:p>
            <w:pPr>
              <w:spacing w:line="320" w:lineRule="exact"/>
              <w:rPr>
                <w:rFonts w:ascii="宋体" w:hAnsi="宋体" w:cs="宋体"/>
                <w:szCs w:val="21"/>
              </w:rPr>
            </w:pPr>
            <w:r>
              <w:rPr>
                <w:rFonts w:hint="eastAsia" w:ascii="宋体" w:hAnsi="宋体" w:cs="宋体"/>
                <w:szCs w:val="21"/>
              </w:rPr>
              <w:t>4.1.3. 生产计划</w:t>
            </w:r>
          </w:p>
          <w:p>
            <w:pPr>
              <w:spacing w:line="320" w:lineRule="exact"/>
              <w:rPr>
                <w:rFonts w:ascii="宋体" w:hAnsi="宋体" w:cs="宋体"/>
                <w:szCs w:val="21"/>
              </w:rPr>
            </w:pPr>
            <w:r>
              <w:rPr>
                <w:rFonts w:hint="eastAsia" w:ascii="宋体" w:hAnsi="宋体" w:cs="宋体"/>
                <w:szCs w:val="21"/>
              </w:rPr>
              <w:t>a）生产车间根据获得的《销售计划》，考虑库存情况，结合车间的生产能力，与每月29日前编制下月的《生产作业计划》，及时向车间下达生产任务。《生产作业计划》经生产车间长批准后，发放到相关部门作为采购、生产和检验等的依据。</w:t>
            </w:r>
          </w:p>
          <w:p>
            <w:pPr>
              <w:spacing w:line="320" w:lineRule="exact"/>
              <w:rPr>
                <w:rFonts w:ascii="宋体" w:hAnsi="宋体" w:cs="宋体"/>
                <w:szCs w:val="21"/>
              </w:rPr>
            </w:pPr>
            <w:r>
              <w:rPr>
                <w:rFonts w:hint="eastAsia" w:ascii="宋体" w:hAnsi="宋体" w:cs="宋体"/>
                <w:szCs w:val="21"/>
              </w:rPr>
              <w:t>b）生产车间准备工艺技术文件，回收利用部按要求采购物资，生产车间根据《生产作业计划》组织安排生产，并统计相关生产情况，填写生产记录上报生产车间。</w:t>
            </w:r>
          </w:p>
          <w:p>
            <w:pPr>
              <w:spacing w:line="320" w:lineRule="exact"/>
              <w:jc w:val="left"/>
              <w:rPr>
                <w:rFonts w:ascii="宋体" w:hAnsi="宋体" w:cs="宋体"/>
                <w:szCs w:val="21"/>
              </w:rPr>
            </w:pPr>
            <w:r>
              <w:rPr>
                <w:rFonts w:hint="eastAsia" w:ascii="宋体" w:hAnsi="宋体" w:cs="宋体"/>
                <w:szCs w:val="21"/>
              </w:rPr>
              <w:t>4.2.2. 关键和特殊过程</w:t>
            </w:r>
          </w:p>
          <w:p>
            <w:pPr>
              <w:spacing w:line="320" w:lineRule="exact"/>
              <w:rPr>
                <w:rFonts w:ascii="宋体" w:hAnsi="宋体" w:cs="宋体"/>
                <w:szCs w:val="21"/>
              </w:rPr>
            </w:pPr>
            <w:r>
              <w:rPr>
                <w:rFonts w:hint="eastAsia" w:ascii="宋体" w:hAnsi="宋体" w:cs="宋体"/>
                <w:szCs w:val="21"/>
              </w:rPr>
              <w:t>4.2.2.1. 关键过程包括：</w:t>
            </w:r>
          </w:p>
          <w:p>
            <w:pPr>
              <w:spacing w:line="320" w:lineRule="exact"/>
              <w:rPr>
                <w:rFonts w:ascii="宋体" w:hAnsi="宋体" w:cs="宋体"/>
                <w:szCs w:val="21"/>
              </w:rPr>
            </w:pPr>
            <w:r>
              <w:rPr>
                <w:rFonts w:hint="eastAsia" w:ascii="宋体" w:hAnsi="宋体" w:cs="宋体"/>
                <w:szCs w:val="21"/>
              </w:rPr>
              <w:t>a）对成品的质量、性能、功能、寿命、可靠性及成本等有直接影响的工序；</w:t>
            </w:r>
          </w:p>
          <w:p>
            <w:pPr>
              <w:spacing w:line="320" w:lineRule="exact"/>
              <w:rPr>
                <w:rFonts w:ascii="宋体" w:hAnsi="宋体" w:cs="宋体"/>
                <w:szCs w:val="21"/>
              </w:rPr>
            </w:pPr>
            <w:r>
              <w:rPr>
                <w:rFonts w:hint="eastAsia" w:ascii="宋体" w:hAnsi="宋体" w:cs="宋体"/>
                <w:szCs w:val="21"/>
              </w:rPr>
              <w:t>b）产品重要质量特殊形成的工序；</w:t>
            </w:r>
          </w:p>
          <w:p>
            <w:pPr>
              <w:spacing w:line="320" w:lineRule="exact"/>
              <w:rPr>
                <w:rFonts w:ascii="宋体" w:hAnsi="宋体" w:cs="宋体"/>
                <w:szCs w:val="21"/>
              </w:rPr>
            </w:pPr>
            <w:r>
              <w:rPr>
                <w:rFonts w:hint="eastAsia" w:ascii="宋体" w:hAnsi="宋体" w:cs="宋体"/>
                <w:szCs w:val="21"/>
              </w:rPr>
              <w:t>c）工艺复杂，质量容易波动，对人员要求高或问题发生较多的工序。</w:t>
            </w:r>
          </w:p>
          <w:p>
            <w:pPr>
              <w:spacing w:line="320" w:lineRule="exact"/>
              <w:rPr>
                <w:rFonts w:ascii="宋体" w:hAnsi="宋体" w:cs="宋体"/>
                <w:szCs w:val="21"/>
              </w:rPr>
            </w:pPr>
            <w:r>
              <w:rPr>
                <w:rFonts w:hint="eastAsia" w:ascii="宋体" w:hAnsi="宋体" w:cs="宋体"/>
                <w:szCs w:val="21"/>
              </w:rPr>
              <w:t>4.2.2.2. 特殊过程包括：</w:t>
            </w:r>
          </w:p>
          <w:p>
            <w:pPr>
              <w:spacing w:line="320" w:lineRule="exact"/>
              <w:rPr>
                <w:rFonts w:ascii="宋体" w:hAnsi="宋体" w:cs="宋体"/>
                <w:szCs w:val="21"/>
              </w:rPr>
            </w:pPr>
            <w:r>
              <w:rPr>
                <w:rFonts w:hint="eastAsia" w:ascii="宋体" w:hAnsi="宋体" w:cs="宋体"/>
                <w:szCs w:val="21"/>
              </w:rPr>
              <w:t>a）产品质量不能通过后续的测量或监视加以验证的工序；</w:t>
            </w:r>
          </w:p>
          <w:p>
            <w:pPr>
              <w:spacing w:line="320" w:lineRule="exact"/>
              <w:rPr>
                <w:rFonts w:ascii="宋体" w:hAnsi="宋体" w:cs="宋体"/>
                <w:szCs w:val="21"/>
              </w:rPr>
            </w:pPr>
            <w:r>
              <w:rPr>
                <w:rFonts w:hint="eastAsia" w:ascii="宋体" w:hAnsi="宋体" w:cs="宋体"/>
                <w:szCs w:val="21"/>
              </w:rPr>
              <w:t>b）产品质量进行破坏性试验或采用复杂昂贵的方法才能测量或只能进行间接监视的工序；</w:t>
            </w:r>
          </w:p>
          <w:p>
            <w:pPr>
              <w:spacing w:line="320" w:lineRule="exact"/>
              <w:rPr>
                <w:rFonts w:ascii="宋体" w:hAnsi="宋体" w:cs="宋体"/>
                <w:szCs w:val="21"/>
              </w:rPr>
            </w:pPr>
            <w:r>
              <w:rPr>
                <w:rFonts w:hint="eastAsia" w:ascii="宋体" w:hAnsi="宋体" w:cs="宋体"/>
                <w:szCs w:val="21"/>
              </w:rPr>
              <w:t>c）本工序的产品尽在产品使用后，不合格的质量特性才能暴露出来的工序。</w:t>
            </w:r>
          </w:p>
          <w:p>
            <w:pPr>
              <w:spacing w:line="320" w:lineRule="exact"/>
              <w:rPr>
                <w:rFonts w:ascii="宋体" w:hAnsi="宋体" w:cs="宋体"/>
                <w:szCs w:val="21"/>
              </w:rPr>
            </w:pPr>
            <w:r>
              <w:rPr>
                <w:rFonts w:hint="eastAsia" w:ascii="宋体" w:hAnsi="宋体" w:cs="宋体"/>
                <w:szCs w:val="21"/>
              </w:rPr>
              <w:t>4.2.3. 本公司产品生产过程中的关键过程是：轮胎硫化。</w:t>
            </w:r>
          </w:p>
          <w:p>
            <w:pPr>
              <w:spacing w:line="320" w:lineRule="exact"/>
              <w:rPr>
                <w:rFonts w:ascii="宋体" w:hAnsi="宋体" w:cs="宋体"/>
                <w:szCs w:val="21"/>
              </w:rPr>
            </w:pPr>
            <w:r>
              <w:rPr>
                <w:rFonts w:hint="eastAsia" w:ascii="宋体" w:hAnsi="宋体" w:cs="宋体"/>
                <w:szCs w:val="21"/>
              </w:rPr>
              <w:t>4.2.4. 根据需要，生产车间应制定相关关键工序的作业指导书，明确特殊控制要求过程记录、检验和试验项目，检验与试验记录和报告。用以指导生产生产车间任命关键过程控制责任人员，明确其职责、权限。</w:t>
            </w:r>
          </w:p>
          <w:p>
            <w:pPr>
              <w:spacing w:line="320" w:lineRule="exact"/>
              <w:rPr>
                <w:rFonts w:ascii="宋体" w:hAnsi="宋体" w:cs="宋体"/>
                <w:szCs w:val="21"/>
              </w:rPr>
            </w:pPr>
            <w:r>
              <w:rPr>
                <w:rFonts w:hint="eastAsia" w:ascii="宋体" w:hAnsi="宋体" w:cs="宋体"/>
                <w:szCs w:val="21"/>
              </w:rPr>
              <w:t>4.3. 生产车间对生产过程实施监控，配置适用的监视和测量设备，执行《监视和测量设备控制程序》文件。车间在生产过程中，要认真做好自检、互检工作，生产车间做好专检工作并保留相关检验记录，由首检要求的工序，须经检验合格签字后，方可批量生产。对产品的放行应执行《过程检验控制程序》和《成品检验管理制度》文件的有关规定。</w:t>
            </w:r>
          </w:p>
          <w:p>
            <w:pPr>
              <w:spacing w:line="320" w:lineRule="exact"/>
              <w:rPr>
                <w:rFonts w:ascii="宋体" w:hAnsi="宋体" w:cs="宋体"/>
                <w:szCs w:val="21"/>
              </w:rPr>
            </w:pPr>
            <w:r>
              <w:rPr>
                <w:rFonts w:hint="eastAsia" w:ascii="宋体" w:hAnsi="宋体" w:cs="宋体"/>
                <w:szCs w:val="21"/>
              </w:rPr>
              <w:t>4.4. 经确认，公司产品生产的特殊过程是硫化过程。对待特殊过程应确认以下情况，正是这些过程实现所策划的结果的能力。</w:t>
            </w:r>
          </w:p>
          <w:p>
            <w:pPr>
              <w:spacing w:line="320" w:lineRule="exact"/>
              <w:rPr>
                <w:rFonts w:ascii="宋体" w:hAnsi="宋体" w:cs="宋体"/>
                <w:szCs w:val="21"/>
              </w:rPr>
            </w:pPr>
            <w:r>
              <w:rPr>
                <w:rFonts w:hint="eastAsia" w:ascii="宋体" w:hAnsi="宋体" w:cs="宋体"/>
                <w:szCs w:val="21"/>
              </w:rPr>
              <w:t>a）为过程的评审和批准所规定的准则和方法；</w:t>
            </w:r>
          </w:p>
          <w:p>
            <w:pPr>
              <w:spacing w:line="320" w:lineRule="exact"/>
              <w:rPr>
                <w:rFonts w:ascii="宋体" w:hAnsi="宋体" w:cs="宋体"/>
                <w:szCs w:val="21"/>
              </w:rPr>
            </w:pPr>
            <w:r>
              <w:rPr>
                <w:rFonts w:hint="eastAsia" w:ascii="宋体" w:hAnsi="宋体" w:cs="宋体"/>
                <w:szCs w:val="21"/>
              </w:rPr>
              <w:t>b）由生产车间对设备能力进行认可，由综合部对人员资格进行确认；</w:t>
            </w:r>
          </w:p>
          <w:p>
            <w:pPr>
              <w:spacing w:line="320" w:lineRule="exact"/>
              <w:rPr>
                <w:rFonts w:ascii="宋体" w:hAnsi="宋体" w:cs="宋体"/>
                <w:szCs w:val="21"/>
              </w:rPr>
            </w:pPr>
            <w:r>
              <w:rPr>
                <w:rFonts w:hint="eastAsia" w:ascii="宋体" w:hAnsi="宋体" w:cs="宋体"/>
                <w:szCs w:val="21"/>
              </w:rPr>
              <w:t>c）由生产车间确定最佳的生产工艺参数；</w:t>
            </w:r>
          </w:p>
          <w:p>
            <w:pPr>
              <w:spacing w:line="320" w:lineRule="exact"/>
              <w:rPr>
                <w:rFonts w:ascii="宋体" w:hAnsi="宋体" w:cs="宋体"/>
                <w:szCs w:val="21"/>
              </w:rPr>
            </w:pPr>
            <w:r>
              <w:rPr>
                <w:rFonts w:hint="eastAsia" w:ascii="宋体" w:hAnsi="宋体" w:cs="宋体"/>
                <w:szCs w:val="21"/>
              </w:rPr>
              <w:t>d）由生产车间对过程进行监控，并保留记录；</w:t>
            </w:r>
          </w:p>
          <w:p>
            <w:pPr>
              <w:spacing w:line="320" w:lineRule="exact"/>
              <w:rPr>
                <w:rFonts w:ascii="宋体" w:hAnsi="宋体" w:cs="宋体"/>
                <w:szCs w:val="21"/>
              </w:rPr>
            </w:pPr>
            <w:r>
              <w:rPr>
                <w:rFonts w:hint="eastAsia" w:ascii="宋体" w:hAnsi="宋体" w:cs="宋体"/>
                <w:szCs w:val="21"/>
              </w:rPr>
              <w:t>e）当生产条件发生变化时，由生产车间对特殊过程进行确认。</w:t>
            </w:r>
          </w:p>
          <w:p>
            <w:pPr>
              <w:spacing w:line="320" w:lineRule="exact"/>
              <w:rPr>
                <w:rFonts w:ascii="宋体" w:hAnsi="宋体" w:cs="宋体"/>
                <w:szCs w:val="21"/>
              </w:rPr>
            </w:pPr>
            <w:r>
              <w:rPr>
                <w:rFonts w:hint="eastAsia" w:ascii="宋体" w:hAnsi="宋体" w:cs="宋体"/>
                <w:szCs w:val="21"/>
              </w:rPr>
              <w:t>4.5. 标识和可追溯性控制</w:t>
            </w:r>
          </w:p>
          <w:p>
            <w:pPr>
              <w:spacing w:line="320" w:lineRule="exact"/>
              <w:rPr>
                <w:rFonts w:ascii="宋体" w:hAnsi="宋体" w:cs="宋体"/>
                <w:szCs w:val="21"/>
              </w:rPr>
            </w:pPr>
            <w:r>
              <w:rPr>
                <w:rFonts w:hint="eastAsia" w:ascii="宋体" w:hAnsi="宋体" w:cs="宋体"/>
                <w:szCs w:val="21"/>
              </w:rPr>
              <w:t>4.5.1. 根据需要，生产车间规定《材料、零部件标识和可追溯性管理办法》，并对其有效性进行控制，当产品、材料出现重大质量问题时，组织对其进行追溯。</w:t>
            </w:r>
          </w:p>
          <w:p>
            <w:pPr>
              <w:spacing w:line="320" w:lineRule="exact"/>
              <w:ind w:left="722" w:hanging="722" w:hangingChars="344"/>
              <w:rPr>
                <w:rFonts w:ascii="宋体" w:hAnsi="宋体" w:cs="宋体"/>
                <w:szCs w:val="21"/>
              </w:rPr>
            </w:pPr>
            <w:r>
              <w:rPr>
                <w:rFonts w:hint="eastAsia" w:ascii="宋体" w:hAnsi="宋体" w:cs="宋体"/>
                <w:szCs w:val="21"/>
              </w:rPr>
              <w:t>4.5.2. 各生产车间负责所属区域的产品标识，负责将不同状态的产品分区摆放，负责对标识的维护。</w:t>
            </w:r>
          </w:p>
          <w:p>
            <w:pPr>
              <w:spacing w:line="320" w:lineRule="exact"/>
              <w:rPr>
                <w:rFonts w:ascii="宋体" w:hAnsi="宋体" w:cs="宋体"/>
                <w:szCs w:val="21"/>
              </w:rPr>
            </w:pPr>
            <w:r>
              <w:rPr>
                <w:rFonts w:hint="eastAsia" w:ascii="宋体" w:hAnsi="宋体" w:cs="宋体"/>
                <w:szCs w:val="21"/>
              </w:rPr>
              <w:t>4.5.3. 产品标识及可追溯性</w:t>
            </w:r>
          </w:p>
          <w:p>
            <w:pPr>
              <w:spacing w:line="320" w:lineRule="exact"/>
              <w:rPr>
                <w:rFonts w:ascii="宋体" w:hAnsi="宋体" w:cs="宋体"/>
                <w:szCs w:val="21"/>
              </w:rPr>
            </w:pPr>
            <w:r>
              <w:rPr>
                <w:rFonts w:hint="eastAsia" w:ascii="宋体" w:hAnsi="宋体" w:cs="宋体"/>
                <w:szCs w:val="21"/>
              </w:rPr>
              <w:t>a）在有追溯性要求时，应对产品予以追溯。产品标识包括采购产品标识和在制品、半成品、成品标识，采购产品使用本身包装上的标识，也可用标识卡标识。</w:t>
            </w:r>
          </w:p>
          <w:p>
            <w:pPr>
              <w:spacing w:line="320" w:lineRule="exact"/>
              <w:rPr>
                <w:rFonts w:ascii="宋体" w:hAnsi="宋体" w:cs="宋体"/>
                <w:szCs w:val="21"/>
              </w:rPr>
            </w:pPr>
            <w:r>
              <w:rPr>
                <w:rFonts w:hint="eastAsia" w:ascii="宋体" w:hAnsi="宋体" w:cs="宋体"/>
                <w:szCs w:val="21"/>
              </w:rPr>
              <w:t>b）在制品、半成品、成品的标识，可用标识卡或带有产品标识的包装箱进行标识。标识内容包括产品名称、型号、必要时写明生产日期、生产者等。检验合格的产品方可入库，入库的产品用《入库单》进行标识。</w:t>
            </w:r>
          </w:p>
          <w:p>
            <w:pPr>
              <w:spacing w:line="320" w:lineRule="exact"/>
              <w:rPr>
                <w:rFonts w:ascii="宋体" w:hAnsi="宋体" w:cs="宋体"/>
                <w:szCs w:val="21"/>
              </w:rPr>
            </w:pPr>
            <w:r>
              <w:rPr>
                <w:rFonts w:hint="eastAsia" w:ascii="宋体" w:hAnsi="宋体" w:cs="宋体"/>
                <w:szCs w:val="21"/>
              </w:rPr>
              <w:t>c）当合同及法律法规对可追溯性又要起时，本公司的追溯路径为</w:t>
            </w:r>
          </w:p>
          <w:p>
            <w:pPr>
              <w:spacing w:before="156" w:beforeLines="50" w:after="156" w:afterLines="50" w:line="320" w:lineRule="exact"/>
              <w:ind w:firstLine="1260" w:firstLineChars="600"/>
              <w:rPr>
                <w:rFonts w:ascii="宋体" w:hAnsi="宋体" w:cs="宋体"/>
                <w:szCs w:val="21"/>
              </w:rPr>
            </w:pPr>
            <w:r>
              <w:rPr>
                <w:rFonts w:hint="eastAsia" w:ascii="宋体" w:hAnsi="宋体" w:cs="宋体"/>
                <w:szCs w:val="21"/>
              </w:rPr>
              <mc:AlternateContent>
                <mc:Choice Requires="wps">
                  <w:drawing>
                    <wp:anchor distT="0" distB="0" distL="114300" distR="114300" simplePos="0" relativeHeight="251677696" behindDoc="0" locked="0" layoutInCell="1" allowOverlap="1">
                      <wp:simplePos x="0" y="0"/>
                      <wp:positionH relativeFrom="column">
                        <wp:posOffset>3874770</wp:posOffset>
                      </wp:positionH>
                      <wp:positionV relativeFrom="paragraph">
                        <wp:posOffset>22225</wp:posOffset>
                      </wp:positionV>
                      <wp:extent cx="1257300" cy="495300"/>
                      <wp:effectExtent l="7620" t="12700" r="11430" b="6350"/>
                      <wp:wrapNone/>
                      <wp:docPr id="36"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257300" cy="495300"/>
                              </a:xfrm>
                              <a:prstGeom prst="rect">
                                <a:avLst/>
                              </a:prstGeom>
                              <a:solidFill>
                                <a:srgbClr val="FFFFFF"/>
                              </a:solidFill>
                              <a:ln w="9525">
                                <a:solidFill>
                                  <a:srgbClr val="FFFFFF"/>
                                </a:solidFill>
                                <a:miter lim="800000"/>
                              </a:ln>
                            </wps:spPr>
                            <wps:txbx>
                              <w:txbxContent>
                                <w:p>
                                  <w:pPr>
                                    <w:rPr>
                                      <w:sz w:val="18"/>
                                      <w:szCs w:val="18"/>
                                    </w:rPr>
                                  </w:pPr>
                                  <w:r>
                                    <w:rPr>
                                      <w:rFonts w:hint="eastAsia"/>
                                      <w:sz w:val="18"/>
                                      <w:szCs w:val="18"/>
                                    </w:rPr>
                                    <w:t>采购产品后标识</w:t>
                                  </w:r>
                                </w:p>
                                <w:p>
                                  <w:pPr>
                                    <w:rPr>
                                      <w:sz w:val="18"/>
                                      <w:szCs w:val="18"/>
                                    </w:rPr>
                                  </w:pPr>
                                  <w:r>
                                    <w:rPr>
                                      <w:rFonts w:hint="eastAsia"/>
                                      <w:sz w:val="18"/>
                                      <w:szCs w:val="18"/>
                                    </w:rPr>
                                    <w:t>物料标识卡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05.1pt;margin-top:1.75pt;height:39pt;width:99pt;z-index:251677696;mso-width-relative:page;mso-height-relative:page;" fillcolor="#FFFFFF" filled="t" stroked="t" coordsize="21600,21600" o:gfxdata="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y/+DdYAAAAIAQAADwAAAAAAAAABACAAAAAiAAAAZHJzL2Rv&#10;d25yZXYueG1sUEsBAhQAFAAAAAgAh07iQPmDfr08AgAAiQQAAA4AAAAAAAAAAQAgAAAAJQEAAGRy&#10;cy9lMm9Eb2MueG1sUEsFBgAAAAAGAAYAWQEAANMFAAAAAA==&#10;">
                      <v:fill on="t" focussize="0,0"/>
                      <v:stroke color="#FFFFFF" miterlimit="8" joinstyle="miter"/>
                      <v:imagedata o:title=""/>
                      <o:lock v:ext="edit" aspectratio="f"/>
                      <v:textbox>
                        <w:txbxContent>
                          <w:p>
                            <w:pPr>
                              <w:rPr>
                                <w:sz w:val="18"/>
                                <w:szCs w:val="18"/>
                              </w:rPr>
                            </w:pPr>
                            <w:r>
                              <w:rPr>
                                <w:rFonts w:hint="eastAsia"/>
                                <w:sz w:val="18"/>
                                <w:szCs w:val="18"/>
                              </w:rPr>
                              <w:t>采购产品后标识</w:t>
                            </w:r>
                          </w:p>
                          <w:p>
                            <w:pPr>
                              <w:rPr>
                                <w:sz w:val="18"/>
                                <w:szCs w:val="18"/>
                              </w:rPr>
                            </w:pPr>
                            <w:r>
                              <w:rPr>
                                <w:rFonts w:hint="eastAsia"/>
                                <w:sz w:val="18"/>
                                <w:szCs w:val="18"/>
                              </w:rPr>
                              <w:t>物料标识卡</w:t>
                            </w:r>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673600" behindDoc="0" locked="0" layoutInCell="1" allowOverlap="1">
                      <wp:simplePos x="0" y="0"/>
                      <wp:positionH relativeFrom="column">
                        <wp:posOffset>1258570</wp:posOffset>
                      </wp:positionH>
                      <wp:positionV relativeFrom="paragraph">
                        <wp:posOffset>241300</wp:posOffset>
                      </wp:positionV>
                      <wp:extent cx="457200" cy="635"/>
                      <wp:effectExtent l="10795" t="60325" r="17780" b="53340"/>
                      <wp:wrapNone/>
                      <wp:docPr id="35" name="直接连接符 35"/>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99.1pt;margin-top:19pt;height:0.05pt;width:36pt;z-index:251673600;mso-width-relative:page;mso-height-relative:page;" filled="f" stroked="t" coordsize="21600,21600" o:gfxdata="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m6v0tgAAAAJAQAADwAAAAAAAAABACAAAAAiAAAAZHJzL2Rv&#10;d25yZXYueG1sUEsBAhQAFAAAAAgAh07iQDmfe24BAgAA2wMAAA4AAAAAAAAAAQAgAAAAJwEAAGRy&#10;cy9lMm9Eb2MueG1sUEsFBgAAAAAGAAYAWQEAAJoFAAAAAA==&#10;">
                      <v:fill on="f" focussize="0,0"/>
                      <v:stroke color="#000000" joinstyle="round" endarrow="block"/>
                      <v:imagedata o:title=""/>
                      <o:lock v:ext="edit" aspectratio="f"/>
                    </v:line>
                  </w:pict>
                </mc:Fallback>
              </mc:AlternateContent>
            </w:r>
            <w:r>
              <w:rPr>
                <w:rFonts w:hint="eastAsia" w:ascii="宋体" w:hAnsi="宋体" w:cs="宋体"/>
                <w:szCs w:val="21"/>
              </w:rPr>
              <mc:AlternateContent>
                <mc:Choice Requires="wps">
                  <w:drawing>
                    <wp:anchor distT="0" distB="0" distL="114300" distR="114300" simplePos="0" relativeHeight="251674624" behindDoc="0" locked="0" layoutInCell="1" allowOverlap="1">
                      <wp:simplePos x="0" y="0"/>
                      <wp:positionH relativeFrom="column">
                        <wp:posOffset>2534920</wp:posOffset>
                      </wp:positionH>
                      <wp:positionV relativeFrom="paragraph">
                        <wp:posOffset>241300</wp:posOffset>
                      </wp:positionV>
                      <wp:extent cx="457200" cy="635"/>
                      <wp:effectExtent l="10795" t="60325" r="17780" b="53340"/>
                      <wp:wrapNone/>
                      <wp:docPr id="34" name="直接连接符 34"/>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99.6pt;margin-top:19pt;height:0.05pt;width:36pt;z-index:251674624;mso-width-relative:page;mso-height-relative:page;" filled="f" stroked="t" coordsize="21600,21600" o:gfxdata="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nnPCvZAAAACQEAAA8AAAAAAAAAAQAgAAAAIgAAAGRycy9k&#10;b3ducmV2LnhtbFBLAQIUABQAAAAIAIdO4kAuwaErAQIAANsDAAAOAAAAAAAAAAEAIAAAACgBAABk&#10;cnMvZTJvRG9jLnhtbFBLBQYAAAAABgAGAFkBAACbBQAAAAA=&#10;">
                      <v:fill on="f" focussize="0,0"/>
                      <v:stroke color="#000000" joinstyle="round" endarrow="block"/>
                      <v:imagedata o:title=""/>
                      <o:lock v:ext="edit" aspectratio="f"/>
                    </v:line>
                  </w:pict>
                </mc:Fallback>
              </mc:AlternateContent>
            </w:r>
            <w:r>
              <w:rPr>
                <w:rFonts w:hint="eastAsia" w:ascii="宋体" w:hAnsi="宋体" w:cs="宋体"/>
                <w:szCs w:val="21"/>
              </w:rPr>
              <mc:AlternateContent>
                <mc:Choice Requires="wps">
                  <w:drawing>
                    <wp:anchor distT="0" distB="0" distL="114300" distR="114300" simplePos="0" relativeHeight="251675648" behindDoc="0" locked="0" layoutInCell="1" allowOverlap="1">
                      <wp:simplePos x="0" y="0"/>
                      <wp:positionH relativeFrom="column">
                        <wp:posOffset>3531870</wp:posOffset>
                      </wp:positionH>
                      <wp:positionV relativeFrom="paragraph">
                        <wp:posOffset>159385</wp:posOffset>
                      </wp:positionV>
                      <wp:extent cx="339725" cy="100965"/>
                      <wp:effectExtent l="7620" t="54610" r="33655" b="6350"/>
                      <wp:wrapNone/>
                      <wp:docPr id="33" name="直接连接符 33"/>
                      <wp:cNvGraphicFramePr/>
                      <a:graphic xmlns:a="http://schemas.openxmlformats.org/drawingml/2006/main">
                        <a:graphicData uri="http://schemas.microsoft.com/office/word/2010/wordprocessingShape">
                          <wps:wsp>
                            <wps:cNvCnPr>
                              <a:cxnSpLocks noChangeShapeType="1"/>
                            </wps:cNvCnPr>
                            <wps:spPr bwMode="auto">
                              <a:xfrm flipV="1">
                                <a:off x="0" y="0"/>
                                <a:ext cx="339725" cy="10096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278.1pt;margin-top:12.55pt;height:7.95pt;width:26.75pt;z-index:251675648;mso-width-relative:page;mso-height-relative:page;" filled="f" stroked="t" coordsize="21600,21600" o:gfxdata="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y9rMTaAAAACQEAAA8AAAAAAAAAAQAgAAAA&#10;IgAAAGRycy9kb3ducmV2LnhtbFBLAQIUABQAAAAIAIdO4kBBGLHrCQIAAOgDAAAOAAAAAAAAAAEA&#10;IAAAACkBAABkcnMvZTJvRG9jLnhtbFBLBQYAAAAABgAGAFkBAACkBQAAAAA=&#10;">
                      <v:fill on="f" focussize="0,0"/>
                      <v:stroke color="#000000" joinstyle="round" endarrow="block"/>
                      <v:imagedata o:title=""/>
                      <o:lock v:ext="edit" aspectratio="f"/>
                    </v:line>
                  </w:pict>
                </mc:Fallback>
              </mc:AlternateContent>
            </w:r>
            <w:r>
              <w:rPr>
                <w:rFonts w:hint="eastAsia" w:ascii="宋体" w:hAnsi="宋体" w:cs="宋体"/>
                <w:szCs w:val="21"/>
              </w:rPr>
              <mc:AlternateContent>
                <mc:Choice Requires="wps">
                  <w:drawing>
                    <wp:anchor distT="0" distB="0" distL="114300" distR="114300" simplePos="0" relativeHeight="251676672" behindDoc="0" locked="0" layoutInCell="1" allowOverlap="1">
                      <wp:simplePos x="0" y="0"/>
                      <wp:positionH relativeFrom="column">
                        <wp:posOffset>3515995</wp:posOffset>
                      </wp:positionH>
                      <wp:positionV relativeFrom="paragraph">
                        <wp:posOffset>269875</wp:posOffset>
                      </wp:positionV>
                      <wp:extent cx="339725" cy="97155"/>
                      <wp:effectExtent l="10795" t="12700" r="30480" b="61595"/>
                      <wp:wrapNone/>
                      <wp:docPr id="32" name="直接连接符 32"/>
                      <wp:cNvGraphicFramePr/>
                      <a:graphic xmlns:a="http://schemas.openxmlformats.org/drawingml/2006/main">
                        <a:graphicData uri="http://schemas.microsoft.com/office/word/2010/wordprocessingShape">
                          <wps:wsp>
                            <wps:cNvCnPr>
                              <a:cxnSpLocks noChangeShapeType="1"/>
                            </wps:cNvCnPr>
                            <wps:spPr bwMode="auto">
                              <a:xfrm>
                                <a:off x="0" y="0"/>
                                <a:ext cx="339725" cy="9715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76.85pt;margin-top:21.25pt;height:7.65pt;width:26.75pt;z-index:251676672;mso-width-relative:page;mso-height-relative:page;" filled="f" stroked="t" coordsize="21600,21600" o:gfxdata="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2Ekj9oAAAAJAQAADwAAAAAAAAABACAAAAAiAAAAZHJz&#10;L2Rvd25yZXYueG1sUEsBAhQAFAAAAAgAh07iQMnvJRwCAgAA3QMAAA4AAAAAAAAAAQAgAAAAKQEA&#10;AGRycy9lMm9Eb2MueG1sUEsFBgAAAAAGAAYAWQEAAJ0FAAAAAA==&#10;">
                      <v:fill on="f" focussize="0,0"/>
                      <v:stroke color="#000000" joinstyle="round" endarrow="block"/>
                      <v:imagedata o:title=""/>
                      <o:lock v:ext="edit" aspectratio="f"/>
                    </v:line>
                  </w:pict>
                </mc:Fallback>
              </mc:AlternateContent>
            </w:r>
            <w:r>
              <w:rPr>
                <w:rFonts w:hint="eastAsia" w:ascii="宋体" w:hAnsi="宋体" w:cs="宋体"/>
                <w:szCs w:val="21"/>
              </w:rPr>
              <w:t xml:space="preserve">合格证        检验记录表          入库单     </w:t>
            </w:r>
          </w:p>
          <w:p>
            <w:pPr>
              <w:spacing w:line="320" w:lineRule="exact"/>
              <w:rPr>
                <w:rFonts w:ascii="宋体" w:hAnsi="宋体" w:cs="宋体"/>
                <w:szCs w:val="21"/>
              </w:rPr>
            </w:pPr>
            <w:r>
              <w:rPr>
                <w:rFonts w:hint="eastAsia" w:ascii="宋体" w:hAnsi="宋体" w:cs="宋体"/>
                <w:szCs w:val="21"/>
              </w:rPr>
              <w:t>4.5.4. 产品状态的标识</w:t>
            </w:r>
          </w:p>
          <w:p>
            <w:pPr>
              <w:spacing w:line="320" w:lineRule="exact"/>
              <w:rPr>
                <w:rFonts w:ascii="宋体" w:hAnsi="宋体" w:cs="宋体"/>
                <w:color w:val="000000"/>
                <w:szCs w:val="21"/>
              </w:rPr>
            </w:pPr>
            <w:r>
              <w:rPr>
                <w:rFonts w:hint="eastAsia" w:ascii="宋体" w:hAnsi="宋体" w:cs="宋体"/>
                <w:szCs w:val="21"/>
              </w:rPr>
              <w:t>检验状态：合格、不合格、待检、待定等。检</w:t>
            </w:r>
            <w:r>
              <w:rPr>
                <w:rFonts w:hint="eastAsia" w:ascii="宋体" w:hAnsi="宋体" w:cs="宋体"/>
                <w:color w:val="000000"/>
                <w:szCs w:val="21"/>
              </w:rPr>
              <w:t>验员填写在相应的检验记录上作为检验状态标识，在生产现场可用标牌或标志牌作为标识。对不合格品应作出明显标识，以防止与合格品混淆。</w:t>
            </w:r>
          </w:p>
          <w:p>
            <w:pPr>
              <w:spacing w:line="320" w:lineRule="exact"/>
              <w:rPr>
                <w:rFonts w:ascii="宋体" w:hAnsi="宋体" w:cs="宋体"/>
                <w:color w:val="000000"/>
                <w:szCs w:val="21"/>
              </w:rPr>
            </w:pPr>
            <w:r>
              <w:rPr>
                <w:rFonts w:hint="eastAsia" w:ascii="宋体" w:hAnsi="宋体" w:cs="宋体"/>
                <w:color w:val="000000"/>
                <w:szCs w:val="21"/>
              </w:rPr>
              <w:t>4.6. 顾客财产的控制</w:t>
            </w:r>
          </w:p>
          <w:p>
            <w:pPr>
              <w:spacing w:line="320" w:lineRule="exact"/>
              <w:rPr>
                <w:rFonts w:ascii="宋体" w:hAnsi="宋体" w:cs="宋体"/>
                <w:color w:val="000000"/>
                <w:szCs w:val="21"/>
              </w:rPr>
            </w:pPr>
            <w:r>
              <w:rPr>
                <w:rFonts w:hint="eastAsia" w:ascii="宋体" w:hAnsi="宋体" w:cs="宋体"/>
                <w:color w:val="000000"/>
                <w:szCs w:val="21"/>
              </w:rPr>
              <w:t>4.6.1. 公司的顾客财产包括：</w:t>
            </w:r>
          </w:p>
          <w:p>
            <w:pPr>
              <w:spacing w:line="320" w:lineRule="exact"/>
              <w:rPr>
                <w:rFonts w:ascii="宋体" w:hAnsi="宋体" w:cs="宋体"/>
                <w:color w:val="000000"/>
                <w:szCs w:val="21"/>
              </w:rPr>
            </w:pPr>
            <w:r>
              <w:rPr>
                <w:rFonts w:hint="eastAsia" w:ascii="宋体" w:hAnsi="宋体" w:cs="宋体"/>
                <w:color w:val="000000"/>
                <w:szCs w:val="21"/>
              </w:rPr>
              <w:t>a）顾客提供的产品技术 ，顾客提供的生产图纸、标准等；</w:t>
            </w:r>
          </w:p>
          <w:p>
            <w:pPr>
              <w:spacing w:line="320" w:lineRule="exact"/>
              <w:rPr>
                <w:rFonts w:ascii="宋体" w:hAnsi="宋体" w:cs="宋体"/>
                <w:color w:val="000000"/>
                <w:szCs w:val="21"/>
              </w:rPr>
            </w:pPr>
            <w:r>
              <w:rPr>
                <w:rFonts w:hint="eastAsia" w:ascii="宋体" w:hAnsi="宋体" w:cs="宋体"/>
                <w:color w:val="000000"/>
                <w:szCs w:val="21"/>
              </w:rPr>
              <w:t>b）顾客退回公司维修的产品。</w:t>
            </w:r>
          </w:p>
          <w:p>
            <w:pPr>
              <w:spacing w:line="320" w:lineRule="exact"/>
              <w:rPr>
                <w:rFonts w:ascii="宋体" w:hAnsi="宋体" w:cs="宋体"/>
                <w:color w:val="000000"/>
                <w:szCs w:val="21"/>
              </w:rPr>
            </w:pPr>
            <w:r>
              <w:rPr>
                <w:rFonts w:hint="eastAsia" w:ascii="宋体" w:hAnsi="宋体" w:cs="宋体"/>
                <w:color w:val="000000"/>
                <w:szCs w:val="21"/>
              </w:rPr>
              <w:t>4.6.2. 生产车间对顾客提供的产品样品、标准等进行识别、验证和保护，建立《顾客财产清单及验证记录》。</w:t>
            </w:r>
          </w:p>
          <w:p>
            <w:pPr>
              <w:spacing w:line="320" w:lineRule="exact"/>
              <w:jc w:val="left"/>
              <w:rPr>
                <w:rFonts w:ascii="宋体" w:hAnsi="宋体" w:cs="宋体"/>
                <w:color w:val="000000"/>
                <w:szCs w:val="21"/>
              </w:rPr>
            </w:pPr>
            <w:r>
              <w:rPr>
                <w:rFonts w:hint="eastAsia" w:ascii="宋体" w:hAnsi="宋体" w:cs="宋体"/>
                <w:color w:val="000000"/>
                <w:szCs w:val="21"/>
              </w:rPr>
              <w:t>4.6.3. 仓库负责退货品入库数量验收及标识和保护工作。生产车间负责对退货产品进行原因分析；生产车间组织对退货产品的处理。</w:t>
            </w:r>
          </w:p>
          <w:p>
            <w:pPr>
              <w:spacing w:line="320" w:lineRule="exact"/>
              <w:rPr>
                <w:rFonts w:ascii="宋体" w:hAnsi="宋体" w:cs="宋体"/>
                <w:color w:val="000000"/>
                <w:szCs w:val="21"/>
              </w:rPr>
            </w:pPr>
            <w:r>
              <w:rPr>
                <w:rFonts w:hint="eastAsia" w:ascii="宋体" w:hAnsi="宋体" w:cs="宋体"/>
                <w:color w:val="000000"/>
                <w:szCs w:val="21"/>
              </w:rPr>
              <w:t>4.6.4. 若发现顾客财产丢失，损坏或不适用的情况时，应及时报告顾客，做好相关记录。由回收利用部门与顾客进行联系，协商解决问题。</w:t>
            </w:r>
          </w:p>
          <w:p>
            <w:pPr>
              <w:spacing w:line="320" w:lineRule="exact"/>
              <w:rPr>
                <w:rFonts w:ascii="宋体" w:hAnsi="宋体" w:cs="宋体"/>
                <w:color w:val="000000"/>
                <w:szCs w:val="21"/>
              </w:rPr>
            </w:pPr>
            <w:r>
              <w:rPr>
                <w:rFonts w:hint="eastAsia" w:ascii="宋体" w:hAnsi="宋体" w:cs="宋体"/>
                <w:color w:val="000000"/>
                <w:szCs w:val="21"/>
              </w:rPr>
              <w:t>4.7. 产品防护</w:t>
            </w:r>
          </w:p>
          <w:p>
            <w:pPr>
              <w:spacing w:line="320" w:lineRule="exact"/>
              <w:ind w:left="710" w:hanging="709" w:hangingChars="338"/>
              <w:rPr>
                <w:rFonts w:ascii="宋体" w:hAnsi="宋体" w:cs="宋体"/>
                <w:color w:val="000000"/>
                <w:szCs w:val="21"/>
              </w:rPr>
            </w:pPr>
            <w:r>
              <w:rPr>
                <w:rFonts w:hint="eastAsia" w:ascii="宋体" w:hAnsi="宋体" w:cs="宋体"/>
                <w:color w:val="000000"/>
                <w:szCs w:val="21"/>
              </w:rPr>
              <w:t>4.7.1. 对产品从接收、内部加工、放行、交付直到预期目的地的所有阶段，应防止产品损坏、错用或磕碰。</w:t>
            </w:r>
          </w:p>
          <w:p>
            <w:pPr>
              <w:spacing w:line="320" w:lineRule="exact"/>
              <w:ind w:left="710" w:hanging="709" w:hangingChars="338"/>
              <w:rPr>
                <w:rFonts w:ascii="宋体" w:hAnsi="宋体" w:cs="宋体"/>
                <w:color w:val="000000"/>
                <w:szCs w:val="21"/>
              </w:rPr>
            </w:pPr>
            <w:r>
              <w:rPr>
                <w:rFonts w:hint="eastAsia" w:ascii="宋体" w:hAnsi="宋体" w:cs="宋体"/>
                <w:color w:val="000000"/>
                <w:szCs w:val="21"/>
              </w:rPr>
              <w:t>4.7.2. 应针对顾客的要求及产品的符合性对其提供保护，应包括标识、搬运、包装、贮存和保护等。</w:t>
            </w:r>
          </w:p>
          <w:p>
            <w:pPr>
              <w:spacing w:line="320" w:lineRule="exact"/>
              <w:rPr>
                <w:rFonts w:ascii="宋体" w:hAnsi="宋体" w:cs="宋体"/>
                <w:szCs w:val="21"/>
              </w:rPr>
            </w:pPr>
            <w:r>
              <w:rPr>
                <w:rFonts w:hint="eastAsia" w:ascii="宋体" w:hAnsi="宋体" w:cs="宋体"/>
                <w:color w:val="000000"/>
                <w:szCs w:val="21"/>
              </w:rPr>
              <w:t>4.7.3. 按顾客要求和公司规定的要求，仓库应做好产品的防护标识，防护标识可包括发货标识，运输标识，请勿倒置标识等。</w:t>
            </w:r>
          </w:p>
          <w:p>
            <w:pPr>
              <w:spacing w:line="320" w:lineRule="exact"/>
              <w:rPr>
                <w:rFonts w:ascii="宋体" w:hAnsi="宋体" w:cs="宋体"/>
                <w:color w:val="000000"/>
                <w:szCs w:val="21"/>
              </w:rPr>
            </w:pPr>
            <w:r>
              <w:rPr>
                <w:rFonts w:hint="eastAsia" w:ascii="宋体" w:hAnsi="宋体" w:cs="宋体"/>
                <w:color w:val="000000"/>
                <w:szCs w:val="21"/>
              </w:rPr>
              <w:t>4.7.4. 产品搬运的控制</w:t>
            </w:r>
          </w:p>
          <w:p>
            <w:pPr>
              <w:spacing w:line="320" w:lineRule="exact"/>
              <w:rPr>
                <w:rFonts w:ascii="宋体" w:hAnsi="宋体" w:cs="宋体"/>
                <w:color w:val="000000"/>
                <w:szCs w:val="21"/>
              </w:rPr>
            </w:pPr>
            <w:r>
              <w:rPr>
                <w:rFonts w:hint="eastAsia" w:ascii="宋体" w:hAnsi="宋体" w:cs="宋体"/>
                <w:color w:val="000000"/>
                <w:szCs w:val="21"/>
              </w:rPr>
              <w:t>产品所在现场的负责人应根据产品的特点，应配置适宜的搬运工具，规定合理的搬运方法，应考虑：</w:t>
            </w:r>
          </w:p>
          <w:p>
            <w:pPr>
              <w:spacing w:line="320" w:lineRule="exact"/>
              <w:rPr>
                <w:rFonts w:ascii="宋体" w:hAnsi="宋体" w:cs="宋体"/>
                <w:color w:val="000000"/>
                <w:szCs w:val="21"/>
              </w:rPr>
            </w:pPr>
            <w:r>
              <w:rPr>
                <w:rFonts w:hint="eastAsia" w:ascii="宋体" w:hAnsi="宋体" w:cs="宋体"/>
                <w:color w:val="000000"/>
                <w:szCs w:val="21"/>
              </w:rPr>
              <w:t>a)不得破坏外观，防止跌落磕碰，挤压；</w:t>
            </w:r>
          </w:p>
          <w:p>
            <w:pPr>
              <w:spacing w:line="320" w:lineRule="exact"/>
              <w:rPr>
                <w:rFonts w:ascii="宋体" w:hAnsi="宋体" w:cs="宋体"/>
                <w:color w:val="000000"/>
                <w:szCs w:val="21"/>
              </w:rPr>
            </w:pPr>
            <w:r>
              <w:rPr>
                <w:rFonts w:hint="eastAsia" w:ascii="宋体" w:hAnsi="宋体" w:cs="宋体"/>
                <w:color w:val="000000"/>
                <w:szCs w:val="21"/>
              </w:rPr>
              <w:t>b)应按照规定的要求进行搬运，保持搬运通道畅通，搬运过程中注意保护好产品，防止丢失和损坏。</w:t>
            </w:r>
          </w:p>
          <w:p>
            <w:pPr>
              <w:spacing w:line="320" w:lineRule="exact"/>
              <w:rPr>
                <w:rFonts w:ascii="宋体" w:hAnsi="宋体" w:cs="宋体"/>
                <w:color w:val="000000"/>
                <w:szCs w:val="21"/>
              </w:rPr>
            </w:pPr>
            <w:r>
              <w:rPr>
                <w:rFonts w:hint="eastAsia" w:ascii="宋体" w:hAnsi="宋体" w:cs="宋体"/>
                <w:color w:val="000000"/>
                <w:szCs w:val="21"/>
              </w:rPr>
              <w:t>4.7.5. 包装控制</w:t>
            </w:r>
          </w:p>
          <w:p>
            <w:pPr>
              <w:spacing w:line="320" w:lineRule="exact"/>
              <w:rPr>
                <w:rFonts w:ascii="宋体" w:hAnsi="宋体" w:cs="宋体"/>
                <w:color w:val="000000"/>
                <w:szCs w:val="21"/>
              </w:rPr>
            </w:pPr>
            <w:r>
              <w:rPr>
                <w:rFonts w:hint="eastAsia" w:ascii="宋体" w:hAnsi="宋体" w:cs="宋体"/>
                <w:color w:val="000000"/>
                <w:szCs w:val="21"/>
              </w:rPr>
              <w:t>生产车间应确定产品的包装材料，由回收利用部采购。对成品检验合格的产品，按《包装工艺》要求进行包装，确保包装整齐，牢靠，包装后应对产品进行必要的标识。</w:t>
            </w:r>
          </w:p>
          <w:p>
            <w:pPr>
              <w:spacing w:line="320" w:lineRule="exact"/>
              <w:rPr>
                <w:rFonts w:ascii="宋体" w:hAnsi="宋体" w:cs="宋体"/>
                <w:color w:val="000000"/>
                <w:szCs w:val="21"/>
              </w:rPr>
            </w:pPr>
            <w:r>
              <w:rPr>
                <w:rFonts w:hint="eastAsia" w:ascii="宋体" w:hAnsi="宋体" w:cs="宋体"/>
                <w:color w:val="000000"/>
                <w:szCs w:val="21"/>
              </w:rPr>
              <w:t>4.7.6. 贮存控制</w:t>
            </w:r>
          </w:p>
          <w:p>
            <w:pPr>
              <w:spacing w:line="320" w:lineRule="exact"/>
              <w:rPr>
                <w:rFonts w:ascii="宋体" w:hAnsi="宋体" w:cs="宋体"/>
                <w:color w:val="000000"/>
                <w:szCs w:val="21"/>
              </w:rPr>
            </w:pPr>
            <w:r>
              <w:rPr>
                <w:rFonts w:hint="eastAsia" w:ascii="宋体" w:hAnsi="宋体" w:cs="宋体"/>
                <w:color w:val="000000"/>
                <w:szCs w:val="21"/>
              </w:rPr>
              <w:t>a）仓库应编制《仓库管理制度》，规范仓库管理，分类储存，分区堆放或分批次等，按规定码放，对有贮存期限要求的物品，应保证先入先出。</w:t>
            </w:r>
          </w:p>
          <w:p>
            <w:pPr>
              <w:spacing w:line="320" w:lineRule="exact"/>
              <w:rPr>
                <w:rFonts w:ascii="宋体" w:hAnsi="宋体" w:cs="宋体"/>
                <w:color w:val="000000"/>
                <w:szCs w:val="21"/>
              </w:rPr>
            </w:pPr>
            <w:r>
              <w:rPr>
                <w:rFonts w:hint="eastAsia" w:ascii="宋体" w:hAnsi="宋体" w:cs="宋体"/>
                <w:color w:val="000000"/>
                <w:szCs w:val="21"/>
              </w:rPr>
              <w:t>b）仓库应配置适当的消防器材，通风设备，对产品采取适当的保护盒隔离措施，以保持安全适宜的贮存环境。</w:t>
            </w:r>
          </w:p>
          <w:p>
            <w:pPr>
              <w:spacing w:line="320" w:lineRule="exact"/>
              <w:rPr>
                <w:rFonts w:ascii="宋体" w:hAnsi="宋体" w:cs="宋体"/>
                <w:color w:val="000000"/>
                <w:szCs w:val="21"/>
              </w:rPr>
            </w:pPr>
            <w:r>
              <w:rPr>
                <w:rFonts w:hint="eastAsia" w:ascii="宋体" w:hAnsi="宋体" w:cs="宋体"/>
                <w:color w:val="000000"/>
                <w:szCs w:val="21"/>
              </w:rPr>
              <w:t>c）所有贮存物品应建立物资标识卡和物资台账，对进出库的材料、零部件产品领用和使用应按照规定办理好相应手续，并做好检验和试验。仓库应定期做好账务清理，保持帐、卡、物相一致；仓库人员应经常查看库存物品，发现异常应及时通知相关部门处理。对材料、零部件的领用和使用控制，执行《材料、零部件存放和防护管理办法》。</w:t>
            </w:r>
          </w:p>
          <w:p>
            <w:pPr>
              <w:spacing w:line="320" w:lineRule="exact"/>
              <w:rPr>
                <w:rFonts w:ascii="宋体" w:hAnsi="宋体" w:cs="宋体"/>
                <w:color w:val="000000"/>
                <w:szCs w:val="21"/>
              </w:rPr>
            </w:pPr>
            <w:r>
              <w:rPr>
                <w:rFonts w:hint="eastAsia" w:ascii="宋体" w:hAnsi="宋体" w:cs="宋体"/>
                <w:color w:val="000000"/>
                <w:szCs w:val="21"/>
              </w:rPr>
              <w:t>d）对危险物品应进行特别管理，防止伤人或污染环境。</w:t>
            </w:r>
          </w:p>
          <w:p>
            <w:pPr>
              <w:spacing w:line="320" w:lineRule="exact"/>
              <w:rPr>
                <w:rFonts w:ascii="宋体" w:hAnsi="宋体" w:cs="宋体"/>
                <w:color w:val="000000"/>
                <w:szCs w:val="21"/>
              </w:rPr>
            </w:pPr>
            <w:r>
              <w:rPr>
                <w:rFonts w:hint="eastAsia" w:ascii="宋体" w:hAnsi="宋体" w:cs="宋体"/>
                <w:color w:val="000000"/>
                <w:szCs w:val="21"/>
              </w:rPr>
              <w:t>4.7.7. 产品的交付</w:t>
            </w:r>
          </w:p>
          <w:p>
            <w:pPr>
              <w:spacing w:line="320" w:lineRule="exact"/>
              <w:ind w:left="920" w:hanging="919" w:hangingChars="438"/>
              <w:rPr>
                <w:rFonts w:ascii="宋体" w:hAnsi="宋体" w:cs="宋体"/>
                <w:color w:val="000000"/>
                <w:szCs w:val="21"/>
              </w:rPr>
            </w:pPr>
            <w:r>
              <w:rPr>
                <w:rFonts w:hint="eastAsia" w:ascii="宋体" w:hAnsi="宋体" w:cs="宋体"/>
                <w:color w:val="000000"/>
                <w:szCs w:val="21"/>
              </w:rPr>
              <w:t>4.7.7.1. 回收利用部门负责产品交付工作，包括提供必要的运输服务。确保运输过程中的产品质量。</w:t>
            </w:r>
          </w:p>
          <w:p>
            <w:pPr>
              <w:spacing w:line="320" w:lineRule="exact"/>
              <w:rPr>
                <w:rFonts w:ascii="宋体" w:hAnsi="宋体" w:cs="宋体"/>
                <w:color w:val="000000"/>
                <w:szCs w:val="21"/>
              </w:rPr>
            </w:pPr>
            <w:r>
              <w:rPr>
                <w:rFonts w:hint="eastAsia" w:ascii="宋体" w:hAnsi="宋体" w:cs="宋体"/>
                <w:color w:val="000000"/>
                <w:szCs w:val="21"/>
              </w:rPr>
              <w:t>4.7.7.2. 当合同要求时，对产品的保护要延续到交付的目的地。</w:t>
            </w:r>
          </w:p>
          <w:p>
            <w:pPr>
              <w:spacing w:line="320" w:lineRule="exact"/>
              <w:rPr>
                <w:rFonts w:ascii="宋体" w:hAnsi="宋体" w:cs="宋体"/>
                <w:color w:val="000000"/>
                <w:szCs w:val="21"/>
              </w:rPr>
            </w:pPr>
            <w:r>
              <w:rPr>
                <w:rFonts w:hint="eastAsia" w:ascii="宋体" w:hAnsi="宋体" w:cs="宋体"/>
                <w:color w:val="000000"/>
                <w:szCs w:val="21"/>
              </w:rPr>
              <w:t>4.8. 材料代用，包括代用的基本要求及代用范围、代用的审批、代用的检验试验等，执行《材料代用管理办法》。</w:t>
            </w:r>
          </w:p>
          <w:p>
            <w:pPr>
              <w:spacing w:line="320" w:lineRule="exact"/>
              <w:rPr>
                <w:rFonts w:ascii="宋体" w:hAnsi="宋体" w:cs="宋体"/>
                <w:color w:val="000000"/>
                <w:szCs w:val="21"/>
              </w:rPr>
            </w:pPr>
            <w:r>
              <w:rPr>
                <w:rFonts w:hint="eastAsia" w:ascii="宋体" w:hAnsi="宋体" w:cs="宋体"/>
                <w:color w:val="000000"/>
                <w:szCs w:val="21"/>
              </w:rPr>
              <w:t>4.9. 产品交付后的活动</w:t>
            </w:r>
          </w:p>
          <w:p>
            <w:pPr>
              <w:spacing w:line="320" w:lineRule="exact"/>
              <w:rPr>
                <w:rFonts w:ascii="宋体" w:hAnsi="宋体" w:cs="宋体"/>
                <w:color w:val="000000"/>
                <w:szCs w:val="21"/>
              </w:rPr>
            </w:pPr>
            <w:r>
              <w:rPr>
                <w:rFonts w:hint="eastAsia" w:ascii="宋体" w:hAnsi="宋体" w:cs="宋体"/>
                <w:color w:val="000000"/>
                <w:szCs w:val="21"/>
              </w:rPr>
              <w:t>4.9.1. 回收利用部负责产品的售后服务工作。</w:t>
            </w:r>
          </w:p>
          <w:p>
            <w:pPr>
              <w:spacing w:line="320" w:lineRule="exact"/>
              <w:rPr>
                <w:rFonts w:ascii="宋体" w:hAnsi="宋体" w:cs="宋体"/>
                <w:color w:val="000000"/>
                <w:szCs w:val="21"/>
              </w:rPr>
            </w:pPr>
            <w:r>
              <w:rPr>
                <w:rFonts w:hint="eastAsia" w:ascii="宋体" w:hAnsi="宋体" w:cs="宋体"/>
                <w:color w:val="000000"/>
                <w:szCs w:val="21"/>
              </w:rPr>
              <w:t>a）负责组织、协调产品的现场服务工作；</w:t>
            </w:r>
          </w:p>
          <w:p>
            <w:pPr>
              <w:spacing w:line="320" w:lineRule="exact"/>
              <w:rPr>
                <w:rFonts w:ascii="宋体" w:hAnsi="宋体" w:cs="宋体"/>
                <w:color w:val="000000"/>
                <w:szCs w:val="21"/>
              </w:rPr>
            </w:pPr>
            <w:r>
              <w:rPr>
                <w:rFonts w:hint="eastAsia" w:ascii="宋体" w:hAnsi="宋体" w:cs="宋体"/>
                <w:color w:val="000000"/>
                <w:szCs w:val="21"/>
              </w:rPr>
              <w:t>b）负责与顾客联系，妥善处理顾客对产品质量的投诉，并保留记录。</w:t>
            </w:r>
          </w:p>
          <w:p>
            <w:pPr>
              <w:spacing w:line="320" w:lineRule="exact"/>
              <w:rPr>
                <w:rFonts w:ascii="宋体" w:hAnsi="宋体" w:cs="宋体"/>
                <w:color w:val="000000"/>
                <w:szCs w:val="21"/>
              </w:rPr>
            </w:pPr>
            <w:r>
              <w:rPr>
                <w:rFonts w:hint="eastAsia" w:ascii="宋体" w:hAnsi="宋体" w:cs="宋体"/>
                <w:color w:val="000000"/>
                <w:szCs w:val="21"/>
              </w:rPr>
              <w:t>c）负责建立顾客服务记录，详细记录服务项目名称、地址、现场联系人、服务内容，顾客的验收意见等。</w:t>
            </w:r>
          </w:p>
          <w:p>
            <w:pPr>
              <w:spacing w:line="320" w:lineRule="exact"/>
              <w:rPr>
                <w:rFonts w:ascii="宋体" w:hAnsi="宋体" w:cs="宋体"/>
                <w:color w:val="000000"/>
                <w:szCs w:val="21"/>
              </w:rPr>
            </w:pPr>
            <w:r>
              <w:rPr>
                <w:rFonts w:hint="eastAsia" w:ascii="宋体" w:hAnsi="宋体" w:cs="宋体"/>
                <w:color w:val="000000"/>
                <w:szCs w:val="21"/>
              </w:rPr>
              <w:t>4.9.2. 回收利用部负责与顾客有关的工作</w:t>
            </w:r>
          </w:p>
          <w:p>
            <w:pPr>
              <w:spacing w:line="320" w:lineRule="exact"/>
              <w:rPr>
                <w:rFonts w:ascii="宋体" w:hAnsi="宋体" w:cs="宋体"/>
                <w:color w:val="000000"/>
                <w:szCs w:val="21"/>
              </w:rPr>
            </w:pPr>
            <w:r>
              <w:rPr>
                <w:rFonts w:hint="eastAsia" w:ascii="宋体" w:hAnsi="宋体" w:cs="宋体"/>
                <w:color w:val="000000"/>
                <w:szCs w:val="21"/>
              </w:rPr>
              <w:t>a）负责对顾客满意程度进行测量，确定顾客的要求和潜在要求。</w:t>
            </w:r>
          </w:p>
          <w:p>
            <w:pPr>
              <w:spacing w:line="320" w:lineRule="exact"/>
              <w:rPr>
                <w:rFonts w:ascii="宋体" w:hAnsi="宋体" w:cs="宋体"/>
                <w:color w:val="000000"/>
                <w:szCs w:val="21"/>
              </w:rPr>
            </w:pPr>
            <w:r>
              <w:rPr>
                <w:rFonts w:hint="eastAsia" w:ascii="宋体" w:hAnsi="宋体" w:cs="宋体"/>
                <w:color w:val="000000"/>
                <w:szCs w:val="21"/>
              </w:rPr>
              <w:t>b）建立顾客档案，详细记录其名称、地址、电话、联系人及订购每批产品的型号、规格和数量。</w:t>
            </w:r>
          </w:p>
          <w:p>
            <w:pPr>
              <w:spacing w:line="320" w:lineRule="exact"/>
              <w:rPr>
                <w:rFonts w:ascii="宋体" w:hAnsi="宋体" w:cs="宋体"/>
                <w:color w:val="000000"/>
                <w:szCs w:val="21"/>
              </w:rPr>
            </w:pPr>
            <w:r>
              <w:rPr>
                <w:rFonts w:hint="eastAsia" w:ascii="宋体" w:hAnsi="宋体" w:cs="宋体"/>
                <w:color w:val="000000"/>
                <w:szCs w:val="21"/>
              </w:rPr>
              <w:t>c）主动向顾客介绍本公司产品，解答顾客提问，对掌握的市场动态和顾客需求的动向及时反馈。</w:t>
            </w:r>
          </w:p>
          <w:p>
            <w:pPr>
              <w:spacing w:line="320" w:lineRule="exact"/>
              <w:ind w:left="735" w:hanging="735" w:hangingChars="350"/>
              <w:rPr>
                <w:rFonts w:ascii="宋体" w:hAnsi="宋体" w:cs="宋体"/>
                <w:color w:val="000000"/>
                <w:szCs w:val="21"/>
              </w:rPr>
            </w:pPr>
            <w:r>
              <w:rPr>
                <w:rFonts w:hint="eastAsia" w:ascii="宋体" w:hAnsi="宋体" w:cs="宋体"/>
                <w:color w:val="000000"/>
                <w:szCs w:val="21"/>
              </w:rPr>
              <w:t>4.9.3. 对顾客面谈、信函、电话、传真等方式的咨询，由回收利用部进行解答，并做好相关记录。</w:t>
            </w:r>
          </w:p>
          <w:p>
            <w:pPr>
              <w:spacing w:line="320" w:lineRule="exact"/>
              <w:rPr>
                <w:rFonts w:ascii="宋体" w:hAnsi="宋体" w:cs="宋体"/>
                <w:color w:val="000000"/>
                <w:szCs w:val="21"/>
              </w:rPr>
            </w:pPr>
            <w:r>
              <w:rPr>
                <w:rFonts w:hint="eastAsia" w:ascii="宋体" w:hAnsi="宋体" w:cs="宋体"/>
                <w:color w:val="000000"/>
                <w:szCs w:val="21"/>
              </w:rPr>
              <w:t>5. 相关文件</w:t>
            </w:r>
          </w:p>
          <w:p>
            <w:pPr>
              <w:spacing w:line="320" w:lineRule="exact"/>
              <w:jc w:val="left"/>
              <w:rPr>
                <w:rFonts w:ascii="宋体" w:hAnsi="宋体"/>
                <w:szCs w:val="21"/>
              </w:rPr>
            </w:pPr>
            <w:r>
              <w:rPr>
                <w:rFonts w:hint="eastAsia" w:ascii="宋体" w:hAnsi="宋体"/>
                <w:szCs w:val="21"/>
              </w:rPr>
              <w:t>6.1合同评审控制程序</w:t>
            </w:r>
          </w:p>
          <w:p>
            <w:pPr>
              <w:spacing w:line="320" w:lineRule="exact"/>
              <w:jc w:val="left"/>
              <w:rPr>
                <w:rFonts w:ascii="宋体" w:hAnsi="宋体"/>
                <w:szCs w:val="21"/>
              </w:rPr>
            </w:pPr>
            <w:r>
              <w:rPr>
                <w:rFonts w:hint="eastAsia" w:ascii="宋体" w:hAnsi="宋体"/>
                <w:szCs w:val="21"/>
              </w:rPr>
              <w:t>6.2记录控制程序</w:t>
            </w:r>
          </w:p>
          <w:p>
            <w:pPr>
              <w:spacing w:line="320" w:lineRule="exact"/>
              <w:jc w:val="left"/>
              <w:rPr>
                <w:rFonts w:ascii="宋体" w:hAnsi="宋体"/>
                <w:szCs w:val="21"/>
              </w:rPr>
            </w:pPr>
            <w:r>
              <w:rPr>
                <w:rFonts w:hint="eastAsia" w:ascii="宋体" w:hAnsi="宋体"/>
                <w:szCs w:val="21"/>
              </w:rPr>
              <w:t xml:space="preserve">7、记录                  </w:t>
            </w:r>
            <w:r>
              <w:rPr>
                <w:rFonts w:ascii="宋体" w:hAnsi="宋体"/>
                <w:szCs w:val="21"/>
              </w:rPr>
              <w:t xml:space="preserve">  </w:t>
            </w:r>
            <w:r>
              <w:rPr>
                <w:rFonts w:hint="eastAsia" w:ascii="宋体" w:hAnsi="宋体"/>
                <w:szCs w:val="21"/>
              </w:rPr>
              <w:t xml:space="preserve"> 编号           版本          保存期限</w:t>
            </w:r>
          </w:p>
          <w:p>
            <w:pPr>
              <w:spacing w:line="320" w:lineRule="exact"/>
              <w:jc w:val="left"/>
              <w:rPr>
                <w:rFonts w:ascii="宋体" w:hAnsi="宋体"/>
                <w:szCs w:val="21"/>
              </w:rPr>
            </w:pPr>
            <w:r>
              <w:rPr>
                <w:rFonts w:hint="eastAsia" w:ascii="宋体" w:hAnsi="宋体"/>
                <w:szCs w:val="21"/>
              </w:rPr>
              <w:t xml:space="preserve">7.1月份生产计划          </w:t>
            </w:r>
            <w:r>
              <w:rPr>
                <w:rFonts w:ascii="宋体" w:hAnsi="宋体"/>
                <w:szCs w:val="21"/>
              </w:rPr>
              <w:t xml:space="preserve">  </w:t>
            </w:r>
            <w:r>
              <w:rPr>
                <w:rFonts w:hint="eastAsia" w:ascii="宋体" w:hAnsi="宋体"/>
                <w:szCs w:val="21"/>
              </w:rPr>
              <w:t xml:space="preserve"> LQY-P-11-01          01            一年</w:t>
            </w:r>
          </w:p>
          <w:p>
            <w:pPr>
              <w:spacing w:line="320" w:lineRule="exact"/>
              <w:jc w:val="left"/>
              <w:rPr>
                <w:rFonts w:ascii="宋体" w:hAnsi="宋体"/>
                <w:szCs w:val="21"/>
              </w:rPr>
            </w:pPr>
            <w:r>
              <w:rPr>
                <w:rFonts w:hint="eastAsia" w:ascii="宋体" w:hAnsi="宋体"/>
                <w:szCs w:val="21"/>
              </w:rPr>
              <w:t xml:space="preserve">7.2生产统计月报表         </w:t>
            </w:r>
            <w:r>
              <w:rPr>
                <w:rFonts w:ascii="宋体" w:hAnsi="宋体"/>
                <w:szCs w:val="21"/>
              </w:rPr>
              <w:t xml:space="preserve">  </w:t>
            </w:r>
            <w:r>
              <w:rPr>
                <w:rFonts w:hint="eastAsia" w:ascii="宋体" w:hAnsi="宋体"/>
                <w:szCs w:val="21"/>
              </w:rPr>
              <w:t>LQY-P-11-02          01            一年</w:t>
            </w:r>
          </w:p>
          <w:p>
            <w:pPr>
              <w:spacing w:line="320" w:lineRule="exact"/>
              <w:jc w:val="left"/>
              <w:rPr>
                <w:rFonts w:ascii="宋体" w:hAnsi="宋体"/>
                <w:szCs w:val="21"/>
              </w:rPr>
            </w:pPr>
            <w:r>
              <w:rPr>
                <w:rFonts w:hint="eastAsia" w:ascii="宋体" w:hAnsi="宋体"/>
                <w:szCs w:val="21"/>
              </w:rPr>
              <w:t xml:space="preserve">7.3合同更改通知单         </w:t>
            </w:r>
            <w:r>
              <w:rPr>
                <w:rFonts w:ascii="宋体" w:hAnsi="宋体"/>
                <w:szCs w:val="21"/>
              </w:rPr>
              <w:t xml:space="preserve">  </w:t>
            </w:r>
            <w:r>
              <w:rPr>
                <w:rFonts w:hint="eastAsia" w:ascii="宋体" w:hAnsi="宋体"/>
                <w:szCs w:val="21"/>
              </w:rPr>
              <w:t>LQY-P-11-03          01            一年</w:t>
            </w:r>
          </w:p>
          <w:p>
            <w:pPr>
              <w:spacing w:line="320" w:lineRule="exact"/>
              <w:jc w:val="left"/>
              <w:rPr>
                <w:rFonts w:ascii="宋体" w:hAnsi="宋体"/>
                <w:szCs w:val="21"/>
              </w:rPr>
            </w:pPr>
            <w:r>
              <w:rPr>
                <w:rFonts w:hint="eastAsia" w:ascii="宋体" w:hAnsi="宋体"/>
                <w:szCs w:val="21"/>
              </w:rPr>
              <w:t xml:space="preserve">7.4生产计划完成情况汇总表 </w:t>
            </w:r>
            <w:r>
              <w:rPr>
                <w:rFonts w:ascii="宋体" w:hAnsi="宋体"/>
                <w:szCs w:val="21"/>
              </w:rPr>
              <w:t xml:space="preserve">  </w:t>
            </w:r>
            <w:r>
              <w:rPr>
                <w:rFonts w:hint="eastAsia" w:ascii="宋体" w:hAnsi="宋体"/>
                <w:szCs w:val="21"/>
              </w:rPr>
              <w:t>LQY-P-11-04          01            一年</w:t>
            </w:r>
          </w:p>
          <w:p>
            <w:pPr>
              <w:spacing w:line="320" w:lineRule="exact"/>
              <w:jc w:val="left"/>
              <w:rPr>
                <w:rFonts w:ascii="宋体" w:hAnsi="宋体"/>
                <w:szCs w:val="21"/>
              </w:rPr>
            </w:pPr>
          </w:p>
          <w:p>
            <w:pPr>
              <w:spacing w:line="320" w:lineRule="exact"/>
              <w:jc w:val="left"/>
              <w:rPr>
                <w:rFonts w:ascii="宋体" w:hAnsi="宋体"/>
                <w:szCs w:val="21"/>
              </w:rPr>
            </w:pPr>
          </w:p>
        </w:tc>
      </w:tr>
    </w:tbl>
    <w:p/>
    <w:p/>
    <w:p/>
    <w:p/>
    <w:p/>
    <w:p/>
    <w:p/>
    <w:p/>
    <w:p/>
    <w:p/>
    <w:tbl>
      <w:tblPr>
        <w:tblStyle w:val="9"/>
        <w:tblW w:w="10324"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7"/>
        <w:gridCol w:w="2551"/>
        <w:gridCol w:w="2421"/>
        <w:gridCol w:w="1953"/>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337" w:type="dxa"/>
            <w:vMerge w:val="restart"/>
          </w:tcPr>
          <w:p/>
        </w:tc>
        <w:tc>
          <w:tcPr>
            <w:tcW w:w="2551" w:type="dxa"/>
            <w:vAlign w:val="center"/>
          </w:tcPr>
          <w:p>
            <w:pPr>
              <w:jc w:val="center"/>
              <w:rPr>
                <w:rFonts w:ascii="宋体"/>
                <w:b/>
                <w:sz w:val="28"/>
              </w:rPr>
            </w:pPr>
            <w:r>
              <w:rPr>
                <w:rFonts w:hint="eastAsia" w:ascii="宋体"/>
                <w:b/>
                <w:sz w:val="28"/>
              </w:rPr>
              <w:t>文件名称</w:t>
            </w:r>
          </w:p>
        </w:tc>
        <w:tc>
          <w:tcPr>
            <w:tcW w:w="2421" w:type="dxa"/>
            <w:vAlign w:val="center"/>
          </w:tcPr>
          <w:p>
            <w:pPr>
              <w:jc w:val="center"/>
              <w:rPr>
                <w:rFonts w:ascii="宋体"/>
                <w:b/>
                <w:sz w:val="28"/>
              </w:rPr>
            </w:pPr>
            <w:r>
              <w:rPr>
                <w:rFonts w:hint="eastAsia" w:ascii="宋体"/>
                <w:b/>
                <w:sz w:val="28"/>
              </w:rPr>
              <w:t>工序控制程序</w:t>
            </w:r>
          </w:p>
        </w:tc>
        <w:tc>
          <w:tcPr>
            <w:tcW w:w="1953" w:type="dxa"/>
            <w:vAlign w:val="center"/>
          </w:tcPr>
          <w:p>
            <w:pPr>
              <w:jc w:val="center"/>
              <w:rPr>
                <w:rFonts w:ascii="宋体"/>
                <w:b/>
                <w:sz w:val="28"/>
              </w:rPr>
            </w:pPr>
            <w:r>
              <w:rPr>
                <w:rFonts w:hint="eastAsia" w:ascii="宋体"/>
                <w:b/>
                <w:sz w:val="28"/>
              </w:rPr>
              <w:t>版次</w:t>
            </w:r>
          </w:p>
        </w:tc>
        <w:tc>
          <w:tcPr>
            <w:tcW w:w="1062" w:type="dxa"/>
            <w:vAlign w:val="center"/>
          </w:tcPr>
          <w:p>
            <w:pPr>
              <w:jc w:val="center"/>
              <w:rPr>
                <w:rFonts w:ascii="宋体"/>
                <w:b/>
                <w:sz w:val="28"/>
              </w:rPr>
            </w:pPr>
            <w:r>
              <w:rPr>
                <w:rFonts w:hint="eastAsia" w:ascii="宋体"/>
                <w:b/>
                <w:sz w:val="2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337" w:type="dxa"/>
            <w:vMerge w:val="continue"/>
          </w:tcPr>
          <w:p>
            <w:pPr>
              <w:spacing w:line="400" w:lineRule="exact"/>
              <w:jc w:val="center"/>
              <w:rPr>
                <w:rFonts w:eastAsia="黑体"/>
                <w:b/>
                <w:sz w:val="36"/>
              </w:rPr>
            </w:pPr>
          </w:p>
        </w:tc>
        <w:tc>
          <w:tcPr>
            <w:tcW w:w="2551" w:type="dxa"/>
            <w:vAlign w:val="center"/>
          </w:tcPr>
          <w:p>
            <w:pPr>
              <w:spacing w:line="400" w:lineRule="exact"/>
              <w:jc w:val="center"/>
              <w:rPr>
                <w:rFonts w:ascii="宋体"/>
                <w:b/>
                <w:sz w:val="28"/>
              </w:rPr>
            </w:pPr>
            <w:r>
              <w:rPr>
                <w:rFonts w:hint="eastAsia" w:ascii="宋体"/>
                <w:b/>
                <w:sz w:val="28"/>
              </w:rPr>
              <w:t>文件编号</w:t>
            </w:r>
          </w:p>
        </w:tc>
        <w:tc>
          <w:tcPr>
            <w:tcW w:w="2421" w:type="dxa"/>
            <w:vAlign w:val="center"/>
          </w:tcPr>
          <w:p>
            <w:pPr>
              <w:spacing w:line="400" w:lineRule="exact"/>
              <w:jc w:val="center"/>
              <w:rPr>
                <w:rFonts w:ascii="宋体"/>
                <w:b/>
                <w:sz w:val="28"/>
              </w:rPr>
            </w:pPr>
            <w:r>
              <w:rPr>
                <w:rFonts w:hint="eastAsia" w:ascii="宋体"/>
                <w:b/>
                <w:sz w:val="28"/>
              </w:rPr>
              <w:t>LQY—P—17</w:t>
            </w:r>
          </w:p>
        </w:tc>
        <w:tc>
          <w:tcPr>
            <w:tcW w:w="1953" w:type="dxa"/>
            <w:vAlign w:val="center"/>
          </w:tcPr>
          <w:p>
            <w:pPr>
              <w:spacing w:line="400" w:lineRule="exact"/>
              <w:jc w:val="center"/>
              <w:rPr>
                <w:rFonts w:ascii="宋体"/>
                <w:b/>
                <w:sz w:val="28"/>
              </w:rPr>
            </w:pPr>
            <w:r>
              <w:rPr>
                <w:rFonts w:hint="eastAsia" w:ascii="宋体"/>
                <w:b/>
                <w:sz w:val="28"/>
              </w:rPr>
              <w:t>修改状态</w:t>
            </w:r>
          </w:p>
        </w:tc>
        <w:tc>
          <w:tcPr>
            <w:tcW w:w="1062" w:type="dxa"/>
            <w:vAlign w:val="center"/>
          </w:tcPr>
          <w:p>
            <w:pPr>
              <w:spacing w:line="400" w:lineRule="exact"/>
              <w:jc w:val="center"/>
              <w:rPr>
                <w:rFonts w:ascii="宋体"/>
                <w:b/>
                <w:sz w:val="28"/>
              </w:rPr>
            </w:pPr>
            <w:r>
              <w:rPr>
                <w:rFonts w:hint="eastAsia" w:ascii="宋体"/>
                <w:b/>
                <w:sz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5" w:hRule="atLeast"/>
        </w:trPr>
        <w:tc>
          <w:tcPr>
            <w:tcW w:w="10324" w:type="dxa"/>
            <w:gridSpan w:val="5"/>
          </w:tcPr>
          <w:p>
            <w:pPr>
              <w:spacing w:line="360" w:lineRule="exact"/>
              <w:jc w:val="left"/>
            </w:pPr>
            <w:r>
              <w:rPr>
                <w:rFonts w:hint="eastAsia"/>
              </w:rPr>
              <w:t>1. 目的：</w:t>
            </w:r>
          </w:p>
          <w:p>
            <w:pPr>
              <w:spacing w:line="360" w:lineRule="exact"/>
              <w:jc w:val="left"/>
            </w:pPr>
            <w:r>
              <w:rPr>
                <w:rFonts w:hint="eastAsia"/>
              </w:rPr>
              <w:t>对生产过程所有影响产品质量的因素实施有效控制，满足规定要求。</w:t>
            </w:r>
          </w:p>
          <w:p>
            <w:pPr>
              <w:spacing w:line="360" w:lineRule="exact"/>
              <w:jc w:val="left"/>
            </w:pPr>
            <w:r>
              <w:rPr>
                <w:rFonts w:hint="eastAsia"/>
              </w:rPr>
              <w:t xml:space="preserve">2. 适应范围： </w:t>
            </w:r>
          </w:p>
          <w:p>
            <w:pPr>
              <w:spacing w:line="360" w:lineRule="exact"/>
              <w:jc w:val="left"/>
            </w:pPr>
            <w:r>
              <w:rPr>
                <w:rFonts w:hint="eastAsia"/>
              </w:rPr>
              <w:t xml:space="preserve"> 适用于公司产品生产全过程的质量控制。</w:t>
            </w:r>
          </w:p>
          <w:p>
            <w:pPr>
              <w:spacing w:line="360" w:lineRule="exact"/>
              <w:jc w:val="left"/>
            </w:pPr>
            <w:r>
              <w:rPr>
                <w:rFonts w:hint="eastAsia"/>
              </w:rPr>
              <w:t>3. 职责：</w:t>
            </w:r>
          </w:p>
          <w:p>
            <w:pPr>
              <w:spacing w:line="360" w:lineRule="exact"/>
              <w:jc w:val="left"/>
            </w:pPr>
            <w:r>
              <w:rPr>
                <w:rFonts w:hint="eastAsia"/>
              </w:rPr>
              <w:t>3.1 回收利用部对采购的原材料、外构件的质量负责。</w:t>
            </w:r>
          </w:p>
          <w:p>
            <w:pPr>
              <w:spacing w:line="360" w:lineRule="exact"/>
              <w:jc w:val="left"/>
            </w:pPr>
            <w:r>
              <w:rPr>
                <w:rFonts w:hint="eastAsia"/>
              </w:rPr>
              <w:t>3.2 生产车间门根据合同订单，负责下达月产量计划及生产进度统计。</w:t>
            </w:r>
          </w:p>
          <w:p>
            <w:pPr>
              <w:spacing w:line="360" w:lineRule="exact"/>
              <w:jc w:val="left"/>
            </w:pPr>
            <w:r>
              <w:rPr>
                <w:rFonts w:hint="eastAsia"/>
              </w:rPr>
              <w:t>3.3 生产车间负责全公司的技术管理，组织各厂技术人员进行技术文件的编制，确保生产现场使用的技术资料为有效版本。</w:t>
            </w:r>
          </w:p>
          <w:p>
            <w:pPr>
              <w:spacing w:line="360" w:lineRule="exact"/>
              <w:jc w:val="left"/>
            </w:pPr>
            <w:r>
              <w:rPr>
                <w:rFonts w:hint="eastAsia"/>
              </w:rPr>
              <w:t>3.4 生产车间负责全公司的设备动力管理，确保足够的生产能力。</w:t>
            </w:r>
          </w:p>
          <w:p>
            <w:pPr>
              <w:spacing w:line="360" w:lineRule="exact"/>
              <w:jc w:val="left"/>
            </w:pPr>
            <w:r>
              <w:rPr>
                <w:rFonts w:hint="eastAsia"/>
              </w:rPr>
              <w:t>3.5 生产车间负责检验、试验和测试设备的有效性与符合性。</w:t>
            </w:r>
          </w:p>
          <w:p>
            <w:pPr>
              <w:spacing w:line="360" w:lineRule="exact"/>
              <w:jc w:val="left"/>
            </w:pPr>
            <w:r>
              <w:rPr>
                <w:rFonts w:hint="eastAsia"/>
              </w:rPr>
              <w:t>3.6 综合部负责职工的培训工作。</w:t>
            </w:r>
          </w:p>
          <w:p>
            <w:pPr>
              <w:spacing w:line="360" w:lineRule="exact"/>
              <w:jc w:val="left"/>
            </w:pPr>
            <w:r>
              <w:rPr>
                <w:rFonts w:hint="eastAsia"/>
              </w:rPr>
              <w:t>3.7 综合部负责环境卫生、厂容厂貌、安全教育等。</w:t>
            </w:r>
          </w:p>
          <w:p>
            <w:pPr>
              <w:spacing w:line="360" w:lineRule="exact"/>
              <w:jc w:val="left"/>
            </w:pPr>
            <w:r>
              <w:rPr>
                <w:rFonts w:hint="eastAsia"/>
              </w:rPr>
              <w:t>4. 定义: 无</w:t>
            </w:r>
          </w:p>
          <w:p>
            <w:pPr>
              <w:spacing w:line="360" w:lineRule="exact"/>
              <w:jc w:val="left"/>
            </w:pPr>
            <w:r>
              <w:rPr>
                <w:rFonts w:hint="eastAsia"/>
              </w:rPr>
              <w:t>5.工作程序：</w:t>
            </w:r>
          </w:p>
          <w:p>
            <w:pPr>
              <w:spacing w:line="360" w:lineRule="exact"/>
              <w:jc w:val="left"/>
            </w:pPr>
            <w:r>
              <w:rPr>
                <w:rFonts w:hint="eastAsia"/>
              </w:rPr>
              <w:t>5.1 技术资料控制</w:t>
            </w:r>
          </w:p>
          <w:p>
            <w:pPr>
              <w:spacing w:line="360" w:lineRule="exact"/>
              <w:jc w:val="left"/>
            </w:pPr>
            <w:r>
              <w:rPr>
                <w:rFonts w:hint="eastAsia"/>
              </w:rPr>
              <w:t>5.1.1 生产车间负责产品图纸、工艺文件、作业指导书、检验指导书的指定，确保技术资料的完整性、统一性、正确性，并存档。</w:t>
            </w:r>
          </w:p>
          <w:p>
            <w:pPr>
              <w:spacing w:line="360" w:lineRule="exact"/>
              <w:jc w:val="left"/>
            </w:pPr>
            <w:r>
              <w:rPr>
                <w:rFonts w:hint="eastAsia"/>
              </w:rPr>
              <w:t>5.1.2 生产现场使用的必须是有效版本的技术资料。</w:t>
            </w:r>
          </w:p>
          <w:p>
            <w:pPr>
              <w:spacing w:line="360" w:lineRule="exact"/>
              <w:jc w:val="left"/>
            </w:pPr>
            <w:r>
              <w:rPr>
                <w:rFonts w:hint="eastAsia"/>
              </w:rPr>
              <w:t>5.1.3 各厂、车间、各部门对所有技术资料应建立台帐及办理文件领用登记手续。</w:t>
            </w:r>
          </w:p>
          <w:p>
            <w:pPr>
              <w:spacing w:line="360" w:lineRule="exact"/>
              <w:jc w:val="left"/>
            </w:pPr>
            <w:r>
              <w:rPr>
                <w:rFonts w:hint="eastAsia"/>
              </w:rPr>
              <w:t>5.1.4 顾客对产品的更改要求，必须按文件资料的更改程序执行。</w:t>
            </w:r>
          </w:p>
          <w:p>
            <w:pPr>
              <w:spacing w:line="360" w:lineRule="exact"/>
              <w:jc w:val="left"/>
            </w:pPr>
            <w:r>
              <w:rPr>
                <w:rFonts w:hint="eastAsia"/>
              </w:rPr>
              <w:t>5.2 操作和实验</w:t>
            </w:r>
          </w:p>
          <w:p>
            <w:pPr>
              <w:spacing w:line="360" w:lineRule="exact"/>
              <w:jc w:val="left"/>
            </w:pPr>
            <w:r>
              <w:rPr>
                <w:rFonts w:hint="eastAsia"/>
              </w:rPr>
              <w:t>5.2.1 操作者和质检员严格按技术标准加工和检验。</w:t>
            </w:r>
          </w:p>
          <w:p>
            <w:pPr>
              <w:spacing w:line="360" w:lineRule="exact"/>
              <w:jc w:val="left"/>
            </w:pPr>
            <w:r>
              <w:rPr>
                <w:rFonts w:hint="eastAsia"/>
              </w:rPr>
              <w:t>5.2.2 工艺参数出现异常或出现质量问题，及时报生产车间处理。</w:t>
            </w:r>
          </w:p>
          <w:p>
            <w:pPr>
              <w:spacing w:line="360" w:lineRule="exact"/>
              <w:jc w:val="left"/>
            </w:pPr>
            <w:r>
              <w:rPr>
                <w:rFonts w:hint="eastAsia"/>
              </w:rPr>
              <w:t>5.2.3 发现技术资料有问题，应及时找生产车间解决，不得私自更改。</w:t>
            </w:r>
          </w:p>
          <w:p>
            <w:pPr>
              <w:spacing w:line="360" w:lineRule="exact"/>
              <w:jc w:val="left"/>
            </w:pPr>
            <w:r>
              <w:rPr>
                <w:rFonts w:hint="eastAsia"/>
              </w:rPr>
              <w:t>5.3 原材料控制</w:t>
            </w:r>
          </w:p>
          <w:p>
            <w:pPr>
              <w:spacing w:line="360" w:lineRule="exact"/>
              <w:jc w:val="left"/>
            </w:pPr>
            <w:r>
              <w:rPr>
                <w:rFonts w:hint="eastAsia"/>
              </w:rPr>
              <w:t>5.3.1 原材料及外购外协件进厂，须经生产车间检验合格，确保其质量，才能进行加工和安装。</w:t>
            </w:r>
          </w:p>
          <w:p>
            <w:pPr>
              <w:spacing w:line="360" w:lineRule="exact"/>
              <w:jc w:val="left"/>
            </w:pPr>
            <w:r>
              <w:rPr>
                <w:rFonts w:hint="eastAsia"/>
              </w:rPr>
              <w:t>5.4 生产计划管理</w:t>
            </w:r>
          </w:p>
          <w:p>
            <w:pPr>
              <w:spacing w:line="360" w:lineRule="exact"/>
              <w:jc w:val="left"/>
            </w:pPr>
            <w:r>
              <w:rPr>
                <w:rFonts w:hint="eastAsia"/>
              </w:rPr>
              <w:t>5.4.1 公司生产车间根据公司所下达的产品计划及库存情况，编制分厂的生产计划，下达到各分厂。</w:t>
            </w:r>
          </w:p>
          <w:p>
            <w:pPr>
              <w:spacing w:line="360" w:lineRule="exact"/>
              <w:jc w:val="left"/>
            </w:pPr>
            <w:r>
              <w:rPr>
                <w:rFonts w:hint="eastAsia"/>
              </w:rPr>
              <w:t>5.4.2 生产车间要及时协调、解决生产中出现的有关问题，确保生产计划按时完成。</w:t>
            </w:r>
          </w:p>
          <w:p>
            <w:pPr>
              <w:spacing w:line="360" w:lineRule="exact"/>
              <w:jc w:val="left"/>
            </w:pPr>
            <w:r>
              <w:rPr>
                <w:rFonts w:hint="eastAsia"/>
              </w:rPr>
              <w:t>5.5 设备与工装控制</w:t>
            </w:r>
          </w:p>
          <w:p>
            <w:pPr>
              <w:spacing w:line="360" w:lineRule="exact"/>
              <w:jc w:val="left"/>
            </w:pPr>
            <w:r>
              <w:rPr>
                <w:rFonts w:hint="eastAsia"/>
              </w:rPr>
              <w:t>5.5.1 公司各厂的设备控制按《设备管理控制程序》执行。</w:t>
            </w:r>
          </w:p>
          <w:p>
            <w:pPr>
              <w:spacing w:line="360" w:lineRule="exact"/>
              <w:jc w:val="left"/>
            </w:pPr>
            <w:r>
              <w:rPr>
                <w:rFonts w:hint="eastAsia"/>
              </w:rPr>
              <w:t>5.5.2 工装模具进厂由生产车间进行验收，合格后使用。</w:t>
            </w:r>
          </w:p>
          <w:p>
            <w:pPr>
              <w:spacing w:line="360" w:lineRule="exact"/>
              <w:jc w:val="left"/>
            </w:pPr>
            <w:r>
              <w:rPr>
                <w:rFonts w:hint="eastAsia"/>
              </w:rPr>
              <w:t>5.5.3 设备、工装出现故障，及时标识和维修，重新检验合格后使用。设备、工装模具到报废期限时，报有关领导批准后办理报废。</w:t>
            </w:r>
          </w:p>
          <w:p>
            <w:pPr>
              <w:spacing w:line="360" w:lineRule="exact"/>
              <w:jc w:val="left"/>
            </w:pPr>
            <w:r>
              <w:rPr>
                <w:rFonts w:hint="eastAsia"/>
              </w:rPr>
              <w:t>5.5.4 公司及各厂、车间对计量器具、仪器仪表、试验设备要及时校验，确保其有效性。</w:t>
            </w:r>
          </w:p>
          <w:p>
            <w:pPr>
              <w:spacing w:line="360" w:lineRule="exact"/>
              <w:jc w:val="left"/>
            </w:pPr>
            <w:r>
              <w:rPr>
                <w:rFonts w:hint="eastAsia"/>
              </w:rPr>
              <w:t>5.6 人员培训</w:t>
            </w:r>
          </w:p>
          <w:p>
            <w:pPr>
              <w:spacing w:line="360" w:lineRule="exact"/>
              <w:jc w:val="left"/>
            </w:pPr>
            <w:r>
              <w:rPr>
                <w:rFonts w:hint="eastAsia"/>
              </w:rPr>
              <w:t>5.6.1 设备操作人员，必须经培训后上岗。</w:t>
            </w:r>
          </w:p>
          <w:p>
            <w:pPr>
              <w:spacing w:line="360" w:lineRule="exact"/>
              <w:jc w:val="left"/>
            </w:pPr>
            <w:r>
              <w:rPr>
                <w:rFonts w:hint="eastAsia"/>
              </w:rPr>
              <w:t>5.6.2 操作人员及检验员要熟悉了解所加工零部件的各项要求、工艺规程和作业指导书的内容。</w:t>
            </w:r>
          </w:p>
          <w:p>
            <w:pPr>
              <w:spacing w:line="360" w:lineRule="exact"/>
              <w:jc w:val="left"/>
            </w:pPr>
            <w:r>
              <w:rPr>
                <w:rFonts w:hint="eastAsia"/>
              </w:rPr>
              <w:t>5.7 产品标识和可追溯性控制</w:t>
            </w:r>
          </w:p>
          <w:p>
            <w:pPr>
              <w:spacing w:line="360" w:lineRule="exact"/>
              <w:jc w:val="left"/>
            </w:pPr>
            <w:r>
              <w:rPr>
                <w:rFonts w:hint="eastAsia"/>
              </w:rPr>
              <w:t>5.7.1 公司各厂、车间要按</w:t>
            </w:r>
            <w:bookmarkStart w:id="0" w:name="OLE_LINK1"/>
            <w:r>
              <w:rPr>
                <w:rFonts w:hint="eastAsia"/>
              </w:rPr>
              <w:t>《产品标识和可追溯性控制程序》</w:t>
            </w:r>
            <w:bookmarkEnd w:id="0"/>
            <w:r>
              <w:rPr>
                <w:rFonts w:hint="eastAsia"/>
              </w:rPr>
              <w:t>的规定对各车间的零部件、成品、半成品、不合格品、废品进行标识。</w:t>
            </w:r>
          </w:p>
          <w:p>
            <w:pPr>
              <w:spacing w:line="360" w:lineRule="exact"/>
              <w:jc w:val="left"/>
            </w:pPr>
            <w:r>
              <w:rPr>
                <w:rFonts w:hint="eastAsia"/>
              </w:rPr>
              <w:t>5.7.2 工序质检员对入库的成品、半成品、零部件按《产品标识和可追溯性控制程序》进行标识。</w:t>
            </w:r>
          </w:p>
          <w:p>
            <w:pPr>
              <w:spacing w:line="360" w:lineRule="exact"/>
              <w:jc w:val="left"/>
            </w:pPr>
            <w:r>
              <w:rPr>
                <w:rFonts w:hint="eastAsia"/>
              </w:rPr>
              <w:t>5.7.3 车间、仓库在周转存放中，要保护好各种标识，防止混料、混件。</w:t>
            </w:r>
          </w:p>
          <w:p>
            <w:pPr>
              <w:spacing w:line="360" w:lineRule="exact"/>
              <w:jc w:val="left"/>
            </w:pPr>
            <w:r>
              <w:rPr>
                <w:rFonts w:hint="eastAsia"/>
              </w:rPr>
              <w:t>5.8 工作环境</w:t>
            </w:r>
          </w:p>
          <w:p>
            <w:pPr>
              <w:spacing w:line="360" w:lineRule="exact"/>
              <w:jc w:val="left"/>
            </w:pPr>
            <w:r>
              <w:rPr>
                <w:rFonts w:hint="eastAsia"/>
              </w:rPr>
              <w:t>5.8.1 工作环境要满足于工艺、设备要求，确保人身安全，具有防止磕、碰、伤、锈的措施。</w:t>
            </w:r>
          </w:p>
          <w:p>
            <w:pPr>
              <w:spacing w:line="360" w:lineRule="exact"/>
              <w:jc w:val="left"/>
            </w:pPr>
            <w:r>
              <w:rPr>
                <w:rFonts w:hint="eastAsia"/>
              </w:rPr>
              <w:t>5.8.2 搞好文明生产，车间整洁，道路畅通，区域划分明确。</w:t>
            </w:r>
          </w:p>
          <w:p>
            <w:pPr>
              <w:spacing w:line="360" w:lineRule="exact"/>
              <w:jc w:val="left"/>
            </w:pPr>
            <w:r>
              <w:rPr>
                <w:rFonts w:hint="eastAsia"/>
              </w:rPr>
              <w:t>5.9 关键工序</w:t>
            </w:r>
          </w:p>
          <w:p>
            <w:pPr>
              <w:spacing w:line="360" w:lineRule="exact"/>
              <w:jc w:val="left"/>
            </w:pPr>
            <w:r>
              <w:rPr>
                <w:rFonts w:hint="eastAsia"/>
              </w:rPr>
              <w:t>5.9.1 影响产品性能、精度、寿命、可靠性、安全性的关键项目和部位，要建立关键工序（如塑料捏合、橡胶混炼等）作业指导书，并进行相应控制。</w:t>
            </w:r>
          </w:p>
          <w:p>
            <w:pPr>
              <w:spacing w:line="360" w:lineRule="exact"/>
              <w:jc w:val="left"/>
            </w:pPr>
            <w:r>
              <w:rPr>
                <w:rFonts w:hint="eastAsia"/>
              </w:rPr>
              <w:t>5.9.2 及时生产车间负责编制关键工序作业指导书。</w:t>
            </w:r>
          </w:p>
          <w:p>
            <w:pPr>
              <w:spacing w:line="360" w:lineRule="exact"/>
              <w:jc w:val="left"/>
            </w:pPr>
            <w:r>
              <w:rPr>
                <w:rFonts w:hint="eastAsia"/>
              </w:rPr>
              <w:t>5.9.3 质检员对关键工序中的检验做好记录。</w:t>
            </w:r>
          </w:p>
          <w:p>
            <w:pPr>
              <w:spacing w:line="360" w:lineRule="exact"/>
              <w:jc w:val="left"/>
            </w:pPr>
            <w:r>
              <w:rPr>
                <w:rFonts w:hint="eastAsia"/>
              </w:rPr>
              <w:t>5.10 特殊工序</w:t>
            </w:r>
          </w:p>
          <w:p>
            <w:pPr>
              <w:spacing w:line="360" w:lineRule="exact"/>
              <w:jc w:val="left"/>
            </w:pPr>
            <w:r>
              <w:rPr>
                <w:rFonts w:hint="eastAsia"/>
              </w:rPr>
              <w:t>5.10.1 特殊工序是指该工序的加工结果不能通过其后的产品检验和试验完全验证，其加工缺陷仅在后续工序才能暴露出来的工序，如焊接、电镀、喷涂等。</w:t>
            </w:r>
          </w:p>
          <w:p>
            <w:pPr>
              <w:spacing w:line="360" w:lineRule="exact"/>
              <w:jc w:val="left"/>
            </w:pPr>
            <w:r>
              <w:rPr>
                <w:rFonts w:hint="eastAsia"/>
              </w:rPr>
              <w:t>5.10.2 生产车间编制特殊工序的工艺规程、专业工艺守则等。</w:t>
            </w:r>
          </w:p>
          <w:p>
            <w:pPr>
              <w:spacing w:line="360" w:lineRule="exact"/>
              <w:jc w:val="left"/>
            </w:pPr>
            <w:r>
              <w:rPr>
                <w:rFonts w:hint="eastAsia"/>
              </w:rPr>
              <w:t>5.10.3 操作者按照特殊工艺规程和工艺守则操作。</w:t>
            </w:r>
          </w:p>
          <w:p>
            <w:pPr>
              <w:spacing w:line="360" w:lineRule="exact"/>
              <w:jc w:val="left"/>
            </w:pPr>
            <w:r>
              <w:rPr>
                <w:rFonts w:hint="eastAsia"/>
              </w:rPr>
              <w:t>5.10.4 检验员根据特殊工艺规程、工艺守则及检验卡进行检验。</w:t>
            </w:r>
          </w:p>
          <w:p>
            <w:pPr>
              <w:spacing w:line="360" w:lineRule="exact"/>
              <w:jc w:val="left"/>
            </w:pPr>
            <w:r>
              <w:rPr>
                <w:rFonts w:hint="eastAsia"/>
              </w:rPr>
              <w:t>5.10.5 特殊工序操作人员须经培训后上岗。</w:t>
            </w:r>
          </w:p>
          <w:p>
            <w:pPr>
              <w:spacing w:line="360" w:lineRule="exact"/>
              <w:jc w:val="left"/>
            </w:pPr>
            <w:r>
              <w:rPr>
                <w:rFonts w:hint="eastAsia"/>
              </w:rPr>
              <w:t>6. 相关/支持性文件</w:t>
            </w:r>
          </w:p>
          <w:p>
            <w:pPr>
              <w:spacing w:line="360" w:lineRule="exact"/>
              <w:jc w:val="left"/>
            </w:pPr>
            <w:r>
              <w:rPr>
                <w:rFonts w:hint="eastAsia"/>
              </w:rPr>
              <w:t>6.1 供方管理控制程序</w:t>
            </w:r>
          </w:p>
          <w:p>
            <w:pPr>
              <w:spacing w:line="360" w:lineRule="exact"/>
              <w:jc w:val="left"/>
            </w:pPr>
            <w:r>
              <w:rPr>
                <w:rFonts w:hint="eastAsia"/>
              </w:rPr>
              <w:t>6.2 采购控制程序</w:t>
            </w:r>
          </w:p>
          <w:p>
            <w:pPr>
              <w:spacing w:line="360" w:lineRule="exact"/>
              <w:jc w:val="left"/>
            </w:pPr>
            <w:r>
              <w:rPr>
                <w:rFonts w:hint="eastAsia"/>
              </w:rPr>
              <w:t>6.3 生产计划控制程序</w:t>
            </w:r>
          </w:p>
          <w:p>
            <w:pPr>
              <w:spacing w:line="360" w:lineRule="exact"/>
              <w:jc w:val="left"/>
            </w:pPr>
            <w:r>
              <w:rPr>
                <w:rFonts w:hint="eastAsia"/>
              </w:rPr>
              <w:t>6.4 文件和资料控制程序</w:t>
            </w:r>
          </w:p>
          <w:p>
            <w:pPr>
              <w:spacing w:line="360" w:lineRule="exact"/>
              <w:jc w:val="left"/>
            </w:pPr>
            <w:r>
              <w:rPr>
                <w:rFonts w:hint="eastAsia"/>
              </w:rPr>
              <w:t>6.5 设备管理控制程序</w:t>
            </w:r>
          </w:p>
          <w:p>
            <w:pPr>
              <w:spacing w:line="360" w:lineRule="exact"/>
              <w:jc w:val="left"/>
            </w:pPr>
            <w:r>
              <w:rPr>
                <w:rFonts w:hint="eastAsia"/>
              </w:rPr>
              <w:t>6.6 检验、测量和试验设备控制程序</w:t>
            </w:r>
          </w:p>
          <w:p>
            <w:pPr>
              <w:spacing w:line="360" w:lineRule="exact"/>
              <w:jc w:val="left"/>
            </w:pPr>
            <w:r>
              <w:rPr>
                <w:rFonts w:hint="eastAsia"/>
              </w:rPr>
              <w:t>6.7 培训控制程序</w:t>
            </w:r>
          </w:p>
          <w:p>
            <w:pPr>
              <w:spacing w:line="360" w:lineRule="exact"/>
              <w:jc w:val="left"/>
            </w:pPr>
            <w:r>
              <w:rPr>
                <w:rFonts w:hint="eastAsia"/>
              </w:rPr>
              <w:t>6.8 产品标识和可追溯性控制程序</w:t>
            </w:r>
          </w:p>
          <w:p>
            <w:pPr>
              <w:spacing w:line="360" w:lineRule="exact"/>
              <w:jc w:val="left"/>
            </w:pPr>
            <w:r>
              <w:rPr>
                <w:rFonts w:hint="eastAsia"/>
              </w:rPr>
              <w:t>7. 记录：无</w:t>
            </w:r>
          </w:p>
          <w:p>
            <w:pPr>
              <w:spacing w:line="360" w:lineRule="exact"/>
              <w:jc w:val="left"/>
            </w:pPr>
          </w:p>
          <w:p>
            <w:pPr>
              <w:spacing w:line="360" w:lineRule="exact"/>
              <w:jc w:val="left"/>
            </w:pPr>
          </w:p>
          <w:p>
            <w:pPr>
              <w:spacing w:line="360" w:lineRule="exact"/>
              <w:jc w:val="left"/>
            </w:pPr>
          </w:p>
          <w:p>
            <w:pPr>
              <w:spacing w:line="360" w:lineRule="exact"/>
              <w:jc w:val="left"/>
            </w:pPr>
          </w:p>
        </w:tc>
      </w:tr>
    </w:tbl>
    <w:p/>
    <w:p/>
    <w:tbl>
      <w:tblPr>
        <w:tblStyle w:val="9"/>
        <w:tblW w:w="1022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1843"/>
        <w:gridCol w:w="3202"/>
        <w:gridCol w:w="1470"/>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2552" w:type="dxa"/>
            <w:vMerge w:val="restart"/>
            <w:vAlign w:val="center"/>
          </w:tcPr>
          <w:p>
            <w:pPr>
              <w:spacing w:line="400" w:lineRule="exact"/>
              <w:jc w:val="center"/>
              <w:rPr>
                <w:rFonts w:eastAsia="黑体"/>
                <w:b/>
                <w:sz w:val="36"/>
              </w:rPr>
            </w:pPr>
          </w:p>
        </w:tc>
        <w:tc>
          <w:tcPr>
            <w:tcW w:w="1843" w:type="dxa"/>
            <w:vAlign w:val="center"/>
          </w:tcPr>
          <w:p>
            <w:pPr>
              <w:spacing w:line="400" w:lineRule="exact"/>
              <w:jc w:val="center"/>
              <w:rPr>
                <w:rFonts w:ascii="宋体"/>
                <w:b/>
                <w:sz w:val="28"/>
              </w:rPr>
            </w:pPr>
            <w:r>
              <w:rPr>
                <w:rFonts w:hint="eastAsia" w:ascii="宋体"/>
                <w:b/>
                <w:sz w:val="28"/>
              </w:rPr>
              <w:t>文件名称</w:t>
            </w:r>
          </w:p>
        </w:tc>
        <w:tc>
          <w:tcPr>
            <w:tcW w:w="3202" w:type="dxa"/>
            <w:vAlign w:val="center"/>
          </w:tcPr>
          <w:p>
            <w:pPr>
              <w:spacing w:line="400" w:lineRule="exact"/>
              <w:rPr>
                <w:rFonts w:ascii="宋体"/>
                <w:b/>
                <w:sz w:val="28"/>
              </w:rPr>
            </w:pPr>
            <w:r>
              <w:rPr>
                <w:rFonts w:hint="eastAsia" w:ascii="宋体"/>
                <w:b/>
                <w:sz w:val="28"/>
              </w:rPr>
              <w:t>标识和可追溯性控制程序</w:t>
            </w:r>
          </w:p>
        </w:tc>
        <w:tc>
          <w:tcPr>
            <w:tcW w:w="1470" w:type="dxa"/>
            <w:vAlign w:val="center"/>
          </w:tcPr>
          <w:p>
            <w:pPr>
              <w:spacing w:line="400" w:lineRule="exact"/>
              <w:jc w:val="center"/>
              <w:rPr>
                <w:rFonts w:ascii="宋体"/>
                <w:b/>
                <w:sz w:val="28"/>
              </w:rPr>
            </w:pPr>
            <w:r>
              <w:rPr>
                <w:rFonts w:hint="eastAsia" w:ascii="宋体"/>
                <w:b/>
                <w:sz w:val="28"/>
              </w:rPr>
              <w:t>版次</w:t>
            </w:r>
          </w:p>
        </w:tc>
        <w:tc>
          <w:tcPr>
            <w:tcW w:w="1155" w:type="dxa"/>
            <w:vAlign w:val="center"/>
          </w:tcPr>
          <w:p>
            <w:pPr>
              <w:spacing w:line="400" w:lineRule="exact"/>
              <w:jc w:val="center"/>
              <w:rPr>
                <w:rFonts w:ascii="宋体"/>
                <w:b/>
                <w:sz w:val="28"/>
              </w:rPr>
            </w:pPr>
            <w:r>
              <w:rPr>
                <w:rFonts w:hint="eastAsia" w:ascii="宋体"/>
                <w:b/>
                <w:sz w:val="2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2552" w:type="dxa"/>
            <w:vMerge w:val="continue"/>
            <w:vAlign w:val="center"/>
          </w:tcPr>
          <w:p>
            <w:pPr>
              <w:spacing w:line="400" w:lineRule="exact"/>
              <w:jc w:val="center"/>
              <w:rPr>
                <w:rFonts w:eastAsia="黑体"/>
                <w:b/>
                <w:sz w:val="36"/>
              </w:rPr>
            </w:pPr>
          </w:p>
        </w:tc>
        <w:tc>
          <w:tcPr>
            <w:tcW w:w="1843" w:type="dxa"/>
            <w:vAlign w:val="center"/>
          </w:tcPr>
          <w:p>
            <w:pPr>
              <w:spacing w:line="400" w:lineRule="exact"/>
              <w:jc w:val="center"/>
              <w:rPr>
                <w:rFonts w:ascii="宋体"/>
                <w:b/>
                <w:sz w:val="28"/>
              </w:rPr>
            </w:pPr>
            <w:r>
              <w:rPr>
                <w:rFonts w:hint="eastAsia" w:ascii="宋体"/>
                <w:b/>
                <w:sz w:val="28"/>
              </w:rPr>
              <w:t>文件编号</w:t>
            </w:r>
          </w:p>
        </w:tc>
        <w:tc>
          <w:tcPr>
            <w:tcW w:w="3202" w:type="dxa"/>
            <w:vAlign w:val="center"/>
          </w:tcPr>
          <w:p>
            <w:pPr>
              <w:spacing w:line="400" w:lineRule="exact"/>
              <w:jc w:val="center"/>
              <w:rPr>
                <w:rFonts w:ascii="宋体"/>
                <w:b/>
                <w:sz w:val="28"/>
              </w:rPr>
            </w:pPr>
            <w:r>
              <w:rPr>
                <w:rFonts w:hint="eastAsia" w:ascii="宋体"/>
                <w:b/>
                <w:sz w:val="28"/>
              </w:rPr>
              <w:t>LQY-P-18</w:t>
            </w:r>
          </w:p>
        </w:tc>
        <w:tc>
          <w:tcPr>
            <w:tcW w:w="1470" w:type="dxa"/>
            <w:vAlign w:val="center"/>
          </w:tcPr>
          <w:p>
            <w:pPr>
              <w:spacing w:line="400" w:lineRule="exact"/>
              <w:jc w:val="center"/>
              <w:rPr>
                <w:rFonts w:ascii="宋体"/>
                <w:b/>
                <w:sz w:val="28"/>
              </w:rPr>
            </w:pPr>
            <w:r>
              <w:rPr>
                <w:rFonts w:hint="eastAsia" w:ascii="宋体"/>
                <w:b/>
                <w:sz w:val="28"/>
              </w:rPr>
              <w:t>修改</w:t>
            </w:r>
          </w:p>
          <w:p>
            <w:pPr>
              <w:spacing w:line="400" w:lineRule="exact"/>
              <w:jc w:val="center"/>
              <w:rPr>
                <w:rFonts w:ascii="宋体"/>
                <w:b/>
                <w:sz w:val="28"/>
              </w:rPr>
            </w:pPr>
            <w:r>
              <w:rPr>
                <w:rFonts w:hint="eastAsia" w:ascii="宋体"/>
                <w:b/>
                <w:sz w:val="28"/>
              </w:rPr>
              <w:t>状态</w:t>
            </w:r>
          </w:p>
        </w:tc>
        <w:tc>
          <w:tcPr>
            <w:tcW w:w="1155" w:type="dxa"/>
            <w:vAlign w:val="center"/>
          </w:tcPr>
          <w:p>
            <w:pPr>
              <w:spacing w:line="400" w:lineRule="exact"/>
              <w:jc w:val="center"/>
              <w:rPr>
                <w:rFonts w:ascii="宋体"/>
                <w:b/>
                <w:sz w:val="28"/>
              </w:rPr>
            </w:pPr>
            <w:r>
              <w:rPr>
                <w:rFonts w:hint="eastAsia" w:ascii="宋体"/>
                <w:b/>
                <w:sz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1" w:hRule="atLeast"/>
        </w:trPr>
        <w:tc>
          <w:tcPr>
            <w:tcW w:w="10222" w:type="dxa"/>
            <w:gridSpan w:val="5"/>
            <w:tcBorders>
              <w:bottom w:val="single" w:color="auto" w:sz="4" w:space="0"/>
            </w:tcBorders>
          </w:tcPr>
          <w:p>
            <w:pPr>
              <w:numPr>
                <w:ilvl w:val="0"/>
                <w:numId w:val="15"/>
              </w:numPr>
              <w:spacing w:line="360" w:lineRule="auto"/>
              <w:jc w:val="left"/>
            </w:pPr>
            <w:r>
              <w:rPr>
                <w:rFonts w:hint="eastAsia"/>
              </w:rPr>
              <w:t>目的</w:t>
            </w:r>
          </w:p>
          <w:p>
            <w:pPr>
              <w:spacing w:line="360" w:lineRule="auto"/>
              <w:ind w:left="315"/>
              <w:jc w:val="left"/>
            </w:pPr>
            <w:r>
              <w:rPr>
                <w:rFonts w:hint="eastAsia"/>
              </w:rPr>
              <w:t>为使原材料、零部件、半成品及成品的名称、规格或检验试验状况等明确标识以免误用，并确保产品质量具有可追溯性。</w:t>
            </w:r>
          </w:p>
          <w:p>
            <w:pPr>
              <w:numPr>
                <w:ilvl w:val="0"/>
                <w:numId w:val="15"/>
              </w:numPr>
              <w:spacing w:line="360" w:lineRule="auto"/>
              <w:jc w:val="left"/>
            </w:pPr>
            <w:r>
              <w:rPr>
                <w:rFonts w:hint="eastAsia"/>
              </w:rPr>
              <w:t>适用范围</w:t>
            </w:r>
          </w:p>
          <w:p>
            <w:pPr>
              <w:spacing w:line="360" w:lineRule="auto"/>
              <w:ind w:left="315"/>
              <w:jc w:val="left"/>
            </w:pPr>
            <w:r>
              <w:rPr>
                <w:rFonts w:hint="eastAsia"/>
              </w:rPr>
              <w:t>适用于从进货检验至成品出货全过程中所有产品正确标识和可追溯性控制管理。</w:t>
            </w:r>
          </w:p>
          <w:p>
            <w:pPr>
              <w:numPr>
                <w:ilvl w:val="0"/>
                <w:numId w:val="15"/>
              </w:numPr>
              <w:spacing w:line="360" w:lineRule="auto"/>
              <w:jc w:val="left"/>
            </w:pPr>
            <w:r>
              <w:rPr>
                <w:rFonts w:hint="eastAsia"/>
              </w:rPr>
              <w:t>职责</w:t>
            </w:r>
          </w:p>
          <w:p>
            <w:pPr>
              <w:spacing w:line="360" w:lineRule="auto"/>
              <w:jc w:val="left"/>
            </w:pPr>
            <w:r>
              <w:rPr>
                <w:rFonts w:hint="eastAsia"/>
              </w:rPr>
              <w:t>3.1生产车间负责原材料进厂的检验和试验状态标识；</w:t>
            </w:r>
          </w:p>
          <w:p>
            <w:pPr>
              <w:spacing w:line="360" w:lineRule="auto"/>
              <w:jc w:val="left"/>
            </w:pPr>
            <w:r>
              <w:rPr>
                <w:rFonts w:hint="eastAsia"/>
              </w:rPr>
              <w:t>3.2生产单位操作负责人负责生产过程中和成品入库前的名称、规格及检验试验状态标识；</w:t>
            </w:r>
          </w:p>
          <w:p>
            <w:pPr>
              <w:spacing w:line="360" w:lineRule="auto"/>
              <w:jc w:val="left"/>
            </w:pPr>
            <w:r>
              <w:rPr>
                <w:rFonts w:hint="eastAsia"/>
              </w:rPr>
              <w:t>3.3仓库保管员负责入库后、出库前的标识；</w:t>
            </w:r>
          </w:p>
          <w:p>
            <w:pPr>
              <w:spacing w:line="360" w:lineRule="auto"/>
              <w:jc w:val="left"/>
            </w:pPr>
            <w:r>
              <w:rPr>
                <w:rFonts w:hint="eastAsia"/>
              </w:rPr>
              <w:t>3.4生产车间负责制订可追溯性标记。</w:t>
            </w:r>
          </w:p>
          <w:p>
            <w:pPr>
              <w:numPr>
                <w:ilvl w:val="0"/>
                <w:numId w:val="15"/>
              </w:numPr>
              <w:spacing w:line="360" w:lineRule="auto"/>
              <w:jc w:val="left"/>
            </w:pPr>
            <w:r>
              <w:rPr>
                <w:rFonts w:hint="eastAsia"/>
              </w:rPr>
              <w:t>定义：</w:t>
            </w:r>
          </w:p>
          <w:p>
            <w:pPr>
              <w:spacing w:line="360" w:lineRule="auto"/>
              <w:jc w:val="left"/>
            </w:pPr>
            <w:r>
              <w:rPr>
                <w:rFonts w:hint="eastAsia"/>
              </w:rPr>
              <w:t>状态标识：随产品检验状态改变而改变的标识。</w:t>
            </w:r>
          </w:p>
          <w:p>
            <w:pPr>
              <w:spacing w:line="360" w:lineRule="auto"/>
              <w:jc w:val="left"/>
            </w:pPr>
            <w:r>
              <w:rPr>
                <w:rFonts w:hint="eastAsia"/>
              </w:rPr>
              <w:t>追溯性标识：不随产品状态改变而改变的唯一性标识。</w:t>
            </w:r>
          </w:p>
          <w:p>
            <w:pPr>
              <w:numPr>
                <w:ilvl w:val="0"/>
                <w:numId w:val="15"/>
              </w:numPr>
              <w:spacing w:line="360" w:lineRule="auto"/>
              <w:jc w:val="left"/>
            </w:pPr>
            <w:r>
              <w:rPr>
                <w:rFonts w:hint="eastAsia"/>
              </w:rPr>
              <w:t>工作程序：</w:t>
            </w:r>
          </w:p>
          <w:p>
            <w:pPr>
              <w:spacing w:line="360" w:lineRule="auto"/>
              <w:jc w:val="left"/>
            </w:pPr>
            <w:r>
              <w:rPr>
                <w:rFonts w:hint="eastAsia"/>
              </w:rPr>
              <w:t>5.1流程图（见附件）。</w:t>
            </w:r>
          </w:p>
          <w:p>
            <w:pPr>
              <w:spacing w:line="360" w:lineRule="auto"/>
              <w:jc w:val="left"/>
            </w:pPr>
            <w:r>
              <w:rPr>
                <w:rFonts w:hint="eastAsia"/>
              </w:rPr>
              <w:t>5.2标识分为：</w:t>
            </w:r>
          </w:p>
          <w:p>
            <w:pPr>
              <w:spacing w:line="360" w:lineRule="auto"/>
              <w:jc w:val="left"/>
            </w:pPr>
            <w:r>
              <w:rPr>
                <w:rFonts w:hint="eastAsia"/>
              </w:rPr>
              <w:t>5.2.1状态标识：待检、合格、不合格等；</w:t>
            </w:r>
          </w:p>
          <w:p>
            <w:pPr>
              <w:spacing w:line="360" w:lineRule="auto"/>
              <w:jc w:val="left"/>
            </w:pPr>
            <w:r>
              <w:rPr>
                <w:rFonts w:hint="eastAsia"/>
              </w:rPr>
              <w:t>5.2.2追溯性标识：操作人员工号、检验员编号、生产日期/批次、合同号、名称、规格、数量、唛头等。</w:t>
            </w:r>
          </w:p>
          <w:p>
            <w:pPr>
              <w:spacing w:line="360" w:lineRule="auto"/>
              <w:jc w:val="left"/>
            </w:pPr>
            <w:r>
              <w:rPr>
                <w:rFonts w:hint="eastAsia"/>
              </w:rPr>
              <w:t>5.3进货标识</w:t>
            </w:r>
          </w:p>
          <w:p>
            <w:pPr>
              <w:spacing w:line="360" w:lineRule="auto"/>
              <w:jc w:val="left"/>
            </w:pPr>
            <w:r>
              <w:rPr>
                <w:rFonts w:hint="eastAsia"/>
              </w:rPr>
              <w:t>5.3.1在原材料、零部件进厂后，经检验合格，存放到合格品区，并标识；如不合格，应进行隔离存放并标识，并通知回收利用部门，按《不合格品控制程序》执行；</w:t>
            </w:r>
          </w:p>
          <w:p>
            <w:pPr>
              <w:spacing w:line="360" w:lineRule="auto"/>
              <w:jc w:val="left"/>
            </w:pPr>
            <w:r>
              <w:rPr>
                <w:rFonts w:hint="eastAsia"/>
              </w:rPr>
              <w:t>5.3.2如原材料、零部件进厂不能及时检验，应作暂存待检处理，并明确标识，以防误用。</w:t>
            </w:r>
          </w:p>
          <w:p>
            <w:pPr>
              <w:spacing w:line="360" w:lineRule="auto"/>
              <w:jc w:val="left"/>
            </w:pPr>
            <w:r>
              <w:rPr>
                <w:rFonts w:hint="eastAsia"/>
              </w:rPr>
              <w:t>5.4生产过程中的标识</w:t>
            </w:r>
          </w:p>
          <w:p>
            <w:pPr>
              <w:spacing w:line="360" w:lineRule="auto"/>
              <w:jc w:val="left"/>
            </w:pPr>
            <w:r>
              <w:rPr>
                <w:rFonts w:hint="eastAsia"/>
              </w:rPr>
              <w:t>5.4.1车间存放的半成品，物资卡上要注明名称、规格、数量等内容，以便于识别，合格品与不合格品要分类放置并标识，防止误用；</w:t>
            </w:r>
          </w:p>
          <w:p>
            <w:pPr>
              <w:spacing w:line="360" w:lineRule="auto"/>
              <w:jc w:val="left"/>
            </w:pPr>
            <w:r>
              <w:rPr>
                <w:rFonts w:hint="eastAsia"/>
              </w:rPr>
              <w:t>5.4.2产品件经检验合格下转时，由检验员开据检验单，以便追溯；</w:t>
            </w:r>
          </w:p>
          <w:p>
            <w:pPr>
              <w:spacing w:line="360" w:lineRule="auto"/>
              <w:jc w:val="left"/>
            </w:pPr>
            <w:r>
              <w:rPr>
                <w:rFonts w:hint="eastAsia"/>
              </w:rPr>
              <w:t>5.4.3若检验不合格，将其放置在不合格品区域并标识，按《不合格品控制程序》进行处理。</w:t>
            </w:r>
          </w:p>
          <w:p>
            <w:pPr>
              <w:spacing w:line="360" w:lineRule="auto"/>
              <w:jc w:val="left"/>
            </w:pPr>
            <w:r>
              <w:rPr>
                <w:rFonts w:hint="eastAsia"/>
              </w:rPr>
              <w:t>5.5成品入库标识</w:t>
            </w:r>
          </w:p>
          <w:p>
            <w:pPr>
              <w:spacing w:line="360" w:lineRule="auto"/>
              <w:ind w:firstLine="420"/>
              <w:jc w:val="left"/>
            </w:pPr>
            <w:r>
              <w:rPr>
                <w:rFonts w:hint="eastAsia"/>
              </w:rPr>
              <w:t>成品经检验合格方可入库，开据检验报告单，并明确标识其名称、规格和数量、检验日期、检验者等以便于追溯。</w:t>
            </w:r>
          </w:p>
          <w:p>
            <w:pPr>
              <w:spacing w:line="360" w:lineRule="auto"/>
              <w:jc w:val="left"/>
            </w:pPr>
            <w:r>
              <w:rPr>
                <w:rFonts w:hint="eastAsia"/>
              </w:rPr>
              <w:t>5.6成品出库标识</w:t>
            </w:r>
          </w:p>
          <w:p>
            <w:pPr>
              <w:spacing w:line="360" w:lineRule="auto"/>
              <w:jc w:val="left"/>
            </w:pPr>
            <w:r>
              <w:rPr>
                <w:rFonts w:hint="eastAsia"/>
              </w:rPr>
              <w:t>5.6.1成品出货时，仓库人员对照生产车间门下发的《生产计划单》及《装箱单》清点货物，检查各有关标识，确认无误后发货；</w:t>
            </w:r>
          </w:p>
          <w:p>
            <w:pPr>
              <w:spacing w:line="360" w:lineRule="auto"/>
              <w:jc w:val="left"/>
            </w:pPr>
            <w:r>
              <w:rPr>
                <w:rFonts w:hint="eastAsia"/>
              </w:rPr>
              <w:t>5.6.2仓库人员在成品出入帐上做好记录。</w:t>
            </w:r>
          </w:p>
          <w:p>
            <w:pPr>
              <w:spacing w:line="360" w:lineRule="auto"/>
              <w:jc w:val="left"/>
            </w:pPr>
            <w:r>
              <w:rPr>
                <w:rFonts w:hint="eastAsia"/>
              </w:rPr>
              <w:t>5.7当合同、法律法规和公司自身对可追溯性有要求时，生产单位应规定并记录唯一性标识，具体由生产单位负责制定厂、车间、班组或操作人员工号标识，并确保转序时的有效性，从而保证需要时进行追溯。</w:t>
            </w:r>
          </w:p>
          <w:p>
            <w:pPr>
              <w:spacing w:line="360" w:lineRule="auto"/>
              <w:jc w:val="left"/>
            </w:pPr>
            <w:r>
              <w:rPr>
                <w:rFonts w:hint="eastAsia"/>
              </w:rPr>
              <w:t>5.8在运作过程中，如果不标识不会引起产品混淆或无追溯要求时，也可以不对产品进行标识；例如：采购产品已有清楚的产品标识，在保管或加工现场可不需要再做标识。</w:t>
            </w:r>
          </w:p>
          <w:p>
            <w:pPr>
              <w:numPr>
                <w:ilvl w:val="0"/>
                <w:numId w:val="15"/>
              </w:numPr>
              <w:spacing w:line="360" w:lineRule="auto"/>
              <w:jc w:val="left"/>
            </w:pPr>
            <w:r>
              <w:rPr>
                <w:rFonts w:hint="eastAsia"/>
              </w:rPr>
              <w:t>相关/支持性文件：</w:t>
            </w:r>
          </w:p>
          <w:p>
            <w:pPr>
              <w:spacing w:line="360" w:lineRule="auto"/>
              <w:jc w:val="left"/>
            </w:pPr>
            <w:r>
              <w:rPr>
                <w:rFonts w:hint="eastAsia"/>
              </w:rPr>
              <w:t xml:space="preserve">6.1不合格品控制程序 </w:t>
            </w:r>
          </w:p>
          <w:p>
            <w:pPr>
              <w:spacing w:line="360" w:lineRule="auto"/>
              <w:jc w:val="left"/>
            </w:pPr>
            <w:r>
              <w:rPr>
                <w:rFonts w:hint="eastAsia"/>
              </w:rPr>
              <w:t>6.2记录管理程序</w:t>
            </w:r>
          </w:p>
          <w:p>
            <w:pPr>
              <w:spacing w:line="360" w:lineRule="auto"/>
              <w:jc w:val="left"/>
            </w:pPr>
            <w:r>
              <w:rPr>
                <w:rFonts w:hint="eastAsia"/>
              </w:rPr>
              <w:t>7记录（无）。</w:t>
            </w:r>
          </w:p>
        </w:tc>
      </w:tr>
    </w:tbl>
    <w:p/>
    <w:p/>
    <w:p/>
    <w:p/>
    <w:p/>
    <w:p/>
    <w:p/>
    <w:p/>
    <w:tbl>
      <w:tblPr>
        <w:tblStyle w:val="9"/>
        <w:tblW w:w="10324"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0"/>
        <w:gridCol w:w="1985"/>
        <w:gridCol w:w="3111"/>
        <w:gridCol w:w="1630"/>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620" w:type="dxa"/>
            <w:vMerge w:val="restart"/>
          </w:tcPr>
          <w:p/>
        </w:tc>
        <w:tc>
          <w:tcPr>
            <w:tcW w:w="1985" w:type="dxa"/>
            <w:vAlign w:val="center"/>
          </w:tcPr>
          <w:p>
            <w:pPr>
              <w:jc w:val="center"/>
              <w:rPr>
                <w:rFonts w:ascii="宋体"/>
                <w:b/>
                <w:sz w:val="28"/>
              </w:rPr>
            </w:pPr>
            <w:r>
              <w:rPr>
                <w:rFonts w:hint="eastAsia" w:ascii="宋体"/>
                <w:b/>
                <w:sz w:val="28"/>
              </w:rPr>
              <w:t>文件名称</w:t>
            </w:r>
          </w:p>
        </w:tc>
        <w:tc>
          <w:tcPr>
            <w:tcW w:w="3111" w:type="dxa"/>
            <w:vAlign w:val="center"/>
          </w:tcPr>
          <w:p>
            <w:pPr>
              <w:jc w:val="center"/>
              <w:rPr>
                <w:rFonts w:ascii="宋体"/>
                <w:b/>
                <w:sz w:val="28"/>
              </w:rPr>
            </w:pPr>
            <w:r>
              <w:rPr>
                <w:rFonts w:hint="eastAsia" w:ascii="宋体"/>
                <w:b/>
                <w:sz w:val="28"/>
              </w:rPr>
              <w:t>顾客财产控制程序</w:t>
            </w:r>
          </w:p>
        </w:tc>
        <w:tc>
          <w:tcPr>
            <w:tcW w:w="1630" w:type="dxa"/>
            <w:vAlign w:val="center"/>
          </w:tcPr>
          <w:p>
            <w:pPr>
              <w:jc w:val="center"/>
              <w:rPr>
                <w:rFonts w:ascii="宋体"/>
                <w:b/>
                <w:sz w:val="28"/>
              </w:rPr>
            </w:pPr>
            <w:r>
              <w:rPr>
                <w:rFonts w:hint="eastAsia" w:ascii="宋体"/>
                <w:b/>
                <w:sz w:val="28"/>
              </w:rPr>
              <w:t>版次</w:t>
            </w:r>
          </w:p>
        </w:tc>
        <w:tc>
          <w:tcPr>
            <w:tcW w:w="978" w:type="dxa"/>
            <w:vAlign w:val="center"/>
          </w:tcPr>
          <w:p>
            <w:pPr>
              <w:jc w:val="center"/>
              <w:rPr>
                <w:rFonts w:ascii="宋体"/>
                <w:b/>
                <w:sz w:val="28"/>
              </w:rPr>
            </w:pPr>
            <w:r>
              <w:rPr>
                <w:rFonts w:hint="eastAsia" w:ascii="宋体"/>
                <w:b/>
                <w:sz w:val="2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620" w:type="dxa"/>
            <w:vMerge w:val="continue"/>
          </w:tcPr>
          <w:p>
            <w:pPr>
              <w:spacing w:line="400" w:lineRule="exact"/>
              <w:jc w:val="center"/>
              <w:rPr>
                <w:rFonts w:eastAsia="黑体"/>
                <w:b/>
                <w:sz w:val="36"/>
              </w:rPr>
            </w:pPr>
          </w:p>
        </w:tc>
        <w:tc>
          <w:tcPr>
            <w:tcW w:w="1985" w:type="dxa"/>
            <w:vAlign w:val="center"/>
          </w:tcPr>
          <w:p>
            <w:pPr>
              <w:spacing w:line="400" w:lineRule="exact"/>
              <w:jc w:val="center"/>
              <w:rPr>
                <w:rFonts w:ascii="宋体"/>
                <w:b/>
                <w:sz w:val="28"/>
              </w:rPr>
            </w:pPr>
            <w:r>
              <w:rPr>
                <w:rFonts w:hint="eastAsia" w:ascii="宋体"/>
                <w:b/>
                <w:sz w:val="28"/>
              </w:rPr>
              <w:t>文件编号</w:t>
            </w:r>
          </w:p>
        </w:tc>
        <w:tc>
          <w:tcPr>
            <w:tcW w:w="3111" w:type="dxa"/>
            <w:vAlign w:val="center"/>
          </w:tcPr>
          <w:p>
            <w:pPr>
              <w:spacing w:line="400" w:lineRule="exact"/>
              <w:jc w:val="center"/>
              <w:rPr>
                <w:rFonts w:ascii="宋体"/>
                <w:b/>
                <w:sz w:val="28"/>
              </w:rPr>
            </w:pPr>
            <w:r>
              <w:rPr>
                <w:rFonts w:hint="eastAsia" w:ascii="宋体"/>
                <w:b/>
                <w:sz w:val="28"/>
              </w:rPr>
              <w:t>LQY—P—19</w:t>
            </w:r>
          </w:p>
        </w:tc>
        <w:tc>
          <w:tcPr>
            <w:tcW w:w="1630" w:type="dxa"/>
            <w:vAlign w:val="center"/>
          </w:tcPr>
          <w:p>
            <w:pPr>
              <w:spacing w:line="400" w:lineRule="exact"/>
              <w:jc w:val="center"/>
              <w:rPr>
                <w:rFonts w:ascii="宋体"/>
                <w:b/>
                <w:sz w:val="28"/>
              </w:rPr>
            </w:pPr>
            <w:r>
              <w:rPr>
                <w:rFonts w:hint="eastAsia" w:ascii="宋体"/>
                <w:b/>
                <w:sz w:val="28"/>
              </w:rPr>
              <w:t>修改状态</w:t>
            </w:r>
          </w:p>
        </w:tc>
        <w:tc>
          <w:tcPr>
            <w:tcW w:w="978" w:type="dxa"/>
            <w:vAlign w:val="center"/>
          </w:tcPr>
          <w:p>
            <w:pPr>
              <w:spacing w:line="400" w:lineRule="exact"/>
              <w:jc w:val="center"/>
              <w:rPr>
                <w:rFonts w:ascii="宋体"/>
                <w:b/>
                <w:sz w:val="28"/>
              </w:rPr>
            </w:pPr>
            <w:r>
              <w:rPr>
                <w:rFonts w:hint="eastAsia" w:ascii="宋体"/>
                <w:b/>
                <w:sz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5" w:hRule="atLeast"/>
        </w:trPr>
        <w:tc>
          <w:tcPr>
            <w:tcW w:w="10324" w:type="dxa"/>
            <w:gridSpan w:val="5"/>
          </w:tcPr>
          <w:p>
            <w:pPr>
              <w:spacing w:line="360" w:lineRule="exact"/>
              <w:jc w:val="left"/>
            </w:pPr>
            <w:r>
              <w:rPr>
                <w:rFonts w:hint="eastAsia"/>
              </w:rPr>
              <w:t>1. 目的：</w:t>
            </w:r>
          </w:p>
          <w:p>
            <w:pPr>
              <w:spacing w:line="360" w:lineRule="exact"/>
              <w:jc w:val="left"/>
            </w:pPr>
            <w:r>
              <w:rPr>
                <w:rFonts w:hint="eastAsia"/>
              </w:rPr>
              <w:t xml:space="preserve">   通过对顾客财产的控制，确保顾客提供产品的质量、数量、供货时间以及规格等符合规定的要求。</w:t>
            </w:r>
          </w:p>
          <w:p>
            <w:pPr>
              <w:spacing w:line="360" w:lineRule="exact"/>
              <w:jc w:val="left"/>
            </w:pPr>
            <w:r>
              <w:rPr>
                <w:rFonts w:hint="eastAsia"/>
              </w:rPr>
              <w:t>2. 适用范围：</w:t>
            </w:r>
          </w:p>
          <w:p>
            <w:pPr>
              <w:spacing w:line="360" w:lineRule="exact"/>
              <w:jc w:val="left"/>
            </w:pPr>
            <w:r>
              <w:rPr>
                <w:rFonts w:hint="eastAsia"/>
              </w:rPr>
              <w:t xml:space="preserve">   适用于所有顾客提供财产的控制。</w:t>
            </w:r>
          </w:p>
          <w:p>
            <w:pPr>
              <w:spacing w:line="360" w:lineRule="exact"/>
              <w:jc w:val="left"/>
            </w:pPr>
            <w:r>
              <w:rPr>
                <w:rFonts w:hint="eastAsia"/>
              </w:rPr>
              <w:t>3. 职责：</w:t>
            </w:r>
          </w:p>
          <w:p>
            <w:pPr>
              <w:spacing w:line="360" w:lineRule="exact"/>
              <w:jc w:val="left"/>
            </w:pPr>
            <w:r>
              <w:rPr>
                <w:rFonts w:hint="eastAsia"/>
              </w:rPr>
              <w:t>3.1 回收利用部门负责与提供财产的客户进行联络。</w:t>
            </w:r>
          </w:p>
          <w:p>
            <w:pPr>
              <w:spacing w:line="360" w:lineRule="exact"/>
              <w:jc w:val="left"/>
            </w:pPr>
            <w:r>
              <w:rPr>
                <w:rFonts w:hint="eastAsia"/>
              </w:rPr>
              <w:t>3.2 生产车间负责对顾客财产的检验和试验。</w:t>
            </w:r>
          </w:p>
          <w:p>
            <w:pPr>
              <w:spacing w:line="360" w:lineRule="exact"/>
              <w:jc w:val="left"/>
            </w:pPr>
            <w:r>
              <w:rPr>
                <w:rFonts w:hint="eastAsia"/>
              </w:rPr>
              <w:t>4. 定义：</w:t>
            </w:r>
          </w:p>
          <w:p>
            <w:pPr>
              <w:spacing w:line="360" w:lineRule="exact"/>
              <w:jc w:val="left"/>
            </w:pPr>
            <w:r>
              <w:rPr>
                <w:rFonts w:hint="eastAsia"/>
              </w:rPr>
              <w:t xml:space="preserve">  顾客财产：指顾客所提供的各项物品，如原材料、模具、技术资料等。</w:t>
            </w:r>
          </w:p>
          <w:p>
            <w:pPr>
              <w:spacing w:line="360" w:lineRule="exact"/>
              <w:jc w:val="left"/>
            </w:pPr>
            <w:r>
              <w:rPr>
                <w:rFonts w:hint="eastAsia"/>
              </w:rPr>
              <w:t>5. 工作程序：</w:t>
            </w:r>
          </w:p>
          <w:p>
            <w:pPr>
              <w:spacing w:line="360" w:lineRule="exact"/>
              <w:jc w:val="left"/>
            </w:pPr>
            <w:r>
              <w:rPr>
                <w:rFonts w:hint="eastAsia"/>
              </w:rPr>
              <w:t>5.1 流程图（见附件）。</w:t>
            </w:r>
          </w:p>
          <w:p>
            <w:pPr>
              <w:spacing w:line="360" w:lineRule="exact"/>
              <w:jc w:val="left"/>
            </w:pPr>
            <w:r>
              <w:rPr>
                <w:rFonts w:hint="eastAsia"/>
              </w:rPr>
              <w:t>5.2 回收利用部门与顾客签订合同后，由顾客按规定要求提供财产，回收利用部门填写《顾客财产明细表》。</w:t>
            </w:r>
          </w:p>
          <w:p>
            <w:pPr>
              <w:spacing w:line="360" w:lineRule="exact"/>
              <w:jc w:val="left"/>
            </w:pPr>
            <w:r>
              <w:rPr>
                <w:rFonts w:hint="eastAsia"/>
              </w:rPr>
              <w:t>5.3 顾客财产到达后，由检验部门按《检验和试验控制程序》进行检验和标识；顾客提供的技术资料直接由生产单位接收使用。</w:t>
            </w:r>
          </w:p>
          <w:p>
            <w:pPr>
              <w:spacing w:line="360" w:lineRule="exact"/>
              <w:jc w:val="left"/>
            </w:pPr>
            <w:r>
              <w:rPr>
                <w:rFonts w:hint="eastAsia"/>
              </w:rPr>
              <w:t>5.4 直接部门接到报验后，对顾客财产进行检验和试验，检验合格后，方可入库存放；如不合格，由回收利用部门技术向顾客反馈，进行处置。</w:t>
            </w:r>
          </w:p>
          <w:p>
            <w:pPr>
              <w:spacing w:line="360" w:lineRule="exact"/>
              <w:jc w:val="left"/>
            </w:pPr>
            <w:r>
              <w:rPr>
                <w:rFonts w:hint="eastAsia"/>
              </w:rPr>
              <w:t>5.5 合格品入库后，要登记入账，明确标识，并进行必要的保护。</w:t>
            </w:r>
          </w:p>
          <w:p>
            <w:pPr>
              <w:spacing w:line="360" w:lineRule="exact"/>
              <w:jc w:val="left"/>
            </w:pPr>
            <w:r>
              <w:rPr>
                <w:rFonts w:hint="eastAsia"/>
              </w:rPr>
              <w:t>5.6 顾客提供的技术资料由试验单位技术科作为外来文件按《文件资料控制程序》发放使用；其他顾客财产凭调拨凭证领取使用。</w:t>
            </w:r>
          </w:p>
          <w:p>
            <w:pPr>
              <w:spacing w:line="360" w:lineRule="exact"/>
              <w:jc w:val="left"/>
            </w:pPr>
            <w:r>
              <w:rPr>
                <w:rFonts w:hint="eastAsia"/>
              </w:rPr>
              <w:t>5.7 对顾客财产检验不合格或在提供过程丢失、损坏或在使用过程中出现异常情况，由回收利用部门通知顾客重新提供或协商解决，并监督执行。</w:t>
            </w:r>
          </w:p>
          <w:p>
            <w:pPr>
              <w:spacing w:line="360" w:lineRule="exact"/>
              <w:jc w:val="left"/>
            </w:pPr>
            <w:r>
              <w:rPr>
                <w:rFonts w:hint="eastAsia"/>
              </w:rPr>
              <w:t>5.8 回收利用部门保留顾客财产异常处理的记录。</w:t>
            </w:r>
          </w:p>
          <w:p>
            <w:pPr>
              <w:spacing w:line="360" w:lineRule="exact"/>
              <w:jc w:val="left"/>
            </w:pPr>
            <w:r>
              <w:rPr>
                <w:rFonts w:hint="eastAsia"/>
              </w:rPr>
              <w:t>6. 相关/支持性文件：</w:t>
            </w:r>
          </w:p>
          <w:p>
            <w:pPr>
              <w:spacing w:line="360" w:lineRule="exact"/>
              <w:jc w:val="left"/>
            </w:pPr>
            <w:r>
              <w:rPr>
                <w:rFonts w:hint="eastAsia"/>
              </w:rPr>
              <w:t>6.1 产品标识和可追溯性控制程序</w:t>
            </w:r>
          </w:p>
          <w:p>
            <w:pPr>
              <w:spacing w:line="360" w:lineRule="exact"/>
              <w:jc w:val="left"/>
            </w:pPr>
            <w:r>
              <w:rPr>
                <w:rFonts w:hint="eastAsia"/>
              </w:rPr>
              <w:t>6.2 检验和试验控制程序</w:t>
            </w:r>
          </w:p>
          <w:p>
            <w:pPr>
              <w:spacing w:line="360" w:lineRule="exact"/>
              <w:jc w:val="left"/>
            </w:pPr>
            <w:r>
              <w:rPr>
                <w:rFonts w:hint="eastAsia"/>
              </w:rPr>
              <w:t>6.3 产品防护控制程序</w:t>
            </w:r>
          </w:p>
          <w:p>
            <w:pPr>
              <w:spacing w:line="360" w:lineRule="exact"/>
              <w:jc w:val="left"/>
            </w:pPr>
            <w:r>
              <w:rPr>
                <w:rFonts w:hint="eastAsia"/>
              </w:rPr>
              <w:t>6.4 文件和资料控制程序</w:t>
            </w:r>
          </w:p>
          <w:p>
            <w:pPr>
              <w:spacing w:line="360" w:lineRule="exact"/>
              <w:jc w:val="left"/>
            </w:pPr>
            <w:r>
              <w:rPr>
                <w:rFonts w:hint="eastAsia"/>
              </w:rPr>
              <w:t>7 记录                     编号                     版本                     保存期限</w:t>
            </w:r>
          </w:p>
          <w:p>
            <w:pPr>
              <w:spacing w:line="360" w:lineRule="exact"/>
              <w:jc w:val="left"/>
            </w:pPr>
            <w:r>
              <w:rPr>
                <w:rFonts w:hint="eastAsia"/>
              </w:rPr>
              <w:t>7.1 顾客财产明细表           LQY-P-15-01                    01                        一年</w:t>
            </w:r>
          </w:p>
          <w:p>
            <w:pPr>
              <w:spacing w:line="360" w:lineRule="exact"/>
              <w:jc w:val="left"/>
            </w:pPr>
            <w:r>
              <w:rPr>
                <w:rFonts w:hint="eastAsia"/>
              </w:rPr>
              <w:t>7.2 产品调拨凭证             LQY-P-15-02                    01                        一年</w:t>
            </w:r>
          </w:p>
          <w:p>
            <w:pPr>
              <w:spacing w:line="360" w:lineRule="exact"/>
              <w:jc w:val="left"/>
            </w:pPr>
          </w:p>
        </w:tc>
      </w:tr>
    </w:tbl>
    <w:p/>
    <w:p/>
    <w:p/>
    <w:tbl>
      <w:tblPr>
        <w:tblStyle w:val="9"/>
        <w:tblW w:w="1004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2126"/>
        <w:gridCol w:w="2709"/>
        <w:gridCol w:w="115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2552" w:type="dxa"/>
            <w:vMerge w:val="restart"/>
            <w:vAlign w:val="center"/>
          </w:tcPr>
          <w:p>
            <w:pPr>
              <w:jc w:val="center"/>
              <w:rPr>
                <w:rFonts w:eastAsia="黑体"/>
                <w:b/>
                <w:sz w:val="36"/>
              </w:rPr>
            </w:pPr>
          </w:p>
        </w:tc>
        <w:tc>
          <w:tcPr>
            <w:tcW w:w="2126" w:type="dxa"/>
            <w:vAlign w:val="center"/>
          </w:tcPr>
          <w:p>
            <w:pPr>
              <w:jc w:val="center"/>
              <w:rPr>
                <w:rFonts w:ascii="宋体"/>
                <w:b/>
                <w:sz w:val="28"/>
              </w:rPr>
            </w:pPr>
            <w:r>
              <w:rPr>
                <w:rFonts w:hint="eastAsia" w:ascii="宋体"/>
                <w:b/>
                <w:sz w:val="28"/>
              </w:rPr>
              <w:t>文件名称</w:t>
            </w:r>
          </w:p>
        </w:tc>
        <w:tc>
          <w:tcPr>
            <w:tcW w:w="2709" w:type="dxa"/>
            <w:vAlign w:val="center"/>
          </w:tcPr>
          <w:p>
            <w:pPr>
              <w:jc w:val="center"/>
              <w:rPr>
                <w:rFonts w:ascii="宋体"/>
                <w:b/>
                <w:sz w:val="28"/>
              </w:rPr>
            </w:pPr>
            <w:r>
              <w:rPr>
                <w:rFonts w:hint="eastAsia" w:ascii="宋体"/>
                <w:b/>
                <w:sz w:val="28"/>
              </w:rPr>
              <w:t>产品防护控制程序</w:t>
            </w:r>
          </w:p>
        </w:tc>
        <w:tc>
          <w:tcPr>
            <w:tcW w:w="1155" w:type="dxa"/>
            <w:vAlign w:val="center"/>
          </w:tcPr>
          <w:p>
            <w:pPr>
              <w:jc w:val="center"/>
              <w:rPr>
                <w:rFonts w:ascii="宋体"/>
                <w:b/>
                <w:sz w:val="28"/>
              </w:rPr>
            </w:pPr>
            <w:r>
              <w:rPr>
                <w:rFonts w:hint="eastAsia" w:ascii="宋体"/>
                <w:b/>
                <w:sz w:val="28"/>
              </w:rPr>
              <w:t>版次</w:t>
            </w:r>
          </w:p>
        </w:tc>
        <w:tc>
          <w:tcPr>
            <w:tcW w:w="1500" w:type="dxa"/>
            <w:vAlign w:val="center"/>
          </w:tcPr>
          <w:p>
            <w:pPr>
              <w:jc w:val="center"/>
              <w:rPr>
                <w:rFonts w:ascii="宋体"/>
                <w:b/>
                <w:sz w:val="28"/>
              </w:rPr>
            </w:pPr>
            <w:r>
              <w:rPr>
                <w:rFonts w:hint="eastAsia" w:ascii="宋体"/>
                <w:b/>
                <w:sz w:val="2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2552" w:type="dxa"/>
            <w:vMerge w:val="continue"/>
            <w:vAlign w:val="center"/>
          </w:tcPr>
          <w:p>
            <w:pPr>
              <w:spacing w:line="400" w:lineRule="exact"/>
              <w:jc w:val="center"/>
              <w:rPr>
                <w:rFonts w:eastAsia="黑体"/>
                <w:b/>
                <w:sz w:val="36"/>
              </w:rPr>
            </w:pPr>
          </w:p>
        </w:tc>
        <w:tc>
          <w:tcPr>
            <w:tcW w:w="2126" w:type="dxa"/>
            <w:vAlign w:val="center"/>
          </w:tcPr>
          <w:p>
            <w:pPr>
              <w:spacing w:line="400" w:lineRule="exact"/>
              <w:jc w:val="center"/>
              <w:rPr>
                <w:rFonts w:ascii="宋体"/>
                <w:b/>
                <w:sz w:val="28"/>
              </w:rPr>
            </w:pPr>
            <w:r>
              <w:rPr>
                <w:rFonts w:hint="eastAsia" w:ascii="宋体"/>
                <w:b/>
                <w:sz w:val="28"/>
              </w:rPr>
              <w:t>文件编号</w:t>
            </w:r>
          </w:p>
        </w:tc>
        <w:tc>
          <w:tcPr>
            <w:tcW w:w="2709" w:type="dxa"/>
            <w:vAlign w:val="center"/>
          </w:tcPr>
          <w:p>
            <w:pPr>
              <w:spacing w:line="400" w:lineRule="exact"/>
              <w:jc w:val="center"/>
              <w:rPr>
                <w:rFonts w:ascii="宋体"/>
                <w:b/>
                <w:sz w:val="28"/>
              </w:rPr>
            </w:pPr>
            <w:r>
              <w:rPr>
                <w:rFonts w:hint="eastAsia" w:ascii="宋体"/>
                <w:b/>
                <w:sz w:val="28"/>
              </w:rPr>
              <w:t>LQY-P-20</w:t>
            </w:r>
          </w:p>
        </w:tc>
        <w:tc>
          <w:tcPr>
            <w:tcW w:w="1155" w:type="dxa"/>
            <w:vAlign w:val="center"/>
          </w:tcPr>
          <w:p>
            <w:pPr>
              <w:spacing w:line="400" w:lineRule="exact"/>
              <w:jc w:val="center"/>
              <w:rPr>
                <w:rFonts w:ascii="宋体"/>
                <w:b/>
                <w:sz w:val="28"/>
              </w:rPr>
            </w:pPr>
            <w:r>
              <w:rPr>
                <w:rFonts w:hint="eastAsia" w:ascii="宋体"/>
                <w:b/>
                <w:sz w:val="28"/>
              </w:rPr>
              <w:t>修改</w:t>
            </w:r>
          </w:p>
          <w:p>
            <w:pPr>
              <w:spacing w:line="400" w:lineRule="exact"/>
              <w:jc w:val="center"/>
              <w:rPr>
                <w:rFonts w:ascii="宋体"/>
                <w:b/>
                <w:sz w:val="28"/>
              </w:rPr>
            </w:pPr>
            <w:r>
              <w:rPr>
                <w:rFonts w:hint="eastAsia" w:ascii="宋体"/>
                <w:b/>
                <w:sz w:val="28"/>
              </w:rPr>
              <w:t>状态</w:t>
            </w:r>
          </w:p>
        </w:tc>
        <w:tc>
          <w:tcPr>
            <w:tcW w:w="1500" w:type="dxa"/>
            <w:vAlign w:val="center"/>
          </w:tcPr>
          <w:p>
            <w:pPr>
              <w:spacing w:line="400" w:lineRule="exact"/>
              <w:jc w:val="center"/>
              <w:rPr>
                <w:rFonts w:ascii="宋体"/>
                <w:b/>
                <w:sz w:val="28"/>
              </w:rPr>
            </w:pPr>
            <w:r>
              <w:rPr>
                <w:rFonts w:hint="eastAsia" w:ascii="宋体"/>
                <w:b/>
                <w:sz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1" w:hRule="atLeast"/>
        </w:trPr>
        <w:tc>
          <w:tcPr>
            <w:tcW w:w="10042" w:type="dxa"/>
            <w:gridSpan w:val="5"/>
            <w:tcBorders>
              <w:bottom w:val="single" w:color="auto" w:sz="4" w:space="0"/>
            </w:tcBorders>
          </w:tcPr>
          <w:p>
            <w:pPr>
              <w:numPr>
                <w:ilvl w:val="0"/>
                <w:numId w:val="16"/>
              </w:numPr>
              <w:spacing w:line="360" w:lineRule="exact"/>
              <w:jc w:val="left"/>
              <w:rPr>
                <w:rFonts w:ascii="宋体" w:hAnsi="宋体"/>
                <w:szCs w:val="21"/>
              </w:rPr>
            </w:pPr>
            <w:r>
              <w:rPr>
                <w:rFonts w:hint="eastAsia" w:ascii="宋体" w:hAnsi="宋体"/>
                <w:szCs w:val="21"/>
              </w:rPr>
              <w:t>目的</w:t>
            </w:r>
          </w:p>
          <w:p>
            <w:pPr>
              <w:spacing w:line="360" w:lineRule="exact"/>
              <w:ind w:left="315"/>
              <w:jc w:val="left"/>
              <w:rPr>
                <w:rFonts w:ascii="宋体" w:hAnsi="宋体"/>
                <w:szCs w:val="21"/>
              </w:rPr>
            </w:pPr>
            <w:r>
              <w:rPr>
                <w:rFonts w:hint="eastAsia" w:ascii="宋体" w:hAnsi="宋体"/>
                <w:szCs w:val="21"/>
              </w:rPr>
              <w:t>保证产品在包装、搬运、保护、储存等过程中保持完好，以满足客户需求。</w:t>
            </w:r>
          </w:p>
          <w:p>
            <w:pPr>
              <w:numPr>
                <w:ilvl w:val="0"/>
                <w:numId w:val="16"/>
              </w:numPr>
              <w:spacing w:line="360" w:lineRule="exact"/>
              <w:jc w:val="left"/>
              <w:rPr>
                <w:rFonts w:ascii="宋体" w:hAnsi="宋体"/>
                <w:szCs w:val="21"/>
              </w:rPr>
            </w:pPr>
            <w:r>
              <w:rPr>
                <w:rFonts w:hint="eastAsia" w:ascii="宋体" w:hAnsi="宋体"/>
                <w:szCs w:val="21"/>
              </w:rPr>
              <w:t>适用范围</w:t>
            </w:r>
          </w:p>
          <w:p>
            <w:pPr>
              <w:spacing w:line="360" w:lineRule="exact"/>
              <w:ind w:left="315"/>
              <w:jc w:val="left"/>
              <w:rPr>
                <w:rFonts w:ascii="宋体" w:hAnsi="宋体"/>
                <w:szCs w:val="21"/>
              </w:rPr>
            </w:pPr>
            <w:r>
              <w:rPr>
                <w:rFonts w:hint="eastAsia" w:ascii="宋体" w:hAnsi="宋体"/>
                <w:szCs w:val="21"/>
              </w:rPr>
              <w:t>适用于本公司的进货、半成品及成品在搬运、贮存、包装和保护过程的控制。</w:t>
            </w:r>
          </w:p>
          <w:p>
            <w:pPr>
              <w:numPr>
                <w:ilvl w:val="0"/>
                <w:numId w:val="16"/>
              </w:numPr>
              <w:spacing w:line="360" w:lineRule="exact"/>
              <w:jc w:val="left"/>
              <w:rPr>
                <w:rFonts w:ascii="宋体" w:hAnsi="宋体"/>
                <w:szCs w:val="21"/>
              </w:rPr>
            </w:pPr>
            <w:r>
              <w:rPr>
                <w:rFonts w:hint="eastAsia" w:ascii="宋体" w:hAnsi="宋体"/>
                <w:szCs w:val="21"/>
              </w:rPr>
              <w:t>职责</w:t>
            </w:r>
          </w:p>
          <w:p>
            <w:pPr>
              <w:spacing w:line="360" w:lineRule="exact"/>
              <w:jc w:val="left"/>
              <w:rPr>
                <w:rFonts w:ascii="宋体" w:hAnsi="宋体"/>
                <w:szCs w:val="21"/>
              </w:rPr>
            </w:pPr>
            <w:r>
              <w:rPr>
                <w:rFonts w:hint="eastAsia" w:ascii="宋体" w:hAnsi="宋体"/>
                <w:szCs w:val="21"/>
              </w:rPr>
              <w:t>3.1供方负责在提供物品过程中的防护；</w:t>
            </w:r>
          </w:p>
          <w:p>
            <w:pPr>
              <w:spacing w:line="360" w:lineRule="exact"/>
              <w:jc w:val="left"/>
              <w:rPr>
                <w:rFonts w:ascii="宋体" w:hAnsi="宋体"/>
                <w:szCs w:val="21"/>
              </w:rPr>
            </w:pPr>
            <w:r>
              <w:rPr>
                <w:rFonts w:hint="eastAsia" w:ascii="宋体" w:hAnsi="宋体"/>
                <w:szCs w:val="21"/>
              </w:rPr>
              <w:t>3..2公司内部各相关单位负责对本公司生产物品及接受供方的物品及提供给顾客产品过程中的防护。</w:t>
            </w:r>
          </w:p>
          <w:p>
            <w:pPr>
              <w:numPr>
                <w:ilvl w:val="0"/>
                <w:numId w:val="16"/>
              </w:numPr>
              <w:spacing w:line="360" w:lineRule="exact"/>
              <w:jc w:val="left"/>
              <w:rPr>
                <w:rFonts w:ascii="宋体" w:hAnsi="宋体"/>
                <w:szCs w:val="21"/>
              </w:rPr>
            </w:pPr>
            <w:r>
              <w:rPr>
                <w:rFonts w:hint="eastAsia" w:ascii="宋体" w:hAnsi="宋体"/>
                <w:szCs w:val="21"/>
              </w:rPr>
              <w:t>定义：无。</w:t>
            </w:r>
          </w:p>
          <w:p>
            <w:pPr>
              <w:numPr>
                <w:ilvl w:val="0"/>
                <w:numId w:val="16"/>
              </w:numPr>
              <w:spacing w:line="360" w:lineRule="exact"/>
              <w:jc w:val="left"/>
              <w:rPr>
                <w:rFonts w:ascii="宋体" w:hAnsi="宋体"/>
                <w:szCs w:val="21"/>
              </w:rPr>
            </w:pPr>
            <w:r>
              <w:rPr>
                <w:rFonts w:hint="eastAsia" w:ascii="宋体" w:hAnsi="宋体"/>
                <w:szCs w:val="21"/>
              </w:rPr>
              <w:t>工作内容</w:t>
            </w:r>
          </w:p>
          <w:p>
            <w:pPr>
              <w:spacing w:line="360" w:lineRule="exact"/>
              <w:jc w:val="left"/>
              <w:rPr>
                <w:rFonts w:ascii="宋体" w:hAnsi="宋体"/>
                <w:szCs w:val="21"/>
              </w:rPr>
            </w:pPr>
            <w:r>
              <w:rPr>
                <w:rFonts w:hint="eastAsia" w:ascii="宋体" w:hAnsi="宋体"/>
                <w:szCs w:val="21"/>
              </w:rPr>
              <w:t>5.1标识</w:t>
            </w:r>
          </w:p>
          <w:p>
            <w:pPr>
              <w:spacing w:line="360" w:lineRule="exact"/>
              <w:jc w:val="left"/>
              <w:rPr>
                <w:rFonts w:ascii="宋体" w:hAnsi="宋体"/>
                <w:szCs w:val="21"/>
              </w:rPr>
            </w:pPr>
            <w:r>
              <w:rPr>
                <w:rFonts w:hint="eastAsia" w:ascii="宋体" w:hAnsi="宋体"/>
                <w:szCs w:val="21"/>
              </w:rPr>
              <w:t xml:space="preserve">     各种产品要明确标识，主要包括该物品的名称、规格、日期等，以便于识别，应根据不同种状态做好待检、合格、不合格、待处理等状态标识以正确识别物品当时的状态。</w:t>
            </w:r>
          </w:p>
          <w:p>
            <w:pPr>
              <w:spacing w:line="360" w:lineRule="exact"/>
              <w:jc w:val="left"/>
              <w:rPr>
                <w:rFonts w:ascii="宋体" w:hAnsi="宋体"/>
                <w:szCs w:val="21"/>
              </w:rPr>
            </w:pPr>
            <w:r>
              <w:rPr>
                <w:rFonts w:hint="eastAsia" w:ascii="宋体" w:hAnsi="宋体"/>
                <w:szCs w:val="21"/>
              </w:rPr>
              <w:t>5.2搬运</w:t>
            </w:r>
          </w:p>
          <w:p>
            <w:pPr>
              <w:spacing w:line="360" w:lineRule="exact"/>
              <w:jc w:val="left"/>
              <w:rPr>
                <w:rFonts w:ascii="宋体" w:hAnsi="宋体"/>
                <w:szCs w:val="21"/>
              </w:rPr>
            </w:pPr>
            <w:r>
              <w:rPr>
                <w:rFonts w:hint="eastAsia" w:ascii="宋体" w:hAnsi="宋体"/>
                <w:szCs w:val="21"/>
              </w:rPr>
              <w:t>5.2.1各部门要按不同种物资的搬运要求选择搬运方式，特殊物品搬运必要时可进行搬运试验；</w:t>
            </w:r>
          </w:p>
          <w:p>
            <w:pPr>
              <w:spacing w:line="360" w:lineRule="exact"/>
              <w:jc w:val="left"/>
              <w:rPr>
                <w:rFonts w:ascii="宋体" w:hAnsi="宋体"/>
                <w:szCs w:val="21"/>
              </w:rPr>
            </w:pPr>
            <w:r>
              <w:rPr>
                <w:rFonts w:hint="eastAsia" w:ascii="宋体" w:hAnsi="宋体"/>
                <w:szCs w:val="21"/>
              </w:rPr>
              <w:t>5.2.2搬运方式</w:t>
            </w:r>
          </w:p>
          <w:p>
            <w:pPr>
              <w:numPr>
                <w:ilvl w:val="0"/>
                <w:numId w:val="17"/>
              </w:numPr>
              <w:spacing w:line="360" w:lineRule="exact"/>
              <w:jc w:val="left"/>
              <w:rPr>
                <w:rFonts w:ascii="宋体" w:hAnsi="宋体"/>
                <w:szCs w:val="21"/>
              </w:rPr>
            </w:pPr>
            <w:r>
              <w:rPr>
                <w:rFonts w:hint="eastAsia" w:ascii="宋体" w:hAnsi="宋体"/>
                <w:szCs w:val="21"/>
              </w:rPr>
              <w:t>手工搬运；</w:t>
            </w:r>
            <w:r>
              <w:rPr>
                <w:rFonts w:ascii="宋体" w:hAnsi="宋体"/>
                <w:szCs w:val="21"/>
              </w:rPr>
              <w:t>b</w:t>
            </w:r>
            <w:r>
              <w:rPr>
                <w:rFonts w:hint="eastAsia" w:ascii="宋体" w:hAnsi="宋体"/>
                <w:szCs w:val="21"/>
              </w:rPr>
              <w:t>、手推车、拖车搬运；</w:t>
            </w:r>
            <w:r>
              <w:rPr>
                <w:rFonts w:ascii="宋体" w:hAnsi="宋体"/>
                <w:szCs w:val="21"/>
              </w:rPr>
              <w:t>c</w:t>
            </w:r>
            <w:r>
              <w:rPr>
                <w:rFonts w:hint="eastAsia" w:ascii="宋体" w:hAnsi="宋体"/>
                <w:szCs w:val="21"/>
              </w:rPr>
              <w:t>、机动车辆搬运（拖拉机、汽车、叉车等）。</w:t>
            </w:r>
          </w:p>
          <w:p>
            <w:pPr>
              <w:spacing w:line="360" w:lineRule="exact"/>
              <w:jc w:val="left"/>
              <w:rPr>
                <w:rFonts w:ascii="宋体" w:hAnsi="宋体"/>
                <w:szCs w:val="21"/>
              </w:rPr>
            </w:pPr>
            <w:r>
              <w:rPr>
                <w:rFonts w:hint="eastAsia" w:ascii="宋体" w:hAnsi="宋体"/>
                <w:szCs w:val="21"/>
              </w:rPr>
              <w:t>5.2.3搬运的注意事项：</w:t>
            </w:r>
          </w:p>
          <w:p>
            <w:pPr>
              <w:numPr>
                <w:ilvl w:val="0"/>
                <w:numId w:val="18"/>
              </w:numPr>
              <w:spacing w:line="360" w:lineRule="exact"/>
              <w:jc w:val="left"/>
              <w:rPr>
                <w:rFonts w:ascii="宋体" w:hAnsi="宋体"/>
                <w:szCs w:val="21"/>
              </w:rPr>
            </w:pPr>
            <w:r>
              <w:rPr>
                <w:rFonts w:hint="eastAsia" w:ascii="宋体" w:hAnsi="宋体"/>
                <w:szCs w:val="21"/>
              </w:rPr>
              <w:t>人工搬运以安全为主，量力而行，避免野蛮搬运、装卸；</w:t>
            </w:r>
          </w:p>
          <w:p>
            <w:pPr>
              <w:numPr>
                <w:ilvl w:val="0"/>
                <w:numId w:val="18"/>
              </w:numPr>
              <w:spacing w:line="360" w:lineRule="exact"/>
              <w:jc w:val="left"/>
              <w:rPr>
                <w:rFonts w:ascii="宋体" w:hAnsi="宋体"/>
                <w:szCs w:val="21"/>
              </w:rPr>
            </w:pPr>
            <w:r>
              <w:rPr>
                <w:rFonts w:hint="eastAsia" w:ascii="宋体" w:hAnsi="宋体"/>
                <w:szCs w:val="21"/>
              </w:rPr>
              <w:t>搬运时要轻拿轻放，按一定次序，自上而下，由外至内，防止搬运不当导致异常发生；</w:t>
            </w:r>
          </w:p>
          <w:p>
            <w:pPr>
              <w:numPr>
                <w:ilvl w:val="0"/>
                <w:numId w:val="18"/>
              </w:numPr>
              <w:spacing w:line="360" w:lineRule="exact"/>
              <w:jc w:val="left"/>
              <w:rPr>
                <w:rFonts w:ascii="宋体" w:hAnsi="宋体"/>
                <w:szCs w:val="21"/>
              </w:rPr>
            </w:pPr>
            <w:r>
              <w:rPr>
                <w:rFonts w:hint="eastAsia" w:ascii="宋体" w:hAnsi="宋体"/>
                <w:szCs w:val="21"/>
              </w:rPr>
              <w:t>用车辆搬运，应将物品放牢，做到载高（≤3m）载荷正确、速度（≤10㎞/h）适中，避免侧翻跌落，损坏物品；</w:t>
            </w:r>
          </w:p>
          <w:p>
            <w:pPr>
              <w:numPr>
                <w:ilvl w:val="0"/>
                <w:numId w:val="18"/>
              </w:numPr>
              <w:spacing w:line="360" w:lineRule="exact"/>
              <w:jc w:val="left"/>
              <w:rPr>
                <w:rFonts w:ascii="宋体" w:hAnsi="宋体"/>
                <w:szCs w:val="21"/>
              </w:rPr>
            </w:pPr>
            <w:r>
              <w:rPr>
                <w:rFonts w:hint="eastAsia" w:ascii="宋体" w:hAnsi="宋体"/>
                <w:szCs w:val="21"/>
              </w:rPr>
              <w:t>对于搬运的物品，要手续完整、上下工序衔接。</w:t>
            </w:r>
          </w:p>
          <w:p>
            <w:pPr>
              <w:spacing w:line="360" w:lineRule="exact"/>
              <w:jc w:val="left"/>
              <w:rPr>
                <w:rFonts w:ascii="宋体" w:hAnsi="宋体"/>
                <w:szCs w:val="21"/>
              </w:rPr>
            </w:pPr>
            <w:r>
              <w:rPr>
                <w:rFonts w:hint="eastAsia" w:ascii="宋体" w:hAnsi="宋体"/>
                <w:szCs w:val="21"/>
              </w:rPr>
              <w:t>5.3贮存</w:t>
            </w:r>
          </w:p>
          <w:p>
            <w:pPr>
              <w:spacing w:line="360" w:lineRule="exact"/>
              <w:jc w:val="left"/>
              <w:rPr>
                <w:rFonts w:ascii="宋体" w:hAnsi="宋体"/>
                <w:szCs w:val="21"/>
              </w:rPr>
            </w:pPr>
            <w:r>
              <w:rPr>
                <w:rFonts w:hint="eastAsia" w:ascii="宋体" w:hAnsi="宋体"/>
                <w:szCs w:val="21"/>
              </w:rPr>
              <w:t>5.3.1贮存的原则：先进先出，帐卡物相符：摆放正确，方便存取；分类整齐存放，标识齐全，且仓库非必要人员禁止随便出入。</w:t>
            </w:r>
          </w:p>
          <w:p>
            <w:pPr>
              <w:spacing w:line="360" w:lineRule="exact"/>
              <w:jc w:val="left"/>
              <w:rPr>
                <w:rFonts w:ascii="宋体" w:hAnsi="宋体"/>
                <w:szCs w:val="21"/>
              </w:rPr>
            </w:pPr>
            <w:r>
              <w:rPr>
                <w:rFonts w:hint="eastAsia" w:ascii="宋体" w:hAnsi="宋体"/>
                <w:szCs w:val="21"/>
              </w:rPr>
              <w:t>5.3.2安全措施：易燃、易爆和有毒物品的存放，按照国家有关法律法规严格控制管理；</w:t>
            </w:r>
          </w:p>
          <w:p>
            <w:pPr>
              <w:spacing w:line="360" w:lineRule="exact"/>
              <w:jc w:val="left"/>
              <w:rPr>
                <w:rFonts w:ascii="宋体" w:hAnsi="宋体"/>
                <w:szCs w:val="21"/>
              </w:rPr>
            </w:pPr>
            <w:r>
              <w:rPr>
                <w:rFonts w:hint="eastAsia" w:ascii="宋体" w:hAnsi="宋体"/>
                <w:szCs w:val="21"/>
              </w:rPr>
              <w:t>5.3.3环境控制：不同种物品要按不同的存放条件、保护措施来贮存。</w:t>
            </w:r>
          </w:p>
          <w:p>
            <w:pPr>
              <w:spacing w:line="360" w:lineRule="exact"/>
              <w:jc w:val="left"/>
              <w:rPr>
                <w:rFonts w:ascii="宋体" w:hAnsi="宋体"/>
                <w:szCs w:val="21"/>
              </w:rPr>
            </w:pPr>
            <w:r>
              <w:rPr>
                <w:rFonts w:hint="eastAsia" w:ascii="宋体" w:hAnsi="宋体"/>
                <w:szCs w:val="21"/>
              </w:rPr>
              <w:t>5.3.4贮存条件：贮存的物品要井然有序、区域明显、标识齐全、高度适宜，必要时要覆盖保护层，露天存放要上盖下垫，整齐牢固；</w:t>
            </w:r>
          </w:p>
          <w:p>
            <w:pPr>
              <w:spacing w:line="360" w:lineRule="exact"/>
              <w:jc w:val="left"/>
              <w:rPr>
                <w:rFonts w:ascii="宋体" w:hAnsi="宋体"/>
                <w:szCs w:val="21"/>
              </w:rPr>
            </w:pPr>
            <w:r>
              <w:rPr>
                <w:rFonts w:hint="eastAsia" w:ascii="宋体" w:hAnsi="宋体"/>
                <w:szCs w:val="21"/>
              </w:rPr>
              <w:t>5.3.5检验：成品件及成品库保管员要负责好贮存检查、有效期检查，及时向生产车间门反映质量情况：对超出有效期的，由质检人员重新确认其质量情况；</w:t>
            </w:r>
          </w:p>
          <w:p>
            <w:pPr>
              <w:spacing w:line="360" w:lineRule="exact"/>
              <w:jc w:val="left"/>
              <w:rPr>
                <w:rFonts w:ascii="宋体" w:hAnsi="宋体"/>
                <w:szCs w:val="21"/>
              </w:rPr>
            </w:pPr>
            <w:r>
              <w:rPr>
                <w:rFonts w:hint="eastAsia" w:ascii="宋体" w:hAnsi="宋体"/>
                <w:szCs w:val="21"/>
              </w:rPr>
              <w:t>5.3.6产品出入库：由保管员开据《产品调拨凭证》，并按时登记，保证帐、卡、物相符；对于库存不合格品做好隔离存放并标识，及时按《不合格品控制程序》执行；</w:t>
            </w:r>
          </w:p>
          <w:p>
            <w:pPr>
              <w:spacing w:line="360" w:lineRule="exact"/>
              <w:jc w:val="left"/>
              <w:rPr>
                <w:rFonts w:ascii="宋体" w:hAnsi="宋体"/>
                <w:szCs w:val="21"/>
              </w:rPr>
            </w:pPr>
            <w:r>
              <w:rPr>
                <w:rFonts w:hint="eastAsia" w:ascii="宋体" w:hAnsi="宋体"/>
                <w:szCs w:val="21"/>
              </w:rPr>
              <w:t>5.3.7报表：各车间、仓库由专人每日报生产车间和总经理综合部办库存表；</w:t>
            </w:r>
          </w:p>
          <w:p>
            <w:pPr>
              <w:spacing w:line="360" w:lineRule="exact"/>
              <w:jc w:val="left"/>
              <w:rPr>
                <w:rFonts w:ascii="宋体" w:hAnsi="宋体"/>
                <w:szCs w:val="21"/>
              </w:rPr>
            </w:pPr>
            <w:r>
              <w:rPr>
                <w:rFonts w:hint="eastAsia" w:ascii="宋体" w:hAnsi="宋体"/>
                <w:szCs w:val="21"/>
              </w:rPr>
              <w:t>5.3.8盘点：仓库人员不定时盘点，数、质无误，财务科年底做年度盘点，确保贮存准确。</w:t>
            </w:r>
          </w:p>
          <w:p>
            <w:pPr>
              <w:spacing w:line="360" w:lineRule="exact"/>
              <w:jc w:val="left"/>
              <w:rPr>
                <w:rFonts w:ascii="宋体" w:hAnsi="宋体"/>
                <w:szCs w:val="21"/>
              </w:rPr>
            </w:pPr>
            <w:r>
              <w:rPr>
                <w:rFonts w:hint="eastAsia" w:ascii="宋体" w:hAnsi="宋体"/>
                <w:szCs w:val="21"/>
              </w:rPr>
              <w:t>5.4包装</w:t>
            </w:r>
          </w:p>
          <w:p>
            <w:pPr>
              <w:spacing w:line="360" w:lineRule="exact"/>
              <w:jc w:val="left"/>
              <w:rPr>
                <w:rFonts w:ascii="宋体" w:hAnsi="宋体"/>
                <w:szCs w:val="21"/>
              </w:rPr>
            </w:pPr>
            <w:r>
              <w:rPr>
                <w:rFonts w:hint="eastAsia" w:ascii="宋体" w:hAnsi="宋体"/>
                <w:szCs w:val="21"/>
              </w:rPr>
              <w:t>5.4.1包装前，操作者要了解包装要求，必要时由部门负责人做包装示例封样；对于新产品特殊包装要求的，由生产、生产车间门组织先试验，待生产车间门验收，必要时顾客确认后方可包装；</w:t>
            </w:r>
          </w:p>
          <w:p>
            <w:pPr>
              <w:spacing w:line="360" w:lineRule="exact"/>
              <w:jc w:val="left"/>
              <w:rPr>
                <w:rFonts w:ascii="宋体" w:hAnsi="宋体"/>
                <w:szCs w:val="21"/>
              </w:rPr>
            </w:pPr>
            <w:r>
              <w:rPr>
                <w:rFonts w:hint="eastAsia" w:ascii="宋体" w:hAnsi="宋体"/>
                <w:szCs w:val="21"/>
              </w:rPr>
              <w:t>5.4.2包装时要求操作者按包装作业指导书进行操作；</w:t>
            </w:r>
          </w:p>
          <w:p>
            <w:pPr>
              <w:spacing w:line="360" w:lineRule="exact"/>
              <w:jc w:val="left"/>
              <w:rPr>
                <w:rFonts w:ascii="宋体" w:hAnsi="宋体"/>
                <w:szCs w:val="21"/>
              </w:rPr>
            </w:pPr>
            <w:r>
              <w:rPr>
                <w:rFonts w:hint="eastAsia" w:ascii="宋体" w:hAnsi="宋体"/>
                <w:szCs w:val="21"/>
              </w:rPr>
              <w:t>5.4.3包装所涉及到的各种材料、包装物必须使用经检验的合格品；</w:t>
            </w:r>
          </w:p>
          <w:p>
            <w:pPr>
              <w:spacing w:line="360" w:lineRule="exact"/>
              <w:jc w:val="left"/>
              <w:rPr>
                <w:rFonts w:ascii="宋体" w:hAnsi="宋体"/>
                <w:szCs w:val="21"/>
              </w:rPr>
            </w:pPr>
            <w:r>
              <w:rPr>
                <w:rFonts w:hint="eastAsia" w:ascii="宋体" w:hAnsi="宋体"/>
                <w:szCs w:val="21"/>
              </w:rPr>
              <w:t>5.4.4包装过程：要做好衬垫及被包装物的正确放置，并根据顾客要求放置必要的附件，如商标、条码、装配图、配件等；</w:t>
            </w:r>
          </w:p>
          <w:p>
            <w:pPr>
              <w:spacing w:line="360" w:lineRule="exact"/>
              <w:jc w:val="left"/>
              <w:rPr>
                <w:rFonts w:ascii="宋体" w:hAnsi="宋体"/>
                <w:szCs w:val="21"/>
              </w:rPr>
            </w:pPr>
            <w:r>
              <w:rPr>
                <w:rFonts w:hint="eastAsia" w:ascii="宋体" w:hAnsi="宋体"/>
                <w:szCs w:val="21"/>
              </w:rPr>
              <w:t>5.4.5标识：必要时外包装上根据要求注明各种标识，位置正确，清晰醒目，不易掉色；</w:t>
            </w:r>
          </w:p>
          <w:p>
            <w:pPr>
              <w:spacing w:line="360" w:lineRule="exact"/>
              <w:jc w:val="left"/>
              <w:rPr>
                <w:rFonts w:ascii="宋体" w:hAnsi="宋体"/>
                <w:szCs w:val="21"/>
              </w:rPr>
            </w:pPr>
            <w:r>
              <w:rPr>
                <w:rFonts w:hint="eastAsia" w:ascii="宋体" w:hAnsi="宋体"/>
                <w:szCs w:val="21"/>
              </w:rPr>
              <w:t>5.4.6检验：操作者正确包装后，质检员进行抽检，并做好记录，发现不符合要求立即返工，并由质检员监督执行；</w:t>
            </w:r>
          </w:p>
          <w:p>
            <w:pPr>
              <w:spacing w:line="360" w:lineRule="exact"/>
              <w:jc w:val="left"/>
              <w:rPr>
                <w:rFonts w:ascii="宋体" w:hAnsi="宋体"/>
                <w:szCs w:val="21"/>
              </w:rPr>
            </w:pPr>
            <w:r>
              <w:rPr>
                <w:rFonts w:hint="eastAsia" w:ascii="宋体" w:hAnsi="宋体"/>
                <w:szCs w:val="21"/>
              </w:rPr>
              <w:t>5.4.7包装完毕，要正确存放，做好标识，以待发运。</w:t>
            </w:r>
          </w:p>
          <w:p>
            <w:pPr>
              <w:spacing w:line="360" w:lineRule="exact"/>
              <w:jc w:val="left"/>
              <w:rPr>
                <w:rFonts w:ascii="宋体" w:hAnsi="宋体"/>
                <w:szCs w:val="21"/>
              </w:rPr>
            </w:pPr>
            <w:r>
              <w:rPr>
                <w:rFonts w:hint="eastAsia" w:ascii="宋体" w:hAnsi="宋体"/>
                <w:szCs w:val="21"/>
              </w:rPr>
              <w:t>5.5保护</w:t>
            </w:r>
          </w:p>
          <w:p>
            <w:pPr>
              <w:spacing w:line="360" w:lineRule="exact"/>
              <w:jc w:val="left"/>
              <w:rPr>
                <w:rFonts w:ascii="宋体" w:hAnsi="宋体"/>
                <w:szCs w:val="21"/>
              </w:rPr>
            </w:pPr>
            <w:r>
              <w:rPr>
                <w:rFonts w:hint="eastAsia" w:ascii="宋体" w:hAnsi="宋体"/>
                <w:szCs w:val="21"/>
              </w:rPr>
              <w:t>5.5.1操作人员对产品要轻拿轻放，避免人为的磕碰、损坏；</w:t>
            </w:r>
          </w:p>
          <w:p>
            <w:pPr>
              <w:spacing w:line="360" w:lineRule="exact"/>
              <w:jc w:val="left"/>
              <w:rPr>
                <w:rFonts w:ascii="宋体" w:hAnsi="宋体"/>
                <w:szCs w:val="21"/>
              </w:rPr>
            </w:pPr>
            <w:r>
              <w:rPr>
                <w:rFonts w:hint="eastAsia" w:ascii="宋体" w:hAnsi="宋体"/>
                <w:szCs w:val="21"/>
              </w:rPr>
              <w:t>5.5.2产品的搬运保护依照5.3规定，不得有损于产品；</w:t>
            </w:r>
          </w:p>
          <w:p>
            <w:pPr>
              <w:spacing w:line="360" w:lineRule="exact"/>
              <w:jc w:val="left"/>
              <w:rPr>
                <w:rFonts w:ascii="宋体" w:hAnsi="宋体"/>
                <w:szCs w:val="21"/>
              </w:rPr>
            </w:pPr>
            <w:r>
              <w:rPr>
                <w:rFonts w:hint="eastAsia" w:ascii="宋体" w:hAnsi="宋体"/>
                <w:szCs w:val="21"/>
              </w:rPr>
              <w:t>5.5.3仓库存放按不同种产品的要求，要做到防火、防潮、防尘等要求；</w:t>
            </w:r>
          </w:p>
          <w:p>
            <w:pPr>
              <w:spacing w:line="360" w:lineRule="exact"/>
              <w:jc w:val="left"/>
              <w:rPr>
                <w:rFonts w:ascii="宋体" w:hAnsi="宋体"/>
                <w:szCs w:val="21"/>
              </w:rPr>
            </w:pPr>
            <w:r>
              <w:rPr>
                <w:rFonts w:hint="eastAsia" w:ascii="宋体" w:hAnsi="宋体"/>
                <w:szCs w:val="21"/>
              </w:rPr>
              <w:t>5.5.4成品出货装车，应由前至后装载，高度适宜，固定牢固，不得有损产品质量；集装箱装运要根据包装形式或顾客要求装箱。</w:t>
            </w:r>
          </w:p>
          <w:p>
            <w:pPr>
              <w:numPr>
                <w:ilvl w:val="0"/>
                <w:numId w:val="16"/>
              </w:numPr>
              <w:spacing w:line="360" w:lineRule="exact"/>
              <w:jc w:val="left"/>
              <w:rPr>
                <w:rFonts w:ascii="宋体" w:hAnsi="宋体"/>
                <w:szCs w:val="21"/>
              </w:rPr>
            </w:pPr>
            <w:r>
              <w:rPr>
                <w:rFonts w:hint="eastAsia" w:ascii="宋体" w:hAnsi="宋体"/>
                <w:szCs w:val="21"/>
              </w:rPr>
              <w:t>相关/支持性文件</w:t>
            </w:r>
          </w:p>
          <w:p>
            <w:pPr>
              <w:spacing w:line="360" w:lineRule="exact"/>
              <w:jc w:val="left"/>
              <w:rPr>
                <w:rFonts w:ascii="宋体" w:hAnsi="宋体"/>
                <w:szCs w:val="21"/>
              </w:rPr>
            </w:pPr>
            <w:r>
              <w:rPr>
                <w:rFonts w:hint="eastAsia" w:ascii="宋体" w:hAnsi="宋体"/>
                <w:szCs w:val="21"/>
              </w:rPr>
              <w:t>6.1产品标识和可追溯性控制程序</w:t>
            </w:r>
          </w:p>
          <w:p>
            <w:pPr>
              <w:spacing w:line="360" w:lineRule="exact"/>
              <w:jc w:val="left"/>
              <w:rPr>
                <w:rFonts w:ascii="宋体" w:hAnsi="宋体"/>
                <w:szCs w:val="21"/>
              </w:rPr>
            </w:pPr>
            <w:r>
              <w:rPr>
                <w:rFonts w:hint="eastAsia" w:ascii="宋体" w:hAnsi="宋体"/>
                <w:szCs w:val="21"/>
              </w:rPr>
              <w:t>6.2包装作业指导书</w:t>
            </w:r>
          </w:p>
          <w:p>
            <w:pPr>
              <w:spacing w:line="360" w:lineRule="exact"/>
              <w:jc w:val="left"/>
              <w:rPr>
                <w:rFonts w:ascii="宋体" w:hAnsi="宋体"/>
                <w:szCs w:val="21"/>
              </w:rPr>
            </w:pPr>
            <w:r>
              <w:rPr>
                <w:rFonts w:hint="eastAsia" w:ascii="宋体" w:hAnsi="宋体"/>
                <w:szCs w:val="21"/>
              </w:rPr>
              <w:t>6.3不合格品控制程序</w:t>
            </w:r>
          </w:p>
          <w:p>
            <w:pPr>
              <w:spacing w:line="360" w:lineRule="exact"/>
              <w:jc w:val="left"/>
              <w:rPr>
                <w:rFonts w:ascii="宋体" w:hAnsi="宋体"/>
                <w:szCs w:val="21"/>
              </w:rPr>
            </w:pPr>
            <w:r>
              <w:rPr>
                <w:rFonts w:hint="eastAsia" w:ascii="宋体" w:hAnsi="宋体"/>
                <w:szCs w:val="21"/>
              </w:rPr>
              <w:t>6.4检验和试验控制程序</w:t>
            </w:r>
          </w:p>
          <w:p>
            <w:pPr>
              <w:spacing w:line="360" w:lineRule="exact"/>
              <w:jc w:val="left"/>
              <w:rPr>
                <w:rFonts w:ascii="宋体" w:hAnsi="宋体"/>
                <w:szCs w:val="21"/>
              </w:rPr>
            </w:pPr>
            <w:r>
              <w:rPr>
                <w:rFonts w:hint="eastAsia" w:ascii="宋体" w:hAnsi="宋体"/>
                <w:szCs w:val="21"/>
              </w:rPr>
              <w:t>6.5资源管理控制程序</w:t>
            </w:r>
          </w:p>
          <w:p>
            <w:pPr>
              <w:spacing w:line="360" w:lineRule="exact"/>
              <w:jc w:val="left"/>
              <w:rPr>
                <w:rFonts w:ascii="宋体" w:hAnsi="宋体"/>
                <w:szCs w:val="21"/>
              </w:rPr>
            </w:pPr>
            <w:r>
              <w:rPr>
                <w:rFonts w:hint="eastAsia" w:ascii="宋体" w:hAnsi="宋体"/>
                <w:szCs w:val="21"/>
              </w:rPr>
              <w:t>7、记录                                  编号                版本           保存期限</w:t>
            </w:r>
          </w:p>
          <w:p>
            <w:pPr>
              <w:spacing w:line="360" w:lineRule="exact"/>
              <w:jc w:val="left"/>
              <w:rPr>
                <w:rFonts w:ascii="宋体" w:hAnsi="宋体"/>
                <w:szCs w:val="21"/>
              </w:rPr>
            </w:pPr>
            <w:r>
              <w:rPr>
                <w:rFonts w:hint="eastAsia" w:ascii="宋体" w:hAnsi="宋体"/>
                <w:szCs w:val="21"/>
              </w:rPr>
              <w:t>7.1产品包装过程记录                        LQY-P-16-01             01               一年</w:t>
            </w:r>
          </w:p>
          <w:p>
            <w:pPr>
              <w:spacing w:line="360" w:lineRule="exact"/>
              <w:jc w:val="left"/>
              <w:rPr>
                <w:rFonts w:ascii="宋体" w:hAnsi="宋体"/>
                <w:szCs w:val="21"/>
              </w:rPr>
            </w:pPr>
            <w:r>
              <w:rPr>
                <w:rFonts w:hint="eastAsia" w:ascii="宋体" w:hAnsi="宋体"/>
                <w:szCs w:val="21"/>
              </w:rPr>
              <w:t>7.2装箱验收单                              LQY-P-16-02             01               一年</w:t>
            </w:r>
          </w:p>
          <w:p>
            <w:pPr>
              <w:spacing w:line="360" w:lineRule="exact"/>
              <w:jc w:val="left"/>
              <w:rPr>
                <w:rFonts w:ascii="宋体" w:hAnsi="宋体"/>
                <w:szCs w:val="21"/>
              </w:rPr>
            </w:pPr>
            <w:r>
              <w:rPr>
                <w:rFonts w:hint="eastAsia" w:ascii="宋体" w:hAnsi="宋体"/>
                <w:szCs w:val="21"/>
              </w:rPr>
              <w:t>7.3产品调拨凭证                            LQY-P-16-03             01               一年</w:t>
            </w:r>
          </w:p>
          <w:p>
            <w:pPr>
              <w:spacing w:line="360" w:lineRule="exact"/>
              <w:jc w:val="left"/>
              <w:rPr>
                <w:rFonts w:ascii="宋体" w:hAnsi="宋体"/>
                <w:szCs w:val="21"/>
              </w:rPr>
            </w:pPr>
            <w:r>
              <w:rPr>
                <w:rFonts w:hint="eastAsia" w:ascii="宋体" w:hAnsi="宋体"/>
                <w:szCs w:val="21"/>
              </w:rPr>
              <w:t>7.4发货通知单                              LQY-P-16-04             01               一年</w:t>
            </w:r>
          </w:p>
          <w:p>
            <w:pPr>
              <w:spacing w:line="360" w:lineRule="exact"/>
              <w:jc w:val="left"/>
              <w:rPr>
                <w:rFonts w:ascii="宋体" w:hAnsi="宋体"/>
                <w:szCs w:val="21"/>
              </w:rPr>
            </w:pPr>
          </w:p>
          <w:p>
            <w:pPr>
              <w:spacing w:line="360" w:lineRule="exact"/>
              <w:jc w:val="left"/>
              <w:rPr>
                <w:rFonts w:ascii="宋体" w:hAnsi="宋体"/>
                <w:szCs w:val="21"/>
              </w:rPr>
            </w:pPr>
          </w:p>
          <w:p>
            <w:pPr>
              <w:spacing w:line="360" w:lineRule="exact"/>
              <w:jc w:val="left"/>
              <w:rPr>
                <w:rFonts w:ascii="宋体" w:hAnsi="宋体"/>
                <w:szCs w:val="21"/>
              </w:rPr>
            </w:pPr>
          </w:p>
          <w:p>
            <w:pPr>
              <w:spacing w:line="360" w:lineRule="exact"/>
              <w:jc w:val="left"/>
              <w:rPr>
                <w:rFonts w:ascii="宋体" w:hAnsi="宋体"/>
                <w:szCs w:val="21"/>
              </w:rPr>
            </w:pPr>
          </w:p>
          <w:p>
            <w:pPr>
              <w:spacing w:line="360" w:lineRule="exact"/>
              <w:jc w:val="left"/>
              <w:rPr>
                <w:rFonts w:ascii="宋体" w:hAnsi="宋体"/>
                <w:szCs w:val="21"/>
              </w:rPr>
            </w:pPr>
          </w:p>
          <w:p>
            <w:pPr>
              <w:spacing w:line="360" w:lineRule="exact"/>
              <w:jc w:val="left"/>
              <w:rPr>
                <w:rFonts w:ascii="宋体" w:hAnsi="宋体"/>
                <w:szCs w:val="21"/>
              </w:rPr>
            </w:pPr>
          </w:p>
          <w:p>
            <w:pPr>
              <w:spacing w:line="360" w:lineRule="exact"/>
              <w:jc w:val="left"/>
              <w:rPr>
                <w:rFonts w:ascii="宋体" w:hAnsi="宋体"/>
                <w:szCs w:val="21"/>
              </w:rPr>
            </w:pPr>
          </w:p>
          <w:p>
            <w:pPr>
              <w:spacing w:line="360" w:lineRule="exact"/>
              <w:jc w:val="left"/>
              <w:rPr>
                <w:rFonts w:ascii="宋体" w:hAnsi="宋体"/>
                <w:szCs w:val="21"/>
              </w:rPr>
            </w:pPr>
          </w:p>
          <w:p>
            <w:pPr>
              <w:spacing w:line="360" w:lineRule="exact"/>
              <w:jc w:val="left"/>
              <w:rPr>
                <w:rFonts w:ascii="宋体" w:hAnsi="宋体"/>
                <w:szCs w:val="21"/>
              </w:rPr>
            </w:pPr>
          </w:p>
          <w:p>
            <w:pPr>
              <w:spacing w:line="360" w:lineRule="exact"/>
              <w:jc w:val="left"/>
              <w:rPr>
                <w:rFonts w:ascii="宋体" w:hAnsi="宋体"/>
                <w:szCs w:val="21"/>
              </w:rPr>
            </w:pPr>
          </w:p>
        </w:tc>
      </w:tr>
    </w:tbl>
    <w:p/>
    <w:p/>
    <w:tbl>
      <w:tblPr>
        <w:tblStyle w:val="9"/>
        <w:tblW w:w="10324"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8"/>
        <w:gridCol w:w="2127"/>
        <w:gridCol w:w="2734"/>
        <w:gridCol w:w="1922"/>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478" w:type="dxa"/>
            <w:vMerge w:val="restart"/>
          </w:tcPr>
          <w:p/>
        </w:tc>
        <w:tc>
          <w:tcPr>
            <w:tcW w:w="2127" w:type="dxa"/>
            <w:vAlign w:val="center"/>
          </w:tcPr>
          <w:p>
            <w:pPr>
              <w:jc w:val="center"/>
              <w:rPr>
                <w:rFonts w:ascii="宋体"/>
                <w:b/>
                <w:sz w:val="28"/>
              </w:rPr>
            </w:pPr>
            <w:r>
              <w:rPr>
                <w:rFonts w:hint="eastAsia" w:ascii="宋体"/>
                <w:b/>
                <w:sz w:val="28"/>
              </w:rPr>
              <w:t>文件名称</w:t>
            </w:r>
          </w:p>
        </w:tc>
        <w:tc>
          <w:tcPr>
            <w:tcW w:w="2734" w:type="dxa"/>
            <w:vAlign w:val="center"/>
          </w:tcPr>
          <w:p>
            <w:pPr>
              <w:jc w:val="center"/>
              <w:rPr>
                <w:rFonts w:ascii="宋体"/>
                <w:b/>
                <w:sz w:val="24"/>
                <w:szCs w:val="24"/>
              </w:rPr>
            </w:pPr>
            <w:r>
              <w:rPr>
                <w:rFonts w:hint="eastAsia" w:ascii="宋体"/>
                <w:b/>
                <w:sz w:val="24"/>
                <w:szCs w:val="24"/>
              </w:rPr>
              <w:t>检验和试验控制程序</w:t>
            </w:r>
          </w:p>
        </w:tc>
        <w:tc>
          <w:tcPr>
            <w:tcW w:w="1922" w:type="dxa"/>
            <w:vAlign w:val="center"/>
          </w:tcPr>
          <w:p>
            <w:pPr>
              <w:jc w:val="center"/>
              <w:rPr>
                <w:rFonts w:ascii="宋体"/>
                <w:b/>
                <w:sz w:val="28"/>
              </w:rPr>
            </w:pPr>
            <w:r>
              <w:rPr>
                <w:rFonts w:hint="eastAsia" w:ascii="宋体"/>
                <w:b/>
                <w:sz w:val="28"/>
              </w:rPr>
              <w:t>版次</w:t>
            </w:r>
          </w:p>
        </w:tc>
        <w:tc>
          <w:tcPr>
            <w:tcW w:w="1063" w:type="dxa"/>
            <w:vAlign w:val="center"/>
          </w:tcPr>
          <w:p>
            <w:pPr>
              <w:jc w:val="center"/>
              <w:rPr>
                <w:rFonts w:ascii="宋体"/>
                <w:b/>
                <w:sz w:val="28"/>
              </w:rPr>
            </w:pPr>
            <w:r>
              <w:rPr>
                <w:rFonts w:hint="eastAsia" w:ascii="宋体"/>
                <w:b/>
                <w:sz w:val="2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478" w:type="dxa"/>
            <w:vMerge w:val="continue"/>
          </w:tcPr>
          <w:p>
            <w:pPr>
              <w:spacing w:line="400" w:lineRule="exact"/>
              <w:jc w:val="center"/>
              <w:rPr>
                <w:rFonts w:eastAsia="黑体"/>
                <w:b/>
                <w:sz w:val="36"/>
              </w:rPr>
            </w:pPr>
          </w:p>
        </w:tc>
        <w:tc>
          <w:tcPr>
            <w:tcW w:w="2127" w:type="dxa"/>
            <w:vAlign w:val="center"/>
          </w:tcPr>
          <w:p>
            <w:pPr>
              <w:spacing w:line="400" w:lineRule="exact"/>
              <w:jc w:val="center"/>
              <w:rPr>
                <w:rFonts w:ascii="宋体"/>
                <w:b/>
                <w:sz w:val="28"/>
              </w:rPr>
            </w:pPr>
            <w:r>
              <w:rPr>
                <w:rFonts w:hint="eastAsia" w:ascii="宋体"/>
                <w:b/>
                <w:sz w:val="28"/>
              </w:rPr>
              <w:t>文件编号</w:t>
            </w:r>
          </w:p>
        </w:tc>
        <w:tc>
          <w:tcPr>
            <w:tcW w:w="2734" w:type="dxa"/>
            <w:vAlign w:val="center"/>
          </w:tcPr>
          <w:p>
            <w:pPr>
              <w:spacing w:line="400" w:lineRule="exact"/>
              <w:jc w:val="center"/>
              <w:rPr>
                <w:rFonts w:ascii="宋体"/>
                <w:b/>
                <w:sz w:val="28"/>
              </w:rPr>
            </w:pPr>
            <w:r>
              <w:rPr>
                <w:rFonts w:hint="eastAsia" w:ascii="宋体"/>
                <w:b/>
                <w:sz w:val="28"/>
              </w:rPr>
              <w:t>LQY—P—21</w:t>
            </w:r>
          </w:p>
        </w:tc>
        <w:tc>
          <w:tcPr>
            <w:tcW w:w="1922" w:type="dxa"/>
            <w:vAlign w:val="center"/>
          </w:tcPr>
          <w:p>
            <w:pPr>
              <w:spacing w:line="400" w:lineRule="exact"/>
              <w:jc w:val="center"/>
              <w:rPr>
                <w:rFonts w:ascii="宋体"/>
                <w:b/>
                <w:sz w:val="28"/>
              </w:rPr>
            </w:pPr>
            <w:r>
              <w:rPr>
                <w:rFonts w:hint="eastAsia" w:ascii="宋体"/>
                <w:b/>
                <w:sz w:val="28"/>
              </w:rPr>
              <w:t>修改状态</w:t>
            </w:r>
          </w:p>
        </w:tc>
        <w:tc>
          <w:tcPr>
            <w:tcW w:w="1063" w:type="dxa"/>
            <w:vAlign w:val="center"/>
          </w:tcPr>
          <w:p>
            <w:pPr>
              <w:spacing w:line="400" w:lineRule="exact"/>
              <w:jc w:val="center"/>
              <w:rPr>
                <w:rFonts w:ascii="宋体"/>
                <w:b/>
                <w:sz w:val="28"/>
              </w:rPr>
            </w:pPr>
            <w:r>
              <w:rPr>
                <w:rFonts w:hint="eastAsia" w:ascii="宋体"/>
                <w:b/>
                <w:sz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5" w:hRule="atLeast"/>
        </w:trPr>
        <w:tc>
          <w:tcPr>
            <w:tcW w:w="10324" w:type="dxa"/>
            <w:gridSpan w:val="5"/>
          </w:tcPr>
          <w:p>
            <w:pPr>
              <w:spacing w:line="360" w:lineRule="exact"/>
              <w:jc w:val="left"/>
            </w:pPr>
            <w:r>
              <w:rPr>
                <w:rFonts w:hint="eastAsia"/>
              </w:rPr>
              <w:t>1. 目的：</w:t>
            </w:r>
          </w:p>
          <w:p>
            <w:pPr>
              <w:spacing w:line="360" w:lineRule="exact"/>
              <w:jc w:val="left"/>
            </w:pPr>
            <w:r>
              <w:rPr>
                <w:rFonts w:hint="eastAsia"/>
              </w:rPr>
              <w:t xml:space="preserve"> 对进厂原材料、外购外协产品件至成品进行检验和试验，防止未经检验的产品投入使用、进入下道工序和出厂。</w:t>
            </w:r>
          </w:p>
          <w:p>
            <w:pPr>
              <w:spacing w:line="360" w:lineRule="exact"/>
              <w:jc w:val="left"/>
            </w:pPr>
            <w:r>
              <w:rPr>
                <w:rFonts w:hint="eastAsia"/>
              </w:rPr>
              <w:t>2. 适用范围：</w:t>
            </w:r>
          </w:p>
          <w:p>
            <w:pPr>
              <w:spacing w:line="360" w:lineRule="exact"/>
              <w:jc w:val="left"/>
            </w:pPr>
            <w:r>
              <w:rPr>
                <w:rFonts w:hint="eastAsia"/>
              </w:rPr>
              <w:t>适用于对进货检验、生产过程检验及产品成品最终检验的控制。</w:t>
            </w:r>
          </w:p>
          <w:p>
            <w:pPr>
              <w:spacing w:line="360" w:lineRule="exact"/>
              <w:jc w:val="left"/>
            </w:pPr>
            <w:r>
              <w:rPr>
                <w:rFonts w:hint="eastAsia"/>
              </w:rPr>
              <w:t>3.职责：</w:t>
            </w:r>
          </w:p>
          <w:p>
            <w:pPr>
              <w:spacing w:line="360" w:lineRule="exact"/>
              <w:jc w:val="left"/>
            </w:pPr>
            <w:r>
              <w:rPr>
                <w:rFonts w:hint="eastAsia"/>
              </w:rPr>
              <w:t>3.1 生产车间负责进厂原材料、外购外协件的检验。</w:t>
            </w:r>
          </w:p>
          <w:p>
            <w:pPr>
              <w:spacing w:line="360" w:lineRule="exact"/>
              <w:jc w:val="left"/>
            </w:pPr>
            <w:r>
              <w:rPr>
                <w:rFonts w:hint="eastAsia"/>
              </w:rPr>
              <w:t>3.2 生产车间负责零部件、半成品及成品的检验。</w:t>
            </w:r>
          </w:p>
          <w:p>
            <w:pPr>
              <w:spacing w:line="360" w:lineRule="exact"/>
              <w:jc w:val="left"/>
            </w:pPr>
            <w:r>
              <w:rPr>
                <w:rFonts w:hint="eastAsia"/>
              </w:rPr>
              <w:t>4. 定义： 无。</w:t>
            </w:r>
          </w:p>
          <w:p>
            <w:pPr>
              <w:spacing w:line="360" w:lineRule="exact"/>
              <w:jc w:val="left"/>
            </w:pPr>
            <w:r>
              <w:rPr>
                <w:rFonts w:hint="eastAsia"/>
              </w:rPr>
              <w:t>5. 工作程序：</w:t>
            </w:r>
          </w:p>
          <w:p>
            <w:pPr>
              <w:spacing w:line="360" w:lineRule="exact"/>
              <w:jc w:val="left"/>
            </w:pPr>
            <w:r>
              <w:rPr>
                <w:rFonts w:hint="eastAsia"/>
              </w:rPr>
              <w:t>5.1 流程图（见附件）</w:t>
            </w:r>
          </w:p>
          <w:p>
            <w:pPr>
              <w:spacing w:line="360" w:lineRule="exact"/>
              <w:jc w:val="left"/>
            </w:pPr>
            <w:r>
              <w:rPr>
                <w:rFonts w:hint="eastAsia"/>
              </w:rPr>
              <w:t>5.2 进厂物资检验和试验</w:t>
            </w:r>
          </w:p>
          <w:p>
            <w:pPr>
              <w:spacing w:line="360" w:lineRule="exact"/>
              <w:jc w:val="left"/>
            </w:pPr>
            <w:r>
              <w:rPr>
                <w:rFonts w:hint="eastAsia"/>
              </w:rPr>
              <w:t>5.2.1 进厂物资，由物资采购人员出具报检单，供方凭单到生产车间化验试验室检验。</w:t>
            </w:r>
          </w:p>
          <w:p>
            <w:pPr>
              <w:spacing w:line="360" w:lineRule="exact"/>
              <w:jc w:val="left"/>
            </w:pPr>
            <w:r>
              <w:rPr>
                <w:rFonts w:hint="eastAsia"/>
              </w:rPr>
              <w:t>5.2.2 检验人员按照检验标准进行检验，并根据检验结果出具检验报告单。若合格，由接收部门见检验单办理入库手续；若不合格，则按《不合格品控制程序》执行。</w:t>
            </w:r>
          </w:p>
          <w:p>
            <w:pPr>
              <w:spacing w:line="360" w:lineRule="exact"/>
              <w:jc w:val="left"/>
            </w:pPr>
            <w:r>
              <w:rPr>
                <w:rFonts w:hint="eastAsia"/>
              </w:rPr>
              <w:t>5.2.3 对生产急需，来不及检验需做紧急放行的原材料、外购外协件，由使用单位提出申请，由生产车间经理签名批准，并由生产车间安排人员进行补检。</w:t>
            </w:r>
          </w:p>
          <w:p>
            <w:pPr>
              <w:spacing w:line="360" w:lineRule="exact"/>
              <w:jc w:val="left"/>
            </w:pPr>
            <w:r>
              <w:rPr>
                <w:rFonts w:hint="eastAsia"/>
              </w:rPr>
              <w:t>5.2.4 若紧急放行的原材料补检不合格时，按《不合格品控制程序》执行。</w:t>
            </w:r>
          </w:p>
          <w:p>
            <w:pPr>
              <w:spacing w:line="360" w:lineRule="exact"/>
              <w:jc w:val="left"/>
            </w:pPr>
            <w:r>
              <w:rPr>
                <w:rFonts w:hint="eastAsia"/>
              </w:rPr>
              <w:t>5.2.5 对本公司无能力检验的原材料，进厂时只检验其外观、包装、数量即可入库，并做好标识，必要时要取小样试验。如在使用过程中发现不合格，要立即通知回收利用部门，与供方联系处置。</w:t>
            </w:r>
          </w:p>
          <w:p>
            <w:pPr>
              <w:spacing w:line="360" w:lineRule="exact"/>
              <w:jc w:val="left"/>
            </w:pPr>
            <w:r>
              <w:rPr>
                <w:rFonts w:hint="eastAsia"/>
              </w:rPr>
              <w:t>5.3 工序检验</w:t>
            </w:r>
          </w:p>
          <w:p>
            <w:pPr>
              <w:spacing w:line="360" w:lineRule="exact"/>
              <w:jc w:val="left"/>
            </w:pPr>
            <w:r>
              <w:rPr>
                <w:rFonts w:hint="eastAsia"/>
              </w:rPr>
              <w:t>5.3.1 在零部件加工过程中，各单位检验员进行首件检验和巡回检验与完工检验，并进行记录。</w:t>
            </w:r>
          </w:p>
          <w:p>
            <w:pPr>
              <w:spacing w:line="360" w:lineRule="exact"/>
              <w:jc w:val="left"/>
            </w:pPr>
            <w:r>
              <w:rPr>
                <w:rFonts w:hint="eastAsia"/>
              </w:rPr>
              <w:t>5.3.2 在首件检验合格时，操作者才能继续加工，如不合格，停止生产，找出不合格品原因并纠正经检验合格后方可继续生产。</w:t>
            </w:r>
          </w:p>
          <w:p>
            <w:pPr>
              <w:spacing w:line="360" w:lineRule="exact"/>
              <w:jc w:val="left"/>
            </w:pPr>
            <w:r>
              <w:rPr>
                <w:rFonts w:hint="eastAsia"/>
              </w:rPr>
              <w:t>5.3.3 检验员和操作者要将检验后合格和不合格产品件分类放置，并做好标识，合格的产品方可下转或入库，不合格按照《不合格品控制程序》执行。</w:t>
            </w:r>
          </w:p>
          <w:p>
            <w:pPr>
              <w:spacing w:line="360" w:lineRule="exact"/>
              <w:jc w:val="left"/>
            </w:pPr>
            <w:r>
              <w:rPr>
                <w:rFonts w:hint="eastAsia"/>
              </w:rPr>
              <w:t>5.3.4 要有适宜的环境贮存，并且防止损坏、变质和丢失。</w:t>
            </w:r>
          </w:p>
          <w:p>
            <w:pPr>
              <w:spacing w:line="360" w:lineRule="exact"/>
              <w:jc w:val="left"/>
            </w:pPr>
            <w:r>
              <w:rPr>
                <w:rFonts w:hint="eastAsia"/>
              </w:rPr>
              <w:t>5.4 最终检验和试验</w:t>
            </w:r>
          </w:p>
          <w:p>
            <w:pPr>
              <w:spacing w:line="360" w:lineRule="exact"/>
              <w:jc w:val="left"/>
            </w:pPr>
            <w:r>
              <w:rPr>
                <w:rFonts w:hint="eastAsia"/>
              </w:rPr>
              <w:t>5.4.1 产品零部件完工入库后，要进行抽样检验，必要时进行按照调试，如合格，方可进行包装，如不合格，按照《不合格品控制程序》执行。</w:t>
            </w:r>
          </w:p>
          <w:p>
            <w:pPr>
              <w:spacing w:line="360" w:lineRule="exact"/>
              <w:jc w:val="left"/>
            </w:pPr>
            <w:r>
              <w:rPr>
                <w:rFonts w:hint="eastAsia"/>
              </w:rPr>
              <w:t>5.4.2 成品包装后，检验员按照成品包装要求抽样检验，并做好记录。如被检批不合格，要求全部检验，不合格品全部返工后重新检验合格方可装箱（车）。</w:t>
            </w:r>
          </w:p>
          <w:p>
            <w:pPr>
              <w:spacing w:line="360" w:lineRule="exact"/>
              <w:jc w:val="left"/>
            </w:pPr>
            <w:r>
              <w:rPr>
                <w:rFonts w:hint="eastAsia"/>
              </w:rPr>
              <w:t>5.4.3 在装箱（车）过程中，检验员要对装箱（车）过程进行监督，直至装箱（车）完毕。</w:t>
            </w:r>
          </w:p>
          <w:p>
            <w:pPr>
              <w:spacing w:line="360" w:lineRule="exact"/>
              <w:jc w:val="left"/>
            </w:pPr>
            <w:r>
              <w:rPr>
                <w:rFonts w:hint="eastAsia"/>
              </w:rPr>
              <w:t>6. 相关/支持性文件：</w:t>
            </w:r>
          </w:p>
          <w:p>
            <w:pPr>
              <w:spacing w:line="360" w:lineRule="exact"/>
              <w:jc w:val="left"/>
            </w:pPr>
            <w:r>
              <w:rPr>
                <w:rFonts w:hint="eastAsia"/>
              </w:rPr>
              <w:t>6.1 检验和试验状态控制程序</w:t>
            </w:r>
          </w:p>
          <w:p>
            <w:pPr>
              <w:spacing w:line="360" w:lineRule="exact"/>
              <w:jc w:val="left"/>
            </w:pPr>
            <w:r>
              <w:rPr>
                <w:rFonts w:hint="eastAsia"/>
              </w:rPr>
              <w:t>6.2 不合格品控制程序</w:t>
            </w:r>
          </w:p>
          <w:p>
            <w:pPr>
              <w:spacing w:line="360" w:lineRule="exact"/>
              <w:jc w:val="left"/>
            </w:pPr>
            <w:r>
              <w:rPr>
                <w:rFonts w:hint="eastAsia"/>
              </w:rPr>
              <w:t>6.3 记录控制程序</w:t>
            </w:r>
          </w:p>
          <w:p>
            <w:pPr>
              <w:spacing w:line="360" w:lineRule="exact"/>
              <w:jc w:val="left"/>
            </w:pPr>
            <w:r>
              <w:rPr>
                <w:rFonts w:hint="eastAsia"/>
              </w:rPr>
              <w:t xml:space="preserve">7. 记录                        编号                 版本                  保存期限 </w:t>
            </w:r>
          </w:p>
          <w:p>
            <w:pPr>
              <w:spacing w:line="360" w:lineRule="exact"/>
              <w:jc w:val="left"/>
            </w:pPr>
            <w:r>
              <w:rPr>
                <w:rFonts w:hint="eastAsia"/>
              </w:rPr>
              <w:t>7.1 检验报告单             LQY-P-21-01                   01                     一年</w:t>
            </w:r>
          </w:p>
          <w:p>
            <w:pPr>
              <w:spacing w:line="360" w:lineRule="exact"/>
              <w:jc w:val="left"/>
            </w:pPr>
            <w:r>
              <w:rPr>
                <w:rFonts w:hint="eastAsia"/>
              </w:rPr>
              <w:t>7.2 车间产品检验记录       LQY-P-21-02                   01                     一年</w:t>
            </w:r>
          </w:p>
          <w:p>
            <w:pPr>
              <w:spacing w:line="360" w:lineRule="exact"/>
              <w:jc w:val="left"/>
            </w:pPr>
            <w:r>
              <w:rPr>
                <w:rFonts w:hint="eastAsia"/>
              </w:rPr>
              <w:t>7.3 产品包装过程记录表     LQY-P-21-03                   01                     一年</w:t>
            </w:r>
          </w:p>
          <w:p>
            <w:pPr>
              <w:spacing w:line="360" w:lineRule="exact"/>
              <w:jc w:val="left"/>
            </w:pPr>
            <w:r>
              <w:rPr>
                <w:rFonts w:hint="eastAsia"/>
              </w:rPr>
              <w:t>7.4 装箱验收单             LQY-P-21-04                   01                     一年</w:t>
            </w: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tc>
      </w:tr>
    </w:tbl>
    <w:p/>
    <w:p/>
    <w:p/>
    <w:p/>
    <w:tbl>
      <w:tblPr>
        <w:tblStyle w:val="9"/>
        <w:tblW w:w="10324"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0"/>
        <w:gridCol w:w="2096"/>
        <w:gridCol w:w="2938"/>
        <w:gridCol w:w="1607"/>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620" w:type="dxa"/>
            <w:vMerge w:val="restart"/>
          </w:tcPr>
          <w:p/>
        </w:tc>
        <w:tc>
          <w:tcPr>
            <w:tcW w:w="2096" w:type="dxa"/>
            <w:vAlign w:val="center"/>
          </w:tcPr>
          <w:p>
            <w:pPr>
              <w:jc w:val="center"/>
              <w:rPr>
                <w:rFonts w:ascii="宋体"/>
                <w:b/>
                <w:sz w:val="28"/>
              </w:rPr>
            </w:pPr>
            <w:r>
              <w:rPr>
                <w:rFonts w:hint="eastAsia" w:ascii="宋体"/>
                <w:b/>
                <w:sz w:val="28"/>
              </w:rPr>
              <w:t>文件名称</w:t>
            </w:r>
          </w:p>
        </w:tc>
        <w:tc>
          <w:tcPr>
            <w:tcW w:w="2938" w:type="dxa"/>
            <w:vAlign w:val="center"/>
          </w:tcPr>
          <w:p>
            <w:pPr>
              <w:jc w:val="center"/>
              <w:rPr>
                <w:rFonts w:ascii="宋体"/>
                <w:b/>
                <w:sz w:val="28"/>
              </w:rPr>
            </w:pPr>
            <w:r>
              <w:rPr>
                <w:rFonts w:hint="eastAsia" w:ascii="宋体"/>
                <w:b/>
                <w:sz w:val="28"/>
              </w:rPr>
              <w:t>不合格品控制程序</w:t>
            </w:r>
          </w:p>
        </w:tc>
        <w:tc>
          <w:tcPr>
            <w:tcW w:w="1607" w:type="dxa"/>
            <w:vAlign w:val="center"/>
          </w:tcPr>
          <w:p>
            <w:pPr>
              <w:jc w:val="center"/>
              <w:rPr>
                <w:rFonts w:ascii="宋体"/>
                <w:b/>
                <w:sz w:val="28"/>
              </w:rPr>
            </w:pPr>
            <w:r>
              <w:rPr>
                <w:rFonts w:hint="eastAsia" w:ascii="宋体"/>
                <w:b/>
                <w:sz w:val="28"/>
              </w:rPr>
              <w:t>版次</w:t>
            </w:r>
          </w:p>
        </w:tc>
        <w:tc>
          <w:tcPr>
            <w:tcW w:w="1063" w:type="dxa"/>
            <w:vAlign w:val="center"/>
          </w:tcPr>
          <w:p>
            <w:pPr>
              <w:jc w:val="center"/>
              <w:rPr>
                <w:rFonts w:ascii="宋体"/>
                <w:b/>
                <w:sz w:val="28"/>
              </w:rPr>
            </w:pPr>
            <w:r>
              <w:rPr>
                <w:rFonts w:hint="eastAsia" w:ascii="宋体"/>
                <w:b/>
                <w:sz w:val="2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620" w:type="dxa"/>
            <w:vMerge w:val="continue"/>
          </w:tcPr>
          <w:p>
            <w:pPr>
              <w:spacing w:line="400" w:lineRule="exact"/>
              <w:jc w:val="center"/>
              <w:rPr>
                <w:rFonts w:eastAsia="黑体"/>
                <w:b/>
                <w:sz w:val="36"/>
              </w:rPr>
            </w:pPr>
          </w:p>
        </w:tc>
        <w:tc>
          <w:tcPr>
            <w:tcW w:w="2096" w:type="dxa"/>
            <w:vAlign w:val="center"/>
          </w:tcPr>
          <w:p>
            <w:pPr>
              <w:spacing w:line="400" w:lineRule="exact"/>
              <w:jc w:val="center"/>
              <w:rPr>
                <w:rFonts w:ascii="宋体"/>
                <w:b/>
                <w:sz w:val="28"/>
              </w:rPr>
            </w:pPr>
            <w:r>
              <w:rPr>
                <w:rFonts w:hint="eastAsia" w:ascii="宋体"/>
                <w:b/>
                <w:sz w:val="28"/>
              </w:rPr>
              <w:t>文件编号</w:t>
            </w:r>
          </w:p>
        </w:tc>
        <w:tc>
          <w:tcPr>
            <w:tcW w:w="2938" w:type="dxa"/>
            <w:vAlign w:val="center"/>
          </w:tcPr>
          <w:p>
            <w:pPr>
              <w:spacing w:line="400" w:lineRule="exact"/>
              <w:jc w:val="center"/>
              <w:rPr>
                <w:rFonts w:ascii="宋体"/>
                <w:b/>
                <w:sz w:val="28"/>
              </w:rPr>
            </w:pPr>
            <w:r>
              <w:rPr>
                <w:rFonts w:hint="eastAsia" w:ascii="宋体"/>
                <w:b/>
                <w:sz w:val="28"/>
              </w:rPr>
              <w:t>LQY—P—22</w:t>
            </w:r>
          </w:p>
        </w:tc>
        <w:tc>
          <w:tcPr>
            <w:tcW w:w="1607" w:type="dxa"/>
            <w:vAlign w:val="center"/>
          </w:tcPr>
          <w:p>
            <w:pPr>
              <w:spacing w:line="400" w:lineRule="exact"/>
              <w:jc w:val="center"/>
              <w:rPr>
                <w:rFonts w:ascii="宋体"/>
                <w:b/>
                <w:sz w:val="28"/>
              </w:rPr>
            </w:pPr>
            <w:r>
              <w:rPr>
                <w:rFonts w:hint="eastAsia" w:ascii="宋体"/>
                <w:b/>
                <w:sz w:val="28"/>
              </w:rPr>
              <w:t>修改状态</w:t>
            </w:r>
          </w:p>
        </w:tc>
        <w:tc>
          <w:tcPr>
            <w:tcW w:w="1063" w:type="dxa"/>
            <w:vAlign w:val="center"/>
          </w:tcPr>
          <w:p>
            <w:pPr>
              <w:spacing w:line="400" w:lineRule="exact"/>
              <w:jc w:val="center"/>
              <w:rPr>
                <w:rFonts w:ascii="宋体"/>
                <w:b/>
                <w:sz w:val="28"/>
              </w:rPr>
            </w:pPr>
            <w:r>
              <w:rPr>
                <w:rFonts w:hint="eastAsia" w:ascii="宋体"/>
                <w:b/>
                <w:sz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5" w:hRule="atLeast"/>
        </w:trPr>
        <w:tc>
          <w:tcPr>
            <w:tcW w:w="10324" w:type="dxa"/>
            <w:gridSpan w:val="5"/>
          </w:tcPr>
          <w:p>
            <w:pPr>
              <w:spacing w:line="360" w:lineRule="exact"/>
            </w:pPr>
            <w:r>
              <w:rPr>
                <w:rFonts w:hint="eastAsia"/>
              </w:rPr>
              <w:t>1. 目的：</w:t>
            </w:r>
          </w:p>
          <w:p>
            <w:pPr>
              <w:spacing w:line="360" w:lineRule="exact"/>
            </w:pPr>
            <w:r>
              <w:rPr>
                <w:rFonts w:hint="eastAsia"/>
              </w:rPr>
              <w:t xml:space="preserve">  对不合格品进行控制，以防止不合格品下转或出厂。</w:t>
            </w:r>
          </w:p>
          <w:p>
            <w:pPr>
              <w:spacing w:line="360" w:lineRule="exact"/>
            </w:pPr>
            <w:r>
              <w:rPr>
                <w:rFonts w:hint="eastAsia"/>
              </w:rPr>
              <w:t>2. 适用范围：</w:t>
            </w:r>
          </w:p>
          <w:p>
            <w:pPr>
              <w:spacing w:line="360" w:lineRule="exact"/>
            </w:pPr>
            <w:r>
              <w:rPr>
                <w:rFonts w:hint="eastAsia"/>
              </w:rPr>
              <w:t xml:space="preserve">  适用于从原材料进厂至产品成品出厂全过程的控制。</w:t>
            </w:r>
          </w:p>
          <w:p>
            <w:pPr>
              <w:spacing w:line="360" w:lineRule="exact"/>
            </w:pPr>
            <w:r>
              <w:rPr>
                <w:rFonts w:hint="eastAsia"/>
              </w:rPr>
              <w:t>3. 职责;</w:t>
            </w:r>
          </w:p>
          <w:p>
            <w:pPr>
              <w:spacing w:line="360" w:lineRule="exact"/>
            </w:pPr>
            <w:r>
              <w:rPr>
                <w:rFonts w:hint="eastAsia"/>
              </w:rPr>
              <w:t>3.1 生产车间负责进厂原材料及外购、外协产品件不合格品检验判定。</w:t>
            </w:r>
          </w:p>
          <w:p>
            <w:pPr>
              <w:spacing w:line="360" w:lineRule="exact"/>
            </w:pPr>
            <w:r>
              <w:rPr>
                <w:rFonts w:hint="eastAsia"/>
              </w:rPr>
              <w:t>3.2 回收利用部负责进厂不合格物资的退货处理工作。</w:t>
            </w:r>
          </w:p>
          <w:p>
            <w:pPr>
              <w:spacing w:line="360" w:lineRule="exact"/>
            </w:pPr>
            <w:r>
              <w:rPr>
                <w:rFonts w:hint="eastAsia"/>
              </w:rPr>
              <w:t>3.3 质检员负责生产过程中不合格品的控制。</w:t>
            </w:r>
          </w:p>
          <w:p>
            <w:pPr>
              <w:spacing w:line="360" w:lineRule="exact"/>
            </w:pPr>
            <w:r>
              <w:rPr>
                <w:rFonts w:hint="eastAsia"/>
              </w:rPr>
              <w:t>4. 定义： 无。</w:t>
            </w:r>
          </w:p>
          <w:p>
            <w:pPr>
              <w:spacing w:line="360" w:lineRule="exact"/>
            </w:pPr>
            <w:r>
              <w:rPr>
                <w:rFonts w:hint="eastAsia"/>
              </w:rPr>
              <w:t>5. 工作流程</w:t>
            </w:r>
          </w:p>
          <w:p>
            <w:pPr>
              <w:spacing w:line="360" w:lineRule="exact"/>
            </w:pPr>
            <w:r>
              <w:rPr>
                <w:rFonts w:hint="eastAsia"/>
              </w:rPr>
              <w:t>5.1 流程图（见附件）。</w:t>
            </w:r>
          </w:p>
          <w:p>
            <w:pPr>
              <w:spacing w:line="360" w:lineRule="exact"/>
            </w:pPr>
            <w:r>
              <w:rPr>
                <w:rFonts w:hint="eastAsia"/>
              </w:rPr>
              <w:t>5.2 进厂物资不合格品的控制</w:t>
            </w:r>
          </w:p>
          <w:p>
            <w:pPr>
              <w:spacing w:line="360" w:lineRule="exact"/>
            </w:pPr>
            <w:r>
              <w:rPr>
                <w:rFonts w:hint="eastAsia"/>
              </w:rPr>
              <w:t>5.2.1 进厂的原材料、外购外协产品件经检验不合格时，应立即进行隔离存放并标识，并由生产车间通知回收利用部门做退回处理。</w:t>
            </w:r>
          </w:p>
          <w:p>
            <w:pPr>
              <w:spacing w:line="360" w:lineRule="exact"/>
            </w:pPr>
            <w:r>
              <w:rPr>
                <w:rFonts w:hint="eastAsia"/>
              </w:rPr>
              <w:t>5.2.2 紧急放行的原材料、外购外协件补检不合格时，应立即进行隔离存放并标识，并通知回收利用部门联系供方处理。</w:t>
            </w:r>
          </w:p>
          <w:p>
            <w:pPr>
              <w:spacing w:line="360" w:lineRule="exact"/>
            </w:pPr>
            <w:r>
              <w:rPr>
                <w:rFonts w:hint="eastAsia"/>
              </w:rPr>
              <w:t>5.3 生产过程中不合格品的控制</w:t>
            </w:r>
          </w:p>
          <w:p>
            <w:pPr>
              <w:spacing w:line="360" w:lineRule="exact"/>
            </w:pPr>
            <w:r>
              <w:rPr>
                <w:rFonts w:hint="eastAsia"/>
              </w:rPr>
              <w:t>5.3.1 首件不合格品的控制</w:t>
            </w:r>
          </w:p>
          <w:p>
            <w:pPr>
              <w:spacing w:line="360" w:lineRule="exact"/>
            </w:pPr>
            <w:r>
              <w:rPr>
                <w:rFonts w:hint="eastAsia"/>
              </w:rPr>
              <w:t xml:space="preserve">   如首件检验不合格，要停止生产，由车间质检员帮助操作者找出不合格原因并纠正，重新生产，经检验合格后方可继续生产。</w:t>
            </w:r>
          </w:p>
          <w:p>
            <w:pPr>
              <w:spacing w:line="360" w:lineRule="exact"/>
            </w:pPr>
            <w:r>
              <w:rPr>
                <w:rFonts w:hint="eastAsia"/>
              </w:rPr>
              <w:t>5.3.2 工序巡检不合格品的控制</w:t>
            </w:r>
          </w:p>
          <w:p>
            <w:pPr>
              <w:spacing w:line="360" w:lineRule="exact"/>
            </w:pPr>
            <w:r>
              <w:rPr>
                <w:rFonts w:hint="eastAsia"/>
              </w:rPr>
              <w:t xml:space="preserve">   如在巡检中发现不合格品，车间检验员帮助操作者把不合格品进行隔离并标识，由质检员评审处置方式，进行返工、返修或报废，返工、返修后要重新检验。</w:t>
            </w:r>
          </w:p>
          <w:p>
            <w:pPr>
              <w:spacing w:line="360" w:lineRule="exact"/>
            </w:pPr>
            <w:r>
              <w:rPr>
                <w:rFonts w:hint="eastAsia"/>
              </w:rPr>
              <w:t>5.3.3 产品件完工后出现的不合格品的控制</w:t>
            </w:r>
          </w:p>
          <w:p>
            <w:pPr>
              <w:spacing w:line="360" w:lineRule="exact"/>
            </w:pPr>
            <w:r>
              <w:rPr>
                <w:rFonts w:hint="eastAsia"/>
              </w:rPr>
              <w:t xml:space="preserve">   对完工后出现的不合格品，要进行隔离存放并标识，并由车间质检员和车间主任一起评审处置，进行返工、返修或报废。返工、返修后要重新检验，方可下转或入库。</w:t>
            </w:r>
          </w:p>
          <w:p>
            <w:pPr>
              <w:spacing w:line="360" w:lineRule="exact"/>
            </w:pPr>
            <w:r>
              <w:rPr>
                <w:rFonts w:hint="eastAsia"/>
              </w:rPr>
              <w:t>5.3.4 最终检验和试验出现的不合格品的控制</w:t>
            </w:r>
          </w:p>
          <w:p>
            <w:pPr>
              <w:spacing w:line="360" w:lineRule="exact"/>
            </w:pPr>
            <w:r>
              <w:rPr>
                <w:rFonts w:hint="eastAsia"/>
              </w:rPr>
              <w:t>5.3.4.1 产品零部件完工入库后进行抽样检验出现不合格时，应立即进行隔离存放并标识，并由质检员评审决定处置方式，退回原发车间进行处置，如不合格品占10％以上的不合格品批要上报生产车间，由生产车间评审处置。</w:t>
            </w:r>
          </w:p>
          <w:p>
            <w:pPr>
              <w:spacing w:line="360" w:lineRule="exact"/>
            </w:pPr>
            <w:r>
              <w:rPr>
                <w:rFonts w:hint="eastAsia"/>
              </w:rPr>
              <w:t>5.3.4.2 成品包装后抽检发现不合格时，要立即标识，由生产车间质检员决定处置方式，一般情况下要求全部检验，不合格品要进行返工，返工后的产品要重新检验。</w:t>
            </w:r>
          </w:p>
          <w:p>
            <w:pPr>
              <w:spacing w:line="360" w:lineRule="exact"/>
            </w:pPr>
            <w:r>
              <w:rPr>
                <w:rFonts w:hint="eastAsia"/>
              </w:rPr>
              <w:t>5.3.4.3 顾客财产检验不合格，按《顾客财产控制程序》执行。</w:t>
            </w:r>
          </w:p>
          <w:p>
            <w:pPr>
              <w:spacing w:line="360" w:lineRule="exact"/>
            </w:pPr>
            <w:r>
              <w:rPr>
                <w:rFonts w:hint="eastAsia"/>
              </w:rPr>
              <w:t>5.4 供方产品在使用过程中出现不合格，使用单位要及时向生产车间反馈，由生产车间通知回收利用部门，与供方联系解决。</w:t>
            </w:r>
          </w:p>
          <w:p>
            <w:pPr>
              <w:spacing w:line="360" w:lineRule="exact"/>
            </w:pPr>
            <w:r>
              <w:rPr>
                <w:rFonts w:hint="eastAsia"/>
              </w:rPr>
              <w:t>6. 相关/支持性文件</w:t>
            </w:r>
          </w:p>
          <w:p>
            <w:pPr>
              <w:spacing w:line="360" w:lineRule="exact"/>
            </w:pPr>
            <w:r>
              <w:rPr>
                <w:rFonts w:hint="eastAsia"/>
              </w:rPr>
              <w:t>6.1 产品的标识和可追溯性及检验和试验状态控制程序</w:t>
            </w:r>
          </w:p>
          <w:p>
            <w:pPr>
              <w:spacing w:line="360" w:lineRule="exact"/>
            </w:pPr>
            <w:r>
              <w:rPr>
                <w:rFonts w:hint="eastAsia"/>
              </w:rPr>
              <w:t>6.2 记录控制程序</w:t>
            </w:r>
          </w:p>
          <w:p>
            <w:pPr>
              <w:spacing w:line="360" w:lineRule="exact"/>
            </w:pPr>
            <w:r>
              <w:rPr>
                <w:rFonts w:hint="eastAsia"/>
              </w:rPr>
              <w:t>6.3 检验和试验控制程序</w:t>
            </w:r>
          </w:p>
          <w:p>
            <w:pPr>
              <w:spacing w:line="360" w:lineRule="exact"/>
            </w:pPr>
            <w:r>
              <w:rPr>
                <w:rFonts w:hint="eastAsia"/>
              </w:rPr>
              <w:t>7. 记录                       编号                    版本                    保存期限</w:t>
            </w:r>
          </w:p>
          <w:p>
            <w:pPr>
              <w:spacing w:line="360" w:lineRule="exact"/>
            </w:pPr>
            <w:r>
              <w:rPr>
                <w:rFonts w:hint="eastAsia"/>
              </w:rPr>
              <w:t>7.1 检验报告单                  LQY-P-21-01                   01                       一年</w:t>
            </w:r>
          </w:p>
          <w:p>
            <w:pPr>
              <w:spacing w:line="360" w:lineRule="exact"/>
            </w:pPr>
            <w:r>
              <w:rPr>
                <w:rFonts w:hint="eastAsia"/>
              </w:rPr>
              <w:t>7.2 产品管制计划表              LQY-P-21-02                   01                       一年</w:t>
            </w: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tc>
      </w:tr>
    </w:tbl>
    <w:p/>
    <w:p/>
    <w:p/>
    <w:p/>
    <w:tbl>
      <w:tblPr>
        <w:tblStyle w:val="9"/>
        <w:tblW w:w="999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8"/>
        <w:gridCol w:w="1843"/>
        <w:gridCol w:w="3320"/>
        <w:gridCol w:w="1006"/>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478" w:type="dxa"/>
            <w:vMerge w:val="restart"/>
            <w:vAlign w:val="center"/>
          </w:tcPr>
          <w:p>
            <w:pPr>
              <w:spacing w:line="400" w:lineRule="exact"/>
              <w:jc w:val="center"/>
              <w:rPr>
                <w:rFonts w:eastAsia="黑体"/>
                <w:b/>
                <w:sz w:val="36"/>
              </w:rPr>
            </w:pPr>
          </w:p>
        </w:tc>
        <w:tc>
          <w:tcPr>
            <w:tcW w:w="1843" w:type="dxa"/>
            <w:vAlign w:val="center"/>
          </w:tcPr>
          <w:p>
            <w:pPr>
              <w:spacing w:line="400" w:lineRule="exact"/>
              <w:jc w:val="center"/>
              <w:rPr>
                <w:rFonts w:ascii="宋体"/>
                <w:b/>
                <w:sz w:val="30"/>
              </w:rPr>
            </w:pPr>
            <w:r>
              <w:rPr>
                <w:rFonts w:hint="eastAsia" w:ascii="宋体"/>
                <w:b/>
                <w:sz w:val="30"/>
              </w:rPr>
              <w:t>文件名称</w:t>
            </w:r>
          </w:p>
        </w:tc>
        <w:tc>
          <w:tcPr>
            <w:tcW w:w="3320" w:type="dxa"/>
            <w:vAlign w:val="center"/>
          </w:tcPr>
          <w:p>
            <w:pPr>
              <w:pStyle w:val="4"/>
              <w:spacing w:line="400" w:lineRule="exact"/>
              <w:jc w:val="center"/>
              <w:rPr>
                <w:rFonts w:ascii="楷体_GB2312" w:hAnsi="楷体" w:eastAsia="楷体_GB2312"/>
                <w:b/>
                <w:sz w:val="28"/>
                <w:szCs w:val="28"/>
              </w:rPr>
            </w:pPr>
            <w:r>
              <w:rPr>
                <w:rFonts w:hint="eastAsia" w:ascii="楷体_GB2312" w:hAnsi="楷体" w:eastAsia="楷体_GB2312"/>
                <w:b/>
                <w:sz w:val="28"/>
                <w:szCs w:val="28"/>
              </w:rPr>
              <w:t>环境和职业健康安全运行控制程序</w:t>
            </w:r>
          </w:p>
        </w:tc>
        <w:tc>
          <w:tcPr>
            <w:tcW w:w="1006" w:type="dxa"/>
            <w:vAlign w:val="center"/>
          </w:tcPr>
          <w:p>
            <w:pPr>
              <w:spacing w:line="400" w:lineRule="exact"/>
              <w:jc w:val="center"/>
              <w:rPr>
                <w:rFonts w:ascii="宋体"/>
                <w:b/>
                <w:sz w:val="30"/>
              </w:rPr>
            </w:pPr>
            <w:r>
              <w:rPr>
                <w:rFonts w:hint="eastAsia" w:ascii="宋体"/>
                <w:b/>
                <w:sz w:val="30"/>
              </w:rPr>
              <w:t>版次</w:t>
            </w:r>
          </w:p>
        </w:tc>
        <w:tc>
          <w:tcPr>
            <w:tcW w:w="1344" w:type="dxa"/>
            <w:vAlign w:val="center"/>
          </w:tcPr>
          <w:p>
            <w:pPr>
              <w:spacing w:line="400" w:lineRule="exact"/>
              <w:jc w:val="center"/>
              <w:rPr>
                <w:rFonts w:ascii="宋体"/>
                <w:b/>
                <w:sz w:val="30"/>
              </w:rPr>
            </w:pPr>
            <w:r>
              <w:rPr>
                <w:rFonts w:hint="eastAsia" w:ascii="宋体"/>
                <w:b/>
                <w:sz w:val="3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2478" w:type="dxa"/>
            <w:vMerge w:val="continue"/>
            <w:vAlign w:val="center"/>
          </w:tcPr>
          <w:p>
            <w:pPr>
              <w:spacing w:line="400" w:lineRule="exact"/>
              <w:jc w:val="center"/>
              <w:rPr>
                <w:rFonts w:eastAsia="黑体"/>
                <w:b/>
                <w:sz w:val="36"/>
              </w:rPr>
            </w:pPr>
          </w:p>
        </w:tc>
        <w:tc>
          <w:tcPr>
            <w:tcW w:w="1843" w:type="dxa"/>
            <w:vAlign w:val="center"/>
          </w:tcPr>
          <w:p>
            <w:pPr>
              <w:spacing w:line="400" w:lineRule="exact"/>
              <w:jc w:val="center"/>
              <w:rPr>
                <w:rFonts w:ascii="宋体"/>
                <w:b/>
                <w:sz w:val="30"/>
              </w:rPr>
            </w:pPr>
            <w:r>
              <w:rPr>
                <w:rFonts w:hint="eastAsia" w:ascii="宋体"/>
                <w:b/>
                <w:sz w:val="30"/>
              </w:rPr>
              <w:t>文件编号</w:t>
            </w:r>
          </w:p>
        </w:tc>
        <w:tc>
          <w:tcPr>
            <w:tcW w:w="3320" w:type="dxa"/>
            <w:vAlign w:val="center"/>
          </w:tcPr>
          <w:p>
            <w:pPr>
              <w:spacing w:line="400" w:lineRule="exact"/>
              <w:jc w:val="center"/>
              <w:rPr>
                <w:rFonts w:ascii="宋体"/>
                <w:b/>
                <w:sz w:val="30"/>
              </w:rPr>
            </w:pPr>
            <w:r>
              <w:rPr>
                <w:rFonts w:hint="eastAsia" w:ascii="宋体"/>
                <w:b/>
                <w:sz w:val="30"/>
              </w:rPr>
              <w:t>LQY-P-23</w:t>
            </w:r>
          </w:p>
        </w:tc>
        <w:tc>
          <w:tcPr>
            <w:tcW w:w="1006" w:type="dxa"/>
            <w:vAlign w:val="center"/>
          </w:tcPr>
          <w:p>
            <w:pPr>
              <w:spacing w:line="400" w:lineRule="exact"/>
              <w:jc w:val="center"/>
              <w:rPr>
                <w:rFonts w:ascii="宋体"/>
                <w:b/>
                <w:sz w:val="30"/>
              </w:rPr>
            </w:pPr>
            <w:r>
              <w:rPr>
                <w:rFonts w:hint="eastAsia" w:ascii="宋体"/>
                <w:b/>
                <w:sz w:val="30"/>
              </w:rPr>
              <w:t>修改</w:t>
            </w:r>
          </w:p>
          <w:p>
            <w:pPr>
              <w:spacing w:line="400" w:lineRule="exact"/>
              <w:jc w:val="center"/>
              <w:rPr>
                <w:rFonts w:ascii="宋体"/>
                <w:b/>
                <w:sz w:val="30"/>
              </w:rPr>
            </w:pPr>
            <w:r>
              <w:rPr>
                <w:rFonts w:hint="eastAsia" w:ascii="宋体"/>
                <w:b/>
                <w:sz w:val="30"/>
              </w:rPr>
              <w:t>状态</w:t>
            </w:r>
          </w:p>
        </w:tc>
        <w:tc>
          <w:tcPr>
            <w:tcW w:w="1344" w:type="dxa"/>
            <w:vAlign w:val="center"/>
          </w:tcPr>
          <w:p>
            <w:pPr>
              <w:spacing w:line="400" w:lineRule="exact"/>
              <w:jc w:val="center"/>
              <w:rPr>
                <w:rFonts w:ascii="宋体"/>
                <w:b/>
                <w:sz w:val="30"/>
              </w:rPr>
            </w:pPr>
            <w:r>
              <w:rPr>
                <w:rFonts w:hint="eastAsia" w:ascii="宋体"/>
                <w:b/>
                <w:sz w:val="3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991" w:type="dxa"/>
            <w:gridSpan w:val="5"/>
            <w:tcBorders>
              <w:right w:val="single" w:color="auto" w:sz="4" w:space="0"/>
            </w:tcBorders>
          </w:tcPr>
          <w:p>
            <w:pPr>
              <w:tabs>
                <w:tab w:val="left" w:pos="843"/>
                <w:tab w:val="left" w:pos="9740"/>
              </w:tabs>
              <w:snapToGrid w:val="0"/>
              <w:spacing w:line="340" w:lineRule="exact"/>
              <w:outlineLvl w:val="0"/>
              <w:rPr>
                <w:rFonts w:ascii="宋体" w:hAnsi="宋体"/>
                <w:b/>
                <w:bCs/>
                <w:color w:val="000000"/>
                <w:szCs w:val="21"/>
              </w:rPr>
            </w:pPr>
            <w:r>
              <w:rPr>
                <w:rFonts w:hint="eastAsia" w:ascii="宋体" w:hAnsi="宋体"/>
                <w:szCs w:val="21"/>
              </w:rPr>
              <w:t xml:space="preserve"> </w:t>
            </w:r>
            <w:r>
              <w:rPr>
                <w:rFonts w:hint="eastAsia" w:ascii="宋体" w:hAnsi="宋体"/>
                <w:b/>
                <w:bCs/>
                <w:color w:val="000000"/>
                <w:szCs w:val="21"/>
              </w:rPr>
              <w:t>1. 目的</w:t>
            </w:r>
          </w:p>
          <w:p>
            <w:pPr>
              <w:tabs>
                <w:tab w:val="left" w:pos="843"/>
                <w:tab w:val="left" w:pos="9740"/>
              </w:tabs>
              <w:snapToGrid w:val="0"/>
              <w:spacing w:line="340" w:lineRule="exact"/>
              <w:ind w:firstLine="480"/>
              <w:rPr>
                <w:rFonts w:ascii="宋体" w:hAnsi="宋体"/>
                <w:bCs/>
                <w:color w:val="000000"/>
                <w:szCs w:val="21"/>
              </w:rPr>
            </w:pPr>
            <w:r>
              <w:rPr>
                <w:rFonts w:hint="eastAsia" w:ascii="宋体" w:hAnsi="宋体"/>
                <w:bCs/>
                <w:color w:val="000000"/>
                <w:szCs w:val="21"/>
              </w:rPr>
              <w:t>为减少对环境产生不良影响，不断降低或避免职业健康安全风险，改善环境，降低污染，降低消耗，确保员工及其他相关人员的职业健康安全。依据环境、职业健康安全方针、目标和指标确定与公司重要环境因素及重要职业健康安全风险有关的运行与活动，并对其进行有效控制。</w:t>
            </w:r>
          </w:p>
          <w:p>
            <w:pPr>
              <w:tabs>
                <w:tab w:val="left" w:pos="843"/>
                <w:tab w:val="left" w:pos="9740"/>
              </w:tabs>
              <w:snapToGrid w:val="0"/>
              <w:spacing w:line="340" w:lineRule="exact"/>
              <w:outlineLvl w:val="0"/>
              <w:rPr>
                <w:rFonts w:ascii="宋体" w:hAnsi="宋体"/>
                <w:b/>
                <w:bCs/>
                <w:color w:val="000000"/>
                <w:szCs w:val="21"/>
              </w:rPr>
            </w:pPr>
            <w:r>
              <w:rPr>
                <w:rFonts w:hint="eastAsia" w:ascii="宋体" w:hAnsi="宋体"/>
                <w:b/>
                <w:bCs/>
                <w:color w:val="000000"/>
                <w:szCs w:val="21"/>
              </w:rPr>
              <w:t>2. 适用范围</w:t>
            </w:r>
          </w:p>
          <w:p>
            <w:pPr>
              <w:tabs>
                <w:tab w:val="left" w:pos="843"/>
                <w:tab w:val="left" w:pos="9740"/>
              </w:tabs>
              <w:snapToGrid w:val="0"/>
              <w:spacing w:line="340" w:lineRule="exact"/>
              <w:ind w:firstLine="480"/>
              <w:rPr>
                <w:rFonts w:ascii="宋体" w:hAnsi="宋体"/>
                <w:bCs/>
                <w:color w:val="000000"/>
                <w:szCs w:val="21"/>
              </w:rPr>
            </w:pPr>
            <w:r>
              <w:rPr>
                <w:rFonts w:hint="eastAsia" w:ascii="宋体" w:hAnsi="宋体"/>
                <w:bCs/>
                <w:color w:val="000000"/>
                <w:szCs w:val="21"/>
              </w:rPr>
              <w:t>适用于公司为实现环境、职业健康安全方针、目标和指标，确保环境及职业健康安全绩效的持续改善所采取的控制活动。</w:t>
            </w:r>
          </w:p>
          <w:p>
            <w:pPr>
              <w:tabs>
                <w:tab w:val="left" w:pos="843"/>
                <w:tab w:val="left" w:pos="9740"/>
              </w:tabs>
              <w:snapToGrid w:val="0"/>
              <w:spacing w:line="340" w:lineRule="exact"/>
              <w:outlineLvl w:val="0"/>
              <w:rPr>
                <w:rFonts w:ascii="宋体" w:hAnsi="宋体"/>
                <w:b/>
                <w:bCs/>
                <w:color w:val="000000"/>
                <w:szCs w:val="21"/>
              </w:rPr>
            </w:pPr>
            <w:r>
              <w:rPr>
                <w:rFonts w:hint="eastAsia" w:ascii="宋体" w:hAnsi="宋体"/>
                <w:b/>
                <w:bCs/>
                <w:color w:val="000000"/>
                <w:szCs w:val="21"/>
              </w:rPr>
              <w:t>3. 职责</w:t>
            </w:r>
          </w:p>
          <w:p>
            <w:pPr>
              <w:tabs>
                <w:tab w:val="left" w:pos="843"/>
                <w:tab w:val="left" w:pos="9740"/>
              </w:tabs>
              <w:snapToGrid w:val="0"/>
              <w:spacing w:line="340" w:lineRule="exact"/>
              <w:rPr>
                <w:rFonts w:ascii="宋体" w:hAnsi="宋体"/>
                <w:bCs/>
                <w:color w:val="000000"/>
                <w:szCs w:val="21"/>
              </w:rPr>
            </w:pPr>
            <w:r>
              <w:rPr>
                <w:rFonts w:hint="eastAsia" w:ascii="宋体" w:hAnsi="宋体"/>
                <w:bCs/>
                <w:color w:val="000000"/>
                <w:szCs w:val="21"/>
              </w:rPr>
              <w:t>3.1. 综合部负责编制并组织实施本程序</w:t>
            </w:r>
          </w:p>
          <w:p>
            <w:pPr>
              <w:tabs>
                <w:tab w:val="left" w:pos="843"/>
                <w:tab w:val="left" w:pos="9740"/>
              </w:tabs>
              <w:snapToGrid w:val="0"/>
              <w:spacing w:line="340" w:lineRule="exact"/>
              <w:rPr>
                <w:rFonts w:ascii="宋体" w:hAnsi="宋体"/>
                <w:bCs/>
                <w:color w:val="000000"/>
                <w:szCs w:val="21"/>
              </w:rPr>
            </w:pPr>
            <w:r>
              <w:rPr>
                <w:rFonts w:hint="eastAsia" w:ascii="宋体" w:hAnsi="宋体"/>
                <w:bCs/>
                <w:color w:val="000000"/>
                <w:szCs w:val="21"/>
              </w:rPr>
              <w:t>3.2. 生产车间负责与生产有关的环境因素、职业健康安全风险的运行控制。</w:t>
            </w:r>
          </w:p>
          <w:p>
            <w:pPr>
              <w:tabs>
                <w:tab w:val="left" w:pos="843"/>
                <w:tab w:val="left" w:pos="9740"/>
              </w:tabs>
              <w:snapToGrid w:val="0"/>
              <w:spacing w:line="340" w:lineRule="exact"/>
              <w:rPr>
                <w:rFonts w:ascii="宋体" w:hAnsi="宋体"/>
                <w:bCs/>
                <w:color w:val="000000"/>
                <w:szCs w:val="21"/>
              </w:rPr>
            </w:pPr>
            <w:r>
              <w:rPr>
                <w:rFonts w:hint="eastAsia" w:ascii="宋体" w:hAnsi="宋体"/>
                <w:bCs/>
                <w:color w:val="000000"/>
                <w:szCs w:val="21"/>
              </w:rPr>
              <w:t>3.3. 其它各部门分别负责与本部门有关的环境因素、职业健康安全风险的运行控制。</w:t>
            </w:r>
          </w:p>
          <w:p>
            <w:pPr>
              <w:tabs>
                <w:tab w:val="left" w:pos="843"/>
                <w:tab w:val="left" w:pos="9740"/>
              </w:tabs>
              <w:snapToGrid w:val="0"/>
              <w:spacing w:line="340" w:lineRule="exact"/>
              <w:outlineLvl w:val="0"/>
              <w:rPr>
                <w:rFonts w:ascii="宋体" w:hAnsi="宋体"/>
                <w:b/>
                <w:bCs/>
                <w:color w:val="000000"/>
                <w:szCs w:val="21"/>
              </w:rPr>
            </w:pPr>
            <w:r>
              <w:rPr>
                <w:rFonts w:hint="eastAsia" w:ascii="宋体" w:hAnsi="宋体"/>
                <w:b/>
                <w:bCs/>
                <w:color w:val="000000"/>
                <w:szCs w:val="21"/>
              </w:rPr>
              <w:t>4. 工作程序</w:t>
            </w:r>
          </w:p>
          <w:p>
            <w:pPr>
              <w:tabs>
                <w:tab w:val="left" w:pos="843"/>
                <w:tab w:val="left" w:pos="9740"/>
              </w:tabs>
              <w:snapToGrid w:val="0"/>
              <w:spacing w:line="340" w:lineRule="exact"/>
              <w:rPr>
                <w:rFonts w:ascii="宋体" w:hAnsi="宋体"/>
                <w:b/>
                <w:color w:val="000000"/>
                <w:szCs w:val="21"/>
              </w:rPr>
            </w:pPr>
            <w:r>
              <w:rPr>
                <w:rFonts w:hint="eastAsia" w:ascii="宋体" w:hAnsi="宋体"/>
                <w:b/>
                <w:color w:val="000000"/>
                <w:szCs w:val="21"/>
              </w:rPr>
              <w:t>4.1. 噪声排放控制</w:t>
            </w:r>
          </w:p>
          <w:p>
            <w:pPr>
              <w:spacing w:line="340" w:lineRule="exact"/>
              <w:rPr>
                <w:rFonts w:ascii="宋体" w:hAnsi="宋体"/>
                <w:color w:val="000000"/>
                <w:szCs w:val="21"/>
              </w:rPr>
            </w:pPr>
            <w:r>
              <w:rPr>
                <w:rFonts w:hint="eastAsia" w:ascii="宋体" w:hAnsi="宋体"/>
                <w:color w:val="000000"/>
                <w:szCs w:val="21"/>
              </w:rPr>
              <w:t>4.1.1. 公司在采购机器设备时，需将设备的噪声作为一项技术指标来考虑。</w:t>
            </w:r>
          </w:p>
          <w:p>
            <w:pPr>
              <w:spacing w:line="340" w:lineRule="exact"/>
              <w:rPr>
                <w:rFonts w:ascii="宋体" w:hAnsi="宋体"/>
                <w:color w:val="000000"/>
                <w:szCs w:val="21"/>
              </w:rPr>
            </w:pPr>
            <w:r>
              <w:rPr>
                <w:rFonts w:hint="eastAsia" w:ascii="宋体" w:hAnsi="宋体"/>
                <w:color w:val="000000"/>
                <w:szCs w:val="21"/>
              </w:rPr>
              <w:t>4.1.2. 根据《重要环境因素清单》中列出的噪声源及其影响程度，制定适用减噪措施。</w:t>
            </w:r>
          </w:p>
          <w:p>
            <w:pPr>
              <w:spacing w:line="340" w:lineRule="exact"/>
              <w:rPr>
                <w:rFonts w:ascii="宋体" w:hAnsi="宋体"/>
                <w:color w:val="000000"/>
                <w:szCs w:val="21"/>
              </w:rPr>
            </w:pPr>
            <w:r>
              <w:rPr>
                <w:rFonts w:hint="eastAsia" w:ascii="宋体" w:hAnsi="宋体"/>
                <w:color w:val="000000"/>
                <w:szCs w:val="21"/>
              </w:rPr>
              <w:t>4.1.2.1. 根据设备的噪声排放特点，消除或降低机器设备对周围的环境影响。</w:t>
            </w:r>
          </w:p>
          <w:p>
            <w:pPr>
              <w:spacing w:line="340" w:lineRule="exact"/>
              <w:rPr>
                <w:rFonts w:ascii="宋体" w:hAnsi="宋体"/>
                <w:color w:val="000000"/>
                <w:szCs w:val="21"/>
              </w:rPr>
            </w:pPr>
            <w:r>
              <w:rPr>
                <w:rFonts w:hint="eastAsia" w:ascii="宋体" w:hAnsi="宋体"/>
                <w:color w:val="000000"/>
                <w:szCs w:val="21"/>
              </w:rPr>
              <w:t>4.1.2.2. 车间有防护罩的机器设备在运行时应关闭防护罩。</w:t>
            </w:r>
          </w:p>
          <w:p>
            <w:pPr>
              <w:spacing w:line="340" w:lineRule="exact"/>
              <w:rPr>
                <w:rFonts w:ascii="宋体" w:hAnsi="宋体"/>
                <w:color w:val="000000"/>
                <w:szCs w:val="21"/>
              </w:rPr>
            </w:pPr>
            <w:r>
              <w:rPr>
                <w:rFonts w:hint="eastAsia" w:ascii="宋体" w:hAnsi="宋体"/>
                <w:color w:val="000000"/>
                <w:szCs w:val="21"/>
              </w:rPr>
              <w:t>4.1.2.3. 设备管理人员定期对设备进行维护、保养，定期上润滑油，减少噪声污染。</w:t>
            </w:r>
          </w:p>
          <w:p>
            <w:pPr>
              <w:spacing w:line="340" w:lineRule="exact"/>
              <w:rPr>
                <w:rFonts w:ascii="宋体" w:hAnsi="宋体"/>
                <w:color w:val="000000"/>
                <w:szCs w:val="21"/>
              </w:rPr>
            </w:pPr>
            <w:r>
              <w:rPr>
                <w:rFonts w:hint="eastAsia" w:ascii="宋体" w:hAnsi="宋体"/>
                <w:color w:val="000000"/>
                <w:szCs w:val="21"/>
              </w:rPr>
              <w:t>4.1.2.4. 操作人员严格按照《设备操作规程》实行操作，听到异常噪声立即停机检查，并报告主管人员。</w:t>
            </w:r>
          </w:p>
          <w:p>
            <w:pPr>
              <w:spacing w:line="340" w:lineRule="exact"/>
              <w:rPr>
                <w:rFonts w:ascii="宋体" w:hAnsi="宋体"/>
                <w:color w:val="000000"/>
                <w:szCs w:val="21"/>
              </w:rPr>
            </w:pPr>
            <w:r>
              <w:rPr>
                <w:rFonts w:hint="eastAsia" w:ascii="宋体" w:hAnsi="宋体"/>
                <w:color w:val="000000"/>
                <w:szCs w:val="21"/>
              </w:rPr>
              <w:t>4.1.2.5. 安排合理的工作时段，将噪声对员工及相关方的损害减少到最低程度。</w:t>
            </w:r>
          </w:p>
          <w:p>
            <w:pPr>
              <w:spacing w:line="340" w:lineRule="exact"/>
              <w:rPr>
                <w:rFonts w:ascii="宋体" w:hAnsi="宋体"/>
                <w:color w:val="000000"/>
                <w:szCs w:val="21"/>
              </w:rPr>
            </w:pPr>
            <w:r>
              <w:rPr>
                <w:rFonts w:hint="eastAsia" w:ascii="宋体" w:hAnsi="宋体"/>
                <w:color w:val="000000"/>
                <w:szCs w:val="21"/>
              </w:rPr>
              <w:t>4.1.3. 生产车间负责减噪措施的监督、检查。</w:t>
            </w:r>
          </w:p>
          <w:p>
            <w:pPr>
              <w:spacing w:line="340" w:lineRule="exact"/>
              <w:rPr>
                <w:rFonts w:ascii="宋体" w:hAnsi="宋体"/>
                <w:color w:val="000000"/>
                <w:szCs w:val="21"/>
              </w:rPr>
            </w:pPr>
            <w:r>
              <w:rPr>
                <w:rFonts w:hint="eastAsia" w:ascii="宋体" w:hAnsi="宋体"/>
                <w:color w:val="000000"/>
                <w:szCs w:val="21"/>
              </w:rPr>
              <w:t>4.1.4.  对于超标的噪声污染源，经评审后，采取适当措施，减少噪声排放。</w:t>
            </w:r>
          </w:p>
          <w:p>
            <w:pPr>
              <w:tabs>
                <w:tab w:val="left" w:pos="843"/>
                <w:tab w:val="left" w:pos="9740"/>
              </w:tabs>
              <w:snapToGrid w:val="0"/>
              <w:spacing w:line="340" w:lineRule="exact"/>
              <w:rPr>
                <w:rFonts w:ascii="宋体" w:hAnsi="宋体"/>
                <w:b/>
                <w:color w:val="000000"/>
                <w:szCs w:val="21"/>
              </w:rPr>
            </w:pPr>
            <w:r>
              <w:rPr>
                <w:rFonts w:hint="eastAsia" w:ascii="宋体" w:hAnsi="宋体"/>
                <w:b/>
                <w:color w:val="000000"/>
                <w:szCs w:val="21"/>
              </w:rPr>
              <w:t>4.2. 废气排放控制</w:t>
            </w:r>
          </w:p>
          <w:p>
            <w:pPr>
              <w:spacing w:line="340" w:lineRule="exact"/>
              <w:rPr>
                <w:rFonts w:ascii="宋体" w:hAnsi="宋体"/>
                <w:szCs w:val="21"/>
              </w:rPr>
            </w:pPr>
            <w:r>
              <w:rPr>
                <w:rFonts w:hint="eastAsia" w:ascii="宋体" w:hAnsi="宋体"/>
                <w:color w:val="000000"/>
                <w:szCs w:val="21"/>
              </w:rPr>
              <w:t>4.2.1. 废气集中排放口的管理：</w:t>
            </w:r>
            <w:r>
              <w:rPr>
                <w:rFonts w:hint="eastAsia" w:ascii="宋体" w:hAnsi="宋体"/>
                <w:szCs w:val="21"/>
              </w:rPr>
              <w:t>公司没有明显的废气排放口</w:t>
            </w:r>
          </w:p>
          <w:p>
            <w:pPr>
              <w:spacing w:line="340" w:lineRule="exact"/>
              <w:rPr>
                <w:rFonts w:ascii="宋体" w:hAnsi="宋体"/>
                <w:color w:val="000000"/>
                <w:szCs w:val="21"/>
              </w:rPr>
            </w:pPr>
            <w:r>
              <w:rPr>
                <w:rFonts w:hint="eastAsia" w:ascii="宋体" w:hAnsi="宋体"/>
                <w:color w:val="000000"/>
                <w:szCs w:val="21"/>
              </w:rPr>
              <w:t>4.2.1.1. 根据《重要环境因素清单》中列出的废气污染源及其影响程度，由相关部门有针对性地制定相应的控制办法并监督实施，尽最大限度降低对大气的污染。</w:t>
            </w:r>
          </w:p>
          <w:p>
            <w:pPr>
              <w:spacing w:line="340" w:lineRule="exact"/>
              <w:rPr>
                <w:rFonts w:ascii="宋体" w:hAnsi="宋体"/>
                <w:color w:val="000000"/>
                <w:szCs w:val="21"/>
              </w:rPr>
            </w:pPr>
            <w:r>
              <w:rPr>
                <w:rFonts w:hint="eastAsia" w:ascii="宋体" w:hAnsi="宋体"/>
                <w:color w:val="000000"/>
                <w:szCs w:val="21"/>
              </w:rPr>
              <w:t>4.2.1.2. 对废气的排放规定：必要时委托环保部门进行定期监测。</w:t>
            </w:r>
          </w:p>
          <w:p>
            <w:pPr>
              <w:tabs>
                <w:tab w:val="left" w:pos="843"/>
                <w:tab w:val="left" w:pos="9740"/>
              </w:tabs>
              <w:snapToGrid w:val="0"/>
              <w:spacing w:line="340" w:lineRule="exact"/>
              <w:rPr>
                <w:rFonts w:ascii="宋体" w:hAnsi="宋体"/>
                <w:b/>
                <w:color w:val="000000"/>
                <w:szCs w:val="21"/>
              </w:rPr>
            </w:pPr>
            <w:r>
              <w:rPr>
                <w:rFonts w:hint="eastAsia" w:ascii="宋体" w:hAnsi="宋体"/>
                <w:b/>
                <w:color w:val="000000"/>
                <w:szCs w:val="21"/>
              </w:rPr>
              <w:t>4.3. 污水排放控制</w:t>
            </w:r>
          </w:p>
          <w:p>
            <w:pPr>
              <w:spacing w:line="340" w:lineRule="exact"/>
              <w:rPr>
                <w:rFonts w:ascii="宋体" w:hAnsi="宋体"/>
                <w:color w:val="000000"/>
                <w:szCs w:val="21"/>
              </w:rPr>
            </w:pPr>
            <w:r>
              <w:rPr>
                <w:rFonts w:hint="eastAsia" w:ascii="宋体" w:hAnsi="宋体"/>
                <w:color w:val="000000"/>
                <w:szCs w:val="21"/>
              </w:rPr>
              <w:t>4.3.1. 对生产、生活污水的排放做出规定，确保污水排放的各项环境指标不超过相关污水排放标准要求。</w:t>
            </w:r>
          </w:p>
          <w:p>
            <w:pPr>
              <w:spacing w:line="340" w:lineRule="exact"/>
              <w:rPr>
                <w:rFonts w:ascii="宋体" w:hAnsi="宋体"/>
                <w:color w:val="000000"/>
                <w:szCs w:val="21"/>
              </w:rPr>
            </w:pPr>
            <w:r>
              <w:rPr>
                <w:rFonts w:hint="eastAsia" w:ascii="宋体" w:hAnsi="宋体"/>
                <w:color w:val="000000"/>
                <w:szCs w:val="21"/>
              </w:rPr>
              <w:t>4.3.2. 在使用水时应尽量节约，减少用水量和污水的排放量。</w:t>
            </w:r>
          </w:p>
          <w:p>
            <w:pPr>
              <w:spacing w:line="340" w:lineRule="exact"/>
              <w:rPr>
                <w:rFonts w:ascii="宋体" w:hAnsi="宋体"/>
                <w:color w:val="000000"/>
                <w:szCs w:val="21"/>
              </w:rPr>
            </w:pPr>
            <w:r>
              <w:rPr>
                <w:rFonts w:hint="eastAsia" w:ascii="宋体" w:hAnsi="宋体"/>
                <w:color w:val="000000"/>
                <w:szCs w:val="21"/>
              </w:rPr>
              <w:t>4.3.3. 综合部负责采购无磷或含磷量低的洗涤剂并监督各部门使用无磷或磷含量低的洗涤剂，减少公司污水排放的总磷含量。</w:t>
            </w:r>
          </w:p>
          <w:p>
            <w:pPr>
              <w:spacing w:line="340" w:lineRule="exact"/>
              <w:rPr>
                <w:rFonts w:ascii="宋体" w:hAnsi="宋体"/>
                <w:color w:val="000000"/>
                <w:szCs w:val="21"/>
              </w:rPr>
            </w:pPr>
            <w:r>
              <w:rPr>
                <w:rFonts w:hint="eastAsia" w:ascii="宋体" w:hAnsi="宋体"/>
                <w:color w:val="000000"/>
                <w:szCs w:val="21"/>
              </w:rPr>
              <w:t>4.3.5. 本公司目前不产生生产污水。</w:t>
            </w:r>
          </w:p>
          <w:p>
            <w:pPr>
              <w:tabs>
                <w:tab w:val="left" w:pos="843"/>
                <w:tab w:val="left" w:pos="9740"/>
              </w:tabs>
              <w:snapToGrid w:val="0"/>
              <w:spacing w:line="340" w:lineRule="exact"/>
              <w:rPr>
                <w:rFonts w:ascii="宋体" w:hAnsi="宋体"/>
                <w:b/>
                <w:color w:val="000000"/>
                <w:szCs w:val="21"/>
              </w:rPr>
            </w:pPr>
            <w:r>
              <w:rPr>
                <w:rFonts w:hint="eastAsia" w:ascii="宋体" w:hAnsi="宋体"/>
                <w:b/>
                <w:color w:val="000000"/>
                <w:szCs w:val="21"/>
              </w:rPr>
              <w:t>4.4. 废弃物处理控制</w:t>
            </w:r>
          </w:p>
          <w:p>
            <w:pPr>
              <w:spacing w:line="340" w:lineRule="exact"/>
              <w:rPr>
                <w:rFonts w:ascii="宋体" w:hAnsi="宋体"/>
                <w:color w:val="000000"/>
                <w:szCs w:val="21"/>
              </w:rPr>
            </w:pPr>
            <w:r>
              <w:rPr>
                <w:rFonts w:hint="eastAsia" w:ascii="宋体" w:hAnsi="宋体"/>
                <w:color w:val="000000"/>
                <w:szCs w:val="21"/>
              </w:rPr>
              <w:t>4.4.1. 各责任部门将本部门产生的废弃物进行分类存放和标识。</w:t>
            </w:r>
          </w:p>
          <w:p>
            <w:pPr>
              <w:spacing w:line="340" w:lineRule="exact"/>
              <w:rPr>
                <w:rFonts w:ascii="宋体" w:hAnsi="宋体"/>
                <w:color w:val="000000"/>
                <w:szCs w:val="21"/>
              </w:rPr>
            </w:pPr>
            <w:r>
              <w:rPr>
                <w:rFonts w:hint="eastAsia" w:ascii="宋体" w:hAnsi="宋体"/>
                <w:color w:val="000000"/>
                <w:szCs w:val="21"/>
              </w:rPr>
              <w:t>4.4.2. 本公司的废弃物可分为一般废弃物和危险废弃物，具体如下：</w:t>
            </w:r>
          </w:p>
          <w:p>
            <w:pPr>
              <w:spacing w:line="340" w:lineRule="exact"/>
              <w:rPr>
                <w:rFonts w:ascii="宋体" w:hAnsi="宋体"/>
                <w:color w:val="000000"/>
                <w:szCs w:val="21"/>
              </w:rPr>
            </w:pPr>
            <w:r>
              <w:rPr>
                <w:rFonts w:hint="eastAsia" w:ascii="宋体" w:hAnsi="宋体"/>
                <w:color w:val="000000"/>
                <w:szCs w:val="21"/>
              </w:rPr>
              <w:t>4.4.2.1.一般废弃物</w:t>
            </w:r>
          </w:p>
          <w:p>
            <w:pPr>
              <w:spacing w:line="340" w:lineRule="exact"/>
              <w:ind w:firstLine="420" w:firstLineChars="200"/>
              <w:rPr>
                <w:rFonts w:ascii="宋体" w:hAnsi="宋体"/>
                <w:color w:val="000000"/>
                <w:szCs w:val="21"/>
              </w:rPr>
            </w:pPr>
            <w:r>
              <w:rPr>
                <w:rFonts w:hint="eastAsia" w:ascii="宋体" w:hAnsi="宋体"/>
                <w:color w:val="000000"/>
                <w:szCs w:val="21"/>
              </w:rPr>
              <w:t>ａ.办公活动产生的废弃包装材料、废旧纸张和报纸、办公垃圾等。</w:t>
            </w:r>
          </w:p>
          <w:p>
            <w:pPr>
              <w:spacing w:line="340" w:lineRule="exact"/>
              <w:ind w:firstLine="420" w:firstLineChars="200"/>
              <w:rPr>
                <w:rFonts w:ascii="宋体" w:hAnsi="宋体"/>
                <w:color w:val="000000"/>
                <w:szCs w:val="21"/>
              </w:rPr>
            </w:pPr>
            <w:r>
              <w:rPr>
                <w:rFonts w:hint="eastAsia" w:ascii="宋体" w:hAnsi="宋体"/>
                <w:color w:val="000000"/>
                <w:szCs w:val="21"/>
              </w:rPr>
              <w:t>ｂ.生产过程产生的废弃包装物、废旧设备零部件、报废的下脚料、生产垃圾等。</w:t>
            </w:r>
          </w:p>
          <w:p>
            <w:pPr>
              <w:spacing w:line="340" w:lineRule="exact"/>
              <w:rPr>
                <w:rFonts w:ascii="宋体" w:hAnsi="宋体"/>
                <w:color w:val="000000"/>
                <w:szCs w:val="21"/>
              </w:rPr>
            </w:pPr>
            <w:r>
              <w:rPr>
                <w:rFonts w:hint="eastAsia" w:ascii="宋体" w:hAnsi="宋体"/>
                <w:color w:val="000000"/>
                <w:szCs w:val="21"/>
              </w:rPr>
              <w:t>4.4.2.2.危险废弃物</w:t>
            </w:r>
          </w:p>
          <w:p>
            <w:pPr>
              <w:spacing w:line="340" w:lineRule="exact"/>
              <w:ind w:firstLine="420" w:firstLineChars="200"/>
              <w:rPr>
                <w:rFonts w:ascii="宋体" w:hAnsi="宋体"/>
                <w:color w:val="000000"/>
                <w:szCs w:val="21"/>
              </w:rPr>
            </w:pPr>
            <w:r>
              <w:rPr>
                <w:rFonts w:hint="eastAsia" w:ascii="宋体" w:hAnsi="宋体"/>
                <w:color w:val="000000"/>
                <w:szCs w:val="21"/>
              </w:rPr>
              <w:t>ａ. 办公和生产活动产生的废旧灯管和电池等。</w:t>
            </w:r>
          </w:p>
          <w:p>
            <w:pPr>
              <w:spacing w:line="340" w:lineRule="exact"/>
              <w:ind w:firstLine="420" w:firstLineChars="200"/>
              <w:rPr>
                <w:rFonts w:ascii="宋体" w:hAnsi="宋体"/>
                <w:szCs w:val="21"/>
              </w:rPr>
            </w:pPr>
            <w:r>
              <w:rPr>
                <w:rFonts w:hint="eastAsia" w:ascii="宋体" w:hAnsi="宋体"/>
                <w:color w:val="000000"/>
                <w:szCs w:val="21"/>
              </w:rPr>
              <w:t>ｂ. 生产活动产生的废机油及其污染源、拼板胶、</w:t>
            </w:r>
            <w:r>
              <w:rPr>
                <w:rFonts w:hint="eastAsia" w:ascii="宋体" w:hAnsi="宋体"/>
                <w:szCs w:val="21"/>
              </w:rPr>
              <w:t>固化剂及其容器等。</w:t>
            </w:r>
          </w:p>
          <w:p>
            <w:pPr>
              <w:spacing w:line="340" w:lineRule="exact"/>
              <w:ind w:firstLine="420" w:firstLineChars="200"/>
              <w:rPr>
                <w:rFonts w:ascii="宋体" w:hAnsi="宋体"/>
                <w:szCs w:val="21"/>
              </w:rPr>
            </w:pPr>
            <w:r>
              <w:rPr>
                <w:rFonts w:hint="eastAsia" w:ascii="宋体" w:hAnsi="宋体"/>
                <w:szCs w:val="21"/>
              </w:rPr>
              <w:t>C 、擦拭设备的抹布、维修人员的油手套等。</w:t>
            </w:r>
          </w:p>
          <w:p>
            <w:pPr>
              <w:spacing w:line="340" w:lineRule="exact"/>
              <w:rPr>
                <w:rFonts w:ascii="宋体" w:hAnsi="宋体"/>
                <w:color w:val="000000"/>
                <w:szCs w:val="21"/>
              </w:rPr>
            </w:pPr>
            <w:r>
              <w:rPr>
                <w:rFonts w:hint="eastAsia" w:ascii="宋体" w:hAnsi="宋体"/>
                <w:color w:val="000000"/>
                <w:szCs w:val="21"/>
              </w:rPr>
              <w:t>4.4.2.3. 综合部监督存放在指定区域的一般废弃物和危险废弃物的存放情况，要求各部门或人员分类存放并标识、防止混放。</w:t>
            </w:r>
          </w:p>
          <w:p>
            <w:pPr>
              <w:spacing w:line="340" w:lineRule="exact"/>
              <w:rPr>
                <w:rFonts w:ascii="宋体" w:hAnsi="宋体"/>
                <w:color w:val="000000"/>
                <w:szCs w:val="21"/>
              </w:rPr>
            </w:pPr>
            <w:r>
              <w:rPr>
                <w:rFonts w:hint="eastAsia" w:ascii="宋体" w:hAnsi="宋体"/>
                <w:color w:val="000000"/>
                <w:szCs w:val="21"/>
              </w:rPr>
              <w:t>4.4.3. 对办公活动、生产活动和实验活动产生的一般废弃物，应由产生废弃物的部门集中暂时存放并送到指定区域，由综合部进行集中处理。</w:t>
            </w:r>
          </w:p>
          <w:p>
            <w:pPr>
              <w:spacing w:line="340" w:lineRule="exact"/>
              <w:rPr>
                <w:rFonts w:ascii="宋体" w:hAnsi="宋体"/>
                <w:color w:val="000000"/>
                <w:szCs w:val="21"/>
              </w:rPr>
            </w:pPr>
            <w:r>
              <w:rPr>
                <w:rFonts w:hint="eastAsia" w:ascii="宋体" w:hAnsi="宋体"/>
                <w:color w:val="000000"/>
                <w:szCs w:val="21"/>
              </w:rPr>
              <w:t>4.4.4. 对办公活动、生产活动产生的危险废弃物，应由产生废弃物的部门进行分类存放，做好标识，并送到指定区域。不能直接从水池或下水道排出，对所有的危险废弃物，应由综合部联系有资质的处置单位回收处理。对一般废物，应由综合部联系有资质的单位进行垃圾清运。</w:t>
            </w:r>
          </w:p>
          <w:p>
            <w:pPr>
              <w:spacing w:line="340" w:lineRule="exact"/>
              <w:rPr>
                <w:rFonts w:ascii="宋体" w:hAnsi="宋体"/>
                <w:color w:val="000000"/>
                <w:szCs w:val="21"/>
              </w:rPr>
            </w:pPr>
            <w:r>
              <w:rPr>
                <w:rFonts w:hint="eastAsia" w:ascii="宋体" w:hAnsi="宋体"/>
                <w:color w:val="000000"/>
                <w:szCs w:val="21"/>
              </w:rPr>
              <w:t>4.4.5. 公司应定期对废弃物的排放量和处理量进行统计，每月进行汇总，必要时做出分析评价，具体执行《固体废弃物管理办法》的有关规定。</w:t>
            </w:r>
          </w:p>
          <w:p>
            <w:pPr>
              <w:tabs>
                <w:tab w:val="left" w:pos="843"/>
                <w:tab w:val="left" w:pos="4935"/>
              </w:tabs>
              <w:snapToGrid w:val="0"/>
              <w:spacing w:line="340" w:lineRule="exact"/>
              <w:rPr>
                <w:rFonts w:ascii="宋体" w:hAnsi="宋体"/>
                <w:b/>
                <w:color w:val="000000"/>
                <w:szCs w:val="21"/>
              </w:rPr>
            </w:pPr>
            <w:r>
              <w:rPr>
                <w:rFonts w:hint="eastAsia" w:ascii="宋体" w:hAnsi="宋体"/>
                <w:b/>
                <w:color w:val="000000"/>
                <w:szCs w:val="21"/>
              </w:rPr>
              <w:t>4.5. 消防控制</w:t>
            </w:r>
            <w:r>
              <w:rPr>
                <w:rFonts w:hint="eastAsia" w:ascii="宋体" w:hAnsi="宋体"/>
                <w:b/>
                <w:color w:val="000000"/>
                <w:szCs w:val="21"/>
              </w:rPr>
              <w:tab/>
            </w:r>
          </w:p>
          <w:p>
            <w:pPr>
              <w:tabs>
                <w:tab w:val="left" w:pos="4240"/>
              </w:tabs>
              <w:spacing w:line="340" w:lineRule="exact"/>
              <w:rPr>
                <w:rFonts w:ascii="宋体" w:hAnsi="宋体"/>
                <w:color w:val="000000"/>
                <w:szCs w:val="21"/>
              </w:rPr>
            </w:pPr>
            <w:r>
              <w:rPr>
                <w:rFonts w:hint="eastAsia" w:ascii="宋体" w:hAnsi="宋体"/>
                <w:color w:val="000000"/>
                <w:szCs w:val="21"/>
              </w:rPr>
              <w:t>4.5.1. 消防器材的配备和使用应符合环境和职业健康安全控制的有关规定。</w:t>
            </w:r>
          </w:p>
          <w:p>
            <w:pPr>
              <w:tabs>
                <w:tab w:val="left" w:pos="4240"/>
              </w:tabs>
              <w:spacing w:line="340" w:lineRule="exact"/>
              <w:rPr>
                <w:rFonts w:ascii="宋体" w:hAnsi="宋体"/>
                <w:color w:val="000000"/>
                <w:szCs w:val="21"/>
              </w:rPr>
            </w:pPr>
            <w:r>
              <w:rPr>
                <w:rFonts w:hint="eastAsia" w:ascii="宋体" w:hAnsi="宋体"/>
                <w:color w:val="000000"/>
                <w:szCs w:val="21"/>
              </w:rPr>
              <w:t>4.5.2. 综合部负责组织各部门建立、完善各类消防管理制度并建立消防组织，分工明确，责任到人。</w:t>
            </w:r>
          </w:p>
          <w:p>
            <w:pPr>
              <w:tabs>
                <w:tab w:val="left" w:pos="4240"/>
              </w:tabs>
              <w:spacing w:line="340" w:lineRule="exact"/>
              <w:rPr>
                <w:rFonts w:ascii="宋体" w:hAnsi="宋体"/>
                <w:color w:val="000000"/>
                <w:szCs w:val="21"/>
              </w:rPr>
            </w:pPr>
            <w:r>
              <w:rPr>
                <w:rFonts w:hint="eastAsia" w:ascii="宋体" w:hAnsi="宋体"/>
                <w:color w:val="000000"/>
                <w:szCs w:val="21"/>
              </w:rPr>
              <w:t>4.5.2.1. 确定防火重点部位：办公场所、库房、仓库、车间、油品库等，重点部位应重点控制、检查，并挂警示牌。</w:t>
            </w:r>
          </w:p>
          <w:p>
            <w:pPr>
              <w:tabs>
                <w:tab w:val="left" w:pos="4240"/>
              </w:tabs>
              <w:spacing w:line="340" w:lineRule="exact"/>
              <w:rPr>
                <w:rFonts w:ascii="宋体" w:hAnsi="宋体"/>
                <w:color w:val="000000"/>
                <w:szCs w:val="21"/>
              </w:rPr>
            </w:pPr>
            <w:r>
              <w:rPr>
                <w:rFonts w:hint="eastAsia" w:ascii="宋体" w:hAnsi="宋体"/>
                <w:color w:val="000000"/>
                <w:szCs w:val="21"/>
              </w:rPr>
              <w:t>4.5.2.2. 综合部负责组织消防培训，熟悉消防应急预案、灭火器材的使用及员工的消防意识，适时组织实战演练，并作好记录。当火灾发生时，应立即执行《应急准备与响应控制程序》及相应的应急预案。</w:t>
            </w:r>
          </w:p>
          <w:p>
            <w:pPr>
              <w:tabs>
                <w:tab w:val="left" w:pos="4240"/>
              </w:tabs>
              <w:spacing w:line="340" w:lineRule="exact"/>
              <w:rPr>
                <w:rFonts w:ascii="宋体" w:hAnsi="宋体"/>
                <w:color w:val="000000"/>
                <w:szCs w:val="21"/>
              </w:rPr>
            </w:pPr>
            <w:r>
              <w:rPr>
                <w:rFonts w:hint="eastAsia" w:ascii="宋体" w:hAnsi="宋体"/>
                <w:color w:val="000000"/>
                <w:szCs w:val="21"/>
              </w:rPr>
              <w:t>4.5.2.3. 综合部在编制消防管理制度及消防应急预案时，应明确现场配备足够的消防器材，做到布局合理，并保证其有效状态。</w:t>
            </w:r>
          </w:p>
          <w:p>
            <w:pPr>
              <w:tabs>
                <w:tab w:val="left" w:pos="4240"/>
              </w:tabs>
              <w:spacing w:line="340" w:lineRule="exact"/>
              <w:rPr>
                <w:rFonts w:ascii="宋体" w:hAnsi="宋体"/>
                <w:color w:val="000000"/>
                <w:szCs w:val="21"/>
              </w:rPr>
            </w:pPr>
            <w:r>
              <w:rPr>
                <w:rFonts w:hint="eastAsia" w:ascii="宋体" w:hAnsi="宋体"/>
                <w:color w:val="000000"/>
                <w:szCs w:val="21"/>
              </w:rPr>
              <w:t>4.5.2.4. 综合部负责消防设施的管理，并建立相应的《消防器材检查表》。</w:t>
            </w:r>
          </w:p>
          <w:p>
            <w:pPr>
              <w:tabs>
                <w:tab w:val="left" w:pos="4240"/>
              </w:tabs>
              <w:spacing w:line="340" w:lineRule="exact"/>
              <w:rPr>
                <w:rFonts w:ascii="宋体" w:hAnsi="宋体"/>
                <w:color w:val="000000"/>
                <w:szCs w:val="21"/>
              </w:rPr>
            </w:pPr>
            <w:r>
              <w:rPr>
                <w:rFonts w:hint="eastAsia" w:ascii="宋体" w:hAnsi="宋体"/>
                <w:color w:val="000000"/>
                <w:szCs w:val="21"/>
              </w:rPr>
              <w:t>4.5.3. 综合部负责建立消防检查制度，同时组织每月一次消防大检查并做好记录，部门兼职消防员应做到每天巡视检查，及时消除火灾隐患，并保持记录，对记录结果分析评价，必要时采取相应的纠正和预防措施，并执行《改进控制程序》。</w:t>
            </w:r>
          </w:p>
          <w:p>
            <w:pPr>
              <w:tabs>
                <w:tab w:val="left" w:pos="4240"/>
              </w:tabs>
              <w:spacing w:line="340" w:lineRule="exact"/>
              <w:rPr>
                <w:rFonts w:ascii="宋体" w:hAnsi="宋体"/>
                <w:b/>
                <w:color w:val="000000"/>
                <w:szCs w:val="21"/>
              </w:rPr>
            </w:pPr>
            <w:r>
              <w:rPr>
                <w:rFonts w:hint="eastAsia" w:ascii="宋体" w:hAnsi="宋体"/>
                <w:color w:val="000000"/>
                <w:szCs w:val="21"/>
              </w:rPr>
              <w:t>4.5.4. 综合部负责建立消防工作奖罚制度，根据月检查及每天巡视检查记录结果对相关人员进行奖罚。</w:t>
            </w:r>
          </w:p>
          <w:p>
            <w:pPr>
              <w:tabs>
                <w:tab w:val="left" w:pos="843"/>
                <w:tab w:val="left" w:pos="9740"/>
              </w:tabs>
              <w:snapToGrid w:val="0"/>
              <w:spacing w:line="340" w:lineRule="exact"/>
              <w:rPr>
                <w:rFonts w:ascii="宋体" w:hAnsi="宋体"/>
                <w:b/>
                <w:color w:val="000000"/>
                <w:szCs w:val="21"/>
              </w:rPr>
            </w:pPr>
            <w:r>
              <w:rPr>
                <w:rFonts w:hint="eastAsia" w:ascii="宋体" w:hAnsi="宋体"/>
                <w:b/>
                <w:color w:val="000000"/>
                <w:szCs w:val="21"/>
              </w:rPr>
              <w:t>4.6. 特殊工种作业控制</w:t>
            </w:r>
          </w:p>
          <w:p>
            <w:pPr>
              <w:spacing w:line="340" w:lineRule="exact"/>
              <w:ind w:right="-512" w:rightChars="-244"/>
              <w:rPr>
                <w:rFonts w:ascii="宋体" w:hAnsi="宋体"/>
                <w:color w:val="000000"/>
                <w:szCs w:val="21"/>
              </w:rPr>
            </w:pPr>
            <w:r>
              <w:rPr>
                <w:rFonts w:hint="eastAsia" w:ascii="宋体" w:hAnsi="宋体"/>
                <w:color w:val="000000"/>
                <w:szCs w:val="21"/>
              </w:rPr>
              <w:t>4.6.1. 特种作业范围</w:t>
            </w:r>
          </w:p>
          <w:p>
            <w:pPr>
              <w:numPr>
                <w:ilvl w:val="1"/>
                <w:numId w:val="19"/>
              </w:numPr>
              <w:tabs>
                <w:tab w:val="left" w:pos="1080"/>
              </w:tabs>
              <w:spacing w:line="340" w:lineRule="exact"/>
              <w:ind w:right="-512" w:rightChars="-244"/>
              <w:rPr>
                <w:rFonts w:ascii="宋体" w:hAnsi="宋体"/>
                <w:color w:val="000000"/>
                <w:szCs w:val="21"/>
              </w:rPr>
            </w:pPr>
            <w:r>
              <w:rPr>
                <w:rFonts w:hint="eastAsia" w:ascii="宋体" w:hAnsi="宋体"/>
                <w:color w:val="000000"/>
                <w:szCs w:val="21"/>
              </w:rPr>
              <w:t>电工作业；</w:t>
            </w:r>
          </w:p>
          <w:p>
            <w:pPr>
              <w:numPr>
                <w:ilvl w:val="1"/>
                <w:numId w:val="19"/>
              </w:numPr>
              <w:spacing w:line="340" w:lineRule="exact"/>
              <w:ind w:right="-512" w:rightChars="-244"/>
              <w:rPr>
                <w:rFonts w:ascii="宋体" w:hAnsi="宋体"/>
                <w:color w:val="000000"/>
                <w:szCs w:val="21"/>
              </w:rPr>
            </w:pPr>
            <w:r>
              <w:rPr>
                <w:rFonts w:hint="eastAsia" w:ascii="宋体" w:hAnsi="宋体"/>
                <w:color w:val="000000"/>
                <w:szCs w:val="21"/>
              </w:rPr>
              <w:t>根据特种作业基本定义由省级劳动部门确定，并报劳动部备案的其它作业。</w:t>
            </w:r>
          </w:p>
          <w:p>
            <w:pPr>
              <w:spacing w:line="340" w:lineRule="exact"/>
              <w:ind w:right="-512" w:rightChars="-244"/>
              <w:rPr>
                <w:rFonts w:ascii="宋体" w:hAnsi="宋体"/>
                <w:color w:val="000000"/>
                <w:szCs w:val="21"/>
              </w:rPr>
            </w:pPr>
            <w:r>
              <w:rPr>
                <w:rFonts w:hint="eastAsia" w:ascii="宋体" w:hAnsi="宋体"/>
                <w:color w:val="000000"/>
                <w:szCs w:val="21"/>
              </w:rPr>
              <w:t>4.6.2. 特种作业人员具备的条件</w:t>
            </w:r>
          </w:p>
          <w:p>
            <w:pPr>
              <w:numPr>
                <w:ilvl w:val="0"/>
                <w:numId w:val="20"/>
              </w:numPr>
              <w:spacing w:line="340" w:lineRule="exact"/>
              <w:ind w:right="-512" w:rightChars="-244"/>
              <w:rPr>
                <w:rFonts w:ascii="宋体" w:hAnsi="宋体"/>
                <w:color w:val="000000"/>
                <w:szCs w:val="21"/>
              </w:rPr>
            </w:pPr>
            <w:r>
              <w:rPr>
                <w:rFonts w:hint="eastAsia" w:ascii="宋体" w:hAnsi="宋体"/>
                <w:color w:val="000000"/>
                <w:szCs w:val="21"/>
              </w:rPr>
              <w:t>工作认真负责，遵章守纪；</w:t>
            </w:r>
          </w:p>
          <w:p>
            <w:pPr>
              <w:numPr>
                <w:ilvl w:val="0"/>
                <w:numId w:val="20"/>
              </w:numPr>
              <w:spacing w:line="340" w:lineRule="exact"/>
              <w:ind w:right="-512" w:rightChars="-244"/>
              <w:rPr>
                <w:rFonts w:ascii="宋体" w:hAnsi="宋体"/>
                <w:color w:val="000000"/>
                <w:szCs w:val="21"/>
              </w:rPr>
            </w:pPr>
            <w:r>
              <w:rPr>
                <w:rFonts w:hint="eastAsia" w:ascii="宋体" w:hAnsi="宋体"/>
                <w:color w:val="000000"/>
                <w:szCs w:val="21"/>
              </w:rPr>
              <w:t>年满十八周岁以上；</w:t>
            </w:r>
          </w:p>
          <w:p>
            <w:pPr>
              <w:numPr>
                <w:ilvl w:val="0"/>
                <w:numId w:val="20"/>
              </w:numPr>
              <w:spacing w:line="340" w:lineRule="exact"/>
              <w:ind w:right="-512" w:rightChars="-244"/>
              <w:rPr>
                <w:rFonts w:ascii="宋体" w:hAnsi="宋体"/>
                <w:color w:val="000000"/>
                <w:szCs w:val="21"/>
              </w:rPr>
            </w:pPr>
            <w:r>
              <w:rPr>
                <w:rFonts w:hint="eastAsia" w:ascii="宋体" w:hAnsi="宋体"/>
                <w:color w:val="000000"/>
                <w:szCs w:val="21"/>
              </w:rPr>
              <w:t>高中以上文化程度；</w:t>
            </w:r>
          </w:p>
          <w:p>
            <w:pPr>
              <w:numPr>
                <w:ilvl w:val="0"/>
                <w:numId w:val="20"/>
              </w:numPr>
              <w:spacing w:line="340" w:lineRule="exact"/>
              <w:ind w:right="-512" w:rightChars="-244"/>
              <w:rPr>
                <w:rFonts w:ascii="宋体" w:hAnsi="宋体"/>
                <w:color w:val="000000"/>
                <w:szCs w:val="21"/>
              </w:rPr>
            </w:pPr>
            <w:r>
              <w:rPr>
                <w:rFonts w:hint="eastAsia" w:ascii="宋体" w:hAnsi="宋体"/>
                <w:color w:val="000000"/>
                <w:szCs w:val="21"/>
              </w:rPr>
              <w:t>上岗要求的业务理论考核及实际操作技能考核合格；</w:t>
            </w:r>
          </w:p>
          <w:p>
            <w:pPr>
              <w:numPr>
                <w:ilvl w:val="0"/>
                <w:numId w:val="20"/>
              </w:numPr>
              <w:spacing w:line="340" w:lineRule="exact"/>
              <w:ind w:right="-512" w:rightChars="-244"/>
              <w:rPr>
                <w:rFonts w:ascii="宋体" w:hAnsi="宋体"/>
                <w:color w:val="000000"/>
                <w:szCs w:val="21"/>
              </w:rPr>
            </w:pPr>
            <w:r>
              <w:rPr>
                <w:rFonts w:hint="eastAsia" w:ascii="宋体" w:hAnsi="宋体"/>
                <w:color w:val="000000"/>
                <w:szCs w:val="21"/>
              </w:rPr>
              <w:t>身体健康，无妨碍从事本工种作业的疾病和生理缺陷。</w:t>
            </w:r>
          </w:p>
          <w:p>
            <w:pPr>
              <w:numPr>
                <w:ilvl w:val="0"/>
                <w:numId w:val="20"/>
              </w:numPr>
              <w:spacing w:line="340" w:lineRule="exact"/>
              <w:ind w:right="-512" w:rightChars="-244"/>
              <w:rPr>
                <w:rFonts w:ascii="宋体" w:hAnsi="宋体"/>
                <w:color w:val="000000"/>
                <w:szCs w:val="21"/>
              </w:rPr>
            </w:pPr>
            <w:r>
              <w:rPr>
                <w:rFonts w:hint="eastAsia" w:ascii="宋体" w:hAnsi="宋体"/>
                <w:color w:val="000000"/>
                <w:szCs w:val="21"/>
              </w:rPr>
              <w:t>国家技术监督局或其它部门组织专业培训并考核合格,持证上岗.</w:t>
            </w:r>
          </w:p>
          <w:p>
            <w:pPr>
              <w:spacing w:line="340" w:lineRule="exact"/>
              <w:ind w:right="-512" w:rightChars="-244"/>
              <w:rPr>
                <w:rFonts w:ascii="宋体" w:hAnsi="宋体"/>
                <w:color w:val="000000"/>
                <w:szCs w:val="21"/>
              </w:rPr>
            </w:pPr>
            <w:r>
              <w:rPr>
                <w:rFonts w:hint="eastAsia" w:ascii="宋体" w:hAnsi="宋体"/>
                <w:color w:val="000000"/>
                <w:szCs w:val="21"/>
              </w:rPr>
              <w:t>4.6.3. 特种作业日常管理</w:t>
            </w:r>
          </w:p>
          <w:p>
            <w:pPr>
              <w:spacing w:line="340" w:lineRule="exact"/>
              <w:ind w:right="-512" w:rightChars="-244"/>
              <w:rPr>
                <w:rFonts w:ascii="宋体" w:hAnsi="宋体"/>
                <w:color w:val="000000"/>
                <w:szCs w:val="21"/>
              </w:rPr>
            </w:pPr>
            <w:r>
              <w:rPr>
                <w:rFonts w:hint="eastAsia" w:ascii="宋体" w:hAnsi="宋体"/>
                <w:color w:val="000000"/>
                <w:szCs w:val="21"/>
              </w:rPr>
              <w:t>4.6.3.1. 特种作业管理由特殊作业岗位所在部门负责,主要承担组织监督检查工作。</w:t>
            </w:r>
          </w:p>
          <w:p>
            <w:pPr>
              <w:spacing w:line="340" w:lineRule="exact"/>
              <w:ind w:right="-512" w:rightChars="-244"/>
              <w:rPr>
                <w:rFonts w:ascii="宋体" w:hAnsi="宋体"/>
                <w:color w:val="000000"/>
                <w:szCs w:val="21"/>
              </w:rPr>
            </w:pPr>
            <w:r>
              <w:rPr>
                <w:rFonts w:hint="eastAsia" w:ascii="宋体" w:hAnsi="宋体"/>
                <w:color w:val="000000"/>
                <w:szCs w:val="21"/>
              </w:rPr>
              <w:t>4.6.3.2. 公司从事特种作业的人员必须持劳动部门颁发的《特殊工种操作证》,持证上岗,并根据劳动部门的统一安排定期参加培训和年审。</w:t>
            </w:r>
          </w:p>
          <w:p>
            <w:pPr>
              <w:spacing w:line="340" w:lineRule="exact"/>
              <w:ind w:right="-512" w:rightChars="-244"/>
              <w:rPr>
                <w:rFonts w:ascii="宋体" w:hAnsi="宋体"/>
                <w:color w:val="000000"/>
                <w:szCs w:val="21"/>
              </w:rPr>
            </w:pPr>
            <w:r>
              <w:rPr>
                <w:rFonts w:hint="eastAsia" w:ascii="宋体" w:hAnsi="宋体"/>
                <w:color w:val="000000"/>
                <w:szCs w:val="21"/>
              </w:rPr>
              <w:t xml:space="preserve">4.6.3.3. 相关部门必须把现有特种作业人员花名册报综合部备案，综合部分类登记，建立《特殊作业档案》 </w:t>
            </w:r>
          </w:p>
          <w:p>
            <w:pPr>
              <w:spacing w:line="340" w:lineRule="exact"/>
              <w:ind w:right="-512" w:rightChars="-244"/>
              <w:rPr>
                <w:rFonts w:ascii="宋体" w:hAnsi="宋体"/>
                <w:szCs w:val="21"/>
              </w:rPr>
            </w:pPr>
            <w:r>
              <w:rPr>
                <w:rFonts w:hint="eastAsia" w:ascii="宋体" w:hAnsi="宋体"/>
                <w:szCs w:val="21"/>
              </w:rPr>
              <w:t>4.6.3.4. 相关部门根据需要向综合部报《劳动、安全防护用品需用量计划》，由仓储管理员统一汇总后填写采购单，经公司领导审批后进行采购。必要的特种作业安全防护用品和用具由相关部门向总经理申请。</w:t>
            </w:r>
          </w:p>
          <w:p>
            <w:pPr>
              <w:spacing w:line="340" w:lineRule="exact"/>
              <w:ind w:right="-512" w:rightChars="-244"/>
              <w:rPr>
                <w:rFonts w:ascii="宋体" w:hAnsi="宋体"/>
                <w:color w:val="000000"/>
                <w:szCs w:val="21"/>
              </w:rPr>
            </w:pPr>
            <w:r>
              <w:rPr>
                <w:rFonts w:hint="eastAsia" w:ascii="宋体" w:hAnsi="宋体"/>
                <w:color w:val="000000"/>
                <w:szCs w:val="21"/>
              </w:rPr>
              <w:t>4.6.4. 特种作业培训、教育</w:t>
            </w:r>
          </w:p>
          <w:p>
            <w:pPr>
              <w:spacing w:line="340" w:lineRule="exact"/>
              <w:ind w:right="-512" w:rightChars="-244"/>
              <w:rPr>
                <w:rFonts w:ascii="宋体" w:hAnsi="宋体"/>
                <w:color w:val="000000"/>
                <w:szCs w:val="21"/>
              </w:rPr>
            </w:pPr>
            <w:r>
              <w:rPr>
                <w:rFonts w:hint="eastAsia" w:ascii="宋体" w:hAnsi="宋体"/>
                <w:color w:val="000000"/>
                <w:szCs w:val="21"/>
              </w:rPr>
              <w:t>4.6.4.1. 综合部协同相关部门负责组织具备条件的特种作业人员送有关安全主管部门进行培训和复审工作。</w:t>
            </w:r>
          </w:p>
          <w:p>
            <w:pPr>
              <w:spacing w:line="340" w:lineRule="exact"/>
              <w:ind w:right="-512" w:rightChars="-244"/>
              <w:rPr>
                <w:rFonts w:ascii="宋体" w:hAnsi="宋体"/>
                <w:color w:val="000000"/>
                <w:szCs w:val="21"/>
              </w:rPr>
            </w:pPr>
            <w:r>
              <w:rPr>
                <w:rFonts w:hint="eastAsia" w:ascii="宋体" w:hAnsi="宋体"/>
                <w:color w:val="000000"/>
                <w:szCs w:val="21"/>
              </w:rPr>
              <w:t>4.6.4.2. 综合部负责组织特种作业人员分类、分批每年进行健康查体工作，并做好记录。</w:t>
            </w:r>
          </w:p>
          <w:p>
            <w:pPr>
              <w:spacing w:line="340" w:lineRule="exact"/>
              <w:ind w:right="-512" w:rightChars="-244"/>
              <w:rPr>
                <w:rFonts w:ascii="宋体" w:hAnsi="宋体"/>
                <w:color w:val="000000"/>
                <w:szCs w:val="21"/>
              </w:rPr>
            </w:pPr>
            <w:r>
              <w:rPr>
                <w:rFonts w:hint="eastAsia" w:ascii="宋体" w:hAnsi="宋体"/>
                <w:color w:val="000000"/>
                <w:szCs w:val="21"/>
              </w:rPr>
              <w:t>4.6.4.3. 各部门、车间及生产车间的部门负责人或各班组长进行班前教育及班后总结分析，生产车间安全员利用各种会议“三栏一报”、标语、图片、安全讲课、事故现场会等形式开展安全教育，总务部对实施效果验证。执行《人力资源控制程序》。</w:t>
            </w:r>
          </w:p>
          <w:p>
            <w:pPr>
              <w:spacing w:line="340" w:lineRule="exact"/>
              <w:ind w:right="-512" w:rightChars="-244"/>
              <w:rPr>
                <w:rFonts w:ascii="宋体" w:hAnsi="宋体"/>
                <w:color w:val="000000"/>
                <w:szCs w:val="21"/>
              </w:rPr>
            </w:pPr>
            <w:r>
              <w:rPr>
                <w:rFonts w:hint="eastAsia" w:ascii="宋体" w:hAnsi="宋体"/>
                <w:color w:val="000000"/>
                <w:szCs w:val="21"/>
              </w:rPr>
              <w:t>4.6.5. 特种作业活动中出现的应急情况，按《应急准备与响应控制程序》执行。生产车间负责实施效果的跟踪检查、验证。</w:t>
            </w:r>
          </w:p>
          <w:p>
            <w:pPr>
              <w:spacing w:line="340" w:lineRule="exact"/>
              <w:ind w:right="-512" w:rightChars="-244"/>
              <w:rPr>
                <w:rFonts w:ascii="宋体" w:hAnsi="宋体"/>
                <w:color w:val="000000"/>
                <w:szCs w:val="21"/>
              </w:rPr>
            </w:pPr>
            <w:r>
              <w:rPr>
                <w:rFonts w:hint="eastAsia" w:ascii="宋体" w:hAnsi="宋体"/>
                <w:color w:val="000000"/>
                <w:szCs w:val="21"/>
              </w:rPr>
              <w:t>4.6.6. 相关部门必须严格遵守特殊工种的作业指导书或操作规程，生产车间负责对其进行监督检查。</w:t>
            </w:r>
          </w:p>
          <w:p>
            <w:pPr>
              <w:spacing w:line="340" w:lineRule="exact"/>
              <w:ind w:right="-512" w:rightChars="-244"/>
              <w:rPr>
                <w:rFonts w:ascii="宋体" w:hAnsi="宋体"/>
                <w:b/>
                <w:color w:val="000000"/>
                <w:szCs w:val="21"/>
              </w:rPr>
            </w:pPr>
            <w:r>
              <w:rPr>
                <w:rFonts w:hint="eastAsia" w:ascii="宋体" w:hAnsi="宋体"/>
                <w:color w:val="000000"/>
                <w:szCs w:val="21"/>
              </w:rPr>
              <w:t>4.6.7. 《特殊工种作业指导书》或《设备操作规程》由生产车间组织编写，管理者代表批准。</w:t>
            </w:r>
          </w:p>
          <w:p>
            <w:pPr>
              <w:tabs>
                <w:tab w:val="left" w:pos="843"/>
                <w:tab w:val="left" w:pos="9740"/>
              </w:tabs>
              <w:snapToGrid w:val="0"/>
              <w:spacing w:line="340" w:lineRule="exact"/>
              <w:rPr>
                <w:rFonts w:ascii="宋体" w:hAnsi="宋体"/>
                <w:b/>
                <w:color w:val="000000"/>
                <w:szCs w:val="21"/>
              </w:rPr>
            </w:pPr>
            <w:r>
              <w:rPr>
                <w:rFonts w:hint="eastAsia" w:ascii="宋体" w:hAnsi="宋体"/>
                <w:b/>
                <w:color w:val="000000"/>
                <w:szCs w:val="21"/>
              </w:rPr>
              <w:t>4.7. 劳动保护与安全防护控制</w:t>
            </w:r>
          </w:p>
          <w:p>
            <w:pPr>
              <w:spacing w:line="340" w:lineRule="exact"/>
              <w:rPr>
                <w:rFonts w:ascii="宋体" w:hAnsi="宋体"/>
                <w:color w:val="000000"/>
                <w:szCs w:val="21"/>
              </w:rPr>
            </w:pPr>
            <w:r>
              <w:rPr>
                <w:rFonts w:hint="eastAsia" w:ascii="宋体" w:hAnsi="宋体"/>
                <w:color w:val="000000"/>
                <w:szCs w:val="21"/>
              </w:rPr>
              <w:t>4.7.1. 生产车间通过相关文件明确安全防护设施、劳动保护用品的配置及需防护的措施。对特种设备及有关安全设施安装后，生产车间组织安全员及其他有关人员验收合格后方可投入使用，未经验收或验收不合格严禁任何人使用，一经发现将予以严惩。</w:t>
            </w:r>
          </w:p>
          <w:p>
            <w:pPr>
              <w:spacing w:line="340" w:lineRule="exact"/>
              <w:rPr>
                <w:rFonts w:ascii="宋体" w:hAnsi="宋体"/>
                <w:color w:val="000000"/>
                <w:szCs w:val="21"/>
              </w:rPr>
            </w:pPr>
            <w:r>
              <w:rPr>
                <w:rFonts w:hint="eastAsia" w:ascii="宋体" w:hAnsi="宋体"/>
                <w:color w:val="000000"/>
                <w:szCs w:val="21"/>
              </w:rPr>
              <w:t>4.7.2. 各相关部门根据本部门情况填写《采购物品申请表》，经本部门领导审核后报总经理批准，购买人员在《合格供方名录》范围内选择并实施采购，具体执行《采购控制程序》的有关规定。</w:t>
            </w:r>
          </w:p>
          <w:p>
            <w:pPr>
              <w:spacing w:line="340" w:lineRule="exact"/>
              <w:rPr>
                <w:rFonts w:ascii="宋体" w:hAnsi="宋体"/>
                <w:szCs w:val="21"/>
              </w:rPr>
            </w:pPr>
            <w:r>
              <w:rPr>
                <w:rFonts w:hint="eastAsia" w:ascii="宋体" w:hAnsi="宋体"/>
                <w:szCs w:val="21"/>
              </w:rPr>
              <w:t>4.7.3. 劳动、安全防护用品验收：由</w:t>
            </w:r>
            <w:r>
              <w:rPr>
                <w:rFonts w:hint="eastAsia" w:ascii="宋体" w:hAnsi="宋体"/>
                <w:color w:val="000000"/>
                <w:szCs w:val="21"/>
              </w:rPr>
              <w:t>综合部人员</w:t>
            </w:r>
            <w:r>
              <w:rPr>
                <w:rFonts w:hint="eastAsia" w:ascii="宋体" w:hAnsi="宋体"/>
                <w:szCs w:val="21"/>
              </w:rPr>
              <w:t>协同生产车间兼职安全员负责按有关规定进行验收并作相关记录，验收合格后方可入库。由</w:t>
            </w:r>
            <w:r>
              <w:rPr>
                <w:rFonts w:hint="eastAsia" w:ascii="宋体" w:hAnsi="宋体"/>
                <w:color w:val="000000"/>
                <w:szCs w:val="21"/>
              </w:rPr>
              <w:t>综合部人员</w:t>
            </w:r>
            <w:r>
              <w:rPr>
                <w:rFonts w:hint="eastAsia" w:ascii="宋体" w:hAnsi="宋体"/>
                <w:szCs w:val="21"/>
              </w:rPr>
              <w:t>登入《劳动、安全防护用品台帐》，按规定发放并履行发放、签收手续。在保管过程中要确保劳动、安全防护用品完好无损，具体执行《仓库管理规定》的有关规定。</w:t>
            </w:r>
          </w:p>
          <w:p>
            <w:pPr>
              <w:spacing w:line="340" w:lineRule="exact"/>
              <w:rPr>
                <w:rFonts w:ascii="宋体" w:hAnsi="宋体"/>
                <w:szCs w:val="21"/>
              </w:rPr>
            </w:pPr>
            <w:r>
              <w:rPr>
                <w:rFonts w:hint="eastAsia" w:ascii="宋体" w:hAnsi="宋体"/>
                <w:szCs w:val="21"/>
              </w:rPr>
              <w:t>4.7.4. 对已损坏或严重损坏的作报废处理，由</w:t>
            </w:r>
            <w:r>
              <w:rPr>
                <w:rFonts w:hint="eastAsia" w:ascii="宋体" w:hAnsi="宋体"/>
                <w:color w:val="000000"/>
                <w:szCs w:val="21"/>
              </w:rPr>
              <w:t>综合部人员</w:t>
            </w:r>
            <w:r>
              <w:rPr>
                <w:rFonts w:hint="eastAsia" w:ascii="宋体" w:hAnsi="宋体"/>
                <w:szCs w:val="21"/>
              </w:rPr>
              <w:t>填写《劳动、安全防护用品损坏、丢失、报废记录》，经分管部门审核，管理者代表批准后作报废处理。</w:t>
            </w:r>
          </w:p>
          <w:p>
            <w:pPr>
              <w:spacing w:line="340" w:lineRule="exact"/>
              <w:rPr>
                <w:rFonts w:ascii="宋体" w:hAnsi="宋体"/>
                <w:szCs w:val="21"/>
              </w:rPr>
            </w:pPr>
            <w:r>
              <w:rPr>
                <w:rFonts w:hint="eastAsia" w:ascii="宋体" w:hAnsi="宋体"/>
                <w:szCs w:val="21"/>
              </w:rPr>
              <w:t>4.7.5. 生产车间对劳动、安全防护用品的使用情况进行监督检查，并做好相应的检查记录，具体执行《监测与测量控制程序》，对不达标的，填写《纠正预防措施处理单》，责令定期整改，发现较严重的问题或隐患应及时采取相应的纠正和预防措施，并执行《改进控制程序》。</w:t>
            </w:r>
          </w:p>
          <w:p>
            <w:pPr>
              <w:tabs>
                <w:tab w:val="left" w:pos="843"/>
                <w:tab w:val="left" w:pos="9740"/>
              </w:tabs>
              <w:snapToGrid w:val="0"/>
              <w:spacing w:line="340" w:lineRule="exact"/>
              <w:rPr>
                <w:rFonts w:ascii="宋体" w:hAnsi="宋体"/>
                <w:b/>
                <w:color w:val="000000"/>
                <w:szCs w:val="21"/>
              </w:rPr>
            </w:pPr>
            <w:r>
              <w:rPr>
                <w:rFonts w:hint="eastAsia" w:ascii="宋体" w:hAnsi="宋体"/>
                <w:b/>
                <w:color w:val="000000"/>
                <w:szCs w:val="21"/>
              </w:rPr>
              <w:t>4.8. 安全用电控制</w:t>
            </w:r>
          </w:p>
          <w:p>
            <w:pPr>
              <w:tabs>
                <w:tab w:val="left" w:pos="1740"/>
              </w:tabs>
              <w:spacing w:line="340" w:lineRule="exact"/>
              <w:rPr>
                <w:rFonts w:ascii="宋体" w:hAnsi="宋体"/>
                <w:color w:val="000000"/>
                <w:szCs w:val="21"/>
              </w:rPr>
            </w:pPr>
            <w:r>
              <w:rPr>
                <w:rFonts w:hint="eastAsia" w:ascii="宋体" w:hAnsi="宋体"/>
                <w:color w:val="000000"/>
                <w:szCs w:val="21"/>
              </w:rPr>
              <w:t>4.8.1. 安全用电包括生产动力用电和日常办公、生活照明用电。</w:t>
            </w:r>
          </w:p>
          <w:p>
            <w:pPr>
              <w:tabs>
                <w:tab w:val="left" w:pos="1740"/>
              </w:tabs>
              <w:spacing w:line="340" w:lineRule="exact"/>
              <w:rPr>
                <w:rFonts w:ascii="宋体" w:hAnsi="宋体"/>
                <w:color w:val="000000"/>
                <w:szCs w:val="21"/>
              </w:rPr>
            </w:pPr>
            <w:r>
              <w:rPr>
                <w:rFonts w:hint="eastAsia" w:ascii="宋体" w:hAnsi="宋体"/>
                <w:color w:val="000000"/>
                <w:szCs w:val="21"/>
              </w:rPr>
              <w:t>4.8.2. 安全用电管理：</w:t>
            </w:r>
          </w:p>
          <w:p>
            <w:pPr>
              <w:tabs>
                <w:tab w:val="left" w:pos="1740"/>
              </w:tabs>
              <w:spacing w:line="340" w:lineRule="exact"/>
              <w:rPr>
                <w:rFonts w:ascii="宋体" w:hAnsi="宋体"/>
                <w:color w:val="000000"/>
                <w:szCs w:val="21"/>
              </w:rPr>
            </w:pPr>
            <w:r>
              <w:rPr>
                <w:rFonts w:hint="eastAsia" w:ascii="宋体" w:hAnsi="宋体"/>
                <w:color w:val="000000"/>
                <w:szCs w:val="21"/>
              </w:rPr>
              <w:t>4.8.2.1. 生产车间用电及办公用电由专业电工负责安装、组织验收，并进行日常监督检查。</w:t>
            </w:r>
          </w:p>
          <w:p>
            <w:pPr>
              <w:tabs>
                <w:tab w:val="left" w:pos="1740"/>
              </w:tabs>
              <w:spacing w:line="340" w:lineRule="exact"/>
              <w:rPr>
                <w:rFonts w:ascii="宋体" w:hAnsi="宋体"/>
                <w:color w:val="000000"/>
                <w:szCs w:val="21"/>
              </w:rPr>
            </w:pPr>
            <w:r>
              <w:rPr>
                <w:rFonts w:hint="eastAsia" w:ascii="宋体" w:hAnsi="宋体"/>
                <w:color w:val="000000"/>
                <w:szCs w:val="21"/>
              </w:rPr>
              <w:t>4.8.2.2. 办公与生产用电为永久性用电，由生产设备人员负责日常监督检查。</w:t>
            </w:r>
          </w:p>
          <w:p>
            <w:pPr>
              <w:tabs>
                <w:tab w:val="left" w:pos="1740"/>
              </w:tabs>
              <w:spacing w:line="340" w:lineRule="exact"/>
              <w:rPr>
                <w:rFonts w:ascii="宋体" w:hAnsi="宋体"/>
                <w:color w:val="000000"/>
                <w:szCs w:val="21"/>
              </w:rPr>
            </w:pPr>
            <w:r>
              <w:rPr>
                <w:rFonts w:hint="eastAsia" w:ascii="宋体" w:hAnsi="宋体"/>
                <w:color w:val="000000"/>
                <w:szCs w:val="21"/>
              </w:rPr>
              <w:t>4.8.2.3. 公司各部门用电如需改动，由专业电工实施安装,安装后由专业人员进行验收，验收合格后方可使用。</w:t>
            </w:r>
          </w:p>
          <w:p>
            <w:pPr>
              <w:tabs>
                <w:tab w:val="left" w:pos="1740"/>
              </w:tabs>
              <w:spacing w:line="340" w:lineRule="exact"/>
              <w:rPr>
                <w:rFonts w:ascii="宋体" w:hAnsi="宋体"/>
                <w:color w:val="000000"/>
                <w:szCs w:val="21"/>
              </w:rPr>
            </w:pPr>
            <w:r>
              <w:rPr>
                <w:rFonts w:hint="eastAsia" w:ascii="宋体" w:hAnsi="宋体"/>
                <w:color w:val="000000"/>
                <w:szCs w:val="21"/>
              </w:rPr>
              <w:t>4.8.3. 安全用电检查</w:t>
            </w:r>
          </w:p>
          <w:p>
            <w:pPr>
              <w:tabs>
                <w:tab w:val="left" w:pos="1740"/>
              </w:tabs>
              <w:spacing w:line="340" w:lineRule="exact"/>
              <w:rPr>
                <w:rFonts w:ascii="宋体" w:hAnsi="宋体"/>
                <w:color w:val="000000"/>
                <w:szCs w:val="21"/>
              </w:rPr>
            </w:pPr>
            <w:r>
              <w:rPr>
                <w:rFonts w:hint="eastAsia" w:ascii="宋体" w:hAnsi="宋体"/>
                <w:color w:val="000000"/>
                <w:szCs w:val="21"/>
              </w:rPr>
              <w:t>4.8.3.1. 由专业电工做到日常检查，发现隐患及时维修。</w:t>
            </w:r>
          </w:p>
          <w:p>
            <w:pPr>
              <w:tabs>
                <w:tab w:val="left" w:pos="1740"/>
              </w:tabs>
              <w:spacing w:line="340" w:lineRule="exact"/>
              <w:rPr>
                <w:rFonts w:ascii="宋体" w:hAnsi="宋体"/>
                <w:color w:val="000000"/>
                <w:szCs w:val="21"/>
              </w:rPr>
            </w:pPr>
            <w:r>
              <w:rPr>
                <w:rFonts w:hint="eastAsia" w:ascii="宋体" w:hAnsi="宋体"/>
                <w:color w:val="000000"/>
                <w:szCs w:val="21"/>
              </w:rPr>
              <w:t>4.8.3.2. 设备人员负责组织相关部门或人员对安全用电每月检查，办公区域每季检查，并且做好记录，兼职安全员负责日常监督检查。根据隐患存在轻重情况下达不同的</w:t>
            </w:r>
            <w:r>
              <w:rPr>
                <w:rFonts w:hint="eastAsia" w:ascii="宋体" w:hAnsi="宋体"/>
                <w:szCs w:val="21"/>
              </w:rPr>
              <w:t>《整改通知单》</w:t>
            </w:r>
            <w:r>
              <w:rPr>
                <w:rFonts w:hint="eastAsia" w:ascii="宋体" w:hAnsi="宋体"/>
                <w:color w:val="000000"/>
                <w:szCs w:val="21"/>
              </w:rPr>
              <w:t>，由综合部进行跟踪整改情况，直至消除隐患。</w:t>
            </w:r>
          </w:p>
          <w:p>
            <w:pPr>
              <w:tabs>
                <w:tab w:val="left" w:pos="843"/>
                <w:tab w:val="left" w:pos="9740"/>
              </w:tabs>
              <w:snapToGrid w:val="0"/>
              <w:spacing w:line="340" w:lineRule="exact"/>
              <w:rPr>
                <w:rFonts w:ascii="宋体" w:hAnsi="宋体"/>
                <w:b/>
                <w:color w:val="000000"/>
                <w:szCs w:val="21"/>
              </w:rPr>
            </w:pPr>
            <w:r>
              <w:rPr>
                <w:rFonts w:hint="eastAsia" w:ascii="宋体" w:hAnsi="宋体"/>
                <w:b/>
                <w:color w:val="000000"/>
                <w:szCs w:val="21"/>
              </w:rPr>
              <w:t>4.9. 工伤、职业病、传染病的控制</w:t>
            </w:r>
          </w:p>
          <w:p>
            <w:pPr>
              <w:spacing w:line="340" w:lineRule="exact"/>
              <w:rPr>
                <w:rFonts w:ascii="宋体" w:hAnsi="宋体"/>
                <w:color w:val="000000"/>
                <w:szCs w:val="21"/>
              </w:rPr>
            </w:pPr>
            <w:r>
              <w:rPr>
                <w:rFonts w:hint="eastAsia" w:ascii="宋体" w:hAnsi="宋体"/>
                <w:color w:val="000000"/>
                <w:szCs w:val="21"/>
              </w:rPr>
              <w:t>4.9.1. 管理原则</w:t>
            </w:r>
          </w:p>
          <w:p>
            <w:pPr>
              <w:spacing w:line="340" w:lineRule="exact"/>
              <w:rPr>
                <w:rFonts w:ascii="宋体" w:hAnsi="宋体"/>
                <w:color w:val="000000"/>
                <w:szCs w:val="21"/>
              </w:rPr>
            </w:pPr>
            <w:r>
              <w:rPr>
                <w:rFonts w:hint="eastAsia" w:ascii="宋体" w:hAnsi="宋体"/>
                <w:color w:val="000000"/>
                <w:szCs w:val="21"/>
              </w:rPr>
              <w:t>4.9.1.1. 职业病、传染病防治工作基本管理原则，分类管理、综合治理。</w:t>
            </w:r>
          </w:p>
          <w:p>
            <w:pPr>
              <w:spacing w:line="340" w:lineRule="exact"/>
              <w:rPr>
                <w:rFonts w:ascii="宋体" w:hAnsi="宋体"/>
                <w:color w:val="000000"/>
                <w:szCs w:val="21"/>
              </w:rPr>
            </w:pPr>
            <w:r>
              <w:rPr>
                <w:rFonts w:hint="eastAsia" w:ascii="宋体" w:hAnsi="宋体"/>
                <w:color w:val="000000"/>
                <w:szCs w:val="21"/>
              </w:rPr>
              <w:t>4.9.1.2. 加强工伤事故安全教育、监督检查。</w:t>
            </w:r>
          </w:p>
          <w:p>
            <w:pPr>
              <w:spacing w:line="340" w:lineRule="exact"/>
              <w:rPr>
                <w:rFonts w:ascii="宋体" w:hAnsi="宋体"/>
                <w:color w:val="000000"/>
                <w:szCs w:val="21"/>
              </w:rPr>
            </w:pPr>
            <w:r>
              <w:rPr>
                <w:rFonts w:hint="eastAsia" w:ascii="宋体" w:hAnsi="宋体"/>
                <w:color w:val="000000"/>
                <w:szCs w:val="21"/>
              </w:rPr>
              <w:t>4.9.2. 广泛宣传、预防为主、防治结合。</w:t>
            </w:r>
          </w:p>
          <w:p>
            <w:pPr>
              <w:spacing w:line="340" w:lineRule="exact"/>
              <w:rPr>
                <w:rFonts w:ascii="宋体" w:hAnsi="宋体"/>
                <w:color w:val="000000"/>
                <w:szCs w:val="21"/>
              </w:rPr>
            </w:pPr>
            <w:r>
              <w:rPr>
                <w:rFonts w:hint="eastAsia" w:ascii="宋体" w:hAnsi="宋体"/>
                <w:color w:val="000000"/>
                <w:szCs w:val="21"/>
              </w:rPr>
              <w:t>4.9.2.1.综合部应组织相关部门或人员充分利用各种会议、板报等进行宣传预防教育，为了控制消除职业病、防治职业病、传染病，保护劳动者身体健康，应认真贯彻执行《中华人民</w:t>
            </w:r>
          </w:p>
          <w:p>
            <w:pPr>
              <w:spacing w:line="340" w:lineRule="exact"/>
              <w:rPr>
                <w:rFonts w:ascii="宋体" w:hAnsi="宋体"/>
                <w:color w:val="000000"/>
                <w:szCs w:val="21"/>
              </w:rPr>
            </w:pPr>
            <w:r>
              <w:rPr>
                <w:rFonts w:hint="eastAsia" w:ascii="宋体" w:hAnsi="宋体"/>
                <w:color w:val="000000"/>
                <w:szCs w:val="21"/>
              </w:rPr>
              <w:t>共和国安全生产法》、《中华人民共和国职业病防治法》、《中华人民共和国传染病防治法》及有关条例、规定，广泛宣传有关控制、消除和防治职业病、传染病的知识。</w:t>
            </w:r>
          </w:p>
          <w:p>
            <w:pPr>
              <w:spacing w:line="340" w:lineRule="exact"/>
              <w:rPr>
                <w:rFonts w:ascii="宋体" w:hAnsi="宋体"/>
                <w:color w:val="000000"/>
                <w:szCs w:val="21"/>
              </w:rPr>
            </w:pPr>
            <w:r>
              <w:rPr>
                <w:rFonts w:hint="eastAsia" w:ascii="宋体" w:hAnsi="宋体"/>
                <w:color w:val="000000"/>
                <w:szCs w:val="21"/>
              </w:rPr>
              <w:t>4.9.2.2. 宣传、预防应根据生产经营实施同步管理，做到防治结合，加强劳动过程中的防护用品管理，遵章守纪，按照公司相关操作规程等有关规定操作。</w:t>
            </w:r>
          </w:p>
          <w:p>
            <w:pPr>
              <w:spacing w:line="340" w:lineRule="exact"/>
              <w:rPr>
                <w:rFonts w:ascii="宋体" w:hAnsi="宋体"/>
                <w:color w:val="000000"/>
                <w:szCs w:val="21"/>
              </w:rPr>
            </w:pPr>
            <w:r>
              <w:rPr>
                <w:rFonts w:hint="eastAsia" w:ascii="宋体" w:hAnsi="宋体"/>
                <w:color w:val="000000"/>
                <w:szCs w:val="21"/>
              </w:rPr>
              <w:t>4.9.3. 监督检查</w:t>
            </w:r>
          </w:p>
          <w:p>
            <w:pPr>
              <w:spacing w:line="340" w:lineRule="exact"/>
              <w:rPr>
                <w:rFonts w:ascii="宋体" w:hAnsi="宋体"/>
                <w:color w:val="000000"/>
                <w:szCs w:val="21"/>
              </w:rPr>
            </w:pPr>
            <w:r>
              <w:rPr>
                <w:rFonts w:hint="eastAsia" w:ascii="宋体" w:hAnsi="宋体"/>
                <w:color w:val="000000"/>
                <w:szCs w:val="21"/>
              </w:rPr>
              <w:t>4.9.3.1. 生产车间负责组织有关部门每月对工作场所进行监督检查，对不符合标准要求的，下达《纠正预防措施通知单》。</w:t>
            </w:r>
          </w:p>
          <w:p>
            <w:pPr>
              <w:spacing w:line="340" w:lineRule="exact"/>
              <w:rPr>
                <w:rFonts w:ascii="宋体" w:hAnsi="宋体"/>
                <w:color w:val="000000"/>
                <w:szCs w:val="21"/>
              </w:rPr>
            </w:pPr>
            <w:r>
              <w:rPr>
                <w:rFonts w:hint="eastAsia" w:ascii="宋体" w:hAnsi="宋体"/>
                <w:color w:val="000000"/>
                <w:szCs w:val="21"/>
              </w:rPr>
              <w:t>4.9.3.2. 各部门兼职安全员负责日常检查。对于不符合卫生标准和违反操作规程的责令其采取相应纠正和预防措施，加强对有毒、有害物质等主要职业病危害因素所致职业病，加强工作场所管理，对以上职业危害因素工作，配置必要的防护用品和设备。</w:t>
            </w:r>
          </w:p>
          <w:p>
            <w:pPr>
              <w:spacing w:line="340" w:lineRule="exact"/>
              <w:rPr>
                <w:rFonts w:ascii="宋体" w:hAnsi="宋体"/>
                <w:color w:val="000000"/>
                <w:szCs w:val="21"/>
              </w:rPr>
            </w:pPr>
            <w:r>
              <w:rPr>
                <w:rFonts w:hint="eastAsia" w:ascii="宋体" w:hAnsi="宋体"/>
                <w:color w:val="000000"/>
                <w:szCs w:val="21"/>
              </w:rPr>
              <w:t>4.9.4. 治疗、保障及处理规定</w:t>
            </w:r>
          </w:p>
          <w:p>
            <w:pPr>
              <w:spacing w:line="340" w:lineRule="exact"/>
              <w:rPr>
                <w:rFonts w:ascii="宋体" w:hAnsi="宋体"/>
                <w:color w:val="000000"/>
                <w:szCs w:val="21"/>
              </w:rPr>
            </w:pPr>
            <w:r>
              <w:rPr>
                <w:rFonts w:hint="eastAsia" w:ascii="宋体" w:hAnsi="宋体"/>
                <w:color w:val="000000"/>
                <w:szCs w:val="21"/>
              </w:rPr>
              <w:t>4.9.4.1. 各职能部门发现劳动者有疑似职业病或传染病的，必须到专业的职业病或传染病诊断卫生机构进行检查、治疗，对已诊断为职业病或传染病的病人按照《中华人民共和国职业病防治法》或《中华人民共和国传染病防治法》的有关规定对职业病、传染病病人进行治疗与保障，对患有传染病的员工要按照有关规定予以隔离、上报。</w:t>
            </w:r>
          </w:p>
          <w:p>
            <w:pPr>
              <w:spacing w:line="340" w:lineRule="exact"/>
              <w:rPr>
                <w:rFonts w:ascii="宋体" w:hAnsi="宋体"/>
                <w:color w:val="000000"/>
                <w:szCs w:val="21"/>
              </w:rPr>
            </w:pPr>
            <w:r>
              <w:rPr>
                <w:rFonts w:hint="eastAsia" w:ascii="宋体" w:hAnsi="宋体"/>
                <w:color w:val="000000"/>
                <w:szCs w:val="21"/>
              </w:rPr>
              <w:t>4.9.4.2. 发生安全事件急救或传染病时，应执行《应急准备与响应控制程序》及相应的应急预案，同时应进行调查处理，并采取相应的纠正和预防措施，执行《事件调查处理控制程序》和《改进控制程序》的有关规定。</w:t>
            </w:r>
          </w:p>
          <w:p>
            <w:pPr>
              <w:spacing w:line="340" w:lineRule="exact"/>
              <w:rPr>
                <w:rFonts w:ascii="宋体" w:hAnsi="宋体"/>
                <w:color w:val="000000"/>
                <w:szCs w:val="21"/>
              </w:rPr>
            </w:pPr>
            <w:r>
              <w:rPr>
                <w:rFonts w:hint="eastAsia" w:ascii="宋体" w:hAnsi="宋体"/>
                <w:color w:val="000000"/>
                <w:szCs w:val="21"/>
              </w:rPr>
              <w:t>4.9.4.3. 各职能部门对有毒有害作业场所应采取与其他作业场所分开、隔离、警示等措施，并配备必要的劳动卫生防护设施，如粉尘作业应有风棚等防尘扩散设施，有毒有害气体作业场所应戴防护口罩，并保证作业场所通风良好，如噪音超标场所作业人员应配戴耳塞。</w:t>
            </w:r>
          </w:p>
          <w:p>
            <w:pPr>
              <w:spacing w:line="340" w:lineRule="exact"/>
              <w:rPr>
                <w:rFonts w:ascii="宋体" w:hAnsi="宋体"/>
                <w:color w:val="000000"/>
                <w:szCs w:val="21"/>
              </w:rPr>
            </w:pPr>
            <w:r>
              <w:rPr>
                <w:rFonts w:hint="eastAsia" w:ascii="宋体" w:hAnsi="宋体"/>
                <w:color w:val="000000"/>
                <w:szCs w:val="21"/>
              </w:rPr>
              <w:t>4.9.4.4. 公司应配备紧急防范设备和医疗急救用品。</w:t>
            </w:r>
          </w:p>
          <w:p>
            <w:pPr>
              <w:spacing w:line="340" w:lineRule="exact"/>
              <w:rPr>
                <w:rFonts w:ascii="宋体" w:hAnsi="宋体"/>
                <w:color w:val="000000"/>
                <w:szCs w:val="21"/>
              </w:rPr>
            </w:pPr>
            <w:r>
              <w:rPr>
                <w:rFonts w:hint="eastAsia" w:ascii="宋体" w:hAnsi="宋体"/>
                <w:color w:val="000000"/>
                <w:szCs w:val="21"/>
              </w:rPr>
              <w:t>4.9.5. 所有与工伤、职业病、传染病有关的记录由综合部负责归口管理，执行《记录控制程序》的有关规定。</w:t>
            </w:r>
          </w:p>
          <w:p>
            <w:pPr>
              <w:tabs>
                <w:tab w:val="left" w:pos="843"/>
                <w:tab w:val="left" w:pos="9740"/>
              </w:tabs>
              <w:snapToGrid w:val="0"/>
              <w:spacing w:line="340" w:lineRule="exact"/>
              <w:rPr>
                <w:rFonts w:ascii="宋体" w:hAnsi="宋体"/>
                <w:b/>
                <w:color w:val="000000"/>
                <w:szCs w:val="21"/>
              </w:rPr>
            </w:pPr>
            <w:r>
              <w:rPr>
                <w:rFonts w:hint="eastAsia" w:ascii="宋体" w:hAnsi="宋体"/>
                <w:b/>
                <w:color w:val="000000"/>
                <w:szCs w:val="21"/>
              </w:rPr>
              <w:t>4.10. 设计和开发控制</w:t>
            </w:r>
          </w:p>
          <w:p>
            <w:pPr>
              <w:spacing w:line="340" w:lineRule="exact"/>
              <w:rPr>
                <w:rFonts w:ascii="宋体" w:hAnsi="宋体"/>
                <w:color w:val="000000"/>
                <w:szCs w:val="21"/>
              </w:rPr>
            </w:pPr>
            <w:r>
              <w:rPr>
                <w:rFonts w:hint="eastAsia" w:ascii="宋体" w:hAnsi="宋体"/>
                <w:color w:val="000000"/>
                <w:szCs w:val="21"/>
              </w:rPr>
              <w:t>4.10.1. 对新产品或新项目按照《环境因素识别与评价程序》进行初步评价，将必要的事项(如环境现状、主要污染物)记于申请表中，部门负责人审核后提交生产车间。</w:t>
            </w:r>
          </w:p>
          <w:p>
            <w:pPr>
              <w:spacing w:line="340" w:lineRule="exact"/>
              <w:rPr>
                <w:rFonts w:ascii="宋体" w:hAnsi="宋体"/>
                <w:color w:val="000000"/>
                <w:szCs w:val="21"/>
              </w:rPr>
            </w:pPr>
            <w:r>
              <w:rPr>
                <w:rFonts w:hint="eastAsia" w:ascii="宋体" w:hAnsi="宋体"/>
                <w:color w:val="000000"/>
                <w:szCs w:val="21"/>
              </w:rPr>
              <w:t>4.10.2. 新产品如需投入新建项目或设备、设置时，设计部门应对新产品、新项目等按照《环境因素识别与评价程序》进行初步评价，将必要的事项，记录于申报表中经部门负责人审核后提交生产车间。</w:t>
            </w:r>
          </w:p>
          <w:p>
            <w:pPr>
              <w:spacing w:line="340" w:lineRule="exact"/>
              <w:rPr>
                <w:rFonts w:ascii="宋体" w:hAnsi="宋体"/>
                <w:color w:val="000000"/>
                <w:szCs w:val="21"/>
              </w:rPr>
            </w:pPr>
            <w:r>
              <w:rPr>
                <w:rFonts w:hint="eastAsia" w:ascii="宋体" w:hAnsi="宋体"/>
                <w:color w:val="000000"/>
                <w:szCs w:val="21"/>
              </w:rPr>
              <w:t>4.10.3. 生产车间负责对上述评价结果的相关内容确认后，进行综合评价，综合评价的结果，相关的法律法规要求以及对环保方面问题的总结与建议等内容，记录于《环境事先评价申报表》中，并提交总经理批准。</w:t>
            </w:r>
          </w:p>
          <w:p>
            <w:pPr>
              <w:spacing w:line="340" w:lineRule="exact"/>
              <w:rPr>
                <w:rFonts w:ascii="宋体" w:hAnsi="宋体"/>
                <w:color w:val="000000"/>
                <w:szCs w:val="21"/>
              </w:rPr>
            </w:pPr>
            <w:r>
              <w:rPr>
                <w:rFonts w:hint="eastAsia" w:ascii="宋体" w:hAnsi="宋体"/>
                <w:color w:val="000000"/>
                <w:szCs w:val="21"/>
              </w:rPr>
              <w:t xml:space="preserve">4.10.4. 经批准后的项目由综合部制定相应的环境管理方案，总经理批准后，下发责任部门与该项目一同执行。 </w:t>
            </w:r>
          </w:p>
          <w:p>
            <w:pPr>
              <w:tabs>
                <w:tab w:val="left" w:pos="843"/>
                <w:tab w:val="left" w:pos="9740"/>
              </w:tabs>
              <w:snapToGrid w:val="0"/>
              <w:spacing w:line="340" w:lineRule="exact"/>
              <w:rPr>
                <w:rFonts w:ascii="宋体" w:hAnsi="宋体"/>
                <w:bCs/>
                <w:color w:val="000000"/>
                <w:szCs w:val="21"/>
              </w:rPr>
            </w:pPr>
            <w:r>
              <w:rPr>
                <w:rFonts w:hint="eastAsia" w:ascii="宋体" w:hAnsi="宋体"/>
                <w:color w:val="000000"/>
                <w:szCs w:val="21"/>
              </w:rPr>
              <w:t>4.10.5. 新产品开发、设计过程中应尽可能采用无毒害的原材料和工艺技术，并简化制造工艺。</w:t>
            </w:r>
          </w:p>
          <w:p>
            <w:pPr>
              <w:tabs>
                <w:tab w:val="left" w:pos="843"/>
                <w:tab w:val="left" w:pos="9740"/>
              </w:tabs>
              <w:snapToGrid w:val="0"/>
              <w:spacing w:line="340" w:lineRule="exact"/>
              <w:rPr>
                <w:rFonts w:ascii="宋体" w:hAnsi="宋体"/>
                <w:b/>
                <w:color w:val="000000"/>
                <w:szCs w:val="21"/>
              </w:rPr>
            </w:pPr>
            <w:r>
              <w:rPr>
                <w:rFonts w:hint="eastAsia" w:ascii="宋体" w:hAnsi="宋体"/>
                <w:b/>
                <w:color w:val="000000"/>
                <w:szCs w:val="21"/>
              </w:rPr>
              <w:t>4.11. 生产过程、设备管理控制及特种设备的控制</w:t>
            </w:r>
          </w:p>
          <w:p>
            <w:pPr>
              <w:spacing w:line="340" w:lineRule="exact"/>
              <w:rPr>
                <w:rFonts w:ascii="宋体" w:hAnsi="宋体"/>
                <w:color w:val="000000"/>
                <w:szCs w:val="21"/>
              </w:rPr>
            </w:pPr>
            <w:r>
              <w:rPr>
                <w:rFonts w:hint="eastAsia" w:ascii="宋体" w:hAnsi="宋体"/>
                <w:color w:val="000000"/>
                <w:szCs w:val="21"/>
              </w:rPr>
              <w:t>4.11.1. 生产车间及各工序严格按照《设备的安全操作规程》的要求进行生产。</w:t>
            </w:r>
          </w:p>
          <w:p>
            <w:pPr>
              <w:spacing w:line="340" w:lineRule="exact"/>
              <w:rPr>
                <w:rFonts w:ascii="宋体" w:hAnsi="宋体"/>
                <w:color w:val="000000"/>
                <w:szCs w:val="21"/>
              </w:rPr>
            </w:pPr>
            <w:r>
              <w:rPr>
                <w:rFonts w:hint="eastAsia" w:ascii="宋体" w:hAnsi="宋体"/>
                <w:color w:val="000000"/>
                <w:szCs w:val="21"/>
              </w:rPr>
              <w:t>4.11.2. 对可能造成重要环境影响的设备应采取措施进行严格控制。</w:t>
            </w:r>
          </w:p>
          <w:p>
            <w:pPr>
              <w:spacing w:line="340" w:lineRule="exact"/>
              <w:rPr>
                <w:rFonts w:ascii="宋体" w:hAnsi="宋体"/>
                <w:color w:val="000000"/>
                <w:szCs w:val="21"/>
              </w:rPr>
            </w:pPr>
            <w:r>
              <w:rPr>
                <w:rFonts w:hint="eastAsia" w:ascii="宋体" w:hAnsi="宋体"/>
                <w:color w:val="000000"/>
                <w:szCs w:val="21"/>
              </w:rPr>
              <w:t>4.11.3. 设备维护、保养时，应防止废油等漏到地面。</w:t>
            </w:r>
          </w:p>
          <w:p>
            <w:pPr>
              <w:tabs>
                <w:tab w:val="left" w:pos="843"/>
                <w:tab w:val="left" w:pos="9740"/>
              </w:tabs>
              <w:snapToGrid w:val="0"/>
              <w:spacing w:line="340" w:lineRule="exact"/>
              <w:rPr>
                <w:rFonts w:ascii="宋体" w:hAnsi="宋体"/>
                <w:color w:val="000000"/>
                <w:szCs w:val="21"/>
              </w:rPr>
            </w:pPr>
            <w:r>
              <w:rPr>
                <w:rFonts w:hint="eastAsia" w:ascii="宋体" w:hAnsi="宋体"/>
                <w:color w:val="000000"/>
                <w:szCs w:val="21"/>
              </w:rPr>
              <w:t>4.11.4. 带有油污的设备零件在维修更换时，不能直接放于地上，应放于专用托盘中。</w:t>
            </w:r>
          </w:p>
          <w:p>
            <w:pPr>
              <w:tabs>
                <w:tab w:val="left" w:pos="843"/>
                <w:tab w:val="left" w:pos="9740"/>
              </w:tabs>
              <w:snapToGrid w:val="0"/>
              <w:spacing w:line="340" w:lineRule="exact"/>
              <w:rPr>
                <w:rFonts w:ascii="宋体" w:hAnsi="宋体"/>
                <w:b/>
                <w:color w:val="000000"/>
                <w:szCs w:val="21"/>
              </w:rPr>
            </w:pPr>
            <w:r>
              <w:rPr>
                <w:rFonts w:hint="eastAsia" w:ascii="宋体" w:hAnsi="宋体"/>
                <w:b/>
                <w:color w:val="000000"/>
                <w:szCs w:val="21"/>
              </w:rPr>
              <w:t>4.12. 相关方管理控制</w:t>
            </w:r>
          </w:p>
          <w:p>
            <w:pPr>
              <w:spacing w:line="340" w:lineRule="exact"/>
              <w:rPr>
                <w:rFonts w:ascii="宋体" w:hAnsi="宋体"/>
                <w:color w:val="000000"/>
                <w:szCs w:val="21"/>
              </w:rPr>
            </w:pPr>
            <w:r>
              <w:rPr>
                <w:rFonts w:hint="eastAsia" w:ascii="宋体" w:hAnsi="宋体"/>
                <w:color w:val="000000"/>
                <w:szCs w:val="21"/>
              </w:rPr>
              <w:t>4.12.1. 回收利用部、回收利用部分别将适用于公司的原材料及物资供应方、运输公司、固体废弃物处理者等相关方在环境及职业健康安全事宜方面的影响做出标识。</w:t>
            </w:r>
          </w:p>
          <w:p>
            <w:pPr>
              <w:spacing w:line="340" w:lineRule="exact"/>
              <w:rPr>
                <w:rFonts w:ascii="宋体" w:hAnsi="宋体"/>
                <w:color w:val="000000"/>
                <w:szCs w:val="21"/>
              </w:rPr>
            </w:pPr>
            <w:r>
              <w:rPr>
                <w:rFonts w:hint="eastAsia" w:ascii="宋体" w:hAnsi="宋体"/>
                <w:color w:val="000000"/>
                <w:szCs w:val="21"/>
              </w:rPr>
              <w:t>4.12.2. 对可能造成重大环境及职业健康安全影响的相关方由各相关部门提交本公司的《相关方环境及职业健康安全要求》。</w:t>
            </w:r>
          </w:p>
          <w:p>
            <w:pPr>
              <w:spacing w:line="340" w:lineRule="exact"/>
              <w:rPr>
                <w:rFonts w:ascii="宋体" w:hAnsi="宋体"/>
                <w:color w:val="000000"/>
                <w:szCs w:val="21"/>
              </w:rPr>
            </w:pPr>
            <w:r>
              <w:rPr>
                <w:rFonts w:hint="eastAsia" w:ascii="宋体" w:hAnsi="宋体"/>
                <w:color w:val="000000"/>
                <w:szCs w:val="21"/>
              </w:rPr>
              <w:t>4.12.3. 对可能造成重大环境及职业健康安全影响的相关方，必须对其施加影响 ，并定为重点施加影响相关方，由涉及部门建立《重点施加影响相关方一览表》，在回收利用部备案。</w:t>
            </w:r>
          </w:p>
          <w:p>
            <w:pPr>
              <w:spacing w:line="340" w:lineRule="exact"/>
              <w:rPr>
                <w:rFonts w:ascii="宋体" w:hAnsi="宋体"/>
                <w:color w:val="000000"/>
                <w:szCs w:val="21"/>
              </w:rPr>
            </w:pPr>
            <w:r>
              <w:rPr>
                <w:rFonts w:hint="eastAsia" w:ascii="宋体" w:hAnsi="宋体"/>
                <w:color w:val="000000"/>
                <w:szCs w:val="21"/>
              </w:rPr>
              <w:t>4.12.4. 对可能造成一般环境及职业健康安全影响的相关方，公司定期以文件方式向其宣传公司的环境及职业健康安全方针、环境保护常识、安全常识，不断提高其环境及安全意识，如原材料为环保型、无毒无害材料，固体废弃物处理应采用分类处理等。</w:t>
            </w:r>
          </w:p>
          <w:p>
            <w:pPr>
              <w:spacing w:line="340" w:lineRule="exact"/>
              <w:rPr>
                <w:rFonts w:ascii="宋体" w:hAnsi="宋体"/>
                <w:color w:val="000000"/>
                <w:szCs w:val="21"/>
              </w:rPr>
            </w:pPr>
            <w:r>
              <w:rPr>
                <w:rFonts w:hint="eastAsia" w:ascii="宋体" w:hAnsi="宋体"/>
                <w:color w:val="000000"/>
                <w:szCs w:val="21"/>
              </w:rPr>
              <w:t>4.12.5. 对原材料化学品供方的具体控制</w:t>
            </w:r>
          </w:p>
          <w:p>
            <w:pPr>
              <w:spacing w:line="340" w:lineRule="exact"/>
              <w:rPr>
                <w:rFonts w:ascii="宋体" w:hAnsi="宋体"/>
                <w:color w:val="000000"/>
                <w:szCs w:val="21"/>
              </w:rPr>
            </w:pPr>
            <w:r>
              <w:rPr>
                <w:rFonts w:hint="eastAsia" w:ascii="宋体" w:hAnsi="宋体"/>
                <w:color w:val="000000"/>
                <w:szCs w:val="21"/>
              </w:rPr>
              <w:t>4.12.5.1. 此供方提供的产品包装应符合环保要求，如包装材料坚固、标识明确，对环境及职业健康安全有影响的包装品应有回收的承诺，或说明处理办法，并提供产品使用细则、MSDS，提供对环境造成污染的综合治理办法。</w:t>
            </w:r>
          </w:p>
          <w:p>
            <w:pPr>
              <w:spacing w:line="340" w:lineRule="exact"/>
              <w:rPr>
                <w:rFonts w:ascii="宋体" w:hAnsi="宋体"/>
                <w:color w:val="000000"/>
                <w:szCs w:val="21"/>
              </w:rPr>
            </w:pPr>
            <w:r>
              <w:rPr>
                <w:rFonts w:hint="eastAsia" w:ascii="宋体" w:hAnsi="宋体"/>
                <w:color w:val="000000"/>
                <w:szCs w:val="21"/>
              </w:rPr>
              <w:t>4.12.5.2. 对相关方的投诉按《改进控制程序》的有关规定执行。</w:t>
            </w:r>
            <w:r>
              <w:rPr>
                <w:rFonts w:hint="eastAsia" w:ascii="宋体" w:hAnsi="宋体"/>
                <w:b/>
                <w:color w:val="000000"/>
                <w:szCs w:val="21"/>
              </w:rPr>
              <w:t xml:space="preserve"> </w:t>
            </w:r>
          </w:p>
          <w:p>
            <w:pPr>
              <w:tabs>
                <w:tab w:val="left" w:pos="843"/>
                <w:tab w:val="left" w:pos="9740"/>
              </w:tabs>
              <w:snapToGrid w:val="0"/>
              <w:spacing w:line="340" w:lineRule="exact"/>
              <w:rPr>
                <w:rFonts w:ascii="宋体" w:hAnsi="宋体"/>
                <w:b/>
                <w:color w:val="000000"/>
                <w:szCs w:val="21"/>
              </w:rPr>
            </w:pPr>
            <w:r>
              <w:rPr>
                <w:rFonts w:hint="eastAsia" w:ascii="宋体" w:hAnsi="宋体"/>
                <w:b/>
                <w:color w:val="000000"/>
                <w:szCs w:val="21"/>
              </w:rPr>
              <w:t>4.13. 能源、资源控制</w:t>
            </w:r>
          </w:p>
          <w:p>
            <w:pPr>
              <w:spacing w:line="340" w:lineRule="exact"/>
              <w:rPr>
                <w:rFonts w:ascii="宋体" w:hAnsi="宋体"/>
                <w:color w:val="000000"/>
                <w:szCs w:val="21"/>
              </w:rPr>
            </w:pPr>
            <w:r>
              <w:rPr>
                <w:rFonts w:hint="eastAsia" w:ascii="宋体" w:hAnsi="宋体"/>
                <w:color w:val="000000"/>
                <w:szCs w:val="21"/>
              </w:rPr>
              <w:t>4.13.1. 水的管理</w:t>
            </w:r>
          </w:p>
          <w:p>
            <w:pPr>
              <w:spacing w:line="340" w:lineRule="exact"/>
              <w:rPr>
                <w:rFonts w:ascii="宋体" w:hAnsi="宋体"/>
                <w:color w:val="000000"/>
                <w:szCs w:val="21"/>
              </w:rPr>
            </w:pPr>
            <w:r>
              <w:rPr>
                <w:rFonts w:hint="eastAsia" w:ascii="宋体" w:hAnsi="宋体"/>
                <w:color w:val="000000"/>
                <w:szCs w:val="21"/>
              </w:rPr>
              <w:t>4.13.1.1. 生活用水相关人员要增强节约用水的意识。</w:t>
            </w:r>
          </w:p>
          <w:p>
            <w:pPr>
              <w:spacing w:line="340" w:lineRule="exact"/>
              <w:rPr>
                <w:rFonts w:ascii="宋体" w:hAnsi="宋体"/>
                <w:color w:val="000000"/>
                <w:szCs w:val="21"/>
              </w:rPr>
            </w:pPr>
            <w:r>
              <w:rPr>
                <w:rFonts w:hint="eastAsia" w:ascii="宋体" w:hAnsi="宋体"/>
                <w:color w:val="000000"/>
                <w:szCs w:val="21"/>
              </w:rPr>
              <w:t>4.13.2.  电的管理</w:t>
            </w:r>
          </w:p>
          <w:p>
            <w:pPr>
              <w:spacing w:line="340" w:lineRule="exact"/>
              <w:rPr>
                <w:rFonts w:ascii="宋体" w:hAnsi="宋体"/>
                <w:color w:val="000000"/>
                <w:szCs w:val="21"/>
              </w:rPr>
            </w:pPr>
            <w:r>
              <w:rPr>
                <w:rFonts w:hint="eastAsia" w:ascii="宋体" w:hAnsi="宋体"/>
                <w:color w:val="000000"/>
                <w:szCs w:val="21"/>
              </w:rPr>
              <w:t xml:space="preserve">4.13.2.1. 生产用电应严格遵守电力管理法，树立“安全第一、高效低耗”的原则， </w:t>
            </w:r>
          </w:p>
          <w:p>
            <w:pPr>
              <w:spacing w:line="340" w:lineRule="exact"/>
              <w:rPr>
                <w:rFonts w:ascii="宋体" w:hAnsi="宋体"/>
                <w:color w:val="000000"/>
                <w:szCs w:val="21"/>
              </w:rPr>
            </w:pPr>
            <w:r>
              <w:rPr>
                <w:rFonts w:hint="eastAsia" w:ascii="宋体" w:hAnsi="宋体"/>
                <w:color w:val="000000"/>
                <w:szCs w:val="21"/>
              </w:rPr>
              <w:t>4.13.2.2. 生活或生产用电，做到人走灯灭，及时关掉不用的电器设备。</w:t>
            </w:r>
          </w:p>
          <w:p>
            <w:pPr>
              <w:spacing w:line="340" w:lineRule="exact"/>
              <w:rPr>
                <w:rFonts w:ascii="宋体" w:hAnsi="宋体"/>
                <w:color w:val="000000"/>
                <w:szCs w:val="21"/>
              </w:rPr>
            </w:pPr>
            <w:r>
              <w:rPr>
                <w:rFonts w:hint="eastAsia" w:ascii="宋体" w:hAnsi="宋体"/>
                <w:color w:val="000000"/>
                <w:szCs w:val="21"/>
              </w:rPr>
              <w:t>4.13.3. 关于水电的管理，具体执行《节约用水管理规定》、《节约用电管理规定》。</w:t>
            </w:r>
          </w:p>
          <w:p>
            <w:pPr>
              <w:tabs>
                <w:tab w:val="left" w:pos="843"/>
                <w:tab w:val="left" w:pos="9740"/>
              </w:tabs>
              <w:snapToGrid w:val="0"/>
              <w:spacing w:line="340" w:lineRule="exact"/>
              <w:rPr>
                <w:rFonts w:ascii="宋体" w:hAnsi="宋体"/>
                <w:b/>
                <w:bCs/>
                <w:szCs w:val="21"/>
              </w:rPr>
            </w:pPr>
            <w:r>
              <w:rPr>
                <w:rFonts w:hint="eastAsia" w:ascii="宋体" w:hAnsi="宋体"/>
                <w:b/>
                <w:bCs/>
                <w:szCs w:val="21"/>
              </w:rPr>
              <w:t>4.14. 化学危险品控制</w:t>
            </w:r>
          </w:p>
          <w:p>
            <w:pPr>
              <w:spacing w:line="340" w:lineRule="exact"/>
              <w:rPr>
                <w:rFonts w:ascii="宋体" w:hAnsi="宋体"/>
                <w:szCs w:val="21"/>
              </w:rPr>
            </w:pPr>
            <w:r>
              <w:rPr>
                <w:rFonts w:hint="eastAsia" w:ascii="宋体" w:hAnsi="宋体"/>
                <w:szCs w:val="21"/>
              </w:rPr>
              <w:t>4.14.1. 管理对象：在公司的经营活动中所需用的化学危险品。</w:t>
            </w:r>
          </w:p>
          <w:p>
            <w:pPr>
              <w:spacing w:line="340" w:lineRule="exact"/>
              <w:rPr>
                <w:rFonts w:ascii="宋体" w:hAnsi="宋体"/>
                <w:szCs w:val="21"/>
              </w:rPr>
            </w:pPr>
            <w:r>
              <w:rPr>
                <w:rFonts w:hint="eastAsia" w:ascii="宋体" w:hAnsi="宋体"/>
                <w:szCs w:val="21"/>
              </w:rPr>
              <w:t>4.14.2. 化学品采购</w:t>
            </w:r>
          </w:p>
          <w:p>
            <w:pPr>
              <w:spacing w:line="340" w:lineRule="exact"/>
              <w:rPr>
                <w:rFonts w:ascii="宋体" w:hAnsi="宋体"/>
                <w:szCs w:val="21"/>
              </w:rPr>
            </w:pPr>
            <w:r>
              <w:rPr>
                <w:rFonts w:hint="eastAsia" w:ascii="宋体" w:hAnsi="宋体"/>
                <w:szCs w:val="21"/>
              </w:rPr>
              <w:t>相关部门向仓储人员提出化学品的需求，经公司有关领导审批后实施采购，采购时要选择具有资质的合格供应商，合格供应商评价执行质量管理体系的《采购控制程序》。</w:t>
            </w:r>
          </w:p>
          <w:p>
            <w:pPr>
              <w:spacing w:line="340" w:lineRule="exact"/>
              <w:rPr>
                <w:rFonts w:ascii="宋体" w:hAnsi="宋体"/>
                <w:szCs w:val="21"/>
              </w:rPr>
            </w:pPr>
            <w:r>
              <w:rPr>
                <w:rFonts w:hint="eastAsia" w:ascii="宋体" w:hAnsi="宋体"/>
                <w:szCs w:val="21"/>
              </w:rPr>
              <w:t>4.14.3. 运输的管理</w:t>
            </w:r>
          </w:p>
          <w:p>
            <w:pPr>
              <w:spacing w:line="340" w:lineRule="exact"/>
              <w:rPr>
                <w:rFonts w:ascii="宋体" w:hAnsi="宋体"/>
                <w:szCs w:val="21"/>
              </w:rPr>
            </w:pPr>
            <w:r>
              <w:rPr>
                <w:rFonts w:hint="eastAsia" w:ascii="宋体" w:hAnsi="宋体"/>
                <w:szCs w:val="21"/>
              </w:rPr>
              <w:t>危险化学品由有资格的车辆及驾驶员负责运输，配备必要的消防器材及防泄漏的措施。</w:t>
            </w:r>
          </w:p>
          <w:p>
            <w:pPr>
              <w:spacing w:line="340" w:lineRule="exact"/>
              <w:rPr>
                <w:rFonts w:ascii="宋体" w:hAnsi="宋体"/>
                <w:szCs w:val="21"/>
              </w:rPr>
            </w:pPr>
            <w:r>
              <w:rPr>
                <w:rFonts w:hint="eastAsia" w:ascii="宋体" w:hAnsi="宋体"/>
                <w:szCs w:val="21"/>
              </w:rPr>
              <w:t>4.14.4. 贮存管理</w:t>
            </w:r>
          </w:p>
          <w:p>
            <w:pPr>
              <w:spacing w:line="340" w:lineRule="exact"/>
              <w:rPr>
                <w:rFonts w:ascii="宋体" w:hAnsi="宋体"/>
                <w:szCs w:val="21"/>
              </w:rPr>
            </w:pPr>
            <w:r>
              <w:rPr>
                <w:rFonts w:hint="eastAsia" w:ascii="宋体" w:hAnsi="宋体"/>
                <w:szCs w:val="21"/>
              </w:rPr>
              <w:t>4.14.4.1. 化学危险品在储存中要防止泄漏。</w:t>
            </w:r>
          </w:p>
          <w:p>
            <w:pPr>
              <w:spacing w:line="340" w:lineRule="exact"/>
              <w:rPr>
                <w:rFonts w:ascii="宋体" w:hAnsi="宋体"/>
                <w:szCs w:val="21"/>
              </w:rPr>
            </w:pPr>
            <w:r>
              <w:rPr>
                <w:rFonts w:hint="eastAsia" w:ascii="宋体" w:hAnsi="宋体"/>
                <w:szCs w:val="21"/>
              </w:rPr>
              <w:t>4.14.4.2. 盖子要拧紧，避免挥发及泄漏，标识要清楚，分类存放。</w:t>
            </w:r>
          </w:p>
          <w:p>
            <w:pPr>
              <w:spacing w:line="340" w:lineRule="exact"/>
              <w:rPr>
                <w:rFonts w:ascii="宋体" w:hAnsi="宋体"/>
                <w:szCs w:val="21"/>
              </w:rPr>
            </w:pPr>
            <w:r>
              <w:rPr>
                <w:rFonts w:hint="eastAsia" w:ascii="宋体" w:hAnsi="宋体"/>
                <w:szCs w:val="21"/>
              </w:rPr>
              <w:t>4.14.4.3. 危险化学品管理人员要经过专门的培训，作好《化学品入库记录》、《化学品领用记录》</w:t>
            </w:r>
          </w:p>
          <w:p>
            <w:pPr>
              <w:spacing w:line="340" w:lineRule="exact"/>
              <w:rPr>
                <w:rFonts w:ascii="宋体" w:hAnsi="宋体"/>
                <w:szCs w:val="21"/>
              </w:rPr>
            </w:pPr>
            <w:r>
              <w:rPr>
                <w:rFonts w:hint="eastAsia" w:ascii="宋体" w:hAnsi="宋体"/>
                <w:szCs w:val="21"/>
              </w:rPr>
              <w:t>4.14.5. 使用管理</w:t>
            </w:r>
          </w:p>
          <w:p>
            <w:pPr>
              <w:spacing w:line="340" w:lineRule="exact"/>
              <w:rPr>
                <w:rFonts w:ascii="宋体" w:hAnsi="宋体"/>
                <w:szCs w:val="21"/>
              </w:rPr>
            </w:pPr>
            <w:r>
              <w:rPr>
                <w:rFonts w:hint="eastAsia" w:ascii="宋体" w:hAnsi="宋体"/>
                <w:szCs w:val="21"/>
              </w:rPr>
              <w:t>4.14.5.1. 危险化学品的现场保存量应不超过一周的使用量；</w:t>
            </w:r>
          </w:p>
          <w:p>
            <w:pPr>
              <w:spacing w:line="340" w:lineRule="exact"/>
              <w:rPr>
                <w:rFonts w:ascii="宋体" w:hAnsi="宋体"/>
                <w:szCs w:val="21"/>
              </w:rPr>
            </w:pPr>
            <w:r>
              <w:rPr>
                <w:rFonts w:hint="eastAsia" w:ascii="宋体" w:hAnsi="宋体"/>
                <w:szCs w:val="21"/>
              </w:rPr>
              <w:t>4.14.5.2. 危险化学品的领用要由专人负责，领取时填写《化学品领用记录》；</w:t>
            </w:r>
          </w:p>
          <w:p>
            <w:pPr>
              <w:spacing w:line="340" w:lineRule="exact"/>
              <w:rPr>
                <w:rFonts w:ascii="宋体" w:hAnsi="宋体"/>
                <w:szCs w:val="21"/>
              </w:rPr>
            </w:pPr>
            <w:r>
              <w:rPr>
                <w:rFonts w:hint="eastAsia" w:ascii="宋体" w:hAnsi="宋体"/>
                <w:szCs w:val="21"/>
              </w:rPr>
              <w:t>4.14.5.3. 化学危险品使用时，要戴防护手套与口罩，工作场所严禁进食和饮水。</w:t>
            </w:r>
          </w:p>
          <w:p>
            <w:pPr>
              <w:spacing w:line="340" w:lineRule="exact"/>
              <w:rPr>
                <w:rFonts w:ascii="宋体" w:hAnsi="宋体"/>
                <w:szCs w:val="21"/>
              </w:rPr>
            </w:pPr>
            <w:r>
              <w:rPr>
                <w:rFonts w:hint="eastAsia" w:ascii="宋体" w:hAnsi="宋体"/>
                <w:szCs w:val="21"/>
              </w:rPr>
              <w:t>4.14.6. 危险化学品的废弃</w:t>
            </w:r>
          </w:p>
          <w:p>
            <w:pPr>
              <w:spacing w:line="340" w:lineRule="exact"/>
              <w:rPr>
                <w:rFonts w:ascii="宋体" w:hAnsi="宋体"/>
                <w:szCs w:val="21"/>
              </w:rPr>
            </w:pPr>
            <w:r>
              <w:rPr>
                <w:rFonts w:hint="eastAsia" w:ascii="宋体" w:hAnsi="宋体"/>
                <w:szCs w:val="21"/>
              </w:rPr>
              <w:t>废化学品容器应暂存在指定场所，防止雨淋、泄漏，要有防火设施。</w:t>
            </w:r>
          </w:p>
          <w:p>
            <w:pPr>
              <w:spacing w:line="340" w:lineRule="exact"/>
              <w:rPr>
                <w:rFonts w:ascii="宋体" w:hAnsi="宋体"/>
                <w:szCs w:val="21"/>
              </w:rPr>
            </w:pPr>
            <w:r>
              <w:rPr>
                <w:rFonts w:hint="eastAsia" w:ascii="宋体" w:hAnsi="宋体"/>
                <w:szCs w:val="21"/>
              </w:rPr>
              <w:t>4.14.7. 废化学危险品的处置</w:t>
            </w:r>
          </w:p>
          <w:p>
            <w:pPr>
              <w:spacing w:line="340" w:lineRule="exact"/>
              <w:rPr>
                <w:rFonts w:ascii="宋体" w:hAnsi="宋体"/>
                <w:szCs w:val="21"/>
              </w:rPr>
            </w:pPr>
            <w:r>
              <w:rPr>
                <w:rFonts w:hint="eastAsia" w:ascii="宋体" w:hAnsi="宋体"/>
                <w:szCs w:val="21"/>
              </w:rPr>
              <w:t>应由相关部门对废弃物集中统一处置，见本程序对固体废弃物的管理控制。</w:t>
            </w:r>
          </w:p>
          <w:p>
            <w:pPr>
              <w:spacing w:line="340" w:lineRule="exact"/>
              <w:rPr>
                <w:rFonts w:ascii="宋体" w:hAnsi="宋体"/>
                <w:szCs w:val="21"/>
              </w:rPr>
            </w:pPr>
            <w:r>
              <w:rPr>
                <w:rFonts w:hint="eastAsia" w:ascii="宋体" w:hAnsi="宋体"/>
                <w:szCs w:val="21"/>
              </w:rPr>
              <w:t>4.14.8. 异常情况处置</w:t>
            </w:r>
          </w:p>
          <w:p>
            <w:pPr>
              <w:spacing w:line="340" w:lineRule="exact"/>
              <w:rPr>
                <w:rFonts w:ascii="宋体" w:hAnsi="宋体"/>
                <w:szCs w:val="21"/>
              </w:rPr>
            </w:pPr>
            <w:r>
              <w:rPr>
                <w:rFonts w:hint="eastAsia" w:ascii="宋体" w:hAnsi="宋体"/>
                <w:szCs w:val="21"/>
              </w:rPr>
              <w:t>一般化学品泄漏时应及时清洗泄漏物及周围环境，防止化学品对周围环境的影响。</w:t>
            </w:r>
          </w:p>
          <w:p>
            <w:pPr>
              <w:tabs>
                <w:tab w:val="left" w:pos="843"/>
                <w:tab w:val="left" w:pos="9740"/>
              </w:tabs>
              <w:snapToGrid w:val="0"/>
              <w:spacing w:line="340" w:lineRule="exact"/>
              <w:rPr>
                <w:rFonts w:ascii="宋体" w:hAnsi="宋体"/>
                <w:bCs/>
                <w:szCs w:val="21"/>
              </w:rPr>
            </w:pPr>
            <w:r>
              <w:rPr>
                <w:rFonts w:hint="eastAsia" w:ascii="宋体" w:hAnsi="宋体"/>
                <w:szCs w:val="21"/>
              </w:rPr>
              <w:t>4.14.9. 紧急情况的处理执行《应急准备和响应控制程序》。</w:t>
            </w:r>
          </w:p>
          <w:p>
            <w:pPr>
              <w:spacing w:line="340" w:lineRule="exact"/>
              <w:rPr>
                <w:rFonts w:ascii="宋体" w:hAnsi="宋体"/>
                <w:color w:val="000000"/>
                <w:szCs w:val="21"/>
              </w:rPr>
            </w:pPr>
            <w:r>
              <w:rPr>
                <w:rFonts w:hint="eastAsia" w:ascii="宋体" w:hAnsi="宋体"/>
                <w:color w:val="000000"/>
                <w:szCs w:val="21"/>
              </w:rPr>
              <w:t>4.14.10. 关于办公区域环境及安全的管理，执行《安全检查管理规定》。</w:t>
            </w:r>
          </w:p>
          <w:p>
            <w:pPr>
              <w:spacing w:line="340" w:lineRule="exact"/>
              <w:rPr>
                <w:rFonts w:ascii="宋体" w:hAnsi="宋体"/>
                <w:b/>
                <w:bCs/>
                <w:color w:val="000000"/>
                <w:szCs w:val="21"/>
              </w:rPr>
            </w:pPr>
            <w:r>
              <w:rPr>
                <w:rFonts w:hint="eastAsia" w:ascii="宋体" w:hAnsi="宋体"/>
                <w:color w:val="000000"/>
                <w:szCs w:val="21"/>
              </w:rPr>
              <w:t>4.14.11. 关于对新、改、扩建项目时所产生的环境因素及职业健康安全风险，执行《职业建设项目“三同时”制度》。</w:t>
            </w:r>
          </w:p>
          <w:p>
            <w:pPr>
              <w:spacing w:line="340" w:lineRule="exact"/>
              <w:ind w:right="-512" w:rightChars="-244"/>
              <w:rPr>
                <w:rFonts w:ascii="宋体" w:hAnsi="宋体"/>
                <w:b/>
                <w:bCs/>
                <w:color w:val="000000"/>
                <w:szCs w:val="21"/>
              </w:rPr>
            </w:pPr>
            <w:r>
              <w:rPr>
                <w:rFonts w:hint="eastAsia" w:ascii="宋体" w:hAnsi="宋体"/>
                <w:b/>
                <w:bCs/>
                <w:color w:val="000000"/>
                <w:szCs w:val="21"/>
              </w:rPr>
              <w:t>5 . 相关支持性文件</w:t>
            </w:r>
          </w:p>
          <w:p>
            <w:pPr>
              <w:spacing w:line="340" w:lineRule="exact"/>
              <w:ind w:right="-512" w:rightChars="-244"/>
              <w:rPr>
                <w:rFonts w:ascii="宋体" w:hAnsi="宋体"/>
                <w:color w:val="000000"/>
                <w:szCs w:val="21"/>
              </w:rPr>
            </w:pPr>
            <w:r>
              <w:rPr>
                <w:rFonts w:hint="eastAsia" w:ascii="宋体" w:hAnsi="宋体"/>
                <w:color w:val="000000"/>
                <w:szCs w:val="21"/>
              </w:rPr>
              <w:t>5.1. 《相关方环境及职业健康安全要求》</w:t>
            </w:r>
          </w:p>
          <w:p>
            <w:pPr>
              <w:spacing w:line="340" w:lineRule="exact"/>
              <w:ind w:right="-512" w:rightChars="-244"/>
              <w:rPr>
                <w:rFonts w:ascii="宋体" w:hAnsi="宋体"/>
                <w:color w:val="000000"/>
                <w:szCs w:val="21"/>
              </w:rPr>
            </w:pPr>
            <w:r>
              <w:rPr>
                <w:rFonts w:hint="eastAsia" w:ascii="宋体" w:hAnsi="宋体"/>
                <w:color w:val="000000"/>
                <w:szCs w:val="21"/>
              </w:rPr>
              <w:t>5.2. 《事件调查处理控制程序》</w:t>
            </w:r>
          </w:p>
          <w:p>
            <w:pPr>
              <w:spacing w:line="340" w:lineRule="exact"/>
              <w:ind w:right="-512" w:rightChars="-244"/>
              <w:rPr>
                <w:rFonts w:ascii="宋体" w:hAnsi="宋体"/>
                <w:color w:val="000000"/>
                <w:szCs w:val="21"/>
              </w:rPr>
            </w:pPr>
            <w:r>
              <w:rPr>
                <w:rFonts w:hint="eastAsia" w:ascii="宋体" w:hAnsi="宋体"/>
                <w:color w:val="000000"/>
                <w:szCs w:val="21"/>
              </w:rPr>
              <w:t>5.3. 《应急准备与响应控制程序》</w:t>
            </w:r>
          </w:p>
          <w:p>
            <w:pPr>
              <w:spacing w:line="340" w:lineRule="exact"/>
              <w:ind w:right="-512" w:rightChars="-244"/>
              <w:rPr>
                <w:rFonts w:ascii="宋体" w:hAnsi="宋体"/>
                <w:color w:val="000000"/>
                <w:szCs w:val="21"/>
              </w:rPr>
            </w:pPr>
            <w:r>
              <w:rPr>
                <w:rFonts w:hint="eastAsia" w:ascii="宋体" w:hAnsi="宋体"/>
                <w:color w:val="000000"/>
                <w:szCs w:val="21"/>
              </w:rPr>
              <w:t>5.4. 《改进控制程序》</w:t>
            </w:r>
          </w:p>
          <w:p>
            <w:pPr>
              <w:spacing w:line="340" w:lineRule="exact"/>
              <w:ind w:right="-512" w:rightChars="-244"/>
              <w:rPr>
                <w:rFonts w:ascii="宋体" w:hAnsi="宋体"/>
                <w:color w:val="000000"/>
                <w:szCs w:val="21"/>
              </w:rPr>
            </w:pPr>
            <w:r>
              <w:rPr>
                <w:rFonts w:hint="eastAsia" w:ascii="宋体" w:hAnsi="宋体"/>
                <w:color w:val="000000"/>
                <w:szCs w:val="21"/>
              </w:rPr>
              <w:t>5.5. 《环境和职业健康安全监测控制程序》</w:t>
            </w:r>
          </w:p>
          <w:p>
            <w:pPr>
              <w:tabs>
                <w:tab w:val="left" w:pos="4240"/>
              </w:tabs>
              <w:spacing w:line="340" w:lineRule="exact"/>
              <w:rPr>
                <w:rFonts w:ascii="宋体" w:hAnsi="宋体"/>
                <w:color w:val="000000"/>
                <w:szCs w:val="21"/>
              </w:rPr>
            </w:pPr>
            <w:r>
              <w:rPr>
                <w:rFonts w:hint="eastAsia" w:ascii="宋体" w:hAnsi="宋体"/>
                <w:color w:val="000000"/>
                <w:szCs w:val="21"/>
              </w:rPr>
              <w:t>5.6. 《仓库管理规定》</w:t>
            </w:r>
          </w:p>
          <w:p>
            <w:pPr>
              <w:spacing w:line="340" w:lineRule="exact"/>
              <w:rPr>
                <w:rFonts w:ascii="宋体" w:hAnsi="宋体"/>
                <w:color w:val="000000"/>
                <w:szCs w:val="21"/>
              </w:rPr>
            </w:pPr>
            <w:r>
              <w:rPr>
                <w:rFonts w:hint="eastAsia" w:ascii="宋体" w:hAnsi="宋体"/>
                <w:color w:val="000000"/>
                <w:szCs w:val="21"/>
              </w:rPr>
              <w:t>5.7. 《安全检查管理规程》</w:t>
            </w:r>
          </w:p>
          <w:p>
            <w:pPr>
              <w:tabs>
                <w:tab w:val="left" w:pos="4240"/>
              </w:tabs>
              <w:spacing w:line="340" w:lineRule="exact"/>
              <w:rPr>
                <w:rFonts w:ascii="宋体" w:hAnsi="宋体"/>
                <w:color w:val="000000"/>
                <w:szCs w:val="21"/>
              </w:rPr>
            </w:pPr>
            <w:r>
              <w:rPr>
                <w:rFonts w:hint="eastAsia" w:ascii="宋体" w:hAnsi="宋体"/>
                <w:color w:val="000000"/>
                <w:szCs w:val="21"/>
              </w:rPr>
              <w:t>5.8. 《环境因素识别与评价程序》</w:t>
            </w:r>
          </w:p>
          <w:p>
            <w:pPr>
              <w:spacing w:line="340" w:lineRule="exact"/>
              <w:ind w:right="-512" w:rightChars="-244"/>
              <w:outlineLvl w:val="0"/>
              <w:rPr>
                <w:rFonts w:ascii="宋体" w:hAnsi="宋体"/>
                <w:b/>
                <w:bCs/>
                <w:color w:val="000000"/>
                <w:szCs w:val="21"/>
              </w:rPr>
            </w:pPr>
            <w:r>
              <w:rPr>
                <w:rFonts w:hint="eastAsia" w:ascii="宋体" w:hAnsi="宋体"/>
                <w:b/>
                <w:bCs/>
                <w:color w:val="000000"/>
                <w:szCs w:val="21"/>
              </w:rPr>
              <w:t xml:space="preserve">6.  记录                                                                         </w:t>
            </w:r>
          </w:p>
          <w:p>
            <w:pPr>
              <w:spacing w:line="340" w:lineRule="exact"/>
              <w:ind w:right="-512" w:rightChars="-244"/>
              <w:rPr>
                <w:rFonts w:ascii="宋体" w:hAnsi="宋体"/>
                <w:color w:val="000000"/>
                <w:szCs w:val="21"/>
              </w:rPr>
            </w:pPr>
            <w:r>
              <w:rPr>
                <w:rFonts w:hint="eastAsia" w:ascii="宋体" w:hAnsi="宋体"/>
                <w:color w:val="000000"/>
                <w:szCs w:val="21"/>
              </w:rPr>
              <w:t xml:space="preserve">6.1. 《特殊作业人员花名册》                                                             </w:t>
            </w:r>
          </w:p>
          <w:p>
            <w:pPr>
              <w:tabs>
                <w:tab w:val="left" w:pos="4240"/>
              </w:tabs>
              <w:spacing w:line="340" w:lineRule="exact"/>
              <w:rPr>
                <w:rFonts w:ascii="宋体" w:hAnsi="宋体"/>
                <w:color w:val="000000"/>
                <w:szCs w:val="21"/>
              </w:rPr>
            </w:pPr>
            <w:r>
              <w:rPr>
                <w:rFonts w:hint="eastAsia" w:ascii="宋体" w:hAnsi="宋体"/>
                <w:color w:val="000000"/>
                <w:szCs w:val="21"/>
              </w:rPr>
              <w:t>6.2. 《重点施加影响相关方一览表》</w:t>
            </w:r>
          </w:p>
          <w:p>
            <w:pPr>
              <w:spacing w:line="340" w:lineRule="exact"/>
              <w:rPr>
                <w:rFonts w:ascii="宋体" w:hAnsi="宋体"/>
                <w:color w:val="000000"/>
                <w:szCs w:val="21"/>
              </w:rPr>
            </w:pPr>
            <w:r>
              <w:rPr>
                <w:rFonts w:hint="eastAsia" w:ascii="宋体" w:hAnsi="宋体"/>
                <w:color w:val="000000"/>
                <w:szCs w:val="21"/>
              </w:rPr>
              <w:t xml:space="preserve">6.3. 《劳动、安全防护用品需用量计划》                                                 </w:t>
            </w:r>
          </w:p>
          <w:p>
            <w:pPr>
              <w:spacing w:line="340" w:lineRule="exact"/>
              <w:rPr>
                <w:rFonts w:ascii="宋体" w:hAnsi="宋体"/>
                <w:color w:val="000000"/>
                <w:szCs w:val="21"/>
              </w:rPr>
            </w:pPr>
            <w:r>
              <w:rPr>
                <w:rFonts w:hint="eastAsia" w:ascii="宋体" w:hAnsi="宋体"/>
                <w:color w:val="000000"/>
                <w:szCs w:val="21"/>
              </w:rPr>
              <w:t xml:space="preserve">6.4. 《劳动、安全防护用品台帐》                                                           </w:t>
            </w:r>
          </w:p>
          <w:p>
            <w:pPr>
              <w:spacing w:line="340" w:lineRule="exact"/>
              <w:rPr>
                <w:rFonts w:ascii="宋体" w:hAnsi="宋体"/>
                <w:color w:val="000000"/>
                <w:szCs w:val="21"/>
              </w:rPr>
            </w:pPr>
            <w:r>
              <w:rPr>
                <w:rFonts w:hint="eastAsia" w:ascii="宋体" w:hAnsi="宋体"/>
                <w:color w:val="000000"/>
                <w:szCs w:val="21"/>
              </w:rPr>
              <w:t xml:space="preserve">6.5. 《劳动、安全防护用品损坏、丢失、报废记录》                                                        </w:t>
            </w:r>
          </w:p>
          <w:p>
            <w:pPr>
              <w:spacing w:line="340" w:lineRule="exact"/>
              <w:rPr>
                <w:rFonts w:ascii="宋体" w:hAnsi="宋体"/>
                <w:color w:val="000000"/>
                <w:szCs w:val="21"/>
              </w:rPr>
            </w:pPr>
            <w:r>
              <w:rPr>
                <w:rFonts w:hint="eastAsia" w:ascii="宋体" w:hAnsi="宋体"/>
                <w:color w:val="000000"/>
                <w:szCs w:val="21"/>
              </w:rPr>
              <w:t xml:space="preserve">6.6. 《纠正措施通知单》                                                                     </w:t>
            </w:r>
          </w:p>
          <w:p>
            <w:pPr>
              <w:tabs>
                <w:tab w:val="left" w:pos="4240"/>
              </w:tabs>
              <w:spacing w:line="340" w:lineRule="exact"/>
              <w:rPr>
                <w:rFonts w:ascii="宋体" w:hAnsi="宋体"/>
                <w:color w:val="000000"/>
                <w:szCs w:val="21"/>
              </w:rPr>
            </w:pPr>
            <w:r>
              <w:rPr>
                <w:rFonts w:hint="eastAsia" w:ascii="宋体" w:hAnsi="宋体"/>
                <w:color w:val="000000"/>
                <w:szCs w:val="21"/>
              </w:rPr>
              <w:t>6.7. 《消防设施检查表》</w:t>
            </w:r>
          </w:p>
          <w:p>
            <w:pPr>
              <w:tabs>
                <w:tab w:val="left" w:pos="4240"/>
              </w:tabs>
              <w:spacing w:line="340" w:lineRule="exact"/>
              <w:rPr>
                <w:rFonts w:ascii="宋体" w:hAnsi="宋体"/>
                <w:color w:val="000000"/>
                <w:szCs w:val="21"/>
              </w:rPr>
            </w:pPr>
            <w:r>
              <w:rPr>
                <w:rFonts w:hint="eastAsia" w:ascii="宋体" w:hAnsi="宋体"/>
                <w:color w:val="000000"/>
                <w:szCs w:val="21"/>
              </w:rPr>
              <w:t>6.8. 《环境事先评价申报表》</w:t>
            </w:r>
          </w:p>
        </w:tc>
      </w:tr>
    </w:tbl>
    <w:p/>
    <w:p/>
    <w:p/>
    <w:p/>
    <w:p/>
    <w:p/>
    <w:p/>
    <w:p/>
    <w:p/>
    <w:p/>
    <w:p/>
    <w:p/>
    <w:p/>
    <w:p/>
    <w:p/>
    <w:p/>
    <w:p/>
    <w:tbl>
      <w:tblPr>
        <w:tblStyle w:val="9"/>
        <w:tblW w:w="999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7"/>
        <w:gridCol w:w="1701"/>
        <w:gridCol w:w="3603"/>
        <w:gridCol w:w="1006"/>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2337" w:type="dxa"/>
            <w:vMerge w:val="restart"/>
            <w:vAlign w:val="center"/>
          </w:tcPr>
          <w:p>
            <w:pPr>
              <w:spacing w:line="400" w:lineRule="exact"/>
              <w:jc w:val="center"/>
              <w:rPr>
                <w:rFonts w:eastAsia="黑体"/>
                <w:b/>
                <w:sz w:val="36"/>
              </w:rPr>
            </w:pPr>
          </w:p>
        </w:tc>
        <w:tc>
          <w:tcPr>
            <w:tcW w:w="1701" w:type="dxa"/>
            <w:vAlign w:val="center"/>
          </w:tcPr>
          <w:p>
            <w:pPr>
              <w:spacing w:line="400" w:lineRule="exact"/>
              <w:jc w:val="center"/>
              <w:rPr>
                <w:rFonts w:ascii="宋体"/>
                <w:b/>
                <w:sz w:val="30"/>
              </w:rPr>
            </w:pPr>
            <w:r>
              <w:rPr>
                <w:rFonts w:hint="eastAsia" w:ascii="宋体"/>
                <w:b/>
                <w:sz w:val="30"/>
              </w:rPr>
              <w:t>文件名称</w:t>
            </w:r>
          </w:p>
        </w:tc>
        <w:tc>
          <w:tcPr>
            <w:tcW w:w="3603" w:type="dxa"/>
            <w:vAlign w:val="center"/>
          </w:tcPr>
          <w:p>
            <w:pPr>
              <w:pStyle w:val="4"/>
              <w:spacing w:line="400" w:lineRule="exact"/>
              <w:jc w:val="center"/>
              <w:rPr>
                <w:rFonts w:ascii="楷体_GB2312" w:hAnsi="楷体" w:eastAsia="楷体_GB2312"/>
                <w:b/>
                <w:sz w:val="28"/>
                <w:szCs w:val="28"/>
              </w:rPr>
            </w:pPr>
            <w:r>
              <w:rPr>
                <w:rFonts w:hint="eastAsia" w:ascii="楷体_GB2312" w:hAnsi="楷体" w:eastAsia="楷体_GB2312"/>
                <w:b/>
                <w:sz w:val="30"/>
                <w:szCs w:val="30"/>
              </w:rPr>
              <w:t>应急准备和响应控制程序</w:t>
            </w:r>
          </w:p>
        </w:tc>
        <w:tc>
          <w:tcPr>
            <w:tcW w:w="1006" w:type="dxa"/>
            <w:vAlign w:val="center"/>
          </w:tcPr>
          <w:p>
            <w:pPr>
              <w:spacing w:line="400" w:lineRule="exact"/>
              <w:jc w:val="center"/>
              <w:rPr>
                <w:rFonts w:ascii="宋体"/>
                <w:b/>
                <w:sz w:val="30"/>
              </w:rPr>
            </w:pPr>
            <w:r>
              <w:rPr>
                <w:rFonts w:hint="eastAsia" w:ascii="宋体"/>
                <w:b/>
                <w:sz w:val="30"/>
              </w:rPr>
              <w:t>版次</w:t>
            </w:r>
          </w:p>
        </w:tc>
        <w:tc>
          <w:tcPr>
            <w:tcW w:w="1344" w:type="dxa"/>
            <w:vAlign w:val="center"/>
          </w:tcPr>
          <w:p>
            <w:pPr>
              <w:spacing w:line="400" w:lineRule="exact"/>
              <w:jc w:val="center"/>
              <w:rPr>
                <w:rFonts w:ascii="宋体"/>
                <w:b/>
                <w:sz w:val="30"/>
              </w:rPr>
            </w:pPr>
            <w:r>
              <w:rPr>
                <w:rFonts w:hint="eastAsia" w:ascii="宋体"/>
                <w:b/>
                <w:sz w:val="3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rPr>
        <w:tc>
          <w:tcPr>
            <w:tcW w:w="2337" w:type="dxa"/>
            <w:vMerge w:val="continue"/>
            <w:vAlign w:val="center"/>
          </w:tcPr>
          <w:p>
            <w:pPr>
              <w:spacing w:line="400" w:lineRule="exact"/>
              <w:jc w:val="center"/>
              <w:rPr>
                <w:rFonts w:eastAsia="黑体"/>
                <w:b/>
                <w:sz w:val="36"/>
              </w:rPr>
            </w:pPr>
          </w:p>
        </w:tc>
        <w:tc>
          <w:tcPr>
            <w:tcW w:w="1701" w:type="dxa"/>
            <w:vAlign w:val="center"/>
          </w:tcPr>
          <w:p>
            <w:pPr>
              <w:spacing w:line="400" w:lineRule="exact"/>
              <w:jc w:val="center"/>
              <w:rPr>
                <w:rFonts w:ascii="宋体"/>
                <w:b/>
                <w:sz w:val="30"/>
              </w:rPr>
            </w:pPr>
            <w:r>
              <w:rPr>
                <w:rFonts w:hint="eastAsia" w:ascii="宋体"/>
                <w:b/>
                <w:sz w:val="30"/>
              </w:rPr>
              <w:t>文件编号</w:t>
            </w:r>
          </w:p>
        </w:tc>
        <w:tc>
          <w:tcPr>
            <w:tcW w:w="3603" w:type="dxa"/>
            <w:vAlign w:val="center"/>
          </w:tcPr>
          <w:p>
            <w:pPr>
              <w:spacing w:line="400" w:lineRule="exact"/>
              <w:jc w:val="center"/>
              <w:rPr>
                <w:rFonts w:ascii="宋体"/>
                <w:b/>
                <w:sz w:val="30"/>
              </w:rPr>
            </w:pPr>
            <w:r>
              <w:rPr>
                <w:rFonts w:hint="eastAsia" w:ascii="宋体"/>
                <w:b/>
                <w:sz w:val="30"/>
              </w:rPr>
              <w:t>LQY-P-24</w:t>
            </w:r>
          </w:p>
        </w:tc>
        <w:tc>
          <w:tcPr>
            <w:tcW w:w="1006" w:type="dxa"/>
            <w:vAlign w:val="center"/>
          </w:tcPr>
          <w:p>
            <w:pPr>
              <w:spacing w:line="400" w:lineRule="exact"/>
              <w:jc w:val="center"/>
              <w:rPr>
                <w:rFonts w:ascii="宋体"/>
                <w:b/>
                <w:sz w:val="30"/>
              </w:rPr>
            </w:pPr>
            <w:r>
              <w:rPr>
                <w:rFonts w:hint="eastAsia" w:ascii="宋体"/>
                <w:b/>
                <w:sz w:val="30"/>
              </w:rPr>
              <w:t>修改</w:t>
            </w:r>
          </w:p>
          <w:p>
            <w:pPr>
              <w:spacing w:line="400" w:lineRule="exact"/>
              <w:jc w:val="center"/>
              <w:rPr>
                <w:rFonts w:ascii="宋体"/>
                <w:b/>
                <w:sz w:val="30"/>
              </w:rPr>
            </w:pPr>
            <w:r>
              <w:rPr>
                <w:rFonts w:hint="eastAsia" w:ascii="宋体"/>
                <w:b/>
                <w:sz w:val="30"/>
              </w:rPr>
              <w:t>状态</w:t>
            </w:r>
          </w:p>
        </w:tc>
        <w:tc>
          <w:tcPr>
            <w:tcW w:w="1344" w:type="dxa"/>
            <w:vAlign w:val="center"/>
          </w:tcPr>
          <w:p>
            <w:pPr>
              <w:spacing w:line="400" w:lineRule="exact"/>
              <w:jc w:val="center"/>
              <w:rPr>
                <w:rFonts w:ascii="宋体"/>
                <w:b/>
                <w:sz w:val="30"/>
              </w:rPr>
            </w:pPr>
            <w:r>
              <w:rPr>
                <w:rFonts w:hint="eastAsia" w:ascii="宋体"/>
                <w:b/>
                <w:sz w:val="3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991" w:type="dxa"/>
            <w:gridSpan w:val="5"/>
            <w:tcBorders>
              <w:right w:val="single" w:color="auto" w:sz="4" w:space="0"/>
            </w:tcBorders>
          </w:tcPr>
          <w:p>
            <w:pPr>
              <w:tabs>
                <w:tab w:val="left" w:pos="2360"/>
              </w:tabs>
              <w:spacing w:line="360" w:lineRule="exact"/>
              <w:rPr>
                <w:rFonts w:ascii="宋体" w:hAnsi="宋体"/>
                <w:b/>
                <w:szCs w:val="21"/>
              </w:rPr>
            </w:pPr>
            <w:r>
              <w:rPr>
                <w:rFonts w:hint="eastAsia" w:ascii="宋体" w:hAnsi="宋体"/>
                <w:b/>
                <w:szCs w:val="21"/>
              </w:rPr>
              <w:t>1. 目的</w:t>
            </w:r>
          </w:p>
          <w:p>
            <w:pPr>
              <w:tabs>
                <w:tab w:val="left" w:pos="2360"/>
              </w:tabs>
              <w:spacing w:line="360" w:lineRule="exact"/>
              <w:ind w:firstLine="315" w:firstLineChars="150"/>
              <w:rPr>
                <w:rFonts w:ascii="宋体" w:hAnsi="宋体"/>
                <w:szCs w:val="21"/>
              </w:rPr>
            </w:pPr>
            <w:r>
              <w:rPr>
                <w:rFonts w:hint="eastAsia" w:ascii="宋体" w:hAnsi="宋体"/>
                <w:szCs w:val="21"/>
              </w:rPr>
              <w:t>为预防和控制公司潜在的环境事故或紧急情况，职业健康安全方面潜在的危害，并在重大事件或紧急情况发生时迅速得到响应，最大限度地减少或消除由于紧急情况下或意外事故所造成的环境污染、财产损失、人员伤亡等，尽可能的减少或消除职业健康安全的危害程度及可能伴随产生的环境影响。</w:t>
            </w:r>
          </w:p>
          <w:p>
            <w:pPr>
              <w:spacing w:line="360" w:lineRule="exact"/>
              <w:rPr>
                <w:rFonts w:ascii="宋体" w:hAnsi="宋体"/>
                <w:b/>
                <w:szCs w:val="21"/>
              </w:rPr>
            </w:pPr>
            <w:r>
              <w:rPr>
                <w:rFonts w:hint="eastAsia" w:ascii="宋体" w:hAnsi="宋体"/>
                <w:b/>
                <w:szCs w:val="21"/>
              </w:rPr>
              <w:t>2. 适用范围</w:t>
            </w:r>
          </w:p>
          <w:p>
            <w:pPr>
              <w:spacing w:line="360" w:lineRule="exact"/>
              <w:ind w:firstLine="420"/>
              <w:rPr>
                <w:rFonts w:ascii="宋体" w:hAnsi="宋体"/>
                <w:szCs w:val="21"/>
              </w:rPr>
            </w:pPr>
            <w:r>
              <w:rPr>
                <w:rFonts w:hint="eastAsia" w:ascii="宋体" w:hAnsi="宋体"/>
                <w:szCs w:val="21"/>
              </w:rPr>
              <w:t>本程序适应于本公司生产车间、仓库、办公区域及生活区可能发生的环境、职业健康安全重大事故或紧急情况发生时的应急响应。</w:t>
            </w:r>
          </w:p>
          <w:p>
            <w:pPr>
              <w:spacing w:line="360" w:lineRule="exact"/>
              <w:rPr>
                <w:rFonts w:ascii="宋体" w:hAnsi="宋体"/>
                <w:b/>
                <w:szCs w:val="21"/>
              </w:rPr>
            </w:pPr>
            <w:r>
              <w:rPr>
                <w:rFonts w:hint="eastAsia" w:ascii="宋体" w:hAnsi="宋体"/>
                <w:b/>
                <w:szCs w:val="21"/>
              </w:rPr>
              <w:t>3. 职责</w:t>
            </w:r>
          </w:p>
          <w:p>
            <w:pPr>
              <w:spacing w:line="360" w:lineRule="exact"/>
              <w:rPr>
                <w:rFonts w:ascii="宋体" w:hAnsi="宋体"/>
                <w:szCs w:val="21"/>
              </w:rPr>
            </w:pPr>
            <w:r>
              <w:rPr>
                <w:rFonts w:hint="eastAsia" w:ascii="宋体" w:hAnsi="宋体"/>
                <w:szCs w:val="21"/>
              </w:rPr>
              <w:t>3.1. 总经理负责确保紧急情况处理所需的资源准备。</w:t>
            </w:r>
          </w:p>
          <w:p>
            <w:pPr>
              <w:spacing w:line="360" w:lineRule="exact"/>
              <w:rPr>
                <w:rFonts w:ascii="宋体" w:hAnsi="宋体"/>
                <w:szCs w:val="21"/>
              </w:rPr>
            </w:pPr>
            <w:r>
              <w:rPr>
                <w:rFonts w:hint="eastAsia" w:ascii="宋体" w:hAnsi="宋体"/>
                <w:szCs w:val="21"/>
              </w:rPr>
              <w:t>3.2. 管理者代表负责对应急计划的审批，并负责重大应急事件中的指挥和协调。</w:t>
            </w:r>
          </w:p>
          <w:p>
            <w:pPr>
              <w:spacing w:line="360" w:lineRule="exact"/>
              <w:rPr>
                <w:rFonts w:ascii="宋体" w:hAnsi="宋体"/>
                <w:szCs w:val="21"/>
              </w:rPr>
            </w:pPr>
            <w:r>
              <w:rPr>
                <w:rFonts w:hint="eastAsia" w:ascii="宋体" w:hAnsi="宋体"/>
                <w:szCs w:val="21"/>
              </w:rPr>
              <w:t>3.3.综合部</w:t>
            </w:r>
          </w:p>
          <w:p>
            <w:pPr>
              <w:spacing w:line="360" w:lineRule="exact"/>
              <w:rPr>
                <w:rFonts w:ascii="宋体" w:hAnsi="宋体"/>
                <w:szCs w:val="21"/>
              </w:rPr>
            </w:pPr>
            <w:r>
              <w:rPr>
                <w:rFonts w:hint="eastAsia" w:ascii="宋体" w:hAnsi="宋体"/>
                <w:szCs w:val="21"/>
              </w:rPr>
              <w:t>3.3.1. 组织实施公司的消防、紧急救护等应急演习。</w:t>
            </w:r>
          </w:p>
          <w:p>
            <w:pPr>
              <w:spacing w:line="360" w:lineRule="exact"/>
              <w:rPr>
                <w:rFonts w:ascii="宋体" w:hAnsi="宋体"/>
                <w:szCs w:val="21"/>
              </w:rPr>
            </w:pPr>
            <w:r>
              <w:rPr>
                <w:rFonts w:hint="eastAsia" w:ascii="宋体" w:hAnsi="宋体"/>
                <w:szCs w:val="21"/>
              </w:rPr>
              <w:t>3.3.2. 公司消防器材的归口管理。</w:t>
            </w:r>
          </w:p>
          <w:p>
            <w:pPr>
              <w:spacing w:line="360" w:lineRule="exact"/>
              <w:rPr>
                <w:rFonts w:ascii="宋体" w:hAnsi="宋体"/>
                <w:szCs w:val="21"/>
              </w:rPr>
            </w:pPr>
            <w:r>
              <w:rPr>
                <w:rFonts w:hint="eastAsia" w:ascii="宋体" w:hAnsi="宋体"/>
                <w:szCs w:val="21"/>
              </w:rPr>
              <w:t>3.3.3. 应急计划的制定。</w:t>
            </w:r>
          </w:p>
          <w:p>
            <w:pPr>
              <w:spacing w:line="360" w:lineRule="exact"/>
              <w:rPr>
                <w:rFonts w:ascii="宋体" w:hAnsi="宋体"/>
                <w:szCs w:val="21"/>
              </w:rPr>
            </w:pPr>
            <w:r>
              <w:rPr>
                <w:rFonts w:hint="eastAsia" w:ascii="宋体" w:hAnsi="宋体"/>
                <w:szCs w:val="21"/>
              </w:rPr>
              <w:t>3.3.4. 制定防汛、防火、紧急救护等应急培训计划，并组织实施。</w:t>
            </w:r>
          </w:p>
          <w:p>
            <w:pPr>
              <w:spacing w:line="360" w:lineRule="exact"/>
              <w:rPr>
                <w:rFonts w:ascii="宋体" w:hAnsi="宋体"/>
                <w:szCs w:val="21"/>
              </w:rPr>
            </w:pPr>
            <w:r>
              <w:rPr>
                <w:rFonts w:hint="eastAsia" w:ascii="宋体" w:hAnsi="宋体"/>
                <w:szCs w:val="21"/>
              </w:rPr>
              <w:t>3.5. 各部门、车间</w:t>
            </w:r>
          </w:p>
          <w:p>
            <w:pPr>
              <w:spacing w:line="360" w:lineRule="exact"/>
              <w:rPr>
                <w:rFonts w:ascii="宋体" w:hAnsi="宋体"/>
                <w:szCs w:val="21"/>
              </w:rPr>
            </w:pPr>
            <w:r>
              <w:rPr>
                <w:rFonts w:hint="eastAsia" w:ascii="宋体" w:hAnsi="宋体"/>
                <w:szCs w:val="21"/>
              </w:rPr>
              <w:t>3.5.1. 负责实施公司的防火、防汛、紧急救护等应急培训、演习计划。</w:t>
            </w:r>
          </w:p>
          <w:p>
            <w:pPr>
              <w:spacing w:line="360" w:lineRule="exact"/>
              <w:rPr>
                <w:rFonts w:ascii="宋体" w:hAnsi="宋体"/>
                <w:szCs w:val="21"/>
              </w:rPr>
            </w:pPr>
            <w:r>
              <w:rPr>
                <w:rFonts w:hint="eastAsia" w:ascii="宋体" w:hAnsi="宋体"/>
                <w:szCs w:val="21"/>
              </w:rPr>
              <w:t>3.5.2. 负责本部门、车间应急预案制定和落实。</w:t>
            </w:r>
          </w:p>
          <w:p>
            <w:pPr>
              <w:spacing w:line="360" w:lineRule="exact"/>
              <w:rPr>
                <w:rFonts w:ascii="宋体" w:hAnsi="宋体"/>
                <w:szCs w:val="21"/>
              </w:rPr>
            </w:pPr>
            <w:r>
              <w:rPr>
                <w:rFonts w:hint="eastAsia" w:ascii="宋体" w:hAnsi="宋体"/>
                <w:szCs w:val="21"/>
              </w:rPr>
              <w:t>3.5.3. 配合综合部处理环境污染和职业健康安全事故。</w:t>
            </w:r>
          </w:p>
          <w:p>
            <w:pPr>
              <w:spacing w:line="360" w:lineRule="exact"/>
              <w:rPr>
                <w:rFonts w:ascii="宋体" w:hAnsi="宋体"/>
                <w:szCs w:val="21"/>
              </w:rPr>
            </w:pPr>
            <w:r>
              <w:rPr>
                <w:rFonts w:hint="eastAsia" w:ascii="宋体" w:hAnsi="宋体"/>
                <w:szCs w:val="21"/>
              </w:rPr>
              <w:t>3.6. 综合部负责采购防火、防汛等应急物资。</w:t>
            </w:r>
          </w:p>
          <w:p>
            <w:pPr>
              <w:spacing w:line="360" w:lineRule="exact"/>
              <w:rPr>
                <w:rFonts w:ascii="宋体" w:hAnsi="宋体"/>
                <w:b/>
                <w:szCs w:val="21"/>
              </w:rPr>
            </w:pPr>
            <w:r>
              <w:rPr>
                <w:rFonts w:hint="eastAsia" w:ascii="宋体" w:hAnsi="宋体"/>
                <w:b/>
                <w:szCs w:val="21"/>
              </w:rPr>
              <w:t>4. 工作程序</w:t>
            </w:r>
          </w:p>
          <w:p>
            <w:pPr>
              <w:spacing w:line="360" w:lineRule="exact"/>
              <w:rPr>
                <w:rFonts w:ascii="宋体" w:hAnsi="宋体"/>
                <w:szCs w:val="21"/>
              </w:rPr>
            </w:pPr>
            <w:r>
              <w:rPr>
                <w:rFonts w:hint="eastAsia" w:ascii="宋体" w:hAnsi="宋体"/>
                <w:b/>
                <w:szCs w:val="21"/>
              </w:rPr>
              <w:t>4.1.</w:t>
            </w:r>
            <w:r>
              <w:rPr>
                <w:rFonts w:hint="eastAsia" w:ascii="宋体" w:hAnsi="宋体"/>
                <w:szCs w:val="21"/>
              </w:rPr>
              <w:t xml:space="preserve"> 根据公司重要环境因素及职业健康安全风险所能造成的环境影响和伤害，确定可能发生的紧急情况如下：</w:t>
            </w:r>
          </w:p>
          <w:p>
            <w:pPr>
              <w:spacing w:line="360" w:lineRule="exact"/>
              <w:rPr>
                <w:rFonts w:ascii="宋体" w:hAnsi="宋体"/>
                <w:szCs w:val="21"/>
              </w:rPr>
            </w:pPr>
            <w:r>
              <w:rPr>
                <w:rFonts w:hint="eastAsia" w:ascii="宋体" w:hAnsi="宋体"/>
                <w:szCs w:val="21"/>
              </w:rPr>
              <w:t xml:space="preserve">    a．生产过程中的安全事件（人员伤亡、设备事件等）；</w:t>
            </w:r>
          </w:p>
          <w:p>
            <w:pPr>
              <w:spacing w:line="360" w:lineRule="exact"/>
              <w:rPr>
                <w:rFonts w:ascii="宋体" w:hAnsi="宋体"/>
                <w:szCs w:val="21"/>
              </w:rPr>
            </w:pPr>
            <w:r>
              <w:rPr>
                <w:rFonts w:hint="eastAsia" w:ascii="宋体" w:hAnsi="宋体"/>
                <w:szCs w:val="21"/>
              </w:rPr>
              <w:t xml:space="preserve">    b．交通事件；</w:t>
            </w:r>
          </w:p>
          <w:p>
            <w:pPr>
              <w:spacing w:line="360" w:lineRule="exact"/>
              <w:ind w:firstLine="480"/>
              <w:rPr>
                <w:rFonts w:ascii="宋体" w:hAnsi="宋体"/>
                <w:szCs w:val="21"/>
              </w:rPr>
            </w:pPr>
            <w:r>
              <w:rPr>
                <w:rFonts w:hint="eastAsia" w:ascii="宋体" w:hAnsi="宋体"/>
                <w:szCs w:val="21"/>
              </w:rPr>
              <w:t>c．火灾、爆炸事件；</w:t>
            </w:r>
          </w:p>
          <w:p>
            <w:pPr>
              <w:spacing w:line="360" w:lineRule="exact"/>
              <w:ind w:firstLine="480"/>
              <w:rPr>
                <w:rFonts w:ascii="宋体" w:hAnsi="宋体"/>
                <w:szCs w:val="21"/>
              </w:rPr>
            </w:pPr>
            <w:r>
              <w:rPr>
                <w:rFonts w:hint="eastAsia" w:ascii="宋体" w:hAnsi="宋体"/>
                <w:szCs w:val="21"/>
              </w:rPr>
              <w:t>d．台风、暴雨等灾害性天气；</w:t>
            </w:r>
          </w:p>
          <w:p>
            <w:pPr>
              <w:spacing w:line="360" w:lineRule="exact"/>
              <w:ind w:firstLine="480"/>
              <w:rPr>
                <w:rFonts w:ascii="宋体" w:hAnsi="宋体"/>
                <w:color w:val="0000FF"/>
                <w:szCs w:val="21"/>
              </w:rPr>
            </w:pPr>
            <w:r>
              <w:rPr>
                <w:rFonts w:hint="eastAsia" w:ascii="宋体" w:hAnsi="宋体"/>
                <w:szCs w:val="21"/>
              </w:rPr>
              <w:t>e．传染性疾病；</w:t>
            </w:r>
          </w:p>
          <w:p>
            <w:pPr>
              <w:spacing w:line="360" w:lineRule="exact"/>
              <w:rPr>
                <w:rFonts w:ascii="宋体" w:hAnsi="宋体"/>
                <w:szCs w:val="21"/>
              </w:rPr>
            </w:pPr>
            <w:r>
              <w:rPr>
                <w:rFonts w:hint="eastAsia" w:ascii="宋体" w:hAnsi="宋体"/>
                <w:b/>
                <w:szCs w:val="21"/>
              </w:rPr>
              <w:t>4.2.</w:t>
            </w:r>
            <w:r>
              <w:rPr>
                <w:rFonts w:hint="eastAsia" w:ascii="宋体" w:hAnsi="宋体"/>
                <w:szCs w:val="21"/>
              </w:rPr>
              <w:t xml:space="preserve"> 对已识别的潜在的环境、职业健康安全事件或紧急情况，综合部、生产车间负责制定全公司的应急预案。各部门、车间针对“4.1”条款中列出的可能发生的紧急情况，结合本部门特点制定本部门应急预案。所有应急预案需经综合部审核，报管理者代表批准后实施。应急预案一般应包含以下内容：</w:t>
            </w:r>
          </w:p>
          <w:p>
            <w:pPr>
              <w:spacing w:line="360" w:lineRule="exact"/>
              <w:rPr>
                <w:rFonts w:ascii="宋体" w:hAnsi="宋体"/>
                <w:szCs w:val="21"/>
              </w:rPr>
            </w:pPr>
            <w:r>
              <w:rPr>
                <w:rFonts w:hint="eastAsia" w:ascii="宋体" w:hAnsi="宋体"/>
                <w:szCs w:val="21"/>
              </w:rPr>
              <w:t xml:space="preserve">    a．计划的名称</w:t>
            </w:r>
          </w:p>
          <w:p>
            <w:pPr>
              <w:spacing w:line="360" w:lineRule="exact"/>
              <w:rPr>
                <w:rFonts w:ascii="宋体" w:hAnsi="宋体"/>
                <w:szCs w:val="21"/>
              </w:rPr>
            </w:pPr>
            <w:r>
              <w:rPr>
                <w:rFonts w:hint="eastAsia" w:ascii="宋体" w:hAnsi="宋体"/>
                <w:szCs w:val="21"/>
              </w:rPr>
              <w:t xml:space="preserve">    b．应急指挥的中心地点、组织机构、职责分工、责任与义务</w:t>
            </w:r>
          </w:p>
          <w:p>
            <w:pPr>
              <w:spacing w:line="360" w:lineRule="exact"/>
              <w:rPr>
                <w:rFonts w:ascii="宋体" w:hAnsi="宋体"/>
                <w:szCs w:val="21"/>
              </w:rPr>
            </w:pPr>
            <w:r>
              <w:rPr>
                <w:rFonts w:hint="eastAsia" w:ascii="宋体" w:hAnsi="宋体"/>
                <w:szCs w:val="21"/>
              </w:rPr>
              <w:t xml:space="preserve">    c．可能的事件后果</w:t>
            </w:r>
          </w:p>
          <w:p>
            <w:pPr>
              <w:spacing w:line="360" w:lineRule="exact"/>
              <w:rPr>
                <w:rFonts w:ascii="宋体" w:hAnsi="宋体"/>
                <w:szCs w:val="21"/>
              </w:rPr>
            </w:pPr>
            <w:r>
              <w:rPr>
                <w:rFonts w:hint="eastAsia" w:ascii="宋体" w:hAnsi="宋体"/>
                <w:szCs w:val="21"/>
              </w:rPr>
              <w:t xml:space="preserve">    d．与外部机构的联系（消防、疾控中心、医院、公安等）</w:t>
            </w:r>
          </w:p>
          <w:p>
            <w:pPr>
              <w:spacing w:line="360" w:lineRule="exact"/>
              <w:rPr>
                <w:rFonts w:ascii="宋体" w:hAnsi="宋体"/>
                <w:szCs w:val="21"/>
              </w:rPr>
            </w:pPr>
            <w:r>
              <w:rPr>
                <w:rFonts w:hint="eastAsia" w:ascii="宋体" w:hAnsi="宋体"/>
                <w:szCs w:val="21"/>
              </w:rPr>
              <w:t xml:space="preserve">    e．报警联络步骤</w:t>
            </w:r>
          </w:p>
          <w:p>
            <w:pPr>
              <w:spacing w:line="360" w:lineRule="exact"/>
              <w:rPr>
                <w:rFonts w:ascii="宋体" w:hAnsi="宋体"/>
                <w:szCs w:val="21"/>
              </w:rPr>
            </w:pPr>
            <w:r>
              <w:rPr>
                <w:rFonts w:hint="eastAsia" w:ascii="宋体" w:hAnsi="宋体"/>
                <w:szCs w:val="21"/>
              </w:rPr>
              <w:t xml:space="preserve">    f．应急措施</w:t>
            </w:r>
          </w:p>
          <w:p>
            <w:pPr>
              <w:spacing w:line="360" w:lineRule="exact"/>
              <w:rPr>
                <w:rFonts w:ascii="宋体" w:hAnsi="宋体"/>
                <w:szCs w:val="21"/>
              </w:rPr>
            </w:pPr>
            <w:r>
              <w:rPr>
                <w:rFonts w:hint="eastAsia" w:ascii="宋体" w:hAnsi="宋体"/>
                <w:szCs w:val="21"/>
              </w:rPr>
              <w:t xml:space="preserve">    g．应急措施的演习要求</w:t>
            </w:r>
          </w:p>
          <w:p>
            <w:pPr>
              <w:spacing w:line="360" w:lineRule="exact"/>
              <w:rPr>
                <w:rFonts w:ascii="宋体" w:hAnsi="宋体"/>
                <w:szCs w:val="21"/>
              </w:rPr>
            </w:pPr>
            <w:r>
              <w:rPr>
                <w:rFonts w:hint="eastAsia" w:ascii="宋体" w:hAnsi="宋体"/>
                <w:szCs w:val="21"/>
              </w:rPr>
              <w:t xml:space="preserve">    h．应急设施、设备以及设施、设备维护要求</w:t>
            </w:r>
          </w:p>
          <w:p>
            <w:pPr>
              <w:spacing w:line="360" w:lineRule="exact"/>
              <w:rPr>
                <w:rFonts w:ascii="宋体" w:hAnsi="宋体"/>
                <w:szCs w:val="21"/>
              </w:rPr>
            </w:pPr>
            <w:r>
              <w:rPr>
                <w:rFonts w:hint="eastAsia" w:ascii="宋体" w:hAnsi="宋体"/>
                <w:b/>
                <w:szCs w:val="21"/>
              </w:rPr>
              <w:t>4.3.</w:t>
            </w:r>
            <w:r>
              <w:rPr>
                <w:rFonts w:hint="eastAsia" w:ascii="宋体" w:hAnsi="宋体"/>
                <w:szCs w:val="21"/>
              </w:rPr>
              <w:t xml:space="preserve"> 根据可能造成的紧急情况，综合部每年在年度培训计划中列出公司防火、紧急救护等演习计划,总经理批准后下发各部门、车间执行，演习时填写相应的《应急预案演习记录》并保持必要的照片、录像等资料。各部门根据应急预案，向综合部提出应急物资申请，并做好本部门人员相应的应急培训。</w:t>
            </w:r>
          </w:p>
          <w:p>
            <w:pPr>
              <w:spacing w:line="360" w:lineRule="exact"/>
              <w:rPr>
                <w:rFonts w:ascii="宋体" w:hAnsi="宋体"/>
                <w:szCs w:val="21"/>
              </w:rPr>
            </w:pPr>
            <w:r>
              <w:rPr>
                <w:rFonts w:hint="eastAsia" w:ascii="宋体" w:hAnsi="宋体"/>
                <w:b/>
                <w:szCs w:val="21"/>
              </w:rPr>
              <w:t>4.4.</w:t>
            </w:r>
            <w:r>
              <w:rPr>
                <w:rFonts w:hint="eastAsia" w:ascii="宋体" w:hAnsi="宋体"/>
                <w:szCs w:val="21"/>
              </w:rPr>
              <w:t xml:space="preserve"> 综合部根据火灾隐患的部位给予调配发放消防器材，并办理消防器材出入库手续，并做好记录。</w:t>
            </w:r>
          </w:p>
          <w:p>
            <w:pPr>
              <w:spacing w:line="360" w:lineRule="exact"/>
              <w:rPr>
                <w:rFonts w:ascii="宋体" w:hAnsi="宋体"/>
                <w:szCs w:val="21"/>
              </w:rPr>
            </w:pPr>
            <w:r>
              <w:rPr>
                <w:rFonts w:hint="eastAsia" w:ascii="宋体" w:hAnsi="宋体"/>
                <w:b/>
                <w:szCs w:val="21"/>
              </w:rPr>
              <w:t>4.5.</w:t>
            </w:r>
            <w:r>
              <w:rPr>
                <w:rFonts w:hint="eastAsia" w:ascii="宋体" w:hAnsi="宋体"/>
                <w:szCs w:val="21"/>
              </w:rPr>
              <w:t xml:space="preserve"> 综合部每年组织各部门对应急预案的有效性进行定期评审，必要时进行修订。</w:t>
            </w:r>
          </w:p>
          <w:p>
            <w:pPr>
              <w:spacing w:line="360" w:lineRule="exact"/>
              <w:rPr>
                <w:rFonts w:ascii="宋体" w:hAnsi="宋体"/>
                <w:b/>
                <w:szCs w:val="21"/>
              </w:rPr>
            </w:pPr>
            <w:r>
              <w:rPr>
                <w:rFonts w:hint="eastAsia" w:ascii="宋体" w:hAnsi="宋体"/>
                <w:b/>
                <w:szCs w:val="21"/>
              </w:rPr>
              <w:t>4.6． 事件或紧急情况发生后</w:t>
            </w:r>
          </w:p>
          <w:p>
            <w:pPr>
              <w:spacing w:line="360" w:lineRule="exact"/>
              <w:rPr>
                <w:rFonts w:ascii="宋体" w:hAnsi="宋体"/>
                <w:szCs w:val="21"/>
              </w:rPr>
            </w:pPr>
            <w:r>
              <w:rPr>
                <w:rFonts w:hint="eastAsia" w:ascii="宋体" w:hAnsi="宋体"/>
                <w:szCs w:val="21"/>
              </w:rPr>
              <w:t>4.6.1. 综合部应及时组织相关人员进行事故原因调查、分析，制定和落实相应整改措施，并执行《事件、不符合调查处理控制程序》和《改进控制程序》。</w:t>
            </w:r>
          </w:p>
          <w:p>
            <w:pPr>
              <w:spacing w:line="360" w:lineRule="exact"/>
              <w:rPr>
                <w:rFonts w:ascii="宋体" w:hAnsi="宋体"/>
                <w:szCs w:val="21"/>
              </w:rPr>
            </w:pPr>
            <w:r>
              <w:rPr>
                <w:rFonts w:hint="eastAsia" w:ascii="宋体" w:hAnsi="宋体"/>
                <w:szCs w:val="21"/>
              </w:rPr>
              <w:t>4.6.2.综合部每年组织相关部门对相应的应急性控制文件进行评审，必要时予以修订。</w:t>
            </w:r>
          </w:p>
          <w:p>
            <w:pPr>
              <w:spacing w:line="360" w:lineRule="exact"/>
              <w:rPr>
                <w:rFonts w:ascii="宋体" w:hAnsi="宋体"/>
                <w:szCs w:val="21"/>
              </w:rPr>
            </w:pPr>
            <w:r>
              <w:rPr>
                <w:rFonts w:hint="eastAsia" w:ascii="宋体" w:hAnsi="宋体"/>
                <w:szCs w:val="21"/>
              </w:rPr>
              <w:t>4.6.3. 事故或紧急情况发生部门要对其应急预案进行评审，必要时予以修订。</w:t>
            </w:r>
          </w:p>
          <w:p>
            <w:pPr>
              <w:spacing w:line="360" w:lineRule="exact"/>
              <w:rPr>
                <w:rFonts w:ascii="宋体" w:hAnsi="宋体"/>
                <w:szCs w:val="21"/>
              </w:rPr>
            </w:pPr>
            <w:r>
              <w:rPr>
                <w:rFonts w:hint="eastAsia" w:ascii="宋体" w:hAnsi="宋体"/>
                <w:szCs w:val="21"/>
              </w:rPr>
              <w:t>4.7. 所有应急预案的演习等记录由综合部、生产车间等相关部门负责保存，并执行《记录控制程序》。</w:t>
            </w:r>
          </w:p>
          <w:p>
            <w:pPr>
              <w:spacing w:line="360" w:lineRule="exact"/>
              <w:rPr>
                <w:rFonts w:ascii="宋体" w:hAnsi="宋体"/>
                <w:b/>
                <w:szCs w:val="21"/>
              </w:rPr>
            </w:pPr>
            <w:r>
              <w:rPr>
                <w:rFonts w:hint="eastAsia" w:ascii="宋体" w:hAnsi="宋体"/>
                <w:b/>
                <w:szCs w:val="21"/>
              </w:rPr>
              <w:t>5 . 相关、支持性文件</w:t>
            </w:r>
          </w:p>
          <w:p>
            <w:pPr>
              <w:spacing w:line="360" w:lineRule="exact"/>
              <w:rPr>
                <w:rFonts w:ascii="宋体" w:hAnsi="宋体"/>
                <w:szCs w:val="21"/>
              </w:rPr>
            </w:pPr>
            <w:r>
              <w:rPr>
                <w:rFonts w:hint="eastAsia" w:ascii="宋体" w:hAnsi="宋体"/>
                <w:szCs w:val="21"/>
              </w:rPr>
              <w:t>5.1. 《事件、不符合调查处理控制程序》</w:t>
            </w:r>
          </w:p>
          <w:p>
            <w:pPr>
              <w:spacing w:line="360" w:lineRule="exact"/>
              <w:rPr>
                <w:rFonts w:ascii="宋体" w:hAnsi="宋体"/>
                <w:szCs w:val="21"/>
              </w:rPr>
            </w:pPr>
            <w:r>
              <w:rPr>
                <w:rFonts w:hint="eastAsia" w:ascii="宋体" w:hAnsi="宋体"/>
                <w:szCs w:val="21"/>
              </w:rPr>
              <w:t>5.2. 《改进控制程序》</w:t>
            </w:r>
          </w:p>
          <w:p>
            <w:pPr>
              <w:spacing w:line="360" w:lineRule="exact"/>
              <w:rPr>
                <w:rFonts w:ascii="宋体" w:hAnsi="宋体"/>
                <w:szCs w:val="21"/>
              </w:rPr>
            </w:pPr>
            <w:r>
              <w:rPr>
                <w:rFonts w:hint="eastAsia" w:ascii="宋体" w:hAnsi="宋体"/>
                <w:szCs w:val="21"/>
              </w:rPr>
              <w:t>5.3. 《记录控制程序》</w:t>
            </w:r>
          </w:p>
          <w:p>
            <w:pPr>
              <w:spacing w:line="360" w:lineRule="exact"/>
              <w:rPr>
                <w:rFonts w:ascii="宋体" w:hAnsi="宋体"/>
                <w:szCs w:val="21"/>
              </w:rPr>
            </w:pPr>
            <w:r>
              <w:rPr>
                <w:rFonts w:hint="eastAsia" w:ascii="宋体" w:hAnsi="宋体"/>
                <w:szCs w:val="21"/>
              </w:rPr>
              <w:t>5.4. 《应急预案》</w:t>
            </w:r>
          </w:p>
          <w:p>
            <w:pPr>
              <w:spacing w:line="360" w:lineRule="exact"/>
              <w:rPr>
                <w:rFonts w:ascii="宋体" w:hAnsi="宋体"/>
                <w:b/>
                <w:szCs w:val="21"/>
              </w:rPr>
            </w:pPr>
            <w:r>
              <w:rPr>
                <w:rFonts w:hint="eastAsia" w:ascii="宋体" w:hAnsi="宋体"/>
                <w:b/>
                <w:szCs w:val="21"/>
              </w:rPr>
              <w:t xml:space="preserve">6. 记录                                                                            </w:t>
            </w:r>
          </w:p>
          <w:p>
            <w:pPr>
              <w:spacing w:line="360" w:lineRule="exact"/>
              <w:rPr>
                <w:rFonts w:ascii="宋体" w:hAnsi="宋体"/>
                <w:szCs w:val="21"/>
              </w:rPr>
            </w:pPr>
            <w:r>
              <w:rPr>
                <w:rFonts w:hint="eastAsia" w:ascii="宋体" w:hAnsi="宋体"/>
                <w:szCs w:val="21"/>
              </w:rPr>
              <w:t xml:space="preserve">6.1. 《应急预案演习记录》  </w:t>
            </w: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tc>
      </w:tr>
    </w:tbl>
    <w:p/>
    <w:p/>
    <w:tbl>
      <w:tblPr>
        <w:tblStyle w:val="9"/>
        <w:tblW w:w="999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7"/>
        <w:gridCol w:w="1701"/>
        <w:gridCol w:w="3603"/>
        <w:gridCol w:w="1006"/>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2337" w:type="dxa"/>
            <w:vMerge w:val="restart"/>
            <w:vAlign w:val="center"/>
          </w:tcPr>
          <w:p>
            <w:pPr>
              <w:spacing w:line="400" w:lineRule="exact"/>
              <w:jc w:val="center"/>
              <w:rPr>
                <w:rFonts w:eastAsia="黑体"/>
                <w:b/>
                <w:sz w:val="36"/>
              </w:rPr>
            </w:pPr>
          </w:p>
        </w:tc>
        <w:tc>
          <w:tcPr>
            <w:tcW w:w="1701" w:type="dxa"/>
            <w:vAlign w:val="center"/>
          </w:tcPr>
          <w:p>
            <w:pPr>
              <w:spacing w:line="400" w:lineRule="exact"/>
              <w:jc w:val="center"/>
              <w:rPr>
                <w:rFonts w:ascii="宋体"/>
                <w:b/>
                <w:sz w:val="30"/>
              </w:rPr>
            </w:pPr>
            <w:r>
              <w:rPr>
                <w:rFonts w:hint="eastAsia" w:ascii="宋体"/>
                <w:b/>
                <w:sz w:val="30"/>
              </w:rPr>
              <w:t>文件名称</w:t>
            </w:r>
          </w:p>
        </w:tc>
        <w:tc>
          <w:tcPr>
            <w:tcW w:w="3603" w:type="dxa"/>
            <w:vAlign w:val="center"/>
          </w:tcPr>
          <w:p>
            <w:pPr>
              <w:pStyle w:val="4"/>
              <w:spacing w:line="400" w:lineRule="exact"/>
              <w:jc w:val="center"/>
              <w:rPr>
                <w:rFonts w:ascii="楷体_GB2312" w:hAnsi="楷体" w:eastAsia="楷体_GB2312"/>
                <w:b/>
                <w:sz w:val="28"/>
                <w:szCs w:val="28"/>
              </w:rPr>
            </w:pPr>
            <w:r>
              <w:rPr>
                <w:rFonts w:hint="eastAsia" w:ascii="楷体_GB2312" w:hAnsi="楷体" w:eastAsia="楷体_GB2312"/>
                <w:b/>
                <w:sz w:val="28"/>
                <w:szCs w:val="28"/>
              </w:rPr>
              <w:t>环境和职业健康安全监测控制程序</w:t>
            </w:r>
          </w:p>
        </w:tc>
        <w:tc>
          <w:tcPr>
            <w:tcW w:w="1006" w:type="dxa"/>
            <w:vAlign w:val="center"/>
          </w:tcPr>
          <w:p>
            <w:pPr>
              <w:spacing w:line="400" w:lineRule="exact"/>
              <w:jc w:val="center"/>
              <w:rPr>
                <w:rFonts w:ascii="宋体"/>
                <w:b/>
                <w:sz w:val="30"/>
              </w:rPr>
            </w:pPr>
            <w:r>
              <w:rPr>
                <w:rFonts w:hint="eastAsia" w:ascii="宋体"/>
                <w:b/>
                <w:sz w:val="30"/>
              </w:rPr>
              <w:t>版次</w:t>
            </w:r>
          </w:p>
        </w:tc>
        <w:tc>
          <w:tcPr>
            <w:tcW w:w="1344" w:type="dxa"/>
            <w:vAlign w:val="center"/>
          </w:tcPr>
          <w:p>
            <w:pPr>
              <w:spacing w:line="400" w:lineRule="exact"/>
              <w:jc w:val="center"/>
              <w:rPr>
                <w:rFonts w:ascii="宋体"/>
                <w:b/>
                <w:sz w:val="30"/>
              </w:rPr>
            </w:pPr>
            <w:r>
              <w:rPr>
                <w:rFonts w:hint="eastAsia" w:ascii="宋体"/>
                <w:b/>
                <w:sz w:val="3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2337" w:type="dxa"/>
            <w:vMerge w:val="continue"/>
            <w:vAlign w:val="center"/>
          </w:tcPr>
          <w:p>
            <w:pPr>
              <w:spacing w:line="400" w:lineRule="exact"/>
              <w:jc w:val="center"/>
              <w:rPr>
                <w:rFonts w:eastAsia="黑体"/>
                <w:b/>
                <w:sz w:val="36"/>
              </w:rPr>
            </w:pPr>
          </w:p>
        </w:tc>
        <w:tc>
          <w:tcPr>
            <w:tcW w:w="1701" w:type="dxa"/>
            <w:vAlign w:val="center"/>
          </w:tcPr>
          <w:p>
            <w:pPr>
              <w:spacing w:line="400" w:lineRule="exact"/>
              <w:jc w:val="center"/>
              <w:rPr>
                <w:rFonts w:ascii="宋体"/>
                <w:b/>
                <w:sz w:val="30"/>
              </w:rPr>
            </w:pPr>
            <w:r>
              <w:rPr>
                <w:rFonts w:hint="eastAsia" w:ascii="宋体"/>
                <w:b/>
                <w:sz w:val="30"/>
              </w:rPr>
              <w:t>文件编号</w:t>
            </w:r>
          </w:p>
        </w:tc>
        <w:tc>
          <w:tcPr>
            <w:tcW w:w="3603" w:type="dxa"/>
            <w:vAlign w:val="center"/>
          </w:tcPr>
          <w:p>
            <w:pPr>
              <w:spacing w:line="400" w:lineRule="exact"/>
              <w:jc w:val="center"/>
              <w:rPr>
                <w:rFonts w:ascii="宋体"/>
                <w:b/>
                <w:sz w:val="30"/>
              </w:rPr>
            </w:pPr>
            <w:r>
              <w:rPr>
                <w:rFonts w:hint="eastAsia" w:ascii="宋体"/>
                <w:b/>
                <w:sz w:val="30"/>
              </w:rPr>
              <w:t>LQY-P-25</w:t>
            </w:r>
          </w:p>
        </w:tc>
        <w:tc>
          <w:tcPr>
            <w:tcW w:w="1006" w:type="dxa"/>
            <w:vAlign w:val="center"/>
          </w:tcPr>
          <w:p>
            <w:pPr>
              <w:spacing w:line="400" w:lineRule="exact"/>
              <w:jc w:val="center"/>
              <w:rPr>
                <w:rFonts w:ascii="宋体"/>
                <w:b/>
                <w:sz w:val="30"/>
              </w:rPr>
            </w:pPr>
            <w:r>
              <w:rPr>
                <w:rFonts w:hint="eastAsia" w:ascii="宋体"/>
                <w:b/>
                <w:sz w:val="30"/>
              </w:rPr>
              <w:t>修改</w:t>
            </w:r>
          </w:p>
          <w:p>
            <w:pPr>
              <w:spacing w:line="400" w:lineRule="exact"/>
              <w:jc w:val="center"/>
              <w:rPr>
                <w:rFonts w:ascii="宋体"/>
                <w:b/>
                <w:sz w:val="30"/>
              </w:rPr>
            </w:pPr>
            <w:r>
              <w:rPr>
                <w:rFonts w:hint="eastAsia" w:ascii="宋体"/>
                <w:b/>
                <w:sz w:val="30"/>
              </w:rPr>
              <w:t>状态</w:t>
            </w:r>
          </w:p>
        </w:tc>
        <w:tc>
          <w:tcPr>
            <w:tcW w:w="1344" w:type="dxa"/>
            <w:vAlign w:val="center"/>
          </w:tcPr>
          <w:p>
            <w:pPr>
              <w:spacing w:line="400" w:lineRule="exact"/>
              <w:jc w:val="center"/>
              <w:rPr>
                <w:rFonts w:ascii="宋体"/>
                <w:b/>
                <w:sz w:val="30"/>
              </w:rPr>
            </w:pPr>
            <w:r>
              <w:rPr>
                <w:rFonts w:hint="eastAsia" w:ascii="宋体"/>
                <w:b/>
                <w:sz w:val="3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991" w:type="dxa"/>
            <w:gridSpan w:val="5"/>
            <w:tcBorders>
              <w:right w:val="single" w:color="auto" w:sz="4" w:space="0"/>
            </w:tcBorders>
          </w:tcPr>
          <w:p>
            <w:pPr>
              <w:tabs>
                <w:tab w:val="left" w:pos="2360"/>
              </w:tabs>
              <w:spacing w:line="360" w:lineRule="exact"/>
              <w:ind w:right="-88" w:rightChars="-42"/>
              <w:rPr>
                <w:rFonts w:ascii="宋体" w:hAnsi="宋体"/>
                <w:b/>
                <w:szCs w:val="21"/>
              </w:rPr>
            </w:pPr>
            <w:r>
              <w:rPr>
                <w:rFonts w:hint="eastAsia" w:ascii="宋体" w:hAnsi="宋体"/>
                <w:szCs w:val="21"/>
              </w:rPr>
              <w:t xml:space="preserve">  </w:t>
            </w:r>
            <w:r>
              <w:rPr>
                <w:rFonts w:hint="eastAsia" w:ascii="宋体" w:hAnsi="宋体"/>
                <w:b/>
                <w:szCs w:val="21"/>
              </w:rPr>
              <w:t>1.目的</w:t>
            </w:r>
          </w:p>
          <w:p>
            <w:pPr>
              <w:spacing w:line="360" w:lineRule="exact"/>
              <w:ind w:right="-88" w:rightChars="-42"/>
              <w:rPr>
                <w:rFonts w:ascii="宋体" w:hAnsi="宋体"/>
                <w:szCs w:val="21"/>
              </w:rPr>
            </w:pPr>
            <w:r>
              <w:rPr>
                <w:rFonts w:hint="eastAsia" w:ascii="宋体" w:hAnsi="宋体"/>
                <w:szCs w:val="21"/>
              </w:rPr>
              <w:t xml:space="preserve">    为对公司环境、职业健康安全绩效进行定期监测与测量，确保其体系方针、目标、指标和管理方案的实现及体系持续有效地运行，特制定本程序。</w:t>
            </w:r>
          </w:p>
          <w:p>
            <w:pPr>
              <w:spacing w:line="360" w:lineRule="exact"/>
              <w:ind w:right="-88" w:rightChars="-42"/>
              <w:outlineLvl w:val="0"/>
              <w:rPr>
                <w:rFonts w:ascii="宋体" w:hAnsi="宋体"/>
                <w:b/>
                <w:szCs w:val="21"/>
              </w:rPr>
            </w:pPr>
            <w:r>
              <w:rPr>
                <w:rFonts w:hint="eastAsia" w:ascii="宋体" w:hAnsi="宋体"/>
                <w:b/>
                <w:szCs w:val="21"/>
              </w:rPr>
              <w:t>2. 适用范围</w:t>
            </w:r>
          </w:p>
          <w:p>
            <w:pPr>
              <w:spacing w:line="360" w:lineRule="exact"/>
              <w:ind w:right="-88" w:rightChars="-42"/>
              <w:rPr>
                <w:rFonts w:ascii="宋体" w:hAnsi="宋体"/>
                <w:szCs w:val="21"/>
              </w:rPr>
            </w:pPr>
            <w:r>
              <w:rPr>
                <w:rFonts w:hint="eastAsia" w:ascii="宋体" w:hAnsi="宋体"/>
                <w:szCs w:val="21"/>
              </w:rPr>
              <w:t xml:space="preserve">    本程序适用于公司环境、职业健康安全绩效的监测与绩效评估的管理。</w:t>
            </w:r>
          </w:p>
          <w:p>
            <w:pPr>
              <w:spacing w:line="360" w:lineRule="exact"/>
              <w:ind w:right="-88" w:rightChars="-42"/>
              <w:rPr>
                <w:rFonts w:ascii="宋体" w:hAnsi="宋体"/>
                <w:b/>
                <w:szCs w:val="21"/>
              </w:rPr>
            </w:pPr>
            <w:r>
              <w:rPr>
                <w:rFonts w:hint="eastAsia" w:ascii="宋体" w:hAnsi="宋体"/>
                <w:b/>
                <w:szCs w:val="21"/>
              </w:rPr>
              <w:t>3. 职责</w:t>
            </w:r>
          </w:p>
          <w:p>
            <w:pPr>
              <w:spacing w:line="360" w:lineRule="exact"/>
              <w:ind w:right="-88" w:rightChars="-42"/>
              <w:outlineLvl w:val="0"/>
              <w:rPr>
                <w:rFonts w:ascii="宋体" w:hAnsi="宋体"/>
                <w:szCs w:val="21"/>
              </w:rPr>
            </w:pPr>
            <w:r>
              <w:rPr>
                <w:rFonts w:hint="eastAsia" w:ascii="宋体" w:hAnsi="宋体"/>
                <w:szCs w:val="21"/>
              </w:rPr>
              <w:t>3.1. 综合部负责定期抽查各部门、车间对体系文件的执行情况、法律法规的遵循情况、目标、指标的完成情况、环境、职业健康安全管理方案实施情况等。</w:t>
            </w:r>
          </w:p>
          <w:p>
            <w:pPr>
              <w:spacing w:line="360" w:lineRule="exact"/>
              <w:ind w:right="-88" w:rightChars="-42"/>
              <w:rPr>
                <w:rFonts w:ascii="宋体" w:hAnsi="宋体"/>
                <w:szCs w:val="21"/>
              </w:rPr>
            </w:pPr>
            <w:r>
              <w:rPr>
                <w:rFonts w:hint="eastAsia" w:ascii="宋体" w:hAnsi="宋体"/>
                <w:szCs w:val="21"/>
              </w:rPr>
              <w:t>3.2.生产车间负责对日常生产过程中的环境及职业健康安全运行控制的监督检查。</w:t>
            </w:r>
          </w:p>
          <w:p>
            <w:pPr>
              <w:spacing w:line="360" w:lineRule="exact"/>
              <w:ind w:right="-88" w:rightChars="-42"/>
              <w:outlineLvl w:val="0"/>
              <w:rPr>
                <w:rFonts w:ascii="宋体" w:hAnsi="宋体"/>
                <w:szCs w:val="21"/>
              </w:rPr>
            </w:pPr>
            <w:r>
              <w:rPr>
                <w:rFonts w:hint="eastAsia" w:ascii="宋体" w:hAnsi="宋体"/>
                <w:szCs w:val="21"/>
              </w:rPr>
              <w:t>3.3. 各部门、车间</w:t>
            </w:r>
          </w:p>
          <w:p>
            <w:pPr>
              <w:spacing w:line="360" w:lineRule="exact"/>
              <w:ind w:right="-88" w:rightChars="-42"/>
              <w:rPr>
                <w:rFonts w:ascii="宋体" w:hAnsi="宋体"/>
                <w:szCs w:val="21"/>
              </w:rPr>
            </w:pPr>
            <w:r>
              <w:rPr>
                <w:rFonts w:hint="eastAsia" w:ascii="宋体" w:hAnsi="宋体"/>
                <w:szCs w:val="21"/>
              </w:rPr>
              <w:t>3.3.1. 负责分解、实施与本部门有关的环境、职业健康安全目标、指标和管理方案；</w:t>
            </w:r>
          </w:p>
          <w:p>
            <w:pPr>
              <w:spacing w:line="360" w:lineRule="exact"/>
              <w:ind w:right="-88" w:rightChars="-42"/>
              <w:rPr>
                <w:rFonts w:ascii="宋体" w:hAnsi="宋体"/>
                <w:szCs w:val="21"/>
              </w:rPr>
            </w:pPr>
            <w:r>
              <w:rPr>
                <w:rFonts w:hint="eastAsia" w:ascii="宋体" w:hAnsi="宋体"/>
                <w:szCs w:val="21"/>
              </w:rPr>
              <w:t>3.3.2. 负责监督检查本部门、车间有关的的环境及职业健康安全绩效。</w:t>
            </w:r>
          </w:p>
          <w:p>
            <w:pPr>
              <w:spacing w:line="360" w:lineRule="exact"/>
              <w:ind w:right="-88" w:rightChars="-42"/>
              <w:rPr>
                <w:rFonts w:ascii="宋体" w:hAnsi="宋体"/>
                <w:b/>
                <w:szCs w:val="21"/>
              </w:rPr>
            </w:pPr>
            <w:r>
              <w:rPr>
                <w:rFonts w:hint="eastAsia" w:ascii="宋体" w:hAnsi="宋体"/>
                <w:b/>
                <w:szCs w:val="21"/>
              </w:rPr>
              <w:t>4. 工作程序</w:t>
            </w:r>
          </w:p>
          <w:p>
            <w:pPr>
              <w:spacing w:line="360" w:lineRule="exact"/>
              <w:ind w:right="-88" w:rightChars="-42"/>
              <w:rPr>
                <w:rFonts w:ascii="宋体" w:hAnsi="宋体"/>
                <w:b/>
                <w:szCs w:val="21"/>
              </w:rPr>
            </w:pPr>
            <w:r>
              <w:rPr>
                <w:rFonts w:hint="eastAsia" w:ascii="宋体" w:hAnsi="宋体"/>
                <w:b/>
                <w:szCs w:val="21"/>
              </w:rPr>
              <w:t>4.1. 监测与测量的对象</w:t>
            </w:r>
          </w:p>
          <w:p>
            <w:pPr>
              <w:spacing w:line="360" w:lineRule="exact"/>
              <w:ind w:right="-88" w:rightChars="-42"/>
              <w:rPr>
                <w:rFonts w:ascii="宋体" w:hAnsi="宋体"/>
                <w:szCs w:val="21"/>
              </w:rPr>
            </w:pPr>
            <w:r>
              <w:rPr>
                <w:rFonts w:hint="eastAsia" w:ascii="宋体" w:hAnsi="宋体"/>
                <w:szCs w:val="21"/>
              </w:rPr>
              <w:t xml:space="preserve">    a．对公司环境、职业健康安全绩效的监测；</w:t>
            </w:r>
          </w:p>
          <w:p>
            <w:pPr>
              <w:pStyle w:val="2"/>
              <w:spacing w:line="360" w:lineRule="exact"/>
              <w:ind w:right="-88" w:rightChars="-42" w:firstLineChars="200"/>
              <w:rPr>
                <w:rFonts w:ascii="宋体" w:hAnsi="宋体"/>
                <w:szCs w:val="21"/>
              </w:rPr>
            </w:pPr>
            <w:r>
              <w:rPr>
                <w:rFonts w:hint="eastAsia" w:ascii="宋体" w:hAnsi="宋体"/>
                <w:szCs w:val="21"/>
              </w:rPr>
              <w:t>b．对管理体系持续有效运行的监测（包括设备、设施管理、相关方要求的反馈情况、噪声、废水、固体废弃物、安全用电、危险化学品、消防、劳动保护及防护用品、安全事件、职业病、传染病及各部门对体系文件的执行情况等）；</w:t>
            </w:r>
          </w:p>
          <w:p>
            <w:pPr>
              <w:spacing w:line="360" w:lineRule="exact"/>
              <w:ind w:right="-88" w:rightChars="-42"/>
              <w:rPr>
                <w:rFonts w:ascii="宋体" w:hAnsi="宋体"/>
                <w:szCs w:val="21"/>
              </w:rPr>
            </w:pPr>
            <w:r>
              <w:rPr>
                <w:rFonts w:hint="eastAsia" w:ascii="宋体" w:hAnsi="宋体"/>
                <w:szCs w:val="21"/>
              </w:rPr>
              <w:t xml:space="preserve">    c．对环境、职业健康安全目标、指标及管理方案的监测；</w:t>
            </w:r>
          </w:p>
          <w:p>
            <w:pPr>
              <w:spacing w:line="360" w:lineRule="exact"/>
              <w:ind w:right="-88" w:rightChars="-42"/>
              <w:rPr>
                <w:rFonts w:ascii="宋体" w:hAnsi="宋体"/>
                <w:szCs w:val="21"/>
              </w:rPr>
            </w:pPr>
            <w:r>
              <w:rPr>
                <w:rFonts w:hint="eastAsia" w:ascii="宋体" w:hAnsi="宋体"/>
                <w:szCs w:val="21"/>
              </w:rPr>
              <w:t xml:space="preserve">    d．对法律法规与其他要求遵循情况的监测(合规性评价)；</w:t>
            </w:r>
          </w:p>
          <w:p>
            <w:pPr>
              <w:spacing w:line="360" w:lineRule="exact"/>
              <w:ind w:right="-88" w:rightChars="-42"/>
              <w:rPr>
                <w:rFonts w:ascii="宋体" w:hAnsi="宋体"/>
                <w:szCs w:val="21"/>
              </w:rPr>
            </w:pPr>
            <w:r>
              <w:rPr>
                <w:rFonts w:hint="eastAsia" w:ascii="宋体" w:hAnsi="宋体"/>
                <w:szCs w:val="21"/>
              </w:rPr>
              <w:t xml:space="preserve">    e．对企业所有监视和测量设备的配置、维护、维修和定期校验的监督管理。</w:t>
            </w:r>
          </w:p>
          <w:p>
            <w:pPr>
              <w:spacing w:line="360" w:lineRule="exact"/>
              <w:ind w:right="-88" w:rightChars="-42"/>
              <w:rPr>
                <w:rFonts w:ascii="宋体" w:hAnsi="宋体"/>
                <w:b/>
                <w:szCs w:val="21"/>
              </w:rPr>
            </w:pPr>
            <w:r>
              <w:rPr>
                <w:rFonts w:hint="eastAsia" w:ascii="宋体" w:hAnsi="宋体"/>
                <w:b/>
                <w:szCs w:val="21"/>
              </w:rPr>
              <w:t>4.2. 对环境、职业健康安全绩效的监测</w:t>
            </w:r>
          </w:p>
          <w:p>
            <w:pPr>
              <w:spacing w:line="360" w:lineRule="exact"/>
              <w:ind w:right="-88" w:rightChars="-42"/>
              <w:rPr>
                <w:rFonts w:ascii="宋体" w:hAnsi="宋体"/>
                <w:szCs w:val="21"/>
              </w:rPr>
            </w:pPr>
            <w:r>
              <w:rPr>
                <w:rFonts w:hint="eastAsia" w:ascii="宋体" w:hAnsi="宋体"/>
                <w:szCs w:val="21"/>
              </w:rPr>
              <w:t>4.2.1. 各部门、车间通过执行“4.4”的要求，实施对环境、职业健康安全绩效的监控。</w:t>
            </w:r>
          </w:p>
          <w:p>
            <w:pPr>
              <w:spacing w:line="360" w:lineRule="exact"/>
              <w:ind w:right="-88" w:rightChars="-42"/>
              <w:rPr>
                <w:rFonts w:ascii="宋体" w:hAnsi="宋体"/>
                <w:b/>
                <w:szCs w:val="21"/>
              </w:rPr>
            </w:pPr>
            <w:r>
              <w:rPr>
                <w:rFonts w:hint="eastAsia" w:ascii="宋体" w:hAnsi="宋体"/>
                <w:b/>
                <w:szCs w:val="21"/>
              </w:rPr>
              <w:t>4.3. 对管理体系持续有效运行的监测</w:t>
            </w:r>
          </w:p>
          <w:p>
            <w:pPr>
              <w:pStyle w:val="5"/>
              <w:spacing w:line="360" w:lineRule="exact"/>
              <w:ind w:right="-88" w:rightChars="-42"/>
              <w:rPr>
                <w:rFonts w:ascii="宋体" w:hAnsi="宋体" w:eastAsia="宋体"/>
                <w:sz w:val="21"/>
                <w:szCs w:val="21"/>
              </w:rPr>
            </w:pPr>
            <w:r>
              <w:rPr>
                <w:rFonts w:hint="eastAsia" w:ascii="宋体" w:hAnsi="宋体" w:eastAsia="宋体"/>
                <w:sz w:val="21"/>
                <w:szCs w:val="21"/>
              </w:rPr>
              <w:t>4.3.1. 对生产设备的缺陷监督，由设备管理人员按《基础设施管理程序》等有关规定执行。</w:t>
            </w:r>
          </w:p>
          <w:p>
            <w:pPr>
              <w:pStyle w:val="5"/>
              <w:spacing w:line="360" w:lineRule="exact"/>
              <w:ind w:right="-88" w:rightChars="-42"/>
              <w:rPr>
                <w:rFonts w:ascii="宋体" w:hAnsi="宋体" w:eastAsia="宋体"/>
                <w:sz w:val="21"/>
                <w:szCs w:val="21"/>
              </w:rPr>
            </w:pPr>
            <w:r>
              <w:rPr>
                <w:rFonts w:hint="eastAsia" w:ascii="宋体" w:hAnsi="宋体" w:eastAsia="宋体"/>
                <w:sz w:val="21"/>
                <w:szCs w:val="21"/>
              </w:rPr>
              <w:t>4.3.2. 通过执行《改进控制程序》的要求，对事件、不符合的发生及其纠正和预防措施的实施进行监督检查。</w:t>
            </w:r>
          </w:p>
          <w:p>
            <w:pPr>
              <w:spacing w:line="360" w:lineRule="exact"/>
              <w:ind w:left="1" w:right="-88" w:rightChars="-42"/>
              <w:rPr>
                <w:rFonts w:ascii="宋体" w:hAnsi="宋体"/>
                <w:szCs w:val="21"/>
              </w:rPr>
            </w:pPr>
            <w:r>
              <w:rPr>
                <w:rFonts w:hint="eastAsia" w:ascii="宋体" w:hAnsi="宋体"/>
                <w:szCs w:val="21"/>
              </w:rPr>
              <w:t>4.3.3. 对相关方提出的合理环境、职业健康安全要求（抱怨），由接收部门按《环境和职业健康安全运行控制程序》中的有关相关方环境、职业健康安全行为要求进行监督检查。</w:t>
            </w:r>
          </w:p>
          <w:p>
            <w:pPr>
              <w:spacing w:line="360" w:lineRule="exact"/>
              <w:ind w:right="-88" w:rightChars="-42"/>
              <w:rPr>
                <w:rFonts w:ascii="宋体" w:hAnsi="宋体"/>
                <w:szCs w:val="21"/>
              </w:rPr>
            </w:pPr>
            <w:r>
              <w:rPr>
                <w:rFonts w:hint="eastAsia" w:ascii="宋体" w:hAnsi="宋体"/>
                <w:szCs w:val="21"/>
              </w:rPr>
              <w:t>4.3.4. 对职业健康安全事件、职业病、传染病等不符合调查与统计的管理，由综合部组织各责任部门按《事件、不符合调查处理控制程序》的要求执行。</w:t>
            </w:r>
          </w:p>
          <w:p>
            <w:pPr>
              <w:spacing w:line="360" w:lineRule="exact"/>
              <w:ind w:right="-88" w:rightChars="-42"/>
              <w:rPr>
                <w:rFonts w:ascii="宋体" w:hAnsi="宋体"/>
                <w:szCs w:val="21"/>
              </w:rPr>
            </w:pPr>
            <w:r>
              <w:rPr>
                <w:rFonts w:hint="eastAsia" w:ascii="宋体" w:hAnsi="宋体"/>
                <w:szCs w:val="21"/>
              </w:rPr>
              <w:t>4.3.5.生产车间及其他有关部门分别负责相关的环境及职业健康安全运行控制情况的监视和测量，对设备、设施管理、相关方要求的反馈情况、噪声、废水、固体废弃物、安全用电、危险化学品、消防、劳动保护及防护用品、安全事件、职业病、传染病等项目每月例行检查一次并做好相应的《绩效监测与测量记录》等记录。</w:t>
            </w:r>
          </w:p>
          <w:p>
            <w:pPr>
              <w:spacing w:line="360" w:lineRule="exact"/>
              <w:ind w:right="-88" w:rightChars="-42"/>
              <w:rPr>
                <w:rFonts w:ascii="宋体" w:hAnsi="宋体"/>
                <w:szCs w:val="21"/>
              </w:rPr>
            </w:pPr>
            <w:r>
              <w:rPr>
                <w:rFonts w:hint="eastAsia" w:ascii="宋体" w:hAnsi="宋体"/>
                <w:szCs w:val="21"/>
              </w:rPr>
              <w:t>4.3.6. 各部门、车间对体系文件的执行情况的监测</w:t>
            </w:r>
          </w:p>
          <w:p>
            <w:pPr>
              <w:spacing w:line="360" w:lineRule="exact"/>
              <w:ind w:right="-88" w:rightChars="-42"/>
              <w:rPr>
                <w:rFonts w:ascii="宋体" w:hAnsi="宋体"/>
                <w:szCs w:val="21"/>
              </w:rPr>
            </w:pPr>
            <w:r>
              <w:rPr>
                <w:rFonts w:hint="eastAsia" w:ascii="宋体" w:hAnsi="宋体"/>
                <w:szCs w:val="21"/>
              </w:rPr>
              <w:t>4.3.6.1. 各部门、车间内审员要随时监督检查本部门、车间执行其适用的体系文件的情况，发现不符合情况及时按《改进控制程序》的要求执行，记录要予以保留。</w:t>
            </w:r>
          </w:p>
          <w:p>
            <w:pPr>
              <w:spacing w:line="360" w:lineRule="exact"/>
              <w:ind w:right="-88" w:rightChars="-42"/>
              <w:rPr>
                <w:rFonts w:ascii="宋体" w:hAnsi="宋体"/>
                <w:szCs w:val="21"/>
              </w:rPr>
            </w:pPr>
            <w:r>
              <w:rPr>
                <w:rFonts w:hint="eastAsia" w:ascii="宋体" w:hAnsi="宋体"/>
                <w:szCs w:val="21"/>
              </w:rPr>
              <w:t>4.3.6.2. 综合部每季度抽查各部门对体系文件的执行情况，发现不符合情况及时按《改进控制程序》的要求执行，记录要予以保留。</w:t>
            </w:r>
          </w:p>
          <w:p>
            <w:pPr>
              <w:spacing w:line="360" w:lineRule="exact"/>
              <w:ind w:right="-88" w:rightChars="-42"/>
              <w:rPr>
                <w:rFonts w:ascii="宋体" w:hAnsi="宋体"/>
                <w:szCs w:val="21"/>
              </w:rPr>
            </w:pPr>
            <w:r>
              <w:rPr>
                <w:rFonts w:hint="eastAsia" w:ascii="宋体" w:hAnsi="宋体"/>
                <w:szCs w:val="21"/>
              </w:rPr>
              <w:t>4.3.6.3. 在检查中发现所执行的文件与实际不符合时，由综合部组织有关部门或人员按《文件控制程序》的规定进行修订。</w:t>
            </w:r>
          </w:p>
          <w:p>
            <w:pPr>
              <w:spacing w:line="360" w:lineRule="exact"/>
              <w:ind w:right="-88" w:rightChars="-42"/>
              <w:rPr>
                <w:rFonts w:ascii="宋体" w:hAnsi="宋体"/>
                <w:szCs w:val="21"/>
              </w:rPr>
            </w:pPr>
            <w:r>
              <w:rPr>
                <w:rFonts w:hint="eastAsia" w:ascii="宋体" w:hAnsi="宋体"/>
                <w:szCs w:val="21"/>
              </w:rPr>
              <w:t>4.3.7. 公司通过执行《内部审核控制程序》、《管理评审控制程序》等文件，对体系运行的持续有效性进行监督检查和评价。</w:t>
            </w:r>
          </w:p>
          <w:p>
            <w:pPr>
              <w:spacing w:line="360" w:lineRule="exact"/>
              <w:ind w:right="-88" w:rightChars="-42"/>
              <w:rPr>
                <w:rFonts w:ascii="宋体" w:hAnsi="宋体"/>
                <w:b/>
                <w:szCs w:val="21"/>
              </w:rPr>
            </w:pPr>
            <w:r>
              <w:rPr>
                <w:rFonts w:hint="eastAsia" w:ascii="宋体" w:hAnsi="宋体"/>
                <w:b/>
                <w:szCs w:val="21"/>
              </w:rPr>
              <w:t>4.4. 对环境、职业健康安全目标、指标、管理方案的监测</w:t>
            </w:r>
          </w:p>
          <w:p>
            <w:pPr>
              <w:pStyle w:val="5"/>
              <w:spacing w:line="360" w:lineRule="exact"/>
              <w:ind w:left="157" w:leftChars="1" w:right="-88" w:rightChars="-42" w:hanging="155" w:hangingChars="74"/>
              <w:rPr>
                <w:rFonts w:ascii="宋体" w:hAnsi="宋体" w:eastAsia="宋体"/>
                <w:sz w:val="21"/>
                <w:szCs w:val="21"/>
              </w:rPr>
            </w:pPr>
            <w:r>
              <w:rPr>
                <w:rFonts w:hint="eastAsia" w:ascii="宋体" w:hAnsi="宋体" w:eastAsia="宋体"/>
                <w:sz w:val="21"/>
                <w:szCs w:val="21"/>
              </w:rPr>
              <w:t>4.4.1. 各部门分别实施与本部门相关的环境、职业健康安全目标、指标和管理方案。</w:t>
            </w:r>
          </w:p>
          <w:p>
            <w:pPr>
              <w:spacing w:line="360" w:lineRule="exact"/>
              <w:ind w:right="-88" w:rightChars="-42"/>
              <w:rPr>
                <w:rFonts w:ascii="宋体" w:hAnsi="宋体"/>
                <w:szCs w:val="21"/>
              </w:rPr>
            </w:pPr>
            <w:r>
              <w:rPr>
                <w:rFonts w:hint="eastAsia" w:ascii="宋体" w:hAnsi="宋体"/>
                <w:szCs w:val="21"/>
              </w:rPr>
              <w:t>4.4.2. 综合部每月对各部门、车间的环境、职业健康安全目标和指标的完成情况进行一次监督、检查，做好记录。</w:t>
            </w:r>
          </w:p>
          <w:p>
            <w:pPr>
              <w:spacing w:line="360" w:lineRule="exact"/>
              <w:ind w:right="-88" w:rightChars="-42"/>
              <w:rPr>
                <w:rFonts w:ascii="宋体" w:hAnsi="宋体"/>
                <w:szCs w:val="21"/>
              </w:rPr>
            </w:pPr>
            <w:r>
              <w:rPr>
                <w:rFonts w:hint="eastAsia" w:ascii="宋体" w:hAnsi="宋体"/>
                <w:szCs w:val="21"/>
              </w:rPr>
              <w:t>4.4.3. 当检查发现目标、指标、管理方案因客观原因无法完成时，应按有关规定采取相应的措施。</w:t>
            </w:r>
          </w:p>
          <w:p>
            <w:pPr>
              <w:spacing w:line="360" w:lineRule="exact"/>
              <w:ind w:right="-88" w:rightChars="-42"/>
              <w:rPr>
                <w:rFonts w:ascii="宋体" w:hAnsi="宋体"/>
                <w:szCs w:val="21"/>
              </w:rPr>
            </w:pPr>
            <w:r>
              <w:rPr>
                <w:rFonts w:hint="eastAsia" w:ascii="宋体" w:hAnsi="宋体"/>
                <w:b/>
                <w:szCs w:val="21"/>
              </w:rPr>
              <w:t xml:space="preserve">4.5. </w:t>
            </w:r>
            <w:r>
              <w:rPr>
                <w:rFonts w:hint="eastAsia" w:ascii="宋体" w:hAnsi="宋体"/>
                <w:szCs w:val="21"/>
              </w:rPr>
              <w:t>对法律法规与其他要求遵循情况的监测（合规性评价）由综合部组织实施，具体执行《合规性评价控制程序》。</w:t>
            </w:r>
          </w:p>
          <w:p>
            <w:pPr>
              <w:spacing w:line="360" w:lineRule="exact"/>
              <w:ind w:right="-88" w:rightChars="-42"/>
              <w:rPr>
                <w:rFonts w:ascii="宋体" w:hAnsi="宋体"/>
                <w:b/>
                <w:szCs w:val="21"/>
              </w:rPr>
            </w:pPr>
            <w:r>
              <w:rPr>
                <w:rFonts w:hint="eastAsia" w:ascii="宋体" w:hAnsi="宋体"/>
                <w:b/>
                <w:szCs w:val="21"/>
              </w:rPr>
              <w:t>4.6. 监测设备的校准和维护的监督管理</w:t>
            </w:r>
          </w:p>
          <w:p>
            <w:pPr>
              <w:spacing w:line="360" w:lineRule="exact"/>
              <w:ind w:right="-88" w:rightChars="-42"/>
              <w:rPr>
                <w:rFonts w:ascii="宋体" w:hAnsi="宋体"/>
                <w:szCs w:val="21"/>
              </w:rPr>
            </w:pPr>
            <w:r>
              <w:rPr>
                <w:rFonts w:hint="eastAsia" w:ascii="宋体" w:hAnsi="宋体"/>
                <w:szCs w:val="21"/>
              </w:rPr>
              <w:t>4.6.1. 对公司用于环境、职业健康安全监测与测量设备的维护、维修与定期校验，由综合部统一组织联系检定或内部校准，保证各种监测设备的正常使用，并建立相应的台帐和周期检定或校准计划。</w:t>
            </w:r>
          </w:p>
          <w:p>
            <w:pPr>
              <w:spacing w:line="360" w:lineRule="exact"/>
              <w:ind w:right="-88" w:rightChars="-42"/>
              <w:rPr>
                <w:rFonts w:ascii="宋体" w:hAnsi="宋体"/>
                <w:szCs w:val="21"/>
              </w:rPr>
            </w:pPr>
            <w:r>
              <w:rPr>
                <w:rFonts w:hint="eastAsia" w:ascii="宋体" w:hAnsi="宋体"/>
                <w:b/>
                <w:szCs w:val="21"/>
              </w:rPr>
              <w:t>4.7.</w:t>
            </w:r>
            <w:r>
              <w:rPr>
                <w:rFonts w:hint="eastAsia" w:ascii="宋体" w:hAnsi="宋体"/>
                <w:szCs w:val="21"/>
              </w:rPr>
              <w:t xml:space="preserve"> 公司管理层通过定期不定期的召开例会，现场检查等多种方式对公司的环境、职业健康安全绩效进行日常监测与测量，发现问题及时责令有关部门或人员予以解决并追踪落实解决效果。</w:t>
            </w:r>
          </w:p>
          <w:p>
            <w:pPr>
              <w:spacing w:line="360" w:lineRule="exact"/>
              <w:ind w:right="-88" w:rightChars="-42"/>
              <w:rPr>
                <w:rFonts w:ascii="宋体" w:hAnsi="宋体"/>
                <w:szCs w:val="21"/>
              </w:rPr>
            </w:pPr>
            <w:r>
              <w:rPr>
                <w:rFonts w:hint="eastAsia" w:ascii="宋体" w:hAnsi="宋体"/>
                <w:b/>
                <w:szCs w:val="21"/>
              </w:rPr>
              <w:t xml:space="preserve">4.8. </w:t>
            </w:r>
            <w:r>
              <w:rPr>
                <w:rFonts w:hint="eastAsia" w:ascii="宋体" w:hAnsi="宋体"/>
                <w:szCs w:val="21"/>
              </w:rPr>
              <w:t>所有与环境、职业安全健康绩效监测与测量有关的记录，分别由有关部门或人员予以保持，具体执行《记录控制程序》的有关规定。</w:t>
            </w:r>
          </w:p>
          <w:p>
            <w:pPr>
              <w:spacing w:line="360" w:lineRule="exact"/>
              <w:ind w:right="-88" w:rightChars="-42"/>
              <w:rPr>
                <w:rFonts w:ascii="宋体" w:hAnsi="宋体"/>
                <w:b/>
                <w:szCs w:val="21"/>
              </w:rPr>
            </w:pPr>
            <w:r>
              <w:rPr>
                <w:rFonts w:hint="eastAsia" w:ascii="宋体" w:hAnsi="宋体"/>
                <w:b/>
                <w:szCs w:val="21"/>
              </w:rPr>
              <w:t>5.  相关支持性文件</w:t>
            </w:r>
          </w:p>
          <w:p>
            <w:pPr>
              <w:spacing w:line="360" w:lineRule="exact"/>
              <w:ind w:right="-88" w:rightChars="-42"/>
              <w:rPr>
                <w:rFonts w:ascii="宋体" w:hAnsi="宋体"/>
                <w:szCs w:val="21"/>
              </w:rPr>
            </w:pPr>
            <w:r>
              <w:rPr>
                <w:rFonts w:hint="eastAsia" w:ascii="宋体" w:hAnsi="宋体"/>
                <w:szCs w:val="21"/>
              </w:rPr>
              <w:t>5.1. 《改进控制程序》</w:t>
            </w:r>
          </w:p>
          <w:p>
            <w:pPr>
              <w:spacing w:line="360" w:lineRule="exact"/>
              <w:ind w:right="-88" w:rightChars="-42"/>
              <w:rPr>
                <w:rFonts w:ascii="宋体" w:hAnsi="宋体"/>
                <w:szCs w:val="21"/>
              </w:rPr>
            </w:pPr>
            <w:r>
              <w:rPr>
                <w:rFonts w:hint="eastAsia" w:ascii="宋体" w:hAnsi="宋体"/>
                <w:szCs w:val="21"/>
              </w:rPr>
              <w:t>5.2. 《环境和职业健康安全运行控制程序》</w:t>
            </w:r>
          </w:p>
          <w:p>
            <w:pPr>
              <w:spacing w:line="360" w:lineRule="exact"/>
              <w:ind w:right="-88" w:rightChars="-42"/>
              <w:rPr>
                <w:rFonts w:ascii="宋体" w:hAnsi="宋体"/>
                <w:szCs w:val="21"/>
              </w:rPr>
            </w:pPr>
            <w:r>
              <w:rPr>
                <w:rFonts w:hint="eastAsia" w:ascii="宋体" w:hAnsi="宋体"/>
                <w:szCs w:val="21"/>
              </w:rPr>
              <w:t>5.3. 《文件控制程序》</w:t>
            </w:r>
          </w:p>
          <w:p>
            <w:pPr>
              <w:spacing w:line="360" w:lineRule="exact"/>
              <w:ind w:right="-88" w:rightChars="-42"/>
              <w:rPr>
                <w:rFonts w:ascii="宋体" w:hAnsi="宋体"/>
                <w:szCs w:val="21"/>
              </w:rPr>
            </w:pPr>
            <w:r>
              <w:rPr>
                <w:rFonts w:hint="eastAsia" w:ascii="宋体" w:hAnsi="宋体"/>
                <w:szCs w:val="21"/>
              </w:rPr>
              <w:t>5.4. 《事件、不符合调查处理控制程序》</w:t>
            </w:r>
          </w:p>
          <w:p>
            <w:pPr>
              <w:spacing w:line="360" w:lineRule="exact"/>
              <w:ind w:right="-88" w:rightChars="-42"/>
              <w:rPr>
                <w:rFonts w:ascii="宋体" w:hAnsi="宋体"/>
                <w:szCs w:val="21"/>
              </w:rPr>
            </w:pPr>
            <w:r>
              <w:rPr>
                <w:rFonts w:hint="eastAsia" w:ascii="宋体" w:hAnsi="宋体"/>
                <w:szCs w:val="21"/>
              </w:rPr>
              <w:t>5.5. 《记录控制程序》</w:t>
            </w:r>
          </w:p>
          <w:p>
            <w:pPr>
              <w:spacing w:line="360" w:lineRule="exact"/>
              <w:ind w:right="-88" w:rightChars="-42"/>
              <w:rPr>
                <w:rFonts w:ascii="宋体" w:hAnsi="宋体"/>
                <w:szCs w:val="21"/>
              </w:rPr>
            </w:pPr>
            <w:r>
              <w:rPr>
                <w:rFonts w:hint="eastAsia" w:ascii="宋体" w:hAnsi="宋体"/>
                <w:szCs w:val="21"/>
              </w:rPr>
              <w:t>5.6. 《内部审核控制程序》</w:t>
            </w:r>
          </w:p>
          <w:p>
            <w:pPr>
              <w:spacing w:line="360" w:lineRule="exact"/>
              <w:ind w:right="-88" w:rightChars="-42"/>
              <w:rPr>
                <w:rFonts w:ascii="宋体" w:hAnsi="宋体"/>
                <w:szCs w:val="21"/>
              </w:rPr>
            </w:pPr>
            <w:r>
              <w:rPr>
                <w:rFonts w:hint="eastAsia" w:ascii="宋体" w:hAnsi="宋体"/>
                <w:szCs w:val="21"/>
              </w:rPr>
              <w:t>5.8. 《合规性评价控制程序》</w:t>
            </w:r>
          </w:p>
          <w:p>
            <w:pPr>
              <w:spacing w:line="360" w:lineRule="exact"/>
              <w:ind w:right="-88" w:rightChars="-42"/>
              <w:rPr>
                <w:rFonts w:ascii="宋体" w:hAnsi="宋体"/>
                <w:b/>
                <w:szCs w:val="21"/>
              </w:rPr>
            </w:pPr>
            <w:r>
              <w:rPr>
                <w:rFonts w:hint="eastAsia" w:ascii="宋体" w:hAnsi="宋体"/>
                <w:b/>
                <w:szCs w:val="21"/>
              </w:rPr>
              <w:t xml:space="preserve">6.  记录                                                                            </w:t>
            </w:r>
          </w:p>
          <w:p>
            <w:pPr>
              <w:spacing w:line="360" w:lineRule="exact"/>
              <w:ind w:right="-88" w:rightChars="-42"/>
              <w:rPr>
                <w:rFonts w:ascii="宋体" w:hAnsi="宋体"/>
                <w:szCs w:val="21"/>
              </w:rPr>
            </w:pPr>
            <w:r>
              <w:rPr>
                <w:rFonts w:hint="eastAsia" w:ascii="宋体" w:hAnsi="宋体"/>
                <w:szCs w:val="21"/>
              </w:rPr>
              <w:t xml:space="preserve">6.1. 《目标完成情况统计、汇总表》                                                                     </w:t>
            </w:r>
          </w:p>
          <w:p>
            <w:pPr>
              <w:spacing w:line="360" w:lineRule="exact"/>
              <w:ind w:right="-88" w:rightChars="-42"/>
              <w:rPr>
                <w:rFonts w:ascii="宋体" w:hAnsi="宋体"/>
                <w:szCs w:val="21"/>
              </w:rPr>
            </w:pPr>
            <w:r>
              <w:rPr>
                <w:rFonts w:hint="eastAsia" w:ascii="宋体" w:hAnsi="宋体"/>
                <w:szCs w:val="21"/>
              </w:rPr>
              <w:t xml:space="preserve">6.2. 《绩效监测与测量记录》                                                       </w:t>
            </w:r>
          </w:p>
          <w:p>
            <w:pPr>
              <w:spacing w:line="360" w:lineRule="exact"/>
              <w:rPr>
                <w:rFonts w:ascii="宋体" w:hAnsi="宋体"/>
                <w:szCs w:val="21"/>
              </w:rPr>
            </w:pPr>
            <w:r>
              <w:rPr>
                <w:rFonts w:hint="eastAsia" w:ascii="宋体" w:hAnsi="宋体"/>
                <w:szCs w:val="21"/>
              </w:rPr>
              <w:t>6.3.《管理方案实施情况监测与测量记录》</w:t>
            </w:r>
          </w:p>
          <w:p>
            <w:pPr>
              <w:spacing w:line="360" w:lineRule="exact"/>
              <w:rPr>
                <w:rFonts w:ascii="宋体" w:hAnsi="宋体"/>
                <w:szCs w:val="21"/>
              </w:rPr>
            </w:pPr>
          </w:p>
        </w:tc>
      </w:tr>
    </w:tbl>
    <w:p/>
    <w:p/>
    <w:p/>
    <w:p/>
    <w:p/>
    <w:tbl>
      <w:tblPr>
        <w:tblStyle w:val="9"/>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1985"/>
        <w:gridCol w:w="2737"/>
        <w:gridCol w:w="1819"/>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5" w:hRule="atLeast"/>
        </w:trPr>
        <w:tc>
          <w:tcPr>
            <w:tcW w:w="2410" w:type="dxa"/>
            <w:vMerge w:val="restart"/>
          </w:tcPr>
          <w:p>
            <w:pPr>
              <w:spacing w:line="400" w:lineRule="exact"/>
            </w:pPr>
          </w:p>
        </w:tc>
        <w:tc>
          <w:tcPr>
            <w:tcW w:w="1985" w:type="dxa"/>
            <w:vAlign w:val="center"/>
          </w:tcPr>
          <w:p>
            <w:pPr>
              <w:spacing w:line="400" w:lineRule="exact"/>
              <w:jc w:val="center"/>
              <w:rPr>
                <w:rFonts w:ascii="宋体"/>
                <w:b/>
                <w:sz w:val="28"/>
              </w:rPr>
            </w:pPr>
            <w:r>
              <w:rPr>
                <w:rFonts w:hint="eastAsia" w:ascii="宋体"/>
                <w:b/>
                <w:sz w:val="28"/>
              </w:rPr>
              <w:t>文件名称</w:t>
            </w:r>
          </w:p>
        </w:tc>
        <w:tc>
          <w:tcPr>
            <w:tcW w:w="2737" w:type="dxa"/>
            <w:vAlign w:val="center"/>
          </w:tcPr>
          <w:p>
            <w:pPr>
              <w:spacing w:line="400" w:lineRule="exact"/>
              <w:jc w:val="center"/>
              <w:rPr>
                <w:rFonts w:ascii="宋体"/>
                <w:b/>
                <w:sz w:val="28"/>
              </w:rPr>
            </w:pPr>
            <w:r>
              <w:rPr>
                <w:rFonts w:hint="eastAsia" w:ascii="宋体"/>
                <w:b/>
                <w:sz w:val="28"/>
              </w:rPr>
              <w:t>顾客满意度调查管理程序</w:t>
            </w:r>
          </w:p>
        </w:tc>
        <w:tc>
          <w:tcPr>
            <w:tcW w:w="1819" w:type="dxa"/>
            <w:vAlign w:val="center"/>
          </w:tcPr>
          <w:p>
            <w:pPr>
              <w:spacing w:line="400" w:lineRule="exact"/>
              <w:jc w:val="center"/>
              <w:rPr>
                <w:rFonts w:ascii="宋体"/>
                <w:b/>
                <w:sz w:val="28"/>
              </w:rPr>
            </w:pPr>
            <w:r>
              <w:rPr>
                <w:rFonts w:hint="eastAsia" w:ascii="宋体"/>
                <w:b/>
                <w:sz w:val="28"/>
              </w:rPr>
              <w:t>版次</w:t>
            </w:r>
          </w:p>
        </w:tc>
        <w:tc>
          <w:tcPr>
            <w:tcW w:w="830" w:type="dxa"/>
            <w:vAlign w:val="center"/>
          </w:tcPr>
          <w:p>
            <w:pPr>
              <w:spacing w:line="400" w:lineRule="exact"/>
              <w:jc w:val="center"/>
              <w:rPr>
                <w:rFonts w:ascii="宋体"/>
                <w:b/>
                <w:sz w:val="28"/>
              </w:rPr>
            </w:pPr>
            <w:r>
              <w:rPr>
                <w:rFonts w:hint="eastAsia" w:ascii="宋体"/>
                <w:b/>
                <w:sz w:val="2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410" w:type="dxa"/>
            <w:vMerge w:val="continue"/>
          </w:tcPr>
          <w:p>
            <w:pPr>
              <w:spacing w:line="400" w:lineRule="exact"/>
              <w:jc w:val="center"/>
              <w:rPr>
                <w:rFonts w:eastAsia="黑体"/>
                <w:b/>
                <w:sz w:val="36"/>
              </w:rPr>
            </w:pPr>
          </w:p>
        </w:tc>
        <w:tc>
          <w:tcPr>
            <w:tcW w:w="1985" w:type="dxa"/>
            <w:vAlign w:val="center"/>
          </w:tcPr>
          <w:p>
            <w:pPr>
              <w:spacing w:line="400" w:lineRule="exact"/>
              <w:jc w:val="center"/>
              <w:rPr>
                <w:rFonts w:ascii="宋体"/>
                <w:b/>
                <w:sz w:val="28"/>
              </w:rPr>
            </w:pPr>
            <w:r>
              <w:rPr>
                <w:rFonts w:hint="eastAsia" w:ascii="宋体"/>
                <w:b/>
                <w:sz w:val="28"/>
              </w:rPr>
              <w:t>文件编号</w:t>
            </w:r>
          </w:p>
        </w:tc>
        <w:tc>
          <w:tcPr>
            <w:tcW w:w="2737" w:type="dxa"/>
            <w:vAlign w:val="center"/>
          </w:tcPr>
          <w:p>
            <w:pPr>
              <w:spacing w:line="400" w:lineRule="exact"/>
              <w:jc w:val="center"/>
              <w:rPr>
                <w:rFonts w:ascii="宋体"/>
                <w:b/>
                <w:sz w:val="28"/>
              </w:rPr>
            </w:pPr>
            <w:r>
              <w:rPr>
                <w:rFonts w:hint="eastAsia" w:ascii="宋体"/>
                <w:b/>
                <w:sz w:val="28"/>
              </w:rPr>
              <w:t>LQY—P—26</w:t>
            </w:r>
          </w:p>
        </w:tc>
        <w:tc>
          <w:tcPr>
            <w:tcW w:w="1819" w:type="dxa"/>
            <w:vAlign w:val="center"/>
          </w:tcPr>
          <w:p>
            <w:pPr>
              <w:spacing w:line="400" w:lineRule="exact"/>
              <w:jc w:val="center"/>
              <w:rPr>
                <w:rFonts w:ascii="宋体"/>
                <w:b/>
                <w:sz w:val="28"/>
              </w:rPr>
            </w:pPr>
            <w:r>
              <w:rPr>
                <w:rFonts w:hint="eastAsia" w:ascii="宋体"/>
                <w:b/>
                <w:sz w:val="28"/>
              </w:rPr>
              <w:t>修改状态</w:t>
            </w:r>
          </w:p>
        </w:tc>
        <w:tc>
          <w:tcPr>
            <w:tcW w:w="830" w:type="dxa"/>
            <w:vAlign w:val="center"/>
          </w:tcPr>
          <w:p>
            <w:pPr>
              <w:spacing w:line="400" w:lineRule="exact"/>
              <w:jc w:val="center"/>
              <w:rPr>
                <w:rFonts w:ascii="宋体"/>
                <w:b/>
                <w:sz w:val="28"/>
              </w:rPr>
            </w:pPr>
            <w:r>
              <w:rPr>
                <w:rFonts w:hint="eastAsia" w:ascii="宋体"/>
                <w:b/>
                <w:sz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5" w:hRule="atLeast"/>
        </w:trPr>
        <w:tc>
          <w:tcPr>
            <w:tcW w:w="9781" w:type="dxa"/>
            <w:gridSpan w:val="5"/>
          </w:tcPr>
          <w:p>
            <w:pPr>
              <w:jc w:val="left"/>
            </w:pPr>
            <w:r>
              <w:rPr>
                <w:rFonts w:hint="eastAsia"/>
              </w:rPr>
              <w:t>1. 目的：</w:t>
            </w:r>
          </w:p>
          <w:p>
            <w:pPr>
              <w:jc w:val="left"/>
            </w:pPr>
            <w:r>
              <w:rPr>
                <w:rFonts w:hint="eastAsia"/>
              </w:rPr>
              <w:t>建立以顾客满意为导向的经营理念，利用客观的检测系统，综合评估顾客对本公司产品及服务的满意程度，了解与顾客期望的差距并作为营运管理改善的依据。</w:t>
            </w:r>
          </w:p>
          <w:p>
            <w:pPr>
              <w:jc w:val="left"/>
            </w:pPr>
            <w:r>
              <w:rPr>
                <w:rFonts w:hint="eastAsia"/>
              </w:rPr>
              <w:t>2. 适用范围：</w:t>
            </w:r>
          </w:p>
          <w:p>
            <w:pPr>
              <w:jc w:val="left"/>
            </w:pPr>
            <w:r>
              <w:rPr>
                <w:rFonts w:hint="eastAsia"/>
              </w:rPr>
              <w:t xml:space="preserve"> 适用于本公司所有顾客。</w:t>
            </w:r>
          </w:p>
          <w:p>
            <w:pPr>
              <w:jc w:val="left"/>
            </w:pPr>
            <w:r>
              <w:rPr>
                <w:rFonts w:hint="eastAsia"/>
              </w:rPr>
              <w:t>3. 职责：</w:t>
            </w:r>
          </w:p>
          <w:p>
            <w:pPr>
              <w:jc w:val="left"/>
            </w:pPr>
            <w:r>
              <w:rPr>
                <w:rFonts w:hint="eastAsia"/>
              </w:rPr>
              <w:t>3.1 顾客满意度信息收集：回收利用部门。</w:t>
            </w:r>
          </w:p>
          <w:p>
            <w:pPr>
              <w:jc w:val="left"/>
            </w:pPr>
            <w:r>
              <w:rPr>
                <w:rFonts w:hint="eastAsia"/>
              </w:rPr>
              <w:t>3.2 顾客不满意事件处理：各相关部门。</w:t>
            </w:r>
          </w:p>
          <w:p>
            <w:pPr>
              <w:jc w:val="left"/>
            </w:pPr>
            <w:r>
              <w:rPr>
                <w:rFonts w:hint="eastAsia"/>
              </w:rPr>
              <w:t>3.3 顾客满意度执行结果的总结：管理评审会议。</w:t>
            </w:r>
          </w:p>
          <w:p>
            <w:pPr>
              <w:jc w:val="left"/>
            </w:pPr>
            <w:r>
              <w:rPr>
                <w:rFonts w:hint="eastAsia"/>
              </w:rPr>
              <w:t>4. 定义：无。</w:t>
            </w:r>
          </w:p>
          <w:p>
            <w:pPr>
              <w:jc w:val="left"/>
            </w:pPr>
            <w:r>
              <w:rPr>
                <w:rFonts w:hint="eastAsia"/>
              </w:rPr>
              <w:t>5.工作内容</w:t>
            </w:r>
          </w:p>
          <w:p>
            <w:pPr>
              <w:jc w:val="left"/>
            </w:pPr>
            <w:r>
              <w:rPr>
                <w:rFonts w:hint="eastAsia"/>
              </w:rPr>
              <w:t>5.1顾客满意度调查方式</w:t>
            </w:r>
          </w:p>
          <w:p>
            <w:pPr>
              <w:jc w:val="left"/>
            </w:pPr>
            <w:r>
              <w:rPr>
                <w:rFonts w:hint="eastAsia"/>
              </w:rPr>
              <w:t>5.1.1回收利用部门每隔半年将《顾客满意度调查表》传真给顾客，让顾客如实填写后再反馈回来。</w:t>
            </w:r>
          </w:p>
          <w:p>
            <w:pPr>
              <w:jc w:val="left"/>
            </w:pPr>
            <w:r>
              <w:rPr>
                <w:rFonts w:hint="eastAsia"/>
              </w:rPr>
              <w:t>5.1.2回收利用部门对长期稳定的客户进行抽样调查，要求顾客恢复率达到90％以上，调查结果方为有效。</w:t>
            </w:r>
          </w:p>
          <w:p>
            <w:pPr>
              <w:jc w:val="left"/>
            </w:pPr>
            <w:r>
              <w:rPr>
                <w:rFonts w:hint="eastAsia"/>
              </w:rPr>
              <w:t>5.1.3顾客满意度调查活动应在每年的内部质量审核与管理评审前进行。</w:t>
            </w:r>
          </w:p>
          <w:p>
            <w:pPr>
              <w:jc w:val="left"/>
            </w:pPr>
            <w:r>
              <w:rPr>
                <w:rFonts w:hint="eastAsia"/>
              </w:rPr>
              <w:t>5.1.4回收利用部门在调查结束后，将调查的结果进行统计并记录在《顾客满意度调查表上》。</w:t>
            </w:r>
          </w:p>
          <w:p>
            <w:pPr>
              <w:jc w:val="left"/>
            </w:pPr>
            <w:r>
              <w:rPr>
                <w:rFonts w:hint="eastAsia"/>
              </w:rPr>
              <w:t>5.2统计结果单项8-10分视为优，5-7分视为合格，1-4分视为不合格，并将统计结果报总经理综合部。</w:t>
            </w:r>
          </w:p>
          <w:p>
            <w:pPr>
              <w:jc w:val="left"/>
            </w:pPr>
            <w:r>
              <w:rPr>
                <w:rFonts w:hint="eastAsia"/>
              </w:rPr>
              <w:t>5.3顾客满意度检讨评价</w:t>
            </w:r>
          </w:p>
          <w:p>
            <w:pPr>
              <w:jc w:val="left"/>
            </w:pPr>
            <w:r>
              <w:rPr>
                <w:rFonts w:hint="eastAsia"/>
              </w:rPr>
              <w:t>5.3.1单项7分以下的项目需改善，具体按《纠正和预防措施控制程序》执行。</w:t>
            </w:r>
          </w:p>
          <w:p>
            <w:pPr>
              <w:jc w:val="left"/>
            </w:pPr>
            <w:r>
              <w:rPr>
                <w:rFonts w:hint="eastAsia"/>
              </w:rPr>
              <w:t>5.3.2顾客满意度执行结果在每次管理评审会议上进行总结。</w:t>
            </w:r>
          </w:p>
          <w:p>
            <w:pPr>
              <w:jc w:val="left"/>
            </w:pPr>
            <w:r>
              <w:rPr>
                <w:rFonts w:hint="eastAsia"/>
              </w:rPr>
              <w:t>5.4相关记录由各部门按照《记录控制程序》保存。</w:t>
            </w:r>
          </w:p>
          <w:p>
            <w:pPr>
              <w:jc w:val="left"/>
            </w:pPr>
            <w:r>
              <w:rPr>
                <w:rFonts w:hint="eastAsia"/>
              </w:rPr>
              <w:t>6.相关/支持性文件</w:t>
            </w:r>
          </w:p>
          <w:p>
            <w:pPr>
              <w:jc w:val="left"/>
            </w:pPr>
            <w:r>
              <w:rPr>
                <w:rFonts w:hint="eastAsia"/>
              </w:rPr>
              <w:t>6.1数据分析程序</w:t>
            </w:r>
          </w:p>
          <w:p>
            <w:pPr>
              <w:jc w:val="left"/>
            </w:pPr>
            <w:r>
              <w:rPr>
                <w:rFonts w:hint="eastAsia"/>
              </w:rPr>
              <w:t>6.2纠正和预防措施控制程序</w:t>
            </w:r>
          </w:p>
          <w:p>
            <w:pPr>
              <w:jc w:val="left"/>
            </w:pPr>
            <w:r>
              <w:rPr>
                <w:rFonts w:hint="eastAsia"/>
              </w:rPr>
              <w:t>6.3记录控制程序</w:t>
            </w:r>
          </w:p>
          <w:p>
            <w:pPr>
              <w:jc w:val="left"/>
            </w:pPr>
            <w:r>
              <w:rPr>
                <w:rFonts w:hint="eastAsia"/>
              </w:rPr>
              <w:t>7.记录                           编号              版本               保存期限</w:t>
            </w:r>
          </w:p>
          <w:p>
            <w:pPr>
              <w:jc w:val="left"/>
            </w:pPr>
            <w:r>
              <w:rPr>
                <w:rFonts w:hint="eastAsia"/>
              </w:rPr>
              <w:t>7.1顾客满意度调查表                 LQY-P-18             01                  三年</w:t>
            </w:r>
          </w:p>
          <w:p>
            <w:pPr>
              <w:jc w:val="left"/>
            </w:pPr>
            <w:r>
              <w:rPr>
                <w:rFonts w:hint="eastAsia"/>
              </w:rPr>
              <w:t>7.2顾客满意度统计表                 LQY-P-02             01                  三年</w:t>
            </w:r>
          </w:p>
          <w:p>
            <w:pPr>
              <w:jc w:val="left"/>
            </w:pPr>
            <w:r>
              <w:rPr>
                <w:rFonts w:hint="eastAsia"/>
              </w:rPr>
              <w:t>7.3纠正和预防措施表                 LQY-P-03             01                  三你</w:t>
            </w:r>
          </w:p>
        </w:tc>
      </w:tr>
    </w:tbl>
    <w:p/>
    <w:p/>
    <w:tbl>
      <w:tblPr>
        <w:tblStyle w:val="9"/>
        <w:tblW w:w="999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8"/>
        <w:gridCol w:w="1701"/>
        <w:gridCol w:w="3462"/>
        <w:gridCol w:w="1006"/>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2478" w:type="dxa"/>
            <w:vMerge w:val="restart"/>
            <w:vAlign w:val="center"/>
          </w:tcPr>
          <w:p>
            <w:pPr>
              <w:spacing w:line="400" w:lineRule="exact"/>
              <w:rPr>
                <w:rFonts w:eastAsia="黑体"/>
                <w:b/>
                <w:sz w:val="36"/>
              </w:rPr>
            </w:pPr>
          </w:p>
        </w:tc>
        <w:tc>
          <w:tcPr>
            <w:tcW w:w="1701" w:type="dxa"/>
            <w:vAlign w:val="center"/>
          </w:tcPr>
          <w:p>
            <w:pPr>
              <w:spacing w:line="400" w:lineRule="exact"/>
              <w:jc w:val="center"/>
              <w:rPr>
                <w:rFonts w:ascii="宋体"/>
                <w:b/>
                <w:sz w:val="30"/>
              </w:rPr>
            </w:pPr>
            <w:r>
              <w:rPr>
                <w:rFonts w:hint="eastAsia" w:ascii="宋体"/>
                <w:b/>
                <w:sz w:val="30"/>
              </w:rPr>
              <w:t>文件名称</w:t>
            </w:r>
          </w:p>
        </w:tc>
        <w:tc>
          <w:tcPr>
            <w:tcW w:w="3462" w:type="dxa"/>
            <w:vAlign w:val="center"/>
          </w:tcPr>
          <w:p>
            <w:pPr>
              <w:pStyle w:val="4"/>
              <w:spacing w:line="400" w:lineRule="exact"/>
              <w:jc w:val="center"/>
              <w:rPr>
                <w:rFonts w:ascii="楷体_GB2312" w:hAnsi="楷体" w:eastAsia="楷体_GB2312"/>
                <w:b/>
                <w:sz w:val="28"/>
                <w:szCs w:val="28"/>
              </w:rPr>
            </w:pPr>
            <w:r>
              <w:rPr>
                <w:rFonts w:hint="eastAsia" w:ascii="楷体_GB2312" w:hAnsi="楷体" w:eastAsia="楷体_GB2312"/>
                <w:b/>
                <w:sz w:val="30"/>
                <w:szCs w:val="30"/>
              </w:rPr>
              <w:t>合规性评价控制程序</w:t>
            </w:r>
          </w:p>
        </w:tc>
        <w:tc>
          <w:tcPr>
            <w:tcW w:w="1006" w:type="dxa"/>
            <w:vAlign w:val="center"/>
          </w:tcPr>
          <w:p>
            <w:pPr>
              <w:spacing w:line="400" w:lineRule="exact"/>
              <w:jc w:val="center"/>
              <w:rPr>
                <w:rFonts w:ascii="宋体"/>
                <w:b/>
                <w:sz w:val="30"/>
              </w:rPr>
            </w:pPr>
            <w:r>
              <w:rPr>
                <w:rFonts w:hint="eastAsia" w:ascii="宋体"/>
                <w:b/>
                <w:sz w:val="30"/>
              </w:rPr>
              <w:t>版次</w:t>
            </w:r>
          </w:p>
        </w:tc>
        <w:tc>
          <w:tcPr>
            <w:tcW w:w="1344" w:type="dxa"/>
            <w:vAlign w:val="center"/>
          </w:tcPr>
          <w:p>
            <w:pPr>
              <w:spacing w:line="400" w:lineRule="exact"/>
              <w:jc w:val="center"/>
              <w:rPr>
                <w:rFonts w:ascii="宋体"/>
                <w:b/>
                <w:sz w:val="30"/>
              </w:rPr>
            </w:pPr>
            <w:r>
              <w:rPr>
                <w:rFonts w:hint="eastAsia" w:ascii="宋体"/>
                <w:b/>
                <w:sz w:val="3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2478" w:type="dxa"/>
            <w:vMerge w:val="continue"/>
            <w:vAlign w:val="center"/>
          </w:tcPr>
          <w:p>
            <w:pPr>
              <w:spacing w:line="400" w:lineRule="exact"/>
              <w:jc w:val="center"/>
              <w:rPr>
                <w:rFonts w:eastAsia="黑体"/>
                <w:b/>
                <w:sz w:val="36"/>
              </w:rPr>
            </w:pPr>
          </w:p>
        </w:tc>
        <w:tc>
          <w:tcPr>
            <w:tcW w:w="1701" w:type="dxa"/>
            <w:vAlign w:val="center"/>
          </w:tcPr>
          <w:p>
            <w:pPr>
              <w:spacing w:line="400" w:lineRule="exact"/>
              <w:jc w:val="center"/>
              <w:rPr>
                <w:rFonts w:ascii="宋体"/>
                <w:b/>
                <w:sz w:val="30"/>
              </w:rPr>
            </w:pPr>
            <w:r>
              <w:rPr>
                <w:rFonts w:hint="eastAsia" w:ascii="宋体"/>
                <w:b/>
                <w:sz w:val="30"/>
              </w:rPr>
              <w:t>文件编号</w:t>
            </w:r>
          </w:p>
        </w:tc>
        <w:tc>
          <w:tcPr>
            <w:tcW w:w="3462" w:type="dxa"/>
            <w:vAlign w:val="center"/>
          </w:tcPr>
          <w:p>
            <w:pPr>
              <w:spacing w:line="400" w:lineRule="exact"/>
              <w:jc w:val="center"/>
              <w:rPr>
                <w:rFonts w:ascii="宋体"/>
                <w:b/>
                <w:sz w:val="30"/>
              </w:rPr>
            </w:pPr>
            <w:r>
              <w:rPr>
                <w:rFonts w:hint="eastAsia" w:ascii="宋体"/>
                <w:b/>
                <w:sz w:val="30"/>
              </w:rPr>
              <w:t>LQY-P-27</w:t>
            </w:r>
          </w:p>
        </w:tc>
        <w:tc>
          <w:tcPr>
            <w:tcW w:w="1006" w:type="dxa"/>
            <w:vAlign w:val="center"/>
          </w:tcPr>
          <w:p>
            <w:pPr>
              <w:spacing w:line="400" w:lineRule="exact"/>
              <w:jc w:val="center"/>
              <w:rPr>
                <w:rFonts w:ascii="宋体"/>
                <w:b/>
                <w:sz w:val="30"/>
              </w:rPr>
            </w:pPr>
            <w:r>
              <w:rPr>
                <w:rFonts w:hint="eastAsia" w:ascii="宋体"/>
                <w:b/>
                <w:sz w:val="30"/>
              </w:rPr>
              <w:t>修改</w:t>
            </w:r>
          </w:p>
          <w:p>
            <w:pPr>
              <w:spacing w:line="400" w:lineRule="exact"/>
              <w:jc w:val="center"/>
              <w:rPr>
                <w:rFonts w:ascii="宋体"/>
                <w:b/>
                <w:sz w:val="30"/>
              </w:rPr>
            </w:pPr>
            <w:r>
              <w:rPr>
                <w:rFonts w:hint="eastAsia" w:ascii="宋体"/>
                <w:b/>
                <w:sz w:val="30"/>
              </w:rPr>
              <w:t>状态</w:t>
            </w:r>
          </w:p>
        </w:tc>
        <w:tc>
          <w:tcPr>
            <w:tcW w:w="1344" w:type="dxa"/>
            <w:vAlign w:val="center"/>
          </w:tcPr>
          <w:p>
            <w:pPr>
              <w:spacing w:line="400" w:lineRule="exact"/>
              <w:jc w:val="center"/>
              <w:rPr>
                <w:rFonts w:ascii="宋体"/>
                <w:b/>
                <w:sz w:val="30"/>
              </w:rPr>
            </w:pPr>
            <w:r>
              <w:rPr>
                <w:rFonts w:hint="eastAsia" w:ascii="宋体"/>
                <w:b/>
                <w:sz w:val="3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991" w:type="dxa"/>
            <w:gridSpan w:val="5"/>
            <w:tcBorders>
              <w:right w:val="single" w:color="auto" w:sz="4" w:space="0"/>
            </w:tcBorders>
          </w:tcPr>
          <w:p>
            <w:pPr>
              <w:tabs>
                <w:tab w:val="left" w:pos="2360"/>
              </w:tabs>
              <w:spacing w:line="360" w:lineRule="exact"/>
              <w:ind w:right="-88" w:rightChars="-42"/>
              <w:outlineLvl w:val="0"/>
              <w:rPr>
                <w:rFonts w:ascii="宋体" w:hAnsi="宋体"/>
                <w:b/>
                <w:szCs w:val="21"/>
              </w:rPr>
            </w:pPr>
            <w:r>
              <w:rPr>
                <w:rFonts w:hint="eastAsia" w:ascii="宋体" w:hAnsi="宋体"/>
                <w:szCs w:val="21"/>
              </w:rPr>
              <w:t xml:space="preserve"> </w:t>
            </w:r>
            <w:r>
              <w:rPr>
                <w:rFonts w:hint="eastAsia" w:ascii="宋体" w:hAnsi="宋体"/>
                <w:b/>
                <w:szCs w:val="21"/>
              </w:rPr>
              <w:t>1. 目的</w:t>
            </w:r>
          </w:p>
          <w:p>
            <w:pPr>
              <w:spacing w:line="360" w:lineRule="exact"/>
              <w:ind w:right="-88" w:rightChars="-42" w:firstLine="210" w:firstLineChars="100"/>
              <w:rPr>
                <w:rFonts w:ascii="宋体" w:hAnsi="宋体"/>
                <w:szCs w:val="21"/>
              </w:rPr>
            </w:pPr>
            <w:r>
              <w:rPr>
                <w:rFonts w:hint="eastAsia" w:ascii="宋体" w:hAnsi="宋体"/>
                <w:szCs w:val="21"/>
              </w:rPr>
              <w:t>为对公司与环境和职业健康安全有关的法律法规的遵循情况进行定期监测，对法律法规及其他要求的符合性进行定期评价，特制定本程序。</w:t>
            </w:r>
          </w:p>
          <w:p>
            <w:pPr>
              <w:spacing w:line="360" w:lineRule="exact"/>
              <w:ind w:right="-88" w:rightChars="-42"/>
              <w:outlineLvl w:val="0"/>
              <w:rPr>
                <w:rFonts w:ascii="宋体" w:hAnsi="宋体"/>
                <w:b/>
                <w:szCs w:val="21"/>
              </w:rPr>
            </w:pPr>
            <w:r>
              <w:rPr>
                <w:rFonts w:hint="eastAsia" w:ascii="宋体" w:hAnsi="宋体"/>
                <w:b/>
                <w:szCs w:val="21"/>
              </w:rPr>
              <w:t>2. 适用范围</w:t>
            </w:r>
          </w:p>
          <w:p>
            <w:pPr>
              <w:spacing w:line="360" w:lineRule="exact"/>
              <w:ind w:right="-88" w:rightChars="-42" w:firstLine="210" w:firstLineChars="100"/>
              <w:rPr>
                <w:rFonts w:ascii="宋体" w:hAnsi="宋体"/>
                <w:szCs w:val="21"/>
              </w:rPr>
            </w:pPr>
            <w:r>
              <w:rPr>
                <w:rFonts w:hint="eastAsia" w:ascii="宋体" w:hAnsi="宋体"/>
                <w:szCs w:val="21"/>
              </w:rPr>
              <w:t>本程序适用于公司有关法律法规及其他要求的遵循情况及其符合性进行定期监测或评价的控制，以确保企业遵规守法，降低经营风险。</w:t>
            </w:r>
          </w:p>
          <w:p>
            <w:pPr>
              <w:spacing w:line="360" w:lineRule="exact"/>
              <w:ind w:right="-88" w:rightChars="-42"/>
              <w:outlineLvl w:val="0"/>
              <w:rPr>
                <w:rFonts w:ascii="宋体" w:hAnsi="宋体"/>
                <w:b/>
                <w:szCs w:val="21"/>
              </w:rPr>
            </w:pPr>
            <w:r>
              <w:rPr>
                <w:rFonts w:hint="eastAsia" w:ascii="宋体" w:hAnsi="宋体"/>
                <w:b/>
                <w:szCs w:val="21"/>
              </w:rPr>
              <w:t>3. 职责</w:t>
            </w:r>
          </w:p>
          <w:p>
            <w:pPr>
              <w:spacing w:line="360" w:lineRule="exact"/>
              <w:ind w:right="-88" w:rightChars="-42"/>
              <w:rPr>
                <w:rFonts w:ascii="宋体" w:hAnsi="宋体"/>
                <w:szCs w:val="21"/>
              </w:rPr>
            </w:pPr>
            <w:r>
              <w:rPr>
                <w:rFonts w:hint="eastAsia" w:ascii="宋体" w:hAnsi="宋体"/>
                <w:szCs w:val="21"/>
              </w:rPr>
              <w:t>3.1.综合部负责定期抽查各部门及车间对法律法规及其他要求的遵循情况，并定期组织有关部门及车间对有关法律法规及其他要求的符合性进行评价，组织有关部门对存在的问题进行整改并验证。</w:t>
            </w:r>
          </w:p>
          <w:p>
            <w:pPr>
              <w:spacing w:line="360" w:lineRule="exact"/>
              <w:ind w:right="-88" w:rightChars="-42"/>
              <w:rPr>
                <w:rFonts w:ascii="宋体" w:hAnsi="宋体"/>
                <w:szCs w:val="21"/>
              </w:rPr>
            </w:pPr>
            <w:r>
              <w:rPr>
                <w:rFonts w:hint="eastAsia" w:ascii="宋体" w:hAnsi="宋体"/>
                <w:szCs w:val="21"/>
              </w:rPr>
              <w:t>3.2. 其他部门及车间参与本部门有关的法律法规及其他要求的符合性的评价，对发现的问题进行整改。</w:t>
            </w:r>
          </w:p>
          <w:p>
            <w:pPr>
              <w:spacing w:line="360" w:lineRule="exact"/>
              <w:ind w:right="-88" w:rightChars="-42"/>
              <w:outlineLvl w:val="0"/>
              <w:rPr>
                <w:rFonts w:ascii="宋体" w:hAnsi="宋体"/>
                <w:b/>
                <w:szCs w:val="21"/>
              </w:rPr>
            </w:pPr>
            <w:r>
              <w:rPr>
                <w:rFonts w:hint="eastAsia" w:ascii="宋体" w:hAnsi="宋体"/>
                <w:b/>
                <w:szCs w:val="21"/>
              </w:rPr>
              <w:t>4. 工作程序</w:t>
            </w:r>
          </w:p>
          <w:p>
            <w:pPr>
              <w:spacing w:line="360" w:lineRule="exact"/>
              <w:ind w:right="-88" w:rightChars="-42"/>
              <w:rPr>
                <w:rFonts w:ascii="宋体" w:hAnsi="宋体"/>
                <w:szCs w:val="21"/>
              </w:rPr>
            </w:pPr>
            <w:r>
              <w:rPr>
                <w:rFonts w:hint="eastAsia" w:ascii="宋体" w:hAnsi="宋体"/>
                <w:b/>
                <w:szCs w:val="21"/>
              </w:rPr>
              <w:t>4.1.</w:t>
            </w:r>
            <w:r>
              <w:rPr>
                <w:rFonts w:hint="eastAsia" w:ascii="宋体" w:hAnsi="宋体"/>
                <w:szCs w:val="21"/>
              </w:rPr>
              <w:t xml:space="preserve"> 各部门及车间每年度对本部门/车间有关的法律法规及其他要求的遵循情况进行一次自查，对有关法律法规及其他要求的符合性进行自评，检查和评价的主要内容包括：</w:t>
            </w:r>
          </w:p>
          <w:p>
            <w:pPr>
              <w:numPr>
                <w:ilvl w:val="0"/>
                <w:numId w:val="21"/>
              </w:numPr>
              <w:spacing w:line="360" w:lineRule="exact"/>
              <w:ind w:right="-88" w:rightChars="-42"/>
              <w:rPr>
                <w:rFonts w:ascii="宋体" w:hAnsi="宋体"/>
                <w:szCs w:val="21"/>
              </w:rPr>
            </w:pPr>
            <w:r>
              <w:rPr>
                <w:rFonts w:hint="eastAsia" w:ascii="宋体" w:hAnsi="宋体"/>
                <w:szCs w:val="21"/>
              </w:rPr>
              <w:t>与本部门/车间有关的法律法规及其他要求有哪些？是否齐全、有效？</w:t>
            </w:r>
          </w:p>
          <w:p>
            <w:pPr>
              <w:numPr>
                <w:ilvl w:val="0"/>
                <w:numId w:val="21"/>
              </w:numPr>
              <w:spacing w:line="360" w:lineRule="exact"/>
              <w:ind w:right="-88" w:rightChars="-42"/>
              <w:rPr>
                <w:rFonts w:ascii="宋体" w:hAnsi="宋体"/>
                <w:szCs w:val="21"/>
              </w:rPr>
            </w:pPr>
            <w:r>
              <w:rPr>
                <w:rFonts w:hint="eastAsia" w:ascii="宋体" w:hAnsi="宋体"/>
                <w:szCs w:val="21"/>
              </w:rPr>
              <w:t>与本部门/车间有关的法律法规及其他要求的主要条款、主要内容包括哪些方面？本部门/车间有关人员是否清楚并掌握有关内容？</w:t>
            </w:r>
          </w:p>
          <w:p>
            <w:pPr>
              <w:numPr>
                <w:ilvl w:val="0"/>
                <w:numId w:val="21"/>
              </w:numPr>
              <w:spacing w:line="360" w:lineRule="exact"/>
              <w:ind w:right="-88" w:rightChars="-42"/>
              <w:rPr>
                <w:rFonts w:ascii="宋体" w:hAnsi="宋体"/>
                <w:szCs w:val="21"/>
              </w:rPr>
            </w:pPr>
            <w:r>
              <w:rPr>
                <w:rFonts w:hint="eastAsia" w:ascii="宋体" w:hAnsi="宋体"/>
                <w:szCs w:val="21"/>
              </w:rPr>
              <w:t>对照有关法律法规及其他要求的主要条款及内容，结合本部门/车间的实际运行情况，看是否遵守了有关法律法规及其他要求，有无违法或不符合现象？</w:t>
            </w:r>
          </w:p>
          <w:p>
            <w:pPr>
              <w:numPr>
                <w:ilvl w:val="0"/>
                <w:numId w:val="21"/>
              </w:numPr>
              <w:spacing w:line="360" w:lineRule="exact"/>
              <w:ind w:right="-88" w:rightChars="-42"/>
              <w:rPr>
                <w:rFonts w:ascii="宋体" w:hAnsi="宋体"/>
                <w:szCs w:val="21"/>
              </w:rPr>
            </w:pPr>
            <w:r>
              <w:rPr>
                <w:rFonts w:hint="eastAsia" w:ascii="宋体" w:hAnsi="宋体"/>
                <w:szCs w:val="21"/>
              </w:rPr>
              <w:t>本部门/车间在体系运行过程中，是否经过有关执法部门的监督检查，如有，结果如何？出具了什么记录？</w:t>
            </w:r>
          </w:p>
          <w:p>
            <w:pPr>
              <w:spacing w:line="360" w:lineRule="exact"/>
              <w:ind w:right="-88" w:rightChars="-42"/>
              <w:rPr>
                <w:rFonts w:ascii="宋体" w:hAnsi="宋体"/>
                <w:szCs w:val="21"/>
              </w:rPr>
            </w:pPr>
            <w:r>
              <w:rPr>
                <w:rFonts w:hint="eastAsia" w:ascii="宋体" w:hAnsi="宋体"/>
                <w:b/>
                <w:szCs w:val="21"/>
              </w:rPr>
              <w:t xml:space="preserve">4.2. </w:t>
            </w:r>
            <w:r>
              <w:rPr>
                <w:rFonts w:hint="eastAsia" w:ascii="宋体" w:hAnsi="宋体"/>
                <w:szCs w:val="21"/>
              </w:rPr>
              <w:t>综合部负责组织各部门及车间对有关法律法规及其他要求的遵循情况及其符合性进行评价，形成各部门/车间的《合规性评价报告》，上报管理者代表。评价可以小型会议的方式进行，与会人员以讨论的方式进行。</w:t>
            </w:r>
          </w:p>
          <w:p>
            <w:pPr>
              <w:spacing w:line="360" w:lineRule="exact"/>
              <w:ind w:right="-88" w:rightChars="-42"/>
              <w:rPr>
                <w:rFonts w:ascii="宋体" w:hAnsi="宋体"/>
                <w:szCs w:val="21"/>
              </w:rPr>
            </w:pPr>
            <w:r>
              <w:rPr>
                <w:rFonts w:hint="eastAsia" w:ascii="宋体" w:hAnsi="宋体"/>
                <w:b/>
                <w:szCs w:val="21"/>
              </w:rPr>
              <w:t xml:space="preserve">4.3. </w:t>
            </w:r>
            <w:r>
              <w:rPr>
                <w:rFonts w:hint="eastAsia" w:ascii="宋体" w:hAnsi="宋体"/>
                <w:szCs w:val="21"/>
              </w:rPr>
              <w:t>综合部每年度不定期抽查各部门及车间对适用的法律法规及其他要求的遵循情况，全年要抽查完所有部门及车间。根据各部门/车间做出的《合规性评价报告》，组织有关部门及车间对全公司有关法律法规及其他要求的符合性进行评价，评价内容可参考4.1a)-d)的有关内容，并做出全公司的《合规性评价报告》。评价报告内容要具体，事实要充分，确实体现出以客观存在的事实为依据，以有关法律法规及其他要求为准绳，进行判断、评价，评价报告可引用日常控制、监测的结果及有关执法部门出具的监测报告或证明文件。</w:t>
            </w:r>
          </w:p>
          <w:p>
            <w:pPr>
              <w:spacing w:line="360" w:lineRule="exact"/>
              <w:ind w:right="-88" w:rightChars="-42"/>
              <w:rPr>
                <w:rFonts w:ascii="宋体" w:hAnsi="宋体"/>
                <w:szCs w:val="21"/>
              </w:rPr>
            </w:pPr>
            <w:r>
              <w:rPr>
                <w:rFonts w:hint="eastAsia" w:ascii="宋体" w:hAnsi="宋体"/>
                <w:b/>
                <w:szCs w:val="21"/>
              </w:rPr>
              <w:t>4.4.</w:t>
            </w:r>
            <w:r>
              <w:rPr>
                <w:rFonts w:hint="eastAsia" w:ascii="宋体" w:hAnsi="宋体"/>
                <w:szCs w:val="21"/>
              </w:rPr>
              <w:t xml:space="preserve"> 各部门/车间及综合部在对有关法律法规及其他要求的遵循情况进行监测和评价过程中发现的违法或不符合现象，执行《事件、不符合调查处理控制程序》和《改进控制程序》，由综合部组织有关部门或人员进行调查、处理，采取相应的纠正和预防措施并验证措施的有效性。在每次管理评审时，由总经理主持对有关法律法规及其他要求的遵循情况及其符合性进行评审，并保持相关记录，执行《管理评审控制程序》。</w:t>
            </w:r>
          </w:p>
          <w:p>
            <w:pPr>
              <w:spacing w:line="360" w:lineRule="exact"/>
              <w:ind w:right="-88" w:rightChars="-42"/>
              <w:rPr>
                <w:rFonts w:ascii="宋体" w:hAnsi="宋体"/>
                <w:szCs w:val="21"/>
              </w:rPr>
            </w:pPr>
            <w:r>
              <w:rPr>
                <w:rFonts w:hint="eastAsia" w:ascii="宋体" w:hAnsi="宋体"/>
                <w:b/>
                <w:szCs w:val="21"/>
              </w:rPr>
              <w:t>4.5.</w:t>
            </w:r>
            <w:r>
              <w:rPr>
                <w:rFonts w:hint="eastAsia" w:ascii="宋体" w:hAnsi="宋体"/>
                <w:szCs w:val="21"/>
              </w:rPr>
              <w:t xml:space="preserve"> 所有与法律法规及其他要求的的监测、评价记录由综合部归口管理，具体执行《记录控制程序》的有关要求。</w:t>
            </w:r>
          </w:p>
          <w:p>
            <w:pPr>
              <w:spacing w:line="360" w:lineRule="exact"/>
              <w:ind w:right="-88" w:rightChars="-42"/>
              <w:outlineLvl w:val="0"/>
              <w:rPr>
                <w:rFonts w:ascii="宋体" w:hAnsi="宋体"/>
                <w:b/>
                <w:szCs w:val="21"/>
              </w:rPr>
            </w:pPr>
            <w:r>
              <w:rPr>
                <w:rFonts w:hint="eastAsia" w:ascii="宋体" w:hAnsi="宋体"/>
                <w:b/>
                <w:szCs w:val="21"/>
              </w:rPr>
              <w:t>5. 相关/支持性文件</w:t>
            </w:r>
          </w:p>
          <w:p>
            <w:pPr>
              <w:spacing w:line="360" w:lineRule="exact"/>
              <w:ind w:right="-88" w:rightChars="-42"/>
              <w:rPr>
                <w:rFonts w:ascii="宋体" w:hAnsi="宋体"/>
                <w:szCs w:val="21"/>
              </w:rPr>
            </w:pPr>
            <w:r>
              <w:rPr>
                <w:rFonts w:hint="eastAsia" w:ascii="宋体" w:hAnsi="宋体"/>
                <w:szCs w:val="21"/>
              </w:rPr>
              <w:t>5.1. 《事件、不符合调查处理控制程序》</w:t>
            </w:r>
          </w:p>
          <w:p>
            <w:pPr>
              <w:spacing w:line="360" w:lineRule="exact"/>
              <w:ind w:right="-88" w:rightChars="-42"/>
              <w:rPr>
                <w:rFonts w:ascii="宋体" w:hAnsi="宋体"/>
                <w:szCs w:val="21"/>
              </w:rPr>
            </w:pPr>
            <w:r>
              <w:rPr>
                <w:rFonts w:hint="eastAsia" w:ascii="宋体" w:hAnsi="宋体"/>
                <w:szCs w:val="21"/>
              </w:rPr>
              <w:t>5.2. 《改进控制程序》</w:t>
            </w:r>
          </w:p>
          <w:p>
            <w:pPr>
              <w:spacing w:line="360" w:lineRule="exact"/>
              <w:ind w:right="-88" w:rightChars="-42"/>
              <w:rPr>
                <w:rFonts w:ascii="宋体" w:hAnsi="宋体"/>
                <w:szCs w:val="21"/>
              </w:rPr>
            </w:pPr>
            <w:r>
              <w:rPr>
                <w:rFonts w:hint="eastAsia" w:ascii="宋体" w:hAnsi="宋体"/>
                <w:szCs w:val="21"/>
              </w:rPr>
              <w:t>5.3. 《管理评审控制程序》</w:t>
            </w:r>
          </w:p>
          <w:p>
            <w:pPr>
              <w:spacing w:line="360" w:lineRule="exact"/>
              <w:ind w:right="-88" w:rightChars="-42"/>
              <w:rPr>
                <w:rFonts w:ascii="宋体" w:hAnsi="宋体"/>
                <w:szCs w:val="21"/>
              </w:rPr>
            </w:pPr>
            <w:r>
              <w:rPr>
                <w:rFonts w:hint="eastAsia" w:ascii="宋体" w:hAnsi="宋体"/>
                <w:szCs w:val="21"/>
              </w:rPr>
              <w:t>5.4. 《记录控制程序》</w:t>
            </w:r>
          </w:p>
          <w:p>
            <w:pPr>
              <w:spacing w:line="360" w:lineRule="exact"/>
              <w:ind w:right="-88" w:rightChars="-42"/>
              <w:outlineLvl w:val="0"/>
              <w:rPr>
                <w:rFonts w:ascii="宋体" w:hAnsi="宋体"/>
                <w:b/>
                <w:szCs w:val="21"/>
              </w:rPr>
            </w:pPr>
            <w:r>
              <w:rPr>
                <w:rFonts w:hint="eastAsia" w:ascii="宋体" w:hAnsi="宋体"/>
                <w:b/>
                <w:szCs w:val="21"/>
              </w:rPr>
              <w:t xml:space="preserve">6. 记录                                                                            </w:t>
            </w:r>
          </w:p>
          <w:p>
            <w:pPr>
              <w:tabs>
                <w:tab w:val="left" w:pos="2360"/>
              </w:tabs>
              <w:spacing w:line="360" w:lineRule="exact"/>
              <w:ind w:right="-88" w:rightChars="-42"/>
              <w:rPr>
                <w:rFonts w:ascii="宋体" w:hAnsi="宋体"/>
                <w:szCs w:val="21"/>
              </w:rPr>
            </w:pPr>
            <w:r>
              <w:rPr>
                <w:rFonts w:hint="eastAsia" w:ascii="宋体" w:hAnsi="宋体"/>
                <w:szCs w:val="21"/>
              </w:rPr>
              <w:t>6.1. 《合规性评价报告》</w:t>
            </w: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tc>
      </w:tr>
    </w:tbl>
    <w:p/>
    <w:p/>
    <w:p/>
    <w:p/>
    <w:tbl>
      <w:tblPr>
        <w:tblStyle w:val="9"/>
        <w:tblW w:w="10324"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0"/>
        <w:gridCol w:w="2306"/>
        <w:gridCol w:w="2679"/>
        <w:gridCol w:w="1610"/>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620" w:type="dxa"/>
            <w:vMerge w:val="restart"/>
          </w:tcPr>
          <w:p/>
        </w:tc>
        <w:tc>
          <w:tcPr>
            <w:tcW w:w="2306" w:type="dxa"/>
            <w:vAlign w:val="center"/>
          </w:tcPr>
          <w:p>
            <w:pPr>
              <w:jc w:val="center"/>
              <w:rPr>
                <w:rFonts w:ascii="宋体"/>
                <w:b/>
                <w:sz w:val="28"/>
              </w:rPr>
            </w:pPr>
            <w:r>
              <w:rPr>
                <w:rFonts w:hint="eastAsia" w:ascii="宋体"/>
                <w:b/>
                <w:sz w:val="28"/>
              </w:rPr>
              <w:t>文件名称</w:t>
            </w:r>
          </w:p>
        </w:tc>
        <w:tc>
          <w:tcPr>
            <w:tcW w:w="2679" w:type="dxa"/>
            <w:vAlign w:val="center"/>
          </w:tcPr>
          <w:p>
            <w:pPr>
              <w:jc w:val="center"/>
              <w:rPr>
                <w:rFonts w:ascii="宋体"/>
                <w:b/>
                <w:sz w:val="28"/>
              </w:rPr>
            </w:pPr>
            <w:r>
              <w:rPr>
                <w:rFonts w:hint="eastAsia" w:ascii="宋体"/>
                <w:b/>
                <w:sz w:val="28"/>
              </w:rPr>
              <w:t>数据分析控制程序</w:t>
            </w:r>
          </w:p>
        </w:tc>
        <w:tc>
          <w:tcPr>
            <w:tcW w:w="1610" w:type="dxa"/>
            <w:vAlign w:val="center"/>
          </w:tcPr>
          <w:p>
            <w:pPr>
              <w:jc w:val="center"/>
              <w:rPr>
                <w:rFonts w:ascii="宋体"/>
                <w:b/>
                <w:sz w:val="28"/>
              </w:rPr>
            </w:pPr>
            <w:r>
              <w:rPr>
                <w:rFonts w:hint="eastAsia" w:ascii="宋体"/>
                <w:b/>
                <w:sz w:val="28"/>
              </w:rPr>
              <w:t>版次</w:t>
            </w:r>
          </w:p>
        </w:tc>
        <w:tc>
          <w:tcPr>
            <w:tcW w:w="1109" w:type="dxa"/>
            <w:vAlign w:val="center"/>
          </w:tcPr>
          <w:p>
            <w:pPr>
              <w:jc w:val="center"/>
              <w:rPr>
                <w:rFonts w:ascii="宋体"/>
                <w:b/>
                <w:sz w:val="28"/>
              </w:rPr>
            </w:pPr>
            <w:r>
              <w:rPr>
                <w:rFonts w:hint="eastAsia" w:ascii="宋体"/>
                <w:b/>
                <w:sz w:val="2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620" w:type="dxa"/>
            <w:vMerge w:val="continue"/>
          </w:tcPr>
          <w:p>
            <w:pPr>
              <w:spacing w:line="400" w:lineRule="exact"/>
              <w:jc w:val="center"/>
              <w:rPr>
                <w:rFonts w:eastAsia="黑体"/>
                <w:b/>
                <w:sz w:val="36"/>
              </w:rPr>
            </w:pPr>
          </w:p>
        </w:tc>
        <w:tc>
          <w:tcPr>
            <w:tcW w:w="2306" w:type="dxa"/>
            <w:vAlign w:val="center"/>
          </w:tcPr>
          <w:p>
            <w:pPr>
              <w:spacing w:line="400" w:lineRule="exact"/>
              <w:jc w:val="center"/>
              <w:rPr>
                <w:rFonts w:ascii="宋体"/>
                <w:b/>
                <w:sz w:val="28"/>
              </w:rPr>
            </w:pPr>
            <w:r>
              <w:rPr>
                <w:rFonts w:hint="eastAsia" w:ascii="宋体"/>
                <w:b/>
                <w:sz w:val="28"/>
              </w:rPr>
              <w:t>文件编号</w:t>
            </w:r>
          </w:p>
        </w:tc>
        <w:tc>
          <w:tcPr>
            <w:tcW w:w="2679" w:type="dxa"/>
            <w:vAlign w:val="center"/>
          </w:tcPr>
          <w:p>
            <w:pPr>
              <w:spacing w:line="400" w:lineRule="exact"/>
              <w:jc w:val="center"/>
              <w:rPr>
                <w:rFonts w:ascii="宋体"/>
                <w:b/>
                <w:sz w:val="28"/>
              </w:rPr>
            </w:pPr>
            <w:r>
              <w:rPr>
                <w:rFonts w:hint="eastAsia" w:ascii="宋体"/>
                <w:b/>
                <w:sz w:val="28"/>
              </w:rPr>
              <w:t>LQY—P—28</w:t>
            </w:r>
          </w:p>
        </w:tc>
        <w:tc>
          <w:tcPr>
            <w:tcW w:w="1610" w:type="dxa"/>
            <w:vAlign w:val="center"/>
          </w:tcPr>
          <w:p>
            <w:pPr>
              <w:spacing w:line="400" w:lineRule="exact"/>
              <w:jc w:val="center"/>
              <w:rPr>
                <w:rFonts w:ascii="宋体"/>
                <w:b/>
                <w:sz w:val="28"/>
              </w:rPr>
            </w:pPr>
            <w:r>
              <w:rPr>
                <w:rFonts w:hint="eastAsia" w:ascii="宋体"/>
                <w:b/>
                <w:sz w:val="28"/>
              </w:rPr>
              <w:t>修改状态</w:t>
            </w:r>
          </w:p>
        </w:tc>
        <w:tc>
          <w:tcPr>
            <w:tcW w:w="1109" w:type="dxa"/>
            <w:vAlign w:val="center"/>
          </w:tcPr>
          <w:p>
            <w:pPr>
              <w:spacing w:line="400" w:lineRule="exact"/>
              <w:jc w:val="center"/>
              <w:rPr>
                <w:rFonts w:ascii="宋体"/>
                <w:b/>
                <w:sz w:val="28"/>
              </w:rPr>
            </w:pPr>
            <w:r>
              <w:rPr>
                <w:rFonts w:hint="eastAsia" w:ascii="宋体"/>
                <w:b/>
                <w:sz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5" w:hRule="atLeast"/>
        </w:trPr>
        <w:tc>
          <w:tcPr>
            <w:tcW w:w="10324" w:type="dxa"/>
            <w:gridSpan w:val="5"/>
          </w:tcPr>
          <w:p>
            <w:pPr>
              <w:spacing w:line="400" w:lineRule="exact"/>
              <w:jc w:val="left"/>
            </w:pPr>
            <w:r>
              <w:rPr>
                <w:rFonts w:hint="eastAsia"/>
              </w:rPr>
              <w:t>1. 目的：</w:t>
            </w:r>
          </w:p>
          <w:p>
            <w:pPr>
              <w:spacing w:line="400" w:lineRule="exact"/>
              <w:jc w:val="left"/>
            </w:pPr>
            <w:r>
              <w:rPr>
                <w:rFonts w:hint="eastAsia"/>
              </w:rPr>
              <w:t xml:space="preserve">   采用适当的数据分析，以及各单位绩效达成状况，了解、分析进货质量、工序质量、成品质量、服务质量等相关质量资料，及时发现问题并采取相应的改善措施，提高产品及服务质量。</w:t>
            </w:r>
          </w:p>
          <w:p>
            <w:pPr>
              <w:spacing w:line="400" w:lineRule="exact"/>
              <w:jc w:val="left"/>
            </w:pPr>
            <w:r>
              <w:rPr>
                <w:rFonts w:hint="eastAsia"/>
              </w:rPr>
              <w:t>2. 适用范围：</w:t>
            </w:r>
          </w:p>
          <w:p>
            <w:pPr>
              <w:spacing w:line="400" w:lineRule="exact"/>
              <w:jc w:val="left"/>
            </w:pPr>
            <w:r>
              <w:rPr>
                <w:rFonts w:hint="eastAsia"/>
              </w:rPr>
              <w:t xml:space="preserve">   适用于从供方管理到原材料供应、工序控制、成品质量、顾客满意度及绩效管理等各项管理活动。</w:t>
            </w:r>
          </w:p>
          <w:p>
            <w:pPr>
              <w:spacing w:line="400" w:lineRule="exact"/>
              <w:jc w:val="left"/>
            </w:pPr>
            <w:r>
              <w:rPr>
                <w:rFonts w:hint="eastAsia"/>
              </w:rPr>
              <w:t>3. 职责：</w:t>
            </w:r>
          </w:p>
          <w:p>
            <w:pPr>
              <w:spacing w:line="400" w:lineRule="exact"/>
              <w:jc w:val="left"/>
            </w:pPr>
            <w:r>
              <w:rPr>
                <w:rFonts w:hint="eastAsia"/>
              </w:rPr>
              <w:t>3.1 记录的统计分析： 各责任部门。</w:t>
            </w:r>
          </w:p>
          <w:p>
            <w:pPr>
              <w:spacing w:line="400" w:lineRule="exact"/>
              <w:jc w:val="left"/>
            </w:pPr>
            <w:r>
              <w:rPr>
                <w:rFonts w:hint="eastAsia"/>
              </w:rPr>
              <w:t>3.2 各部门统计资料的汇总： 生产车间。</w:t>
            </w:r>
          </w:p>
          <w:p>
            <w:pPr>
              <w:spacing w:line="400" w:lineRule="exact"/>
              <w:jc w:val="left"/>
            </w:pPr>
            <w:r>
              <w:rPr>
                <w:rFonts w:hint="eastAsia"/>
              </w:rPr>
              <w:t>4. 定义： 无。</w:t>
            </w:r>
          </w:p>
          <w:p>
            <w:pPr>
              <w:spacing w:line="400" w:lineRule="exact"/>
              <w:jc w:val="left"/>
            </w:pPr>
            <w:r>
              <w:rPr>
                <w:rFonts w:hint="eastAsia"/>
              </w:rPr>
              <w:t xml:space="preserve">5. 工作内容： </w:t>
            </w:r>
          </w:p>
          <w:p>
            <w:pPr>
              <w:spacing w:line="400" w:lineRule="exact"/>
              <w:jc w:val="left"/>
            </w:pPr>
            <w:r>
              <w:rPr>
                <w:rFonts w:hint="eastAsia"/>
              </w:rPr>
              <w:t>5.1 数据收集与分析</w:t>
            </w:r>
          </w:p>
          <w:p>
            <w:pPr>
              <w:spacing w:line="400" w:lineRule="exact"/>
              <w:jc w:val="left"/>
            </w:pPr>
            <w:r>
              <w:rPr>
                <w:rFonts w:hint="eastAsia"/>
              </w:rPr>
              <w:t>5.1.1 原材料及外购外协产品件进货质量统计由各检验部门每十天统计一次报生产车间,生产车间根据提报的结果，进行汇总分析，以了解进货质量情况，对供方和业绩考核由物资公司按照《供方管理控制程序》执行。</w:t>
            </w:r>
          </w:p>
          <w:p>
            <w:pPr>
              <w:spacing w:line="400" w:lineRule="exact"/>
              <w:jc w:val="left"/>
            </w:pPr>
            <w:r>
              <w:rPr>
                <w:rFonts w:hint="eastAsia"/>
              </w:rPr>
              <w:t>5.1.2 各厂生产车间对重点工序质量情况进行统计并且将结果报生产车间；生产车间对成品检验结果和各车间重点工序质量情况进行分类汇总统计。</w:t>
            </w:r>
          </w:p>
          <w:p>
            <w:pPr>
              <w:spacing w:line="400" w:lineRule="exact"/>
              <w:jc w:val="left"/>
            </w:pPr>
            <w:r>
              <w:rPr>
                <w:rFonts w:hint="eastAsia"/>
              </w:rPr>
              <w:t>5.1.3 顾客满意度:每半年由回收利用部门进行一次顾客满意度调查。</w:t>
            </w:r>
          </w:p>
          <w:p>
            <w:pPr>
              <w:spacing w:line="400" w:lineRule="exact"/>
              <w:jc w:val="left"/>
            </w:pPr>
            <w:r>
              <w:rPr>
                <w:rFonts w:hint="eastAsia"/>
              </w:rPr>
              <w:t>5.1.4 各部门针对各自的绩效考核指标，统计相关数据。</w:t>
            </w:r>
          </w:p>
          <w:p>
            <w:pPr>
              <w:spacing w:line="400" w:lineRule="exact"/>
              <w:jc w:val="left"/>
            </w:pPr>
            <w:r>
              <w:rPr>
                <w:rFonts w:hint="eastAsia"/>
              </w:rPr>
              <w:t>5.2 以上统计项目由各责任部门自行统计，除顾客满意度调查每年两次外，其它各类统计要在每月三日前将上月的统计资料报生产车间进行汇总（绩效考核指标中另有规定的除外），汇总结果向分管经理和总经理汇报。</w:t>
            </w:r>
          </w:p>
          <w:p>
            <w:pPr>
              <w:spacing w:line="400" w:lineRule="exact"/>
              <w:jc w:val="left"/>
            </w:pPr>
            <w:r>
              <w:rPr>
                <w:rFonts w:hint="eastAsia"/>
              </w:rPr>
              <w:t>5.3 统计方法的选择：各部门可以根据各自实际统计需求适当选择统计方法，主要包括：各种表格、排列图、因果图、峰谷图、直方图等，以便有效表达出质量状况。</w:t>
            </w:r>
          </w:p>
          <w:p>
            <w:pPr>
              <w:spacing w:line="400" w:lineRule="exact"/>
              <w:jc w:val="left"/>
            </w:pPr>
            <w:r>
              <w:rPr>
                <w:rFonts w:hint="eastAsia"/>
              </w:rPr>
              <w:t>5.4 各部门统计结果在每月十日前的质量会议上报告研究。</w:t>
            </w:r>
          </w:p>
          <w:p>
            <w:pPr>
              <w:spacing w:line="400" w:lineRule="exact"/>
              <w:jc w:val="left"/>
            </w:pPr>
            <w:r>
              <w:rPr>
                <w:rFonts w:hint="eastAsia"/>
              </w:rPr>
              <w:t>5.5 如经统计分析后，发现有重大质量问题，或有潜伏质量问题及绩效考核指标，未达成时，参照《纠正和预防措施控制程序》，有责任采取有效措施，并由生产车间进行效果验证。</w:t>
            </w:r>
          </w:p>
          <w:p>
            <w:pPr>
              <w:spacing w:line="400" w:lineRule="exact"/>
              <w:jc w:val="left"/>
            </w:pPr>
            <w:r>
              <w:rPr>
                <w:rFonts w:hint="eastAsia"/>
              </w:rPr>
              <w:t>5.6 相关记录参照《记录控制程序》由各相关单位保存。</w:t>
            </w:r>
          </w:p>
          <w:p>
            <w:pPr>
              <w:spacing w:line="400" w:lineRule="exact"/>
              <w:jc w:val="left"/>
            </w:pPr>
            <w:r>
              <w:rPr>
                <w:rFonts w:hint="eastAsia"/>
              </w:rPr>
              <w:t>6. 相关/支持性文件：</w:t>
            </w:r>
          </w:p>
          <w:p>
            <w:pPr>
              <w:spacing w:line="400" w:lineRule="exact"/>
              <w:jc w:val="left"/>
            </w:pPr>
            <w:r>
              <w:rPr>
                <w:rFonts w:hint="eastAsia"/>
              </w:rPr>
              <w:t>6.1 顾客满意度管理程序</w:t>
            </w:r>
          </w:p>
          <w:p>
            <w:pPr>
              <w:spacing w:line="400" w:lineRule="exact"/>
              <w:jc w:val="left"/>
            </w:pPr>
            <w:r>
              <w:rPr>
                <w:rFonts w:hint="eastAsia"/>
              </w:rPr>
              <w:t>6.2 纠正和预防措施控制程序</w:t>
            </w:r>
          </w:p>
          <w:p>
            <w:pPr>
              <w:spacing w:line="400" w:lineRule="exact"/>
              <w:jc w:val="left"/>
            </w:pPr>
            <w:r>
              <w:rPr>
                <w:rFonts w:hint="eastAsia"/>
              </w:rPr>
              <w:t>6.3 记录控制程序</w:t>
            </w:r>
          </w:p>
          <w:p>
            <w:pPr>
              <w:spacing w:line="400" w:lineRule="exact"/>
              <w:jc w:val="left"/>
            </w:pPr>
            <w:r>
              <w:rPr>
                <w:rFonts w:hint="eastAsia"/>
              </w:rPr>
              <w:t>7. 记录（无）</w:t>
            </w:r>
          </w:p>
        </w:tc>
      </w:tr>
    </w:tbl>
    <w:p/>
    <w:p/>
    <w:p/>
    <w:tbl>
      <w:tblPr>
        <w:tblStyle w:val="9"/>
        <w:tblW w:w="10324"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8"/>
        <w:gridCol w:w="1843"/>
        <w:gridCol w:w="3021"/>
        <w:gridCol w:w="1819"/>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478" w:type="dxa"/>
            <w:vMerge w:val="restart"/>
          </w:tcPr>
          <w:p>
            <w:pPr>
              <w:spacing w:line="400" w:lineRule="exact"/>
            </w:pPr>
          </w:p>
        </w:tc>
        <w:tc>
          <w:tcPr>
            <w:tcW w:w="1843" w:type="dxa"/>
            <w:vAlign w:val="center"/>
          </w:tcPr>
          <w:p>
            <w:pPr>
              <w:spacing w:line="400" w:lineRule="exact"/>
              <w:jc w:val="center"/>
              <w:rPr>
                <w:rFonts w:ascii="宋体"/>
                <w:b/>
                <w:sz w:val="28"/>
              </w:rPr>
            </w:pPr>
            <w:r>
              <w:rPr>
                <w:rFonts w:hint="eastAsia" w:ascii="宋体"/>
                <w:b/>
                <w:sz w:val="28"/>
              </w:rPr>
              <w:t>文件名称</w:t>
            </w:r>
          </w:p>
        </w:tc>
        <w:tc>
          <w:tcPr>
            <w:tcW w:w="3021" w:type="dxa"/>
            <w:vAlign w:val="center"/>
          </w:tcPr>
          <w:p>
            <w:pPr>
              <w:spacing w:line="400" w:lineRule="exact"/>
              <w:jc w:val="center"/>
              <w:rPr>
                <w:rFonts w:ascii="宋体"/>
                <w:b/>
                <w:sz w:val="28"/>
              </w:rPr>
            </w:pPr>
            <w:r>
              <w:rPr>
                <w:rFonts w:hint="eastAsia" w:ascii="宋体"/>
                <w:b/>
                <w:sz w:val="28"/>
              </w:rPr>
              <w:t>内部审核控制程序</w:t>
            </w:r>
          </w:p>
        </w:tc>
        <w:tc>
          <w:tcPr>
            <w:tcW w:w="1819" w:type="dxa"/>
            <w:vAlign w:val="center"/>
          </w:tcPr>
          <w:p>
            <w:pPr>
              <w:spacing w:line="400" w:lineRule="exact"/>
              <w:jc w:val="center"/>
              <w:rPr>
                <w:rFonts w:ascii="宋体"/>
                <w:b/>
                <w:sz w:val="28"/>
              </w:rPr>
            </w:pPr>
            <w:r>
              <w:rPr>
                <w:rFonts w:hint="eastAsia" w:ascii="宋体"/>
                <w:b/>
                <w:sz w:val="28"/>
              </w:rPr>
              <w:t>版次</w:t>
            </w:r>
          </w:p>
        </w:tc>
        <w:tc>
          <w:tcPr>
            <w:tcW w:w="1163" w:type="dxa"/>
            <w:vAlign w:val="center"/>
          </w:tcPr>
          <w:p>
            <w:pPr>
              <w:spacing w:line="400" w:lineRule="exact"/>
              <w:jc w:val="center"/>
              <w:rPr>
                <w:rFonts w:ascii="宋体"/>
                <w:b/>
                <w:sz w:val="28"/>
              </w:rPr>
            </w:pPr>
            <w:r>
              <w:rPr>
                <w:rFonts w:hint="eastAsia" w:ascii="宋体"/>
                <w:b/>
                <w:sz w:val="28"/>
              </w:rPr>
              <w:t xml:space="preserve">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478" w:type="dxa"/>
            <w:vMerge w:val="continue"/>
          </w:tcPr>
          <w:p>
            <w:pPr>
              <w:spacing w:line="400" w:lineRule="exact"/>
              <w:jc w:val="center"/>
              <w:rPr>
                <w:rFonts w:eastAsia="黑体"/>
                <w:b/>
                <w:sz w:val="36"/>
              </w:rPr>
            </w:pPr>
          </w:p>
        </w:tc>
        <w:tc>
          <w:tcPr>
            <w:tcW w:w="1843" w:type="dxa"/>
            <w:vAlign w:val="center"/>
          </w:tcPr>
          <w:p>
            <w:pPr>
              <w:spacing w:line="400" w:lineRule="exact"/>
              <w:jc w:val="center"/>
              <w:rPr>
                <w:rFonts w:ascii="宋体"/>
                <w:b/>
                <w:sz w:val="28"/>
              </w:rPr>
            </w:pPr>
            <w:r>
              <w:rPr>
                <w:rFonts w:hint="eastAsia" w:ascii="宋体"/>
                <w:b/>
                <w:sz w:val="28"/>
              </w:rPr>
              <w:t>文件编号</w:t>
            </w:r>
          </w:p>
        </w:tc>
        <w:tc>
          <w:tcPr>
            <w:tcW w:w="3021" w:type="dxa"/>
            <w:vAlign w:val="center"/>
          </w:tcPr>
          <w:p>
            <w:pPr>
              <w:spacing w:line="400" w:lineRule="exact"/>
              <w:jc w:val="center"/>
              <w:rPr>
                <w:rFonts w:ascii="宋体"/>
                <w:b/>
                <w:sz w:val="28"/>
              </w:rPr>
            </w:pPr>
            <w:r>
              <w:rPr>
                <w:rFonts w:hint="eastAsia" w:ascii="宋体"/>
                <w:b/>
                <w:sz w:val="28"/>
              </w:rPr>
              <w:t>LQY—P—29</w:t>
            </w:r>
          </w:p>
        </w:tc>
        <w:tc>
          <w:tcPr>
            <w:tcW w:w="1819" w:type="dxa"/>
            <w:vAlign w:val="center"/>
          </w:tcPr>
          <w:p>
            <w:pPr>
              <w:spacing w:line="400" w:lineRule="exact"/>
              <w:jc w:val="center"/>
              <w:rPr>
                <w:rFonts w:ascii="宋体"/>
                <w:b/>
                <w:sz w:val="28"/>
              </w:rPr>
            </w:pPr>
            <w:r>
              <w:rPr>
                <w:rFonts w:hint="eastAsia" w:ascii="宋体"/>
                <w:b/>
                <w:sz w:val="28"/>
              </w:rPr>
              <w:t>修改状态</w:t>
            </w:r>
          </w:p>
        </w:tc>
        <w:tc>
          <w:tcPr>
            <w:tcW w:w="1163" w:type="dxa"/>
            <w:vAlign w:val="center"/>
          </w:tcPr>
          <w:p>
            <w:pPr>
              <w:spacing w:line="400" w:lineRule="exact"/>
              <w:jc w:val="center"/>
              <w:rPr>
                <w:rFonts w:ascii="宋体"/>
                <w:b/>
                <w:sz w:val="28"/>
              </w:rPr>
            </w:pPr>
            <w:r>
              <w:rPr>
                <w:rFonts w:hint="eastAsia" w:ascii="宋体"/>
                <w:b/>
                <w:sz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5" w:hRule="atLeast"/>
        </w:trPr>
        <w:tc>
          <w:tcPr>
            <w:tcW w:w="10324" w:type="dxa"/>
            <w:gridSpan w:val="5"/>
          </w:tcPr>
          <w:p>
            <w:pPr>
              <w:jc w:val="left"/>
            </w:pPr>
            <w:r>
              <w:rPr>
                <w:rFonts w:hint="eastAsia"/>
              </w:rPr>
              <w:t>1. 目的：</w:t>
            </w:r>
          </w:p>
          <w:p>
            <w:pPr>
              <w:jc w:val="left"/>
            </w:pPr>
            <w:r>
              <w:rPr>
                <w:rFonts w:hint="eastAsia"/>
              </w:rPr>
              <w:t xml:space="preserve">  定期进行内部管理体系审核，确保管理体系持续、有效的运行，并为管理评审和管理体系的改进提供依据。</w:t>
            </w:r>
          </w:p>
          <w:p>
            <w:pPr>
              <w:jc w:val="left"/>
            </w:pPr>
            <w:r>
              <w:rPr>
                <w:rFonts w:hint="eastAsia"/>
              </w:rPr>
              <w:t>2. 适用范围：</w:t>
            </w:r>
          </w:p>
          <w:p>
            <w:pPr>
              <w:jc w:val="left"/>
            </w:pPr>
            <w:r>
              <w:rPr>
                <w:rFonts w:hint="eastAsia"/>
              </w:rPr>
              <w:t xml:space="preserve">  本程序适用于公司管理体系内部审核活动的控制。</w:t>
            </w:r>
          </w:p>
          <w:p>
            <w:pPr>
              <w:jc w:val="left"/>
            </w:pPr>
            <w:r>
              <w:rPr>
                <w:rFonts w:hint="eastAsia"/>
              </w:rPr>
              <w:t>3. 职责：</w:t>
            </w:r>
          </w:p>
          <w:p>
            <w:pPr>
              <w:jc w:val="left"/>
            </w:pPr>
            <w:r>
              <w:rPr>
                <w:rFonts w:hint="eastAsia"/>
              </w:rPr>
              <w:t>3.1 综合部负责内部审核活动的控制。</w:t>
            </w:r>
          </w:p>
          <w:p>
            <w:pPr>
              <w:jc w:val="left"/>
            </w:pPr>
            <w:r>
              <w:rPr>
                <w:rFonts w:hint="eastAsia"/>
              </w:rPr>
              <w:t>3.2 审核组具体实施内部审核。</w:t>
            </w:r>
          </w:p>
          <w:p>
            <w:pPr>
              <w:jc w:val="left"/>
            </w:pPr>
            <w:r>
              <w:rPr>
                <w:rFonts w:hint="eastAsia"/>
              </w:rPr>
              <w:t>4. 定义：无。</w:t>
            </w:r>
          </w:p>
          <w:p>
            <w:pPr>
              <w:jc w:val="left"/>
            </w:pPr>
            <w:r>
              <w:rPr>
                <w:rFonts w:hint="eastAsia"/>
              </w:rPr>
              <w:t>5. 工作流程：</w:t>
            </w:r>
          </w:p>
          <w:p>
            <w:pPr>
              <w:jc w:val="left"/>
            </w:pPr>
            <w:r>
              <w:rPr>
                <w:rFonts w:hint="eastAsia"/>
              </w:rPr>
              <w:t>5.1 流程图（见附件）。</w:t>
            </w:r>
          </w:p>
          <w:p>
            <w:pPr>
              <w:jc w:val="left"/>
            </w:pPr>
            <w:r>
              <w:rPr>
                <w:rFonts w:hint="eastAsia"/>
              </w:rPr>
              <w:t>5.2 审核时间</w:t>
            </w:r>
          </w:p>
          <w:p>
            <w:pPr>
              <w:jc w:val="left"/>
            </w:pPr>
            <w:r>
              <w:rPr>
                <w:rFonts w:hint="eastAsia"/>
              </w:rPr>
              <w:t xml:space="preserve">    正常情况下，本公司管理体系内部审核每年一次，特殊审核临时安排。</w:t>
            </w:r>
          </w:p>
          <w:p>
            <w:pPr>
              <w:ind w:left="315" w:hanging="315" w:hangingChars="150"/>
              <w:jc w:val="left"/>
            </w:pPr>
            <w:r>
              <w:rPr>
                <w:rFonts w:hint="eastAsia"/>
              </w:rPr>
              <w:t>5.3 管理者代表提名审核组长及审核员；综合部制定内部审核工作计划，报管理者代表批准，提前一周下达到管理体系涉及的各部门。</w:t>
            </w:r>
          </w:p>
          <w:p>
            <w:pPr>
              <w:ind w:left="315" w:hanging="315" w:hangingChars="150"/>
              <w:jc w:val="left"/>
            </w:pPr>
            <w:r>
              <w:rPr>
                <w:rFonts w:hint="eastAsia"/>
              </w:rPr>
              <w:t>5.4审核组成员</w:t>
            </w:r>
          </w:p>
          <w:p>
            <w:pPr>
              <w:ind w:left="210" w:hanging="210" w:hangingChars="100"/>
              <w:jc w:val="left"/>
            </w:pPr>
            <w:r>
              <w:rPr>
                <w:rFonts w:hint="eastAsia"/>
              </w:rPr>
              <w:t>5.4.1管理者代表根据审核部门及工作内容任命具有内部审核员资格的人担任审核组长及审核员，负责本次审核的具体工作。</w:t>
            </w:r>
          </w:p>
          <w:p>
            <w:pPr>
              <w:ind w:left="210" w:hanging="210" w:hangingChars="100"/>
              <w:jc w:val="left"/>
            </w:pPr>
            <w:r>
              <w:rPr>
                <w:rFonts w:hint="eastAsia"/>
              </w:rPr>
              <w:t>5.4.2审核组由三人以上组成，审核员与被审核单位无直接责任关系，并按计划适当分工。</w:t>
            </w:r>
          </w:p>
          <w:p>
            <w:pPr>
              <w:ind w:left="210" w:hanging="210" w:hangingChars="100"/>
              <w:jc w:val="left"/>
            </w:pPr>
            <w:r>
              <w:rPr>
                <w:rFonts w:hint="eastAsia"/>
              </w:rPr>
              <w:t>5.4.3合格审核员需符合以下条件：高中以上学历；入厂三年以上；曾受厂内外培训12小时以上。</w:t>
            </w:r>
          </w:p>
          <w:p>
            <w:pPr>
              <w:ind w:left="210" w:hanging="210" w:hangingChars="100"/>
              <w:jc w:val="left"/>
            </w:pPr>
            <w:r>
              <w:rPr>
                <w:rFonts w:hint="eastAsia"/>
              </w:rPr>
              <w:t>5.5审核准备</w:t>
            </w:r>
          </w:p>
          <w:p>
            <w:pPr>
              <w:ind w:left="210" w:hanging="210" w:hangingChars="100"/>
              <w:jc w:val="left"/>
            </w:pPr>
            <w:r>
              <w:rPr>
                <w:rFonts w:hint="eastAsia"/>
              </w:rPr>
              <w:t>5.5.1由审核组制定审核专用文件审核检查表，审核员不应审核自己的工作。</w:t>
            </w:r>
          </w:p>
          <w:p>
            <w:pPr>
              <w:ind w:left="210" w:hanging="210" w:hangingChars="100"/>
              <w:jc w:val="left"/>
            </w:pPr>
            <w:r>
              <w:rPr>
                <w:rFonts w:hint="eastAsia"/>
              </w:rPr>
              <w:t>5.5.2受审核部门收到《审核计划》后确定合适的陪同人员并做好必要的准备工作。</w:t>
            </w:r>
          </w:p>
          <w:p>
            <w:pPr>
              <w:ind w:left="210" w:hanging="210" w:hangingChars="100"/>
              <w:jc w:val="left"/>
            </w:pPr>
            <w:r>
              <w:rPr>
                <w:rFonts w:hint="eastAsia"/>
              </w:rPr>
              <w:t>5.6审核实施</w:t>
            </w:r>
          </w:p>
          <w:p>
            <w:pPr>
              <w:ind w:left="210" w:hanging="210" w:hangingChars="100"/>
              <w:jc w:val="left"/>
            </w:pPr>
            <w:r>
              <w:rPr>
                <w:rFonts w:hint="eastAsia"/>
              </w:rPr>
              <w:t>5.6.1首次会议</w:t>
            </w:r>
          </w:p>
          <w:p>
            <w:pPr>
              <w:ind w:left="210" w:hanging="210" w:hangingChars="100"/>
              <w:jc w:val="left"/>
            </w:pPr>
            <w:r>
              <w:rPr>
                <w:rFonts w:hint="eastAsia"/>
              </w:rPr>
              <w:t>5.6.1.1审核组长主持首次会议，向与会人员包括受审核部门负责人及全体审核人员阐明审核的目的、范围及依据。</w:t>
            </w:r>
          </w:p>
          <w:p>
            <w:pPr>
              <w:ind w:left="210" w:hanging="210" w:hangingChars="100"/>
              <w:jc w:val="left"/>
            </w:pPr>
            <w:r>
              <w:rPr>
                <w:rFonts w:hint="eastAsia"/>
              </w:rPr>
              <w:t>5.6.1.2介绍审核组成员的分工、审核方式、审核地点。</w:t>
            </w:r>
          </w:p>
          <w:p>
            <w:pPr>
              <w:ind w:left="210" w:hanging="210" w:hangingChars="100"/>
              <w:jc w:val="left"/>
            </w:pPr>
            <w:r>
              <w:rPr>
                <w:rFonts w:hint="eastAsia"/>
              </w:rPr>
              <w:t>5.6.2现场检查</w:t>
            </w:r>
          </w:p>
          <w:p>
            <w:pPr>
              <w:ind w:left="210" w:hanging="210" w:hangingChars="100"/>
              <w:jc w:val="left"/>
            </w:pPr>
            <w:r>
              <w:rPr>
                <w:rFonts w:hint="eastAsia"/>
              </w:rPr>
              <w:t>5.6.2.1审核的具体内容按照计划和检查表进行检查。</w:t>
            </w:r>
          </w:p>
          <w:p>
            <w:pPr>
              <w:ind w:left="210" w:hanging="210" w:hangingChars="100"/>
              <w:jc w:val="left"/>
            </w:pPr>
            <w:r>
              <w:rPr>
                <w:rFonts w:hint="eastAsia"/>
              </w:rPr>
              <w:t>5.6.2.2审核员通过交谈、查阅文件、检查现场、收集证据、检查质量管理体系运转情况并如实记录。</w:t>
            </w:r>
          </w:p>
          <w:p>
            <w:pPr>
              <w:ind w:left="210" w:hanging="210" w:hangingChars="100"/>
              <w:jc w:val="left"/>
            </w:pPr>
            <w:r>
              <w:rPr>
                <w:rFonts w:hint="eastAsia"/>
              </w:rPr>
              <w:t>5.6.2.3现场发现的问题，应当场让该项工作负责人（操作者）确认并填写《内部审核不合格项报告表》，经受审核方陪同人员确认。</w:t>
            </w:r>
          </w:p>
          <w:p>
            <w:pPr>
              <w:ind w:left="210" w:hanging="210" w:hangingChars="100"/>
              <w:jc w:val="left"/>
            </w:pPr>
            <w:r>
              <w:rPr>
                <w:rFonts w:hint="eastAsia"/>
              </w:rPr>
              <w:t>5.6.3末次会议</w:t>
            </w:r>
          </w:p>
          <w:p>
            <w:pPr>
              <w:ind w:left="210" w:hanging="210" w:hangingChars="100"/>
              <w:jc w:val="left"/>
            </w:pPr>
            <w:r>
              <w:rPr>
                <w:rFonts w:hint="eastAsia"/>
              </w:rPr>
              <w:t>5.6.3.1末次会议由审核组长主持，受审核部门负责人，有关人员及审核组成员参加。</w:t>
            </w:r>
          </w:p>
          <w:p>
            <w:pPr>
              <w:ind w:left="210" w:hanging="210" w:hangingChars="100"/>
              <w:jc w:val="left"/>
            </w:pPr>
            <w:r>
              <w:rPr>
                <w:rFonts w:hint="eastAsia"/>
              </w:rPr>
              <w:t>5.6.3.2审核组长总结管理体系运行状况，各审核员宣读不合格项报告。</w:t>
            </w:r>
          </w:p>
          <w:p>
            <w:pPr>
              <w:ind w:left="210" w:hanging="210" w:hangingChars="100"/>
              <w:jc w:val="left"/>
            </w:pPr>
            <w:r>
              <w:rPr>
                <w:rFonts w:hint="eastAsia"/>
              </w:rPr>
              <w:t>5.7 审核报告</w:t>
            </w:r>
          </w:p>
          <w:p>
            <w:pPr>
              <w:ind w:left="210" w:hanging="210" w:hangingChars="100"/>
              <w:jc w:val="left"/>
            </w:pPr>
            <w:r>
              <w:rPr>
                <w:rFonts w:hint="eastAsia"/>
              </w:rPr>
              <w:t>5.7.1 由审核组长编写《审核报告》，管理者代表签字，综合部下发。</w:t>
            </w:r>
          </w:p>
          <w:p>
            <w:pPr>
              <w:ind w:left="210" w:hanging="210" w:hangingChars="100"/>
              <w:jc w:val="left"/>
            </w:pPr>
            <w:r>
              <w:rPr>
                <w:rFonts w:hint="eastAsia"/>
              </w:rPr>
              <w:t>5.7.2 审核报告内容</w:t>
            </w:r>
          </w:p>
          <w:p>
            <w:pPr>
              <w:ind w:left="210" w:hanging="210" w:hangingChars="100"/>
              <w:jc w:val="left"/>
            </w:pPr>
            <w:r>
              <w:rPr>
                <w:rFonts w:hint="eastAsia"/>
              </w:rPr>
              <w:t>5.7.2.1 受审核部门、审核目的、范围、日期：</w:t>
            </w:r>
          </w:p>
          <w:p>
            <w:pPr>
              <w:ind w:left="210" w:hanging="210" w:hangingChars="100"/>
              <w:jc w:val="left"/>
            </w:pPr>
            <w:r>
              <w:rPr>
                <w:rFonts w:hint="eastAsia"/>
              </w:rPr>
              <w:t>5.7.2.2 审核依据文件；</w:t>
            </w:r>
          </w:p>
          <w:p>
            <w:pPr>
              <w:ind w:left="210" w:hanging="210" w:hangingChars="100"/>
              <w:jc w:val="left"/>
            </w:pPr>
            <w:r>
              <w:rPr>
                <w:rFonts w:hint="eastAsia"/>
              </w:rPr>
              <w:t>5.7.2.3 审核员、受审部门主要陪同人员；</w:t>
            </w:r>
          </w:p>
          <w:p>
            <w:pPr>
              <w:ind w:left="210" w:hanging="210" w:hangingChars="100"/>
              <w:jc w:val="left"/>
            </w:pPr>
            <w:r>
              <w:rPr>
                <w:rFonts w:hint="eastAsia"/>
              </w:rPr>
              <w:t>5.7.2.4 审核综述与分析；</w:t>
            </w:r>
          </w:p>
          <w:p>
            <w:pPr>
              <w:jc w:val="left"/>
            </w:pPr>
            <w:r>
              <w:rPr>
                <w:rFonts w:hint="eastAsia"/>
              </w:rPr>
              <w:t>5.7.2.5 不合格项及纠正要求。</w:t>
            </w:r>
          </w:p>
          <w:p>
            <w:pPr>
              <w:jc w:val="left"/>
            </w:pPr>
            <w:r>
              <w:rPr>
                <w:rFonts w:hint="eastAsia"/>
              </w:rPr>
              <w:t>5.7.3 审核报告发放范围</w:t>
            </w:r>
          </w:p>
          <w:p>
            <w:pPr>
              <w:jc w:val="left"/>
            </w:pPr>
            <w:r>
              <w:rPr>
                <w:rFonts w:hint="eastAsia"/>
              </w:rPr>
              <w:t>5.7.3.1 董事长、管理者代表；</w:t>
            </w:r>
          </w:p>
          <w:p>
            <w:pPr>
              <w:jc w:val="left"/>
            </w:pPr>
            <w:r>
              <w:rPr>
                <w:rFonts w:hint="eastAsia"/>
              </w:rPr>
              <w:t>5.7.3.2 受审核部门；</w:t>
            </w:r>
          </w:p>
          <w:p>
            <w:pPr>
              <w:jc w:val="left"/>
            </w:pPr>
            <w:r>
              <w:rPr>
                <w:rFonts w:hint="eastAsia"/>
              </w:rPr>
              <w:t>5.7.3.3 不合格项所涉及的相关部门。</w:t>
            </w:r>
          </w:p>
          <w:p>
            <w:pPr>
              <w:jc w:val="left"/>
            </w:pPr>
            <w:r>
              <w:rPr>
                <w:rFonts w:hint="eastAsia"/>
              </w:rPr>
              <w:t>5.8 受审核部门收到《内部审核不合格项报告》后，制定纠正和预防措施，明确预定完成日期，交综合部备案。</w:t>
            </w:r>
          </w:p>
          <w:p>
            <w:pPr>
              <w:jc w:val="left"/>
            </w:pPr>
            <w:r>
              <w:rPr>
                <w:rFonts w:hint="eastAsia"/>
              </w:rPr>
              <w:t>5.9 审核结束后一周内，审核组长将内审有关记录交综合部按《记录控制程序》保存。</w:t>
            </w:r>
          </w:p>
          <w:p>
            <w:pPr>
              <w:jc w:val="left"/>
            </w:pPr>
            <w:r>
              <w:rPr>
                <w:rFonts w:hint="eastAsia"/>
              </w:rPr>
              <w:t>5.10 综合部组织审核员对纠正措施栏中的工作项目验证其有效性，将检查结果记入纠正措施跟踪栏，并进行跟踪检查。</w:t>
            </w:r>
          </w:p>
          <w:p>
            <w:pPr>
              <w:jc w:val="left"/>
            </w:pPr>
            <w:r>
              <w:rPr>
                <w:rFonts w:hint="eastAsia"/>
              </w:rPr>
              <w:t>6. 相关/支持性文件</w:t>
            </w:r>
          </w:p>
          <w:p>
            <w:pPr>
              <w:jc w:val="left"/>
            </w:pPr>
            <w:r>
              <w:rPr>
                <w:rFonts w:hint="eastAsia"/>
              </w:rPr>
              <w:t>6.1 记录控制程序</w:t>
            </w:r>
          </w:p>
          <w:p>
            <w:pPr>
              <w:jc w:val="left"/>
            </w:pPr>
            <w:r>
              <w:rPr>
                <w:rFonts w:hint="eastAsia"/>
              </w:rPr>
              <w:t>6.2 管理评审控制程序</w:t>
            </w:r>
          </w:p>
          <w:p>
            <w:pPr>
              <w:jc w:val="left"/>
            </w:pPr>
            <w:r>
              <w:rPr>
                <w:rFonts w:hint="eastAsia"/>
              </w:rPr>
              <w:t>6.3 纠正和预防措施控制程序</w:t>
            </w:r>
          </w:p>
          <w:p>
            <w:pPr>
              <w:jc w:val="left"/>
            </w:pPr>
            <w:r>
              <w:rPr>
                <w:rFonts w:hint="eastAsia"/>
              </w:rPr>
              <w:t>7. 记录                         编号                版本                     保存期限</w:t>
            </w:r>
          </w:p>
          <w:p>
            <w:pPr>
              <w:jc w:val="left"/>
            </w:pPr>
            <w:r>
              <w:rPr>
                <w:rFonts w:hint="eastAsia"/>
              </w:rPr>
              <w:t>7.1 审核记录                      LQY-P-19-01             01                         三年</w:t>
            </w:r>
          </w:p>
          <w:p>
            <w:pPr>
              <w:jc w:val="left"/>
            </w:pPr>
            <w:r>
              <w:rPr>
                <w:rFonts w:hint="eastAsia"/>
              </w:rPr>
              <w:t>7.2 审核检查表                    LQY-P-19-02             01                         三年</w:t>
            </w:r>
          </w:p>
          <w:p>
            <w:pPr>
              <w:jc w:val="left"/>
            </w:pPr>
            <w:r>
              <w:rPr>
                <w:rFonts w:hint="eastAsia"/>
              </w:rPr>
              <w:t>7.3 内部审核不合格项报告          LQY-P-19-01             01                         三年</w:t>
            </w:r>
          </w:p>
          <w:p>
            <w:pPr>
              <w:jc w:val="left"/>
            </w:pPr>
            <w:r>
              <w:rPr>
                <w:rFonts w:hint="eastAsia"/>
              </w:rPr>
              <w:t>7.4 审核报告                      LQY-P-19-01             01                         三年</w:t>
            </w:r>
          </w:p>
          <w:p>
            <w:pPr>
              <w:ind w:left="210" w:hanging="210" w:hangingChars="100"/>
              <w:jc w:val="left"/>
            </w:pPr>
          </w:p>
        </w:tc>
      </w:tr>
    </w:tbl>
    <w:p/>
    <w:p/>
    <w:p/>
    <w:p/>
    <w:p/>
    <w:p/>
    <w:p/>
    <w:p/>
    <w:tbl>
      <w:tblPr>
        <w:tblStyle w:val="9"/>
        <w:tblW w:w="992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1701"/>
        <w:gridCol w:w="2751"/>
        <w:gridCol w:w="1890"/>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2410" w:type="dxa"/>
            <w:vMerge w:val="restart"/>
            <w:tcBorders>
              <w:top w:val="single" w:color="auto" w:sz="4" w:space="0"/>
              <w:left w:val="single" w:color="auto" w:sz="4" w:space="0"/>
              <w:right w:val="single" w:color="auto" w:sz="4" w:space="0"/>
            </w:tcBorders>
            <w:vAlign w:val="center"/>
          </w:tcPr>
          <w:p>
            <w:pPr>
              <w:spacing w:line="400" w:lineRule="exact"/>
              <w:jc w:val="center"/>
              <w:rPr>
                <w:rFonts w:eastAsia="黑体"/>
                <w:b/>
                <w:sz w:val="36"/>
              </w:rPr>
            </w:pPr>
          </w:p>
        </w:tc>
        <w:tc>
          <w:tcPr>
            <w:tcW w:w="1701" w:type="dxa"/>
            <w:tcBorders>
              <w:top w:val="single" w:color="auto" w:sz="4" w:space="0"/>
              <w:left w:val="single" w:color="auto" w:sz="4" w:space="0"/>
              <w:right w:val="nil"/>
            </w:tcBorders>
            <w:vAlign w:val="center"/>
          </w:tcPr>
          <w:p>
            <w:pPr>
              <w:spacing w:line="400" w:lineRule="exact"/>
              <w:jc w:val="center"/>
              <w:rPr>
                <w:rFonts w:ascii="宋体"/>
                <w:b/>
                <w:sz w:val="28"/>
              </w:rPr>
            </w:pPr>
            <w:r>
              <w:rPr>
                <w:rFonts w:hint="eastAsia" w:ascii="宋体"/>
                <w:b/>
                <w:sz w:val="28"/>
              </w:rPr>
              <w:t>文件名称</w:t>
            </w:r>
          </w:p>
        </w:tc>
        <w:tc>
          <w:tcPr>
            <w:tcW w:w="2751" w:type="dxa"/>
            <w:tcBorders>
              <w:top w:val="single" w:color="auto" w:sz="4" w:space="0"/>
              <w:left w:val="single" w:color="auto" w:sz="4" w:space="0"/>
              <w:right w:val="nil"/>
            </w:tcBorders>
            <w:vAlign w:val="center"/>
          </w:tcPr>
          <w:p>
            <w:pPr>
              <w:spacing w:line="400" w:lineRule="exact"/>
              <w:jc w:val="center"/>
              <w:rPr>
                <w:rFonts w:ascii="宋体"/>
                <w:b/>
                <w:sz w:val="28"/>
              </w:rPr>
            </w:pPr>
            <w:r>
              <w:rPr>
                <w:rFonts w:hint="eastAsia" w:ascii="宋体"/>
                <w:b/>
                <w:sz w:val="28"/>
              </w:rPr>
              <w:t>管理评审控制程序</w:t>
            </w:r>
          </w:p>
        </w:tc>
        <w:tc>
          <w:tcPr>
            <w:tcW w:w="1890" w:type="dxa"/>
            <w:tcBorders>
              <w:top w:val="single" w:color="auto" w:sz="4" w:space="0"/>
              <w:left w:val="single" w:color="auto" w:sz="4" w:space="0"/>
              <w:right w:val="nil"/>
            </w:tcBorders>
            <w:vAlign w:val="center"/>
          </w:tcPr>
          <w:p>
            <w:pPr>
              <w:spacing w:line="400" w:lineRule="exact"/>
              <w:jc w:val="center"/>
              <w:rPr>
                <w:rFonts w:ascii="宋体"/>
                <w:b/>
                <w:sz w:val="28"/>
              </w:rPr>
            </w:pPr>
            <w:r>
              <w:rPr>
                <w:rFonts w:hint="eastAsia" w:ascii="宋体"/>
                <w:b/>
                <w:sz w:val="28"/>
              </w:rPr>
              <w:t>版次</w:t>
            </w:r>
          </w:p>
        </w:tc>
        <w:tc>
          <w:tcPr>
            <w:tcW w:w="1171" w:type="dxa"/>
            <w:tcBorders>
              <w:top w:val="single" w:color="auto" w:sz="4" w:space="0"/>
              <w:left w:val="single" w:color="auto" w:sz="4" w:space="0"/>
              <w:right w:val="single" w:color="auto" w:sz="4" w:space="0"/>
            </w:tcBorders>
            <w:vAlign w:val="center"/>
          </w:tcPr>
          <w:p>
            <w:pPr>
              <w:spacing w:line="400" w:lineRule="exact"/>
              <w:jc w:val="center"/>
              <w:rPr>
                <w:rFonts w:ascii="宋体"/>
                <w:b/>
                <w:sz w:val="28"/>
              </w:rPr>
            </w:pPr>
            <w:r>
              <w:rPr>
                <w:rFonts w:hint="eastAsia" w:ascii="宋体"/>
                <w:b/>
                <w:sz w:val="28"/>
              </w:rPr>
              <w:t xml:space="preserve">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2410" w:type="dxa"/>
            <w:vMerge w:val="continue"/>
            <w:tcBorders>
              <w:left w:val="single" w:color="auto" w:sz="4" w:space="0"/>
              <w:right w:val="single" w:color="auto" w:sz="4" w:space="0"/>
            </w:tcBorders>
            <w:vAlign w:val="center"/>
          </w:tcPr>
          <w:p>
            <w:pPr>
              <w:spacing w:line="400" w:lineRule="exact"/>
              <w:jc w:val="center"/>
              <w:rPr>
                <w:rFonts w:eastAsia="黑体"/>
                <w:b/>
                <w:sz w:val="36"/>
              </w:rPr>
            </w:pPr>
          </w:p>
        </w:tc>
        <w:tc>
          <w:tcPr>
            <w:tcW w:w="1701" w:type="dxa"/>
            <w:tcBorders>
              <w:top w:val="single" w:color="auto" w:sz="4" w:space="0"/>
              <w:left w:val="single" w:color="auto" w:sz="4" w:space="0"/>
              <w:right w:val="nil"/>
            </w:tcBorders>
            <w:vAlign w:val="center"/>
          </w:tcPr>
          <w:p>
            <w:pPr>
              <w:spacing w:line="400" w:lineRule="exact"/>
              <w:jc w:val="center"/>
              <w:rPr>
                <w:rFonts w:ascii="宋体"/>
                <w:b/>
                <w:sz w:val="28"/>
              </w:rPr>
            </w:pPr>
            <w:r>
              <w:rPr>
                <w:rFonts w:hint="eastAsia" w:ascii="宋体"/>
                <w:b/>
                <w:sz w:val="28"/>
              </w:rPr>
              <w:t>文件编号</w:t>
            </w:r>
          </w:p>
        </w:tc>
        <w:tc>
          <w:tcPr>
            <w:tcW w:w="2751" w:type="dxa"/>
            <w:tcBorders>
              <w:top w:val="single" w:color="auto" w:sz="4" w:space="0"/>
              <w:left w:val="single" w:color="auto" w:sz="4" w:space="0"/>
              <w:right w:val="nil"/>
            </w:tcBorders>
            <w:vAlign w:val="center"/>
          </w:tcPr>
          <w:p>
            <w:pPr>
              <w:spacing w:line="400" w:lineRule="exact"/>
              <w:jc w:val="center"/>
              <w:rPr>
                <w:rFonts w:ascii="宋体"/>
                <w:b/>
                <w:sz w:val="28"/>
              </w:rPr>
            </w:pPr>
            <w:r>
              <w:rPr>
                <w:rFonts w:hint="eastAsia" w:ascii="宋体"/>
                <w:b/>
                <w:sz w:val="28"/>
              </w:rPr>
              <w:t>LQY-P-30</w:t>
            </w:r>
          </w:p>
        </w:tc>
        <w:tc>
          <w:tcPr>
            <w:tcW w:w="1890" w:type="dxa"/>
            <w:tcBorders>
              <w:top w:val="single" w:color="auto" w:sz="4" w:space="0"/>
              <w:left w:val="single" w:color="auto" w:sz="4" w:space="0"/>
              <w:right w:val="nil"/>
            </w:tcBorders>
            <w:vAlign w:val="center"/>
          </w:tcPr>
          <w:p>
            <w:pPr>
              <w:spacing w:line="400" w:lineRule="exact"/>
              <w:jc w:val="center"/>
              <w:rPr>
                <w:rFonts w:ascii="宋体"/>
                <w:b/>
                <w:sz w:val="28"/>
              </w:rPr>
            </w:pPr>
            <w:r>
              <w:rPr>
                <w:rFonts w:hint="eastAsia" w:ascii="宋体"/>
                <w:b/>
                <w:sz w:val="28"/>
              </w:rPr>
              <w:t>修改</w:t>
            </w:r>
          </w:p>
          <w:p>
            <w:pPr>
              <w:spacing w:line="400" w:lineRule="exact"/>
              <w:jc w:val="center"/>
              <w:rPr>
                <w:rFonts w:ascii="宋体"/>
                <w:b/>
                <w:sz w:val="28"/>
              </w:rPr>
            </w:pPr>
            <w:r>
              <w:rPr>
                <w:rFonts w:hint="eastAsia" w:ascii="宋体"/>
                <w:b/>
                <w:sz w:val="28"/>
              </w:rPr>
              <w:t>状态</w:t>
            </w:r>
          </w:p>
        </w:tc>
        <w:tc>
          <w:tcPr>
            <w:tcW w:w="1171" w:type="dxa"/>
            <w:tcBorders>
              <w:top w:val="single" w:color="auto" w:sz="4" w:space="0"/>
              <w:left w:val="single" w:color="auto" w:sz="4" w:space="0"/>
              <w:right w:val="single" w:color="auto" w:sz="4" w:space="0"/>
            </w:tcBorders>
            <w:vAlign w:val="center"/>
          </w:tcPr>
          <w:p>
            <w:pPr>
              <w:spacing w:line="400" w:lineRule="exact"/>
              <w:jc w:val="center"/>
              <w:rPr>
                <w:rFonts w:ascii="宋体"/>
                <w:b/>
                <w:sz w:val="28"/>
              </w:rPr>
            </w:pPr>
            <w:r>
              <w:rPr>
                <w:rFonts w:hint="eastAsia" w:ascii="宋体"/>
                <w:b/>
                <w:sz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5" w:hRule="atLeast"/>
        </w:trPr>
        <w:tc>
          <w:tcPr>
            <w:tcW w:w="9923" w:type="dxa"/>
            <w:gridSpan w:val="5"/>
          </w:tcPr>
          <w:p>
            <w:pPr>
              <w:numPr>
                <w:ilvl w:val="0"/>
                <w:numId w:val="22"/>
              </w:numPr>
              <w:spacing w:line="320" w:lineRule="exact"/>
              <w:jc w:val="left"/>
            </w:pPr>
            <w:r>
              <w:rPr>
                <w:rFonts w:hint="eastAsia"/>
              </w:rPr>
              <w:t>目的：</w:t>
            </w:r>
          </w:p>
          <w:p>
            <w:pPr>
              <w:spacing w:line="320" w:lineRule="exact"/>
              <w:ind w:firstLine="420" w:firstLineChars="200"/>
              <w:jc w:val="left"/>
            </w:pPr>
            <w:r>
              <w:rPr>
                <w:rFonts w:hint="eastAsia"/>
              </w:rPr>
              <w:t>为使质量、环境和职业健康安全管理体系符合既定方针、目标，评审及改进各项与质量、环境和职业健康安全有关的系统运作问题，确保质量、环境和职业健康安全管理体系持续运作的适宜性、充分性和有效性。</w:t>
            </w:r>
          </w:p>
          <w:p>
            <w:pPr>
              <w:spacing w:line="320" w:lineRule="exact"/>
              <w:jc w:val="left"/>
            </w:pPr>
            <w:r>
              <w:rPr>
                <w:rFonts w:hint="eastAsia"/>
              </w:rPr>
              <w:t>2、适用范围：</w:t>
            </w:r>
          </w:p>
          <w:p>
            <w:pPr>
              <w:spacing w:line="320" w:lineRule="exact"/>
              <w:jc w:val="left"/>
            </w:pPr>
            <w:r>
              <w:rPr>
                <w:rFonts w:hint="eastAsia"/>
              </w:rPr>
              <w:t>适用于本公司与质量、环境和职业健康安全管理体系相关的所有作业产品、过程、活动、服务的评审。</w:t>
            </w:r>
          </w:p>
          <w:p>
            <w:pPr>
              <w:spacing w:line="320" w:lineRule="exact"/>
              <w:jc w:val="left"/>
            </w:pPr>
            <w:r>
              <w:rPr>
                <w:rFonts w:hint="eastAsia"/>
              </w:rPr>
              <w:t>3、职责：</w:t>
            </w:r>
          </w:p>
          <w:p>
            <w:pPr>
              <w:spacing w:line="320" w:lineRule="exact"/>
              <w:jc w:val="left"/>
            </w:pPr>
            <w:r>
              <w:rPr>
                <w:rFonts w:hint="eastAsia"/>
              </w:rPr>
              <w:t>3.1综合部负责制定管理评审计划、准备有关情况及内部质量审核情况；</w:t>
            </w:r>
          </w:p>
          <w:p>
            <w:pPr>
              <w:spacing w:line="320" w:lineRule="exact"/>
              <w:jc w:val="left"/>
            </w:pPr>
            <w:r>
              <w:rPr>
                <w:rFonts w:hint="eastAsia"/>
              </w:rPr>
              <w:t>3.2董事长主持管理评审会议；</w:t>
            </w:r>
          </w:p>
          <w:p>
            <w:pPr>
              <w:spacing w:line="320" w:lineRule="exact"/>
              <w:jc w:val="left"/>
            </w:pPr>
            <w:r>
              <w:rPr>
                <w:rFonts w:hint="eastAsia"/>
              </w:rPr>
              <w:t>3.3管理者代表报告质量管理体系运行情况以及内部质量审核情况；</w:t>
            </w:r>
          </w:p>
          <w:p>
            <w:pPr>
              <w:spacing w:line="320" w:lineRule="exact"/>
              <w:jc w:val="left"/>
            </w:pPr>
            <w:r>
              <w:rPr>
                <w:rFonts w:hint="eastAsia"/>
              </w:rPr>
              <w:t>3.4全体董事和副总经理及各相关部门参加管理评审会议；</w:t>
            </w:r>
          </w:p>
          <w:p>
            <w:pPr>
              <w:spacing w:line="320" w:lineRule="exact"/>
              <w:jc w:val="left"/>
            </w:pPr>
            <w:r>
              <w:rPr>
                <w:rFonts w:hint="eastAsia"/>
              </w:rPr>
              <w:t>3.5综合部组织验证各相关部门纠正措施和预防措施的实施效果。</w:t>
            </w:r>
          </w:p>
          <w:p>
            <w:pPr>
              <w:numPr>
                <w:ilvl w:val="0"/>
                <w:numId w:val="23"/>
              </w:numPr>
              <w:spacing w:line="320" w:lineRule="exact"/>
              <w:jc w:val="left"/>
            </w:pPr>
            <w:r>
              <w:rPr>
                <w:rFonts w:hint="eastAsia"/>
              </w:rPr>
              <w:t>定义：无</w:t>
            </w:r>
          </w:p>
          <w:p>
            <w:pPr>
              <w:spacing w:line="320" w:lineRule="exact"/>
              <w:jc w:val="left"/>
            </w:pPr>
            <w:r>
              <w:rPr>
                <w:rFonts w:hint="eastAsia"/>
              </w:rPr>
              <w:t>5、工作程序：</w:t>
            </w:r>
          </w:p>
          <w:p>
            <w:pPr>
              <w:spacing w:line="320" w:lineRule="exact"/>
              <w:jc w:val="left"/>
            </w:pPr>
            <w:r>
              <w:rPr>
                <w:rFonts w:hint="eastAsia"/>
              </w:rPr>
              <w:t>5.1流程图（见附件）；</w:t>
            </w:r>
          </w:p>
          <w:p>
            <w:pPr>
              <w:spacing w:line="320" w:lineRule="exact"/>
              <w:jc w:val="left"/>
            </w:pPr>
            <w:r>
              <w:rPr>
                <w:rFonts w:hint="eastAsia"/>
              </w:rPr>
              <w:t>5.2评审时机</w:t>
            </w:r>
          </w:p>
          <w:p>
            <w:pPr>
              <w:spacing w:line="320" w:lineRule="exact"/>
              <w:jc w:val="left"/>
            </w:pPr>
            <w:r>
              <w:rPr>
                <w:rFonts w:hint="eastAsia"/>
              </w:rPr>
              <w:t>5.2.1本公司管理评审每年两次，于内部质量审核完成后进行；</w:t>
            </w:r>
          </w:p>
          <w:p>
            <w:pPr>
              <w:spacing w:line="320" w:lineRule="exact"/>
              <w:jc w:val="left"/>
            </w:pPr>
            <w:r>
              <w:rPr>
                <w:rFonts w:hint="eastAsia"/>
              </w:rPr>
              <w:t>5.2.2发生下列情况之一时，董事长可增加管理评审。</w:t>
            </w:r>
          </w:p>
          <w:p>
            <w:pPr>
              <w:spacing w:line="320" w:lineRule="exact"/>
              <w:jc w:val="left"/>
            </w:pPr>
            <w:r>
              <w:rPr>
                <w:rFonts w:hint="eastAsia"/>
              </w:rPr>
              <w:t>5.2.2.1公司内部组织机构有重大变化；</w:t>
            </w:r>
          </w:p>
          <w:p>
            <w:pPr>
              <w:spacing w:line="320" w:lineRule="exact"/>
              <w:jc w:val="left"/>
            </w:pPr>
            <w:r>
              <w:rPr>
                <w:rFonts w:hint="eastAsia"/>
              </w:rPr>
              <w:t>5.2.2.2公司有了较大技术改造；</w:t>
            </w:r>
          </w:p>
          <w:p>
            <w:pPr>
              <w:spacing w:line="320" w:lineRule="exact"/>
              <w:jc w:val="left"/>
            </w:pPr>
            <w:r>
              <w:rPr>
                <w:rFonts w:hint="eastAsia"/>
              </w:rPr>
              <w:t>5.2.2.3公司生产工艺有较大变化；</w:t>
            </w:r>
          </w:p>
          <w:p>
            <w:pPr>
              <w:spacing w:line="320" w:lineRule="exact"/>
              <w:jc w:val="left"/>
            </w:pPr>
            <w:r>
              <w:rPr>
                <w:rFonts w:hint="eastAsia"/>
              </w:rPr>
              <w:t>5.2.2.4连续发生重大质量事故</w:t>
            </w:r>
          </w:p>
          <w:p>
            <w:pPr>
              <w:spacing w:line="320" w:lineRule="exact"/>
              <w:jc w:val="left"/>
            </w:pPr>
            <w:r>
              <w:rPr>
                <w:rFonts w:hint="eastAsia"/>
              </w:rPr>
              <w:t>5.2.2.5顾客意见较大或投诉；</w:t>
            </w:r>
          </w:p>
          <w:p>
            <w:pPr>
              <w:spacing w:line="320" w:lineRule="exact"/>
              <w:jc w:val="left"/>
            </w:pPr>
            <w:r>
              <w:rPr>
                <w:rFonts w:hint="eastAsia"/>
              </w:rPr>
              <w:t>5.2.2.6有关法规、规章、标准等有重大改动和要求时。</w:t>
            </w:r>
          </w:p>
          <w:p>
            <w:pPr>
              <w:spacing w:line="320" w:lineRule="exact"/>
              <w:jc w:val="left"/>
            </w:pPr>
            <w:r>
              <w:rPr>
                <w:rFonts w:hint="eastAsia"/>
              </w:rPr>
              <w:t>5.3评审前的准备</w:t>
            </w:r>
          </w:p>
          <w:p>
            <w:pPr>
              <w:spacing w:line="320" w:lineRule="exact"/>
              <w:jc w:val="left"/>
            </w:pPr>
            <w:r>
              <w:rPr>
                <w:rFonts w:hint="eastAsia"/>
              </w:rPr>
              <w:t>5.3.1内审结束后，管理者代表向董事长提供内审报告等有关资料；</w:t>
            </w:r>
          </w:p>
          <w:p>
            <w:pPr>
              <w:spacing w:line="320" w:lineRule="exact"/>
              <w:jc w:val="left"/>
            </w:pPr>
            <w:r>
              <w:rPr>
                <w:rFonts w:hint="eastAsia"/>
              </w:rPr>
              <w:t>5.3.2综合部制定管理评审计划，经管理者代表审核，报董事长批准后，提前一周传达参与评审的部门和人员，各相关单位及人员按计划做好评审准备；</w:t>
            </w:r>
          </w:p>
          <w:p>
            <w:pPr>
              <w:spacing w:line="320" w:lineRule="exact"/>
              <w:jc w:val="left"/>
            </w:pPr>
            <w:r>
              <w:rPr>
                <w:rFonts w:hint="eastAsia"/>
              </w:rPr>
              <w:t>5.3.3评审计划包括：</w:t>
            </w:r>
          </w:p>
          <w:p>
            <w:pPr>
              <w:spacing w:line="320" w:lineRule="exact"/>
              <w:jc w:val="left"/>
            </w:pPr>
            <w:r>
              <w:rPr>
                <w:rFonts w:hint="eastAsia"/>
              </w:rPr>
              <w:t>5.3.3.1评审的日程安排；</w:t>
            </w:r>
          </w:p>
          <w:p>
            <w:pPr>
              <w:snapToGrid w:val="0"/>
              <w:spacing w:line="320" w:lineRule="exact"/>
              <w:ind w:firstLine="420" w:firstLineChars="200"/>
            </w:pPr>
            <w:r>
              <w:rPr>
                <w:rFonts w:hint="eastAsia"/>
              </w:rPr>
              <w:t>5.3.3.2评审的重点问题：</w:t>
            </w:r>
          </w:p>
          <w:p>
            <w:pPr>
              <w:snapToGrid w:val="0"/>
              <w:spacing w:line="320" w:lineRule="exact"/>
              <w:ind w:firstLine="420" w:firstLineChars="200"/>
              <w:rPr>
                <w:rFonts w:ascii="宋体" w:hAnsi="宋体"/>
                <w:szCs w:val="21"/>
              </w:rPr>
            </w:pPr>
            <w:r>
              <w:rPr>
                <w:rFonts w:hint="eastAsia" w:ascii="宋体" w:hAnsi="宋体"/>
                <w:szCs w:val="21"/>
              </w:rPr>
              <w:t>a）审核结果，包括内审、顾客审核及第三方审核的结果；</w:t>
            </w:r>
          </w:p>
          <w:p>
            <w:pPr>
              <w:spacing w:line="320" w:lineRule="exact"/>
              <w:ind w:firstLine="420" w:firstLineChars="200"/>
              <w:rPr>
                <w:rFonts w:ascii="宋体" w:hAnsi="宋体"/>
                <w:szCs w:val="21"/>
              </w:rPr>
            </w:pPr>
            <w:r>
              <w:rPr>
                <w:rFonts w:hint="eastAsia" w:ascii="宋体" w:hAnsi="宋体"/>
                <w:szCs w:val="21"/>
              </w:rPr>
              <w:t>b）顾客及相关方的投诉、抱怨或反馈；</w:t>
            </w:r>
          </w:p>
          <w:p>
            <w:pPr>
              <w:spacing w:line="320" w:lineRule="exact"/>
              <w:ind w:firstLine="420" w:firstLineChars="200"/>
              <w:rPr>
                <w:rFonts w:ascii="宋体" w:hAnsi="宋体"/>
                <w:szCs w:val="21"/>
              </w:rPr>
            </w:pPr>
            <w:r>
              <w:rPr>
                <w:rFonts w:hint="eastAsia" w:ascii="宋体" w:hAnsi="宋体"/>
                <w:szCs w:val="21"/>
              </w:rPr>
              <w:t>c）过程业绩和产品的符合性；</w:t>
            </w:r>
          </w:p>
          <w:p>
            <w:pPr>
              <w:spacing w:line="320" w:lineRule="exact"/>
              <w:ind w:firstLine="420" w:firstLineChars="200"/>
              <w:rPr>
                <w:rFonts w:ascii="宋体" w:hAnsi="宋体"/>
                <w:szCs w:val="21"/>
              </w:rPr>
            </w:pPr>
            <w:r>
              <w:rPr>
                <w:rFonts w:hint="eastAsia" w:ascii="宋体" w:hAnsi="宋体"/>
                <w:szCs w:val="21"/>
              </w:rPr>
              <w:t>d)风险和机遇措施的有效性。 </w:t>
            </w:r>
          </w:p>
          <w:p>
            <w:pPr>
              <w:spacing w:line="320" w:lineRule="exact"/>
              <w:ind w:firstLine="420" w:firstLineChars="200"/>
              <w:rPr>
                <w:rFonts w:ascii="宋体" w:hAnsi="宋体"/>
                <w:szCs w:val="21"/>
              </w:rPr>
            </w:pPr>
            <w:r>
              <w:rPr>
                <w:rFonts w:hint="eastAsia" w:ascii="宋体" w:hAnsi="宋体"/>
                <w:szCs w:val="21"/>
              </w:rPr>
              <w:t>e)企业内外部环境变化影响。</w:t>
            </w:r>
          </w:p>
          <w:p>
            <w:pPr>
              <w:spacing w:line="320" w:lineRule="exact"/>
              <w:ind w:firstLine="420" w:firstLineChars="200"/>
              <w:rPr>
                <w:rFonts w:ascii="宋体" w:hAnsi="宋体"/>
                <w:szCs w:val="21"/>
              </w:rPr>
            </w:pPr>
            <w:r>
              <w:rPr>
                <w:rFonts w:hint="eastAsia" w:ascii="宋体" w:hAnsi="宋体"/>
                <w:szCs w:val="21"/>
              </w:rPr>
              <w:t>f)目标指标及方案的完成情况，方针的适宜性； </w:t>
            </w:r>
          </w:p>
          <w:p>
            <w:pPr>
              <w:spacing w:line="320" w:lineRule="exact"/>
              <w:ind w:firstLine="420" w:firstLineChars="200"/>
              <w:rPr>
                <w:rFonts w:ascii="宋体" w:hAnsi="宋体"/>
                <w:szCs w:val="21"/>
              </w:rPr>
            </w:pPr>
            <w:r>
              <w:rPr>
                <w:rFonts w:hint="eastAsia" w:ascii="宋体" w:hAnsi="宋体"/>
                <w:szCs w:val="21"/>
              </w:rPr>
              <w:t>g)事件调查、纠正和预防措施方面的情况； </w:t>
            </w:r>
          </w:p>
          <w:p>
            <w:pPr>
              <w:spacing w:line="320" w:lineRule="exact"/>
              <w:ind w:firstLine="420" w:firstLineChars="200"/>
              <w:rPr>
                <w:rFonts w:ascii="宋体" w:hAnsi="宋体"/>
                <w:szCs w:val="21"/>
              </w:rPr>
            </w:pPr>
            <w:r>
              <w:rPr>
                <w:rFonts w:hint="eastAsia" w:ascii="宋体" w:hAnsi="宋体"/>
                <w:szCs w:val="21"/>
              </w:rPr>
              <w:t>h)环境和职业健康安全绩效，关于第三方环境、安全监测的结果; </w:t>
            </w:r>
          </w:p>
          <w:p>
            <w:pPr>
              <w:spacing w:line="320" w:lineRule="exact"/>
              <w:ind w:firstLine="420" w:firstLineChars="200"/>
              <w:rPr>
                <w:rFonts w:ascii="宋体" w:hAnsi="宋体"/>
                <w:szCs w:val="21"/>
              </w:rPr>
            </w:pPr>
            <w:r>
              <w:rPr>
                <w:rFonts w:hint="eastAsia" w:ascii="宋体" w:hAnsi="宋体"/>
                <w:szCs w:val="21"/>
              </w:rPr>
              <w:t>i)各部门环境管理体系运行情况，重要环境因素的控制情况及管理方案的实施情况； </w:t>
            </w:r>
          </w:p>
          <w:p>
            <w:pPr>
              <w:spacing w:line="320" w:lineRule="exact"/>
              <w:ind w:firstLine="420" w:firstLineChars="200"/>
              <w:rPr>
                <w:rFonts w:ascii="宋体" w:hAnsi="宋体"/>
                <w:szCs w:val="21"/>
              </w:rPr>
            </w:pPr>
            <w:r>
              <w:rPr>
                <w:rFonts w:hint="eastAsia" w:ascii="宋体" w:hAnsi="宋体"/>
                <w:szCs w:val="21"/>
              </w:rPr>
              <w:t>职业健康安全管理体系运行情况，重大危险源的控制情况及管理方案的实施情况。</w:t>
            </w:r>
          </w:p>
          <w:p>
            <w:pPr>
              <w:spacing w:line="320" w:lineRule="exact"/>
              <w:ind w:firstLine="420" w:firstLineChars="200"/>
              <w:rPr>
                <w:rFonts w:ascii="宋体" w:hAnsi="宋体"/>
                <w:szCs w:val="21"/>
              </w:rPr>
            </w:pPr>
            <w:r>
              <w:rPr>
                <w:rFonts w:hint="eastAsia" w:ascii="宋体" w:hAnsi="宋体"/>
                <w:szCs w:val="21"/>
              </w:rPr>
              <w:t>j）合规性评价的结果；</w:t>
            </w:r>
          </w:p>
          <w:p>
            <w:pPr>
              <w:spacing w:line="320" w:lineRule="exact"/>
              <w:ind w:firstLine="420" w:firstLineChars="200"/>
              <w:rPr>
                <w:rFonts w:ascii="宋体" w:hAnsi="宋体"/>
                <w:szCs w:val="21"/>
              </w:rPr>
            </w:pPr>
            <w:r>
              <w:rPr>
                <w:rFonts w:hint="eastAsia" w:ascii="宋体" w:hAnsi="宋体"/>
                <w:szCs w:val="21"/>
              </w:rPr>
              <w:t>k)资源的充分性。</w:t>
            </w:r>
          </w:p>
          <w:p>
            <w:pPr>
              <w:spacing w:line="320" w:lineRule="exact"/>
              <w:ind w:firstLine="420" w:firstLineChars="200"/>
              <w:rPr>
                <w:rFonts w:ascii="宋体" w:hAnsi="宋体"/>
                <w:szCs w:val="21"/>
              </w:rPr>
            </w:pPr>
            <w:r>
              <w:rPr>
                <w:rFonts w:hint="eastAsia" w:ascii="宋体" w:hAnsi="宋体"/>
                <w:szCs w:val="21"/>
              </w:rPr>
              <w:t>l）纠正和预防措施的制定、执行及有效性的状况；</w:t>
            </w:r>
          </w:p>
          <w:p>
            <w:pPr>
              <w:spacing w:line="320" w:lineRule="exact"/>
              <w:ind w:firstLine="420" w:firstLineChars="200"/>
              <w:rPr>
                <w:rFonts w:ascii="宋体" w:hAnsi="宋体"/>
                <w:szCs w:val="21"/>
              </w:rPr>
            </w:pPr>
            <w:r>
              <w:rPr>
                <w:rFonts w:hint="eastAsia" w:ascii="宋体" w:hAnsi="宋体"/>
                <w:szCs w:val="21"/>
              </w:rPr>
              <w:t>m）上次管理评审制定的的措施、决议的跟踪情况；</w:t>
            </w:r>
          </w:p>
          <w:p>
            <w:pPr>
              <w:spacing w:line="320" w:lineRule="exact"/>
              <w:ind w:firstLine="420" w:firstLineChars="200"/>
              <w:rPr>
                <w:rFonts w:ascii="宋体" w:hAnsi="宋体"/>
                <w:szCs w:val="21"/>
              </w:rPr>
            </w:pPr>
            <w:r>
              <w:rPr>
                <w:rFonts w:hint="eastAsia" w:ascii="宋体" w:hAnsi="宋体"/>
                <w:szCs w:val="21"/>
              </w:rPr>
              <w:t>n）不断变化的客观环境可能影响管理体系的变更；</w:t>
            </w:r>
          </w:p>
          <w:p>
            <w:pPr>
              <w:spacing w:line="320" w:lineRule="exact"/>
              <w:ind w:firstLine="420" w:firstLineChars="200"/>
              <w:rPr>
                <w:rFonts w:ascii="宋体" w:hAnsi="宋体"/>
                <w:szCs w:val="21"/>
              </w:rPr>
            </w:pPr>
            <w:r>
              <w:rPr>
                <w:rFonts w:hint="eastAsia" w:ascii="宋体" w:hAnsi="宋体"/>
                <w:szCs w:val="21"/>
              </w:rPr>
              <w:t>o）对管理体系改进的建议。</w:t>
            </w:r>
          </w:p>
          <w:p>
            <w:pPr>
              <w:spacing w:line="320" w:lineRule="exact"/>
              <w:jc w:val="left"/>
            </w:pPr>
            <w:r>
              <w:rPr>
                <w:rFonts w:hint="eastAsia" w:ascii="宋体"/>
              </w:rPr>
              <w:t>5</w:t>
            </w:r>
            <w:r>
              <w:rPr>
                <w:rFonts w:hint="eastAsia"/>
              </w:rPr>
              <w:t>.3.3.3参与评审的部门和人员；</w:t>
            </w:r>
          </w:p>
          <w:p>
            <w:pPr>
              <w:spacing w:line="320" w:lineRule="exact"/>
              <w:jc w:val="left"/>
            </w:pPr>
            <w:r>
              <w:rPr>
                <w:rFonts w:hint="eastAsia"/>
              </w:rPr>
              <w:t>5.3.3.4评审要求准备的文件和资料及对应的部门；</w:t>
            </w:r>
          </w:p>
          <w:p>
            <w:pPr>
              <w:spacing w:line="320" w:lineRule="exact"/>
              <w:jc w:val="left"/>
            </w:pPr>
            <w:r>
              <w:rPr>
                <w:rFonts w:hint="eastAsia"/>
              </w:rPr>
              <w:t>5.3.3.5本计划发放范围。</w:t>
            </w:r>
          </w:p>
          <w:p>
            <w:pPr>
              <w:spacing w:line="320" w:lineRule="exact"/>
              <w:jc w:val="left"/>
            </w:pPr>
            <w:r>
              <w:rPr>
                <w:rFonts w:hint="eastAsia"/>
              </w:rPr>
              <w:t>5.4评审的实施</w:t>
            </w:r>
          </w:p>
          <w:p>
            <w:pPr>
              <w:spacing w:line="320" w:lineRule="exact"/>
              <w:jc w:val="left"/>
            </w:pPr>
            <w:r>
              <w:rPr>
                <w:rFonts w:hint="eastAsia"/>
              </w:rPr>
              <w:t>5.4.1管理评审采用会议评审的方式，由董事长主持，必要时可到现场进行评审，就需要评审的重点内容充分听取与会人员的意见和建议，在取得共识的基础上形成决定和结论；</w:t>
            </w:r>
          </w:p>
          <w:p>
            <w:pPr>
              <w:spacing w:line="320" w:lineRule="exact"/>
              <w:jc w:val="left"/>
            </w:pPr>
            <w:r>
              <w:rPr>
                <w:rFonts w:hint="eastAsia"/>
              </w:rPr>
              <w:t>5.4.2评审结束后，综合部主任依据评审决定和结论形成管理评审报告，印发参与评审的部门和人员，管理评审报告的内容包括：</w:t>
            </w:r>
          </w:p>
          <w:p>
            <w:pPr>
              <w:spacing w:line="320" w:lineRule="exact"/>
              <w:jc w:val="left"/>
            </w:pPr>
            <w:r>
              <w:rPr>
                <w:rFonts w:hint="eastAsia"/>
              </w:rPr>
              <w:t>5.4.2.1本次评审的基本情况；</w:t>
            </w:r>
          </w:p>
          <w:p>
            <w:pPr>
              <w:spacing w:line="320" w:lineRule="exact"/>
              <w:jc w:val="left"/>
            </w:pPr>
            <w:r>
              <w:rPr>
                <w:rFonts w:hint="eastAsia"/>
              </w:rPr>
              <w:t>5.4.2.2对于评审重点问题做出的决定；</w:t>
            </w:r>
          </w:p>
          <w:p>
            <w:pPr>
              <w:spacing w:line="320" w:lineRule="exact"/>
              <w:jc w:val="left"/>
            </w:pPr>
            <w:r>
              <w:rPr>
                <w:rFonts w:hint="eastAsia"/>
              </w:rPr>
              <w:t>5.4.2.3方针、目标适宜性的结论；</w:t>
            </w:r>
          </w:p>
          <w:p>
            <w:pPr>
              <w:spacing w:line="320" w:lineRule="exact"/>
              <w:jc w:val="left"/>
            </w:pPr>
            <w:r>
              <w:rPr>
                <w:rFonts w:hint="eastAsia"/>
              </w:rPr>
              <w:t>5.4.2.4关于对公司管理体系运行适宜性和有效性的结论；</w:t>
            </w:r>
          </w:p>
          <w:p>
            <w:pPr>
              <w:spacing w:line="320" w:lineRule="exact"/>
              <w:jc w:val="left"/>
            </w:pPr>
            <w:r>
              <w:rPr>
                <w:rFonts w:hint="eastAsia"/>
              </w:rPr>
              <w:t>5.4.2.5管理体系及其有效性的改进要求；</w:t>
            </w:r>
          </w:p>
          <w:p>
            <w:pPr>
              <w:spacing w:line="320" w:lineRule="exact"/>
              <w:jc w:val="left"/>
            </w:pPr>
            <w:r>
              <w:rPr>
                <w:rFonts w:hint="eastAsia"/>
              </w:rPr>
              <w:t>5.4.2.6产品的改进要求；</w:t>
            </w:r>
          </w:p>
          <w:p>
            <w:pPr>
              <w:spacing w:line="320" w:lineRule="exact"/>
              <w:jc w:val="left"/>
            </w:pPr>
            <w:r>
              <w:rPr>
                <w:rFonts w:hint="eastAsia"/>
              </w:rPr>
              <w:t>5.4.2.7资源的需求；</w:t>
            </w:r>
          </w:p>
          <w:p>
            <w:pPr>
              <w:spacing w:line="320" w:lineRule="exact"/>
              <w:jc w:val="left"/>
            </w:pPr>
            <w:r>
              <w:rPr>
                <w:rFonts w:hint="eastAsia"/>
              </w:rPr>
              <w:t>5.4.2.8本报告发放范围。</w:t>
            </w:r>
          </w:p>
          <w:p>
            <w:pPr>
              <w:spacing w:line="320" w:lineRule="exact"/>
              <w:jc w:val="left"/>
            </w:pPr>
            <w:r>
              <w:rPr>
                <w:rFonts w:hint="eastAsia"/>
              </w:rPr>
              <w:t>5.5评审决定的实施</w:t>
            </w:r>
          </w:p>
          <w:p>
            <w:pPr>
              <w:spacing w:line="320" w:lineRule="exact"/>
              <w:ind w:firstLine="420"/>
              <w:jc w:val="left"/>
            </w:pPr>
            <w:r>
              <w:rPr>
                <w:rFonts w:hint="eastAsia"/>
              </w:rPr>
              <w:t>管理评审对重点问题作出决定和改进措施，由综合部编制《纠正和预防措施表》，经管理者代表批准后下发责任单位实施，由质管中心跟踪督办和协调，并验证其实施效果，提交下次管理评审；</w:t>
            </w:r>
          </w:p>
          <w:p>
            <w:pPr>
              <w:spacing w:line="320" w:lineRule="exact"/>
              <w:jc w:val="left"/>
            </w:pPr>
            <w:r>
              <w:rPr>
                <w:rFonts w:hint="eastAsia"/>
              </w:rPr>
              <w:t>5.6管理评审形成的各种记录由综合部负责收集、整理和保存。</w:t>
            </w:r>
          </w:p>
          <w:p>
            <w:pPr>
              <w:spacing w:line="320" w:lineRule="exact"/>
              <w:jc w:val="left"/>
            </w:pPr>
            <w:r>
              <w:rPr>
                <w:rFonts w:hint="eastAsia"/>
              </w:rPr>
              <w:t>6、相关/支持性文件</w:t>
            </w:r>
          </w:p>
          <w:p>
            <w:pPr>
              <w:spacing w:line="320" w:lineRule="exact"/>
              <w:jc w:val="left"/>
            </w:pPr>
            <w:r>
              <w:rPr>
                <w:rFonts w:hint="eastAsia"/>
              </w:rPr>
              <w:t>6.1内部质量审核控制程序</w:t>
            </w:r>
          </w:p>
          <w:p>
            <w:pPr>
              <w:spacing w:line="320" w:lineRule="exact"/>
              <w:jc w:val="left"/>
            </w:pPr>
            <w:r>
              <w:rPr>
                <w:rFonts w:hint="eastAsia"/>
              </w:rPr>
              <w:t>6.2检验和试验控制程序</w:t>
            </w:r>
          </w:p>
          <w:p>
            <w:pPr>
              <w:spacing w:line="320" w:lineRule="exact"/>
              <w:jc w:val="left"/>
            </w:pPr>
            <w:r>
              <w:rPr>
                <w:rFonts w:hint="eastAsia"/>
              </w:rPr>
              <w:t>6.3纠正和预防措施控制程序</w:t>
            </w:r>
          </w:p>
          <w:p>
            <w:pPr>
              <w:spacing w:line="320" w:lineRule="exact"/>
              <w:jc w:val="left"/>
            </w:pPr>
            <w:r>
              <w:rPr>
                <w:rFonts w:hint="eastAsia"/>
              </w:rPr>
              <w:t>7、记录                         编号               版本               保存期限</w:t>
            </w:r>
          </w:p>
          <w:p>
            <w:pPr>
              <w:spacing w:line="320" w:lineRule="exact"/>
              <w:jc w:val="left"/>
            </w:pPr>
            <w:r>
              <w:rPr>
                <w:rFonts w:hint="eastAsia"/>
              </w:rPr>
              <w:t>7.1管理评审计划                  LQY-P-04-01             01                 一年</w:t>
            </w:r>
          </w:p>
          <w:p>
            <w:pPr>
              <w:spacing w:line="320" w:lineRule="exact"/>
              <w:jc w:val="left"/>
            </w:pPr>
            <w:r>
              <w:rPr>
                <w:rFonts w:hint="eastAsia"/>
              </w:rPr>
              <w:t>7.2管理评审报告                  LQY-P-04-02             01                 一年</w:t>
            </w:r>
          </w:p>
          <w:p>
            <w:pPr>
              <w:spacing w:line="320" w:lineRule="exact"/>
              <w:jc w:val="left"/>
            </w:pPr>
            <w:r>
              <w:rPr>
                <w:rFonts w:hint="eastAsia"/>
              </w:rPr>
              <w:t>7.3纠正和预防措施表              LQY-P-04-03             01                 一年</w:t>
            </w:r>
          </w:p>
        </w:tc>
      </w:tr>
    </w:tbl>
    <w:p/>
    <w:p/>
    <w:p/>
    <w:p/>
    <w:p/>
    <w:p/>
    <w:p/>
    <w:p/>
    <w:tbl>
      <w:tblPr>
        <w:tblStyle w:val="9"/>
        <w:tblW w:w="999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8"/>
        <w:gridCol w:w="1701"/>
        <w:gridCol w:w="3462"/>
        <w:gridCol w:w="1006"/>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2478" w:type="dxa"/>
            <w:vMerge w:val="restart"/>
            <w:vAlign w:val="center"/>
          </w:tcPr>
          <w:p>
            <w:pPr>
              <w:spacing w:line="400" w:lineRule="exact"/>
              <w:jc w:val="center"/>
              <w:rPr>
                <w:rFonts w:eastAsia="黑体"/>
                <w:b/>
                <w:sz w:val="36"/>
              </w:rPr>
            </w:pPr>
          </w:p>
        </w:tc>
        <w:tc>
          <w:tcPr>
            <w:tcW w:w="1701" w:type="dxa"/>
            <w:vAlign w:val="center"/>
          </w:tcPr>
          <w:p>
            <w:pPr>
              <w:spacing w:line="400" w:lineRule="exact"/>
              <w:jc w:val="center"/>
              <w:rPr>
                <w:rFonts w:ascii="宋体"/>
                <w:b/>
                <w:sz w:val="30"/>
              </w:rPr>
            </w:pPr>
            <w:r>
              <w:rPr>
                <w:rFonts w:hint="eastAsia" w:ascii="宋体"/>
                <w:b/>
                <w:sz w:val="30"/>
              </w:rPr>
              <w:t>文件名称</w:t>
            </w:r>
          </w:p>
        </w:tc>
        <w:tc>
          <w:tcPr>
            <w:tcW w:w="3462" w:type="dxa"/>
            <w:vAlign w:val="center"/>
          </w:tcPr>
          <w:p>
            <w:pPr>
              <w:pStyle w:val="4"/>
              <w:spacing w:line="400" w:lineRule="exact"/>
              <w:jc w:val="center"/>
              <w:rPr>
                <w:rFonts w:ascii="楷体_GB2312" w:hAnsi="楷体" w:eastAsia="楷体_GB2312"/>
                <w:b/>
                <w:sz w:val="28"/>
                <w:szCs w:val="28"/>
              </w:rPr>
            </w:pPr>
            <w:r>
              <w:rPr>
                <w:rFonts w:hint="eastAsia" w:ascii="楷体_GB2312" w:hAnsi="楷体" w:eastAsia="楷体_GB2312"/>
                <w:b/>
                <w:sz w:val="28"/>
                <w:szCs w:val="28"/>
              </w:rPr>
              <w:t>事件、不符合调查处理控制程序</w:t>
            </w:r>
          </w:p>
        </w:tc>
        <w:tc>
          <w:tcPr>
            <w:tcW w:w="1006" w:type="dxa"/>
            <w:vAlign w:val="center"/>
          </w:tcPr>
          <w:p>
            <w:pPr>
              <w:spacing w:line="400" w:lineRule="exact"/>
              <w:jc w:val="center"/>
              <w:rPr>
                <w:rFonts w:ascii="宋体"/>
                <w:b/>
                <w:sz w:val="30"/>
              </w:rPr>
            </w:pPr>
            <w:r>
              <w:rPr>
                <w:rFonts w:hint="eastAsia" w:ascii="宋体"/>
                <w:b/>
                <w:sz w:val="30"/>
              </w:rPr>
              <w:t>版次</w:t>
            </w:r>
          </w:p>
        </w:tc>
        <w:tc>
          <w:tcPr>
            <w:tcW w:w="1344" w:type="dxa"/>
            <w:vAlign w:val="center"/>
          </w:tcPr>
          <w:p>
            <w:pPr>
              <w:spacing w:line="400" w:lineRule="exact"/>
              <w:jc w:val="center"/>
              <w:rPr>
                <w:rFonts w:ascii="宋体"/>
                <w:b/>
                <w:sz w:val="30"/>
              </w:rPr>
            </w:pPr>
            <w:r>
              <w:rPr>
                <w:rFonts w:hint="eastAsia" w:ascii="宋体"/>
                <w:b/>
                <w:sz w:val="30"/>
              </w:rPr>
              <w:t xml:space="preserve">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2478" w:type="dxa"/>
            <w:vMerge w:val="continue"/>
            <w:vAlign w:val="center"/>
          </w:tcPr>
          <w:p>
            <w:pPr>
              <w:spacing w:line="400" w:lineRule="exact"/>
              <w:jc w:val="center"/>
              <w:rPr>
                <w:rFonts w:eastAsia="黑体"/>
                <w:b/>
                <w:sz w:val="36"/>
              </w:rPr>
            </w:pPr>
          </w:p>
        </w:tc>
        <w:tc>
          <w:tcPr>
            <w:tcW w:w="1701" w:type="dxa"/>
            <w:vAlign w:val="center"/>
          </w:tcPr>
          <w:p>
            <w:pPr>
              <w:spacing w:line="400" w:lineRule="exact"/>
              <w:jc w:val="center"/>
              <w:rPr>
                <w:rFonts w:ascii="宋体"/>
                <w:b/>
                <w:sz w:val="30"/>
              </w:rPr>
            </w:pPr>
            <w:r>
              <w:rPr>
                <w:rFonts w:hint="eastAsia" w:ascii="宋体"/>
                <w:b/>
                <w:sz w:val="30"/>
              </w:rPr>
              <w:t>文件编号</w:t>
            </w:r>
          </w:p>
        </w:tc>
        <w:tc>
          <w:tcPr>
            <w:tcW w:w="3462" w:type="dxa"/>
            <w:vAlign w:val="center"/>
          </w:tcPr>
          <w:p>
            <w:pPr>
              <w:spacing w:line="400" w:lineRule="exact"/>
              <w:jc w:val="center"/>
              <w:rPr>
                <w:rFonts w:ascii="宋体"/>
                <w:b/>
                <w:sz w:val="30"/>
              </w:rPr>
            </w:pPr>
            <w:r>
              <w:rPr>
                <w:rFonts w:hint="eastAsia" w:ascii="宋体"/>
                <w:b/>
                <w:sz w:val="30"/>
              </w:rPr>
              <w:t>LQY-P-31</w:t>
            </w:r>
          </w:p>
        </w:tc>
        <w:tc>
          <w:tcPr>
            <w:tcW w:w="1006" w:type="dxa"/>
            <w:vAlign w:val="center"/>
          </w:tcPr>
          <w:p>
            <w:pPr>
              <w:spacing w:line="400" w:lineRule="exact"/>
              <w:jc w:val="center"/>
              <w:rPr>
                <w:rFonts w:ascii="宋体"/>
                <w:b/>
                <w:sz w:val="30"/>
              </w:rPr>
            </w:pPr>
            <w:r>
              <w:rPr>
                <w:rFonts w:hint="eastAsia" w:ascii="宋体"/>
                <w:b/>
                <w:sz w:val="30"/>
              </w:rPr>
              <w:t>修改</w:t>
            </w:r>
          </w:p>
          <w:p>
            <w:pPr>
              <w:spacing w:line="400" w:lineRule="exact"/>
              <w:jc w:val="center"/>
              <w:rPr>
                <w:rFonts w:ascii="宋体"/>
                <w:b/>
                <w:sz w:val="30"/>
              </w:rPr>
            </w:pPr>
            <w:r>
              <w:rPr>
                <w:rFonts w:hint="eastAsia" w:ascii="宋体"/>
                <w:b/>
                <w:sz w:val="30"/>
              </w:rPr>
              <w:t>状态</w:t>
            </w:r>
          </w:p>
        </w:tc>
        <w:tc>
          <w:tcPr>
            <w:tcW w:w="1344" w:type="dxa"/>
            <w:vAlign w:val="center"/>
          </w:tcPr>
          <w:p>
            <w:pPr>
              <w:spacing w:line="400" w:lineRule="exact"/>
              <w:jc w:val="center"/>
              <w:rPr>
                <w:rFonts w:ascii="宋体"/>
                <w:b/>
                <w:sz w:val="30"/>
              </w:rPr>
            </w:pPr>
            <w:r>
              <w:rPr>
                <w:rFonts w:hint="eastAsia" w:ascii="宋体"/>
                <w:b/>
                <w:sz w:val="3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991" w:type="dxa"/>
            <w:gridSpan w:val="5"/>
            <w:tcBorders>
              <w:right w:val="single" w:color="auto" w:sz="4" w:space="0"/>
            </w:tcBorders>
          </w:tcPr>
          <w:p>
            <w:pPr>
              <w:tabs>
                <w:tab w:val="left" w:pos="2360"/>
              </w:tabs>
              <w:spacing w:line="360" w:lineRule="exact"/>
              <w:ind w:left="-1" w:leftChars="-1" w:hanging="1"/>
              <w:rPr>
                <w:rFonts w:ascii="宋体" w:hAnsi="宋体"/>
                <w:b/>
                <w:szCs w:val="21"/>
              </w:rPr>
            </w:pPr>
            <w:r>
              <w:rPr>
                <w:rFonts w:hint="eastAsia" w:ascii="宋体" w:hAnsi="宋体"/>
                <w:b/>
                <w:szCs w:val="21"/>
              </w:rPr>
              <w:t>1. 目的</w:t>
            </w:r>
          </w:p>
          <w:p>
            <w:pPr>
              <w:spacing w:line="360" w:lineRule="exact"/>
              <w:ind w:left="-1" w:leftChars="-1" w:hanging="1"/>
              <w:rPr>
                <w:rFonts w:ascii="宋体" w:hAnsi="宋体"/>
                <w:szCs w:val="21"/>
              </w:rPr>
            </w:pPr>
            <w:r>
              <w:rPr>
                <w:rFonts w:hint="eastAsia" w:ascii="宋体" w:hAnsi="宋体"/>
                <w:szCs w:val="21"/>
              </w:rPr>
              <w:t xml:space="preserve">    为了对环境污染、职业健康安全以及其他灾害事件及时调查、分析、处理，以便采取有效的措施，使不符合的现实和潜在的根源得到消除，达到防止类似事件既不符合的重复发生，保证公司环境、职业健康安全方针、目标/指标的实现，特制定本程序。</w:t>
            </w:r>
          </w:p>
          <w:p>
            <w:pPr>
              <w:spacing w:line="360" w:lineRule="exact"/>
              <w:ind w:left="-1" w:leftChars="-1" w:hanging="1"/>
              <w:rPr>
                <w:rFonts w:ascii="宋体" w:hAnsi="宋体"/>
                <w:b/>
                <w:szCs w:val="21"/>
              </w:rPr>
            </w:pPr>
            <w:r>
              <w:rPr>
                <w:rFonts w:hint="eastAsia" w:ascii="宋体" w:hAnsi="宋体"/>
                <w:b/>
                <w:szCs w:val="21"/>
              </w:rPr>
              <w:t>2. 适用范围</w:t>
            </w:r>
          </w:p>
          <w:p>
            <w:pPr>
              <w:spacing w:line="360" w:lineRule="exact"/>
              <w:ind w:left="-1" w:leftChars="-1" w:hanging="1"/>
              <w:rPr>
                <w:rFonts w:ascii="宋体" w:hAnsi="宋体"/>
                <w:szCs w:val="21"/>
              </w:rPr>
            </w:pPr>
            <w:r>
              <w:rPr>
                <w:rFonts w:hint="eastAsia" w:ascii="宋体" w:hAnsi="宋体"/>
                <w:szCs w:val="21"/>
              </w:rPr>
              <w:t xml:space="preserve">    适用于本公司内发生的与环境和职业健康安全有关的事件调查与统计处理。</w:t>
            </w:r>
          </w:p>
          <w:p>
            <w:pPr>
              <w:spacing w:line="360" w:lineRule="exact"/>
              <w:ind w:left="-1" w:leftChars="-1" w:hanging="1"/>
              <w:rPr>
                <w:rFonts w:ascii="宋体" w:hAnsi="宋体"/>
                <w:b/>
                <w:szCs w:val="21"/>
              </w:rPr>
            </w:pPr>
            <w:r>
              <w:rPr>
                <w:rFonts w:hint="eastAsia" w:ascii="宋体" w:hAnsi="宋体"/>
                <w:b/>
                <w:szCs w:val="21"/>
              </w:rPr>
              <w:t>3. 职责</w:t>
            </w:r>
          </w:p>
          <w:p>
            <w:pPr>
              <w:spacing w:line="360" w:lineRule="exact"/>
              <w:ind w:left="-1" w:leftChars="-1" w:hanging="1"/>
              <w:rPr>
                <w:rFonts w:ascii="宋体" w:hAnsi="宋体"/>
                <w:szCs w:val="21"/>
              </w:rPr>
            </w:pPr>
            <w:r>
              <w:rPr>
                <w:rFonts w:hint="eastAsia" w:ascii="宋体" w:hAnsi="宋体"/>
                <w:szCs w:val="21"/>
              </w:rPr>
              <w:t>3.1. 综合部负责组织对各类事件进行调查、分析和统计、处理，按规定上报主管安全及环保监督部门，并积极认真协助主管部门的调查和处理工作。</w:t>
            </w:r>
          </w:p>
          <w:p>
            <w:pPr>
              <w:spacing w:line="360" w:lineRule="exact"/>
              <w:ind w:left="-1" w:leftChars="-1" w:hanging="1"/>
              <w:rPr>
                <w:rFonts w:ascii="宋体" w:hAnsi="宋体"/>
                <w:szCs w:val="21"/>
              </w:rPr>
            </w:pPr>
            <w:r>
              <w:rPr>
                <w:rFonts w:hint="eastAsia" w:ascii="宋体" w:hAnsi="宋体"/>
                <w:szCs w:val="21"/>
              </w:rPr>
              <w:t>3.2. 各相关部门对相关事件及时报告并协助综合部对事件进行调查和处理。</w:t>
            </w:r>
          </w:p>
          <w:p>
            <w:pPr>
              <w:spacing w:line="360" w:lineRule="exact"/>
              <w:ind w:left="-1" w:leftChars="-1" w:hanging="1"/>
              <w:rPr>
                <w:rFonts w:ascii="宋体" w:hAnsi="宋体"/>
                <w:szCs w:val="21"/>
              </w:rPr>
            </w:pPr>
            <w:r>
              <w:rPr>
                <w:rFonts w:hint="eastAsia" w:ascii="宋体" w:hAnsi="宋体"/>
                <w:szCs w:val="21"/>
              </w:rPr>
              <w:t>3.3. 员工代表参与有关事件的调查和处理。</w:t>
            </w:r>
          </w:p>
          <w:p>
            <w:pPr>
              <w:spacing w:line="360" w:lineRule="exact"/>
              <w:ind w:left="-1" w:leftChars="-1" w:hanging="1"/>
              <w:rPr>
                <w:rFonts w:ascii="宋体" w:hAnsi="宋体"/>
                <w:b/>
                <w:szCs w:val="21"/>
              </w:rPr>
            </w:pPr>
            <w:r>
              <w:rPr>
                <w:rFonts w:hint="eastAsia" w:ascii="宋体" w:hAnsi="宋体"/>
                <w:b/>
                <w:szCs w:val="21"/>
              </w:rPr>
              <w:t>4. 工作程序</w:t>
            </w:r>
          </w:p>
          <w:p>
            <w:pPr>
              <w:spacing w:line="360" w:lineRule="exact"/>
              <w:ind w:left="-1" w:leftChars="-1" w:hanging="1"/>
              <w:rPr>
                <w:rFonts w:ascii="宋体" w:hAnsi="宋体"/>
                <w:b/>
                <w:szCs w:val="21"/>
              </w:rPr>
            </w:pPr>
            <w:r>
              <w:rPr>
                <w:rFonts w:hint="eastAsia" w:ascii="宋体" w:hAnsi="宋体"/>
                <w:b/>
                <w:szCs w:val="21"/>
              </w:rPr>
              <w:t>4.1.事件报告</w:t>
            </w:r>
          </w:p>
          <w:p>
            <w:pPr>
              <w:spacing w:line="360" w:lineRule="exact"/>
              <w:ind w:left="-1" w:leftChars="-1" w:hanging="1"/>
              <w:rPr>
                <w:rFonts w:ascii="宋体" w:hAnsi="宋体"/>
                <w:szCs w:val="21"/>
              </w:rPr>
            </w:pPr>
            <w:r>
              <w:rPr>
                <w:rFonts w:hint="eastAsia" w:ascii="宋体" w:hAnsi="宋体"/>
                <w:szCs w:val="21"/>
              </w:rPr>
              <w:t>4.1.1. 报告范围</w:t>
            </w:r>
          </w:p>
          <w:p>
            <w:pPr>
              <w:spacing w:line="360" w:lineRule="exact"/>
              <w:ind w:left="-1" w:leftChars="-1" w:hanging="1"/>
              <w:rPr>
                <w:rFonts w:ascii="宋体" w:hAnsi="宋体"/>
                <w:szCs w:val="21"/>
              </w:rPr>
            </w:pPr>
            <w:r>
              <w:rPr>
                <w:rFonts w:hint="eastAsia" w:ascii="宋体" w:hAnsi="宋体"/>
                <w:szCs w:val="21"/>
              </w:rPr>
              <w:t xml:space="preserve">    a．人员伤亡:一次造成三人以上轻伤，或一人重伤以上的事件。</w:t>
            </w:r>
          </w:p>
          <w:p>
            <w:pPr>
              <w:spacing w:line="360" w:lineRule="exact"/>
              <w:ind w:left="-1" w:leftChars="-1" w:hanging="1"/>
              <w:rPr>
                <w:rFonts w:ascii="宋体" w:hAnsi="宋体"/>
                <w:szCs w:val="21"/>
              </w:rPr>
            </w:pPr>
            <w:r>
              <w:rPr>
                <w:rFonts w:hint="eastAsia" w:ascii="宋体" w:hAnsi="宋体"/>
                <w:szCs w:val="21"/>
              </w:rPr>
              <w:t xml:space="preserve">    b．事件发生后，因高处坠落、触电、火灾、高空落物、中毒和窒息等造成人员伤势不明，不能确定伤害程度的情况。</w:t>
            </w:r>
          </w:p>
          <w:p>
            <w:pPr>
              <w:spacing w:line="360" w:lineRule="exact"/>
              <w:ind w:left="-1" w:leftChars="-1" w:hanging="1"/>
              <w:rPr>
                <w:rFonts w:ascii="宋体" w:hAnsi="宋体"/>
                <w:szCs w:val="21"/>
              </w:rPr>
            </w:pPr>
            <w:r>
              <w:rPr>
                <w:rFonts w:hint="eastAsia" w:ascii="宋体" w:hAnsi="宋体"/>
                <w:szCs w:val="21"/>
              </w:rPr>
              <w:t xml:space="preserve">    c. 火灾事件</w:t>
            </w:r>
          </w:p>
          <w:p>
            <w:pPr>
              <w:spacing w:line="360" w:lineRule="exact"/>
              <w:ind w:left="-1" w:leftChars="-1" w:hanging="1"/>
              <w:rPr>
                <w:rFonts w:ascii="宋体" w:hAnsi="宋体"/>
                <w:szCs w:val="21"/>
              </w:rPr>
            </w:pPr>
            <w:r>
              <w:rPr>
                <w:rFonts w:hint="eastAsia" w:ascii="宋体" w:hAnsi="宋体"/>
                <w:szCs w:val="21"/>
              </w:rPr>
              <w:t xml:space="preserve">    d. 交通死亡事件、人员重伤实施抢救、造成三人以上负伤以及车物严重受损的交通事件。</w:t>
            </w:r>
          </w:p>
          <w:p>
            <w:pPr>
              <w:spacing w:line="360" w:lineRule="exact"/>
              <w:ind w:left="-1" w:leftChars="-1" w:hanging="1"/>
              <w:rPr>
                <w:rFonts w:ascii="宋体" w:hAnsi="宋体"/>
                <w:szCs w:val="21"/>
              </w:rPr>
            </w:pPr>
            <w:r>
              <w:rPr>
                <w:rFonts w:hint="eastAsia" w:ascii="宋体" w:hAnsi="宋体"/>
                <w:szCs w:val="21"/>
              </w:rPr>
              <w:t>e. 设备严重损坏、倾覆、侧翻等事件。</w:t>
            </w:r>
          </w:p>
          <w:p>
            <w:pPr>
              <w:spacing w:line="360" w:lineRule="exact"/>
              <w:ind w:left="-1" w:leftChars="-1" w:hanging="1"/>
              <w:rPr>
                <w:rFonts w:ascii="宋体" w:hAnsi="宋体"/>
                <w:szCs w:val="21"/>
              </w:rPr>
            </w:pPr>
            <w:r>
              <w:rPr>
                <w:rFonts w:hint="eastAsia" w:ascii="宋体" w:hAnsi="宋体"/>
                <w:szCs w:val="21"/>
              </w:rPr>
              <w:t xml:space="preserve">    f. 因暴雨、风暴、雷击、地震等自然灾害造成局部或全部停产，或由此引起人员伤亡的事件。</w:t>
            </w:r>
          </w:p>
          <w:p>
            <w:pPr>
              <w:spacing w:line="360" w:lineRule="exact"/>
              <w:ind w:left="-1" w:leftChars="-1" w:hanging="1"/>
              <w:rPr>
                <w:rFonts w:ascii="宋体" w:hAnsi="宋体"/>
                <w:szCs w:val="21"/>
              </w:rPr>
            </w:pPr>
            <w:r>
              <w:rPr>
                <w:rFonts w:hint="eastAsia" w:ascii="宋体" w:hAnsi="宋体"/>
                <w:szCs w:val="21"/>
              </w:rPr>
              <w:t>g. 五人以上的食物中毒。</w:t>
            </w:r>
          </w:p>
          <w:p>
            <w:pPr>
              <w:spacing w:line="360" w:lineRule="exact"/>
              <w:ind w:left="-1" w:leftChars="-1" w:hanging="1"/>
              <w:rPr>
                <w:rFonts w:ascii="宋体" w:hAnsi="宋体"/>
                <w:szCs w:val="21"/>
              </w:rPr>
            </w:pPr>
            <w:r>
              <w:rPr>
                <w:rFonts w:hint="eastAsia" w:ascii="宋体" w:hAnsi="宋体"/>
                <w:szCs w:val="21"/>
              </w:rPr>
              <w:t>h. 其他有关引起电力中断、供水中断的事件。</w:t>
            </w:r>
          </w:p>
          <w:p>
            <w:pPr>
              <w:spacing w:line="360" w:lineRule="exact"/>
              <w:ind w:left="-1" w:leftChars="-1" w:hanging="1"/>
              <w:rPr>
                <w:rFonts w:ascii="宋体" w:hAnsi="宋体"/>
                <w:szCs w:val="21"/>
              </w:rPr>
            </w:pPr>
            <w:r>
              <w:rPr>
                <w:rFonts w:hint="eastAsia" w:ascii="宋体" w:hAnsi="宋体"/>
                <w:szCs w:val="21"/>
              </w:rPr>
              <w:t>i. 发生了其他较严重的环境污染事件等（如大规模粉尘向外随意排放、随意倾倒有毒有害废弃物等）。</w:t>
            </w:r>
          </w:p>
          <w:p>
            <w:pPr>
              <w:spacing w:line="360" w:lineRule="exact"/>
              <w:ind w:left="-1" w:leftChars="-1" w:hanging="1"/>
              <w:rPr>
                <w:rFonts w:ascii="宋体" w:hAnsi="宋体"/>
                <w:szCs w:val="21"/>
              </w:rPr>
            </w:pPr>
            <w:r>
              <w:rPr>
                <w:rFonts w:hint="eastAsia" w:ascii="宋体" w:hAnsi="宋体"/>
                <w:szCs w:val="21"/>
              </w:rPr>
              <w:t>4.1.2. 报告的时间</w:t>
            </w:r>
          </w:p>
          <w:p>
            <w:pPr>
              <w:spacing w:line="360" w:lineRule="exact"/>
              <w:ind w:left="-1" w:leftChars="-1" w:hanging="1"/>
              <w:rPr>
                <w:rFonts w:ascii="宋体" w:hAnsi="宋体"/>
                <w:szCs w:val="21"/>
              </w:rPr>
            </w:pPr>
            <w:r>
              <w:rPr>
                <w:rFonts w:hint="eastAsia" w:ascii="宋体" w:hAnsi="宋体"/>
                <w:szCs w:val="21"/>
              </w:rPr>
              <w:t xml:space="preserve">   事件发生后立即向综合部报告事件发生的时间、地点、简要经过和采取的应急措施等，重大事件，综合部应在24小时内报告职能部门（环保局、疾控中心等）。</w:t>
            </w:r>
          </w:p>
          <w:p>
            <w:pPr>
              <w:spacing w:line="360" w:lineRule="exact"/>
              <w:ind w:left="-1" w:leftChars="-1" w:hanging="1"/>
              <w:rPr>
                <w:rFonts w:ascii="宋体" w:hAnsi="宋体"/>
                <w:szCs w:val="21"/>
              </w:rPr>
            </w:pPr>
            <w:r>
              <w:rPr>
                <w:rFonts w:hint="eastAsia" w:ascii="宋体" w:hAnsi="宋体"/>
                <w:szCs w:val="21"/>
              </w:rPr>
              <w:t>4.1.3. 报告的程序</w:t>
            </w:r>
          </w:p>
          <w:p>
            <w:pPr>
              <w:spacing w:line="360" w:lineRule="exact"/>
              <w:ind w:left="-1" w:leftChars="-1" w:hanging="1"/>
              <w:rPr>
                <w:rFonts w:ascii="宋体" w:hAnsi="宋体"/>
                <w:szCs w:val="21"/>
              </w:rPr>
            </w:pPr>
            <w:r>
              <w:rPr>
                <w:rFonts w:hint="eastAsia" w:ascii="宋体" w:hAnsi="宋体"/>
                <w:szCs w:val="21"/>
              </w:rPr>
              <w:t>a. 当发生人身伤亡事件、职业危害、火灾、交通事故、机械事故、雷击、地震、食物中毒、较严重环境污染等事件、不符合后，发生部门要在规定的时间内上报综合部。</w:t>
            </w:r>
          </w:p>
          <w:p>
            <w:pPr>
              <w:spacing w:line="360" w:lineRule="exact"/>
              <w:ind w:left="-1" w:leftChars="-1" w:hanging="1"/>
              <w:rPr>
                <w:rFonts w:ascii="宋体" w:hAnsi="宋体"/>
                <w:szCs w:val="21"/>
              </w:rPr>
            </w:pPr>
            <w:r>
              <w:rPr>
                <w:rFonts w:hint="eastAsia" w:ascii="宋体" w:hAnsi="宋体"/>
                <w:szCs w:val="21"/>
              </w:rPr>
              <w:t>b. 综合部在接到报告后，应立即报告总经理。</w:t>
            </w:r>
          </w:p>
          <w:p>
            <w:pPr>
              <w:spacing w:line="360" w:lineRule="exact"/>
              <w:ind w:left="-1" w:leftChars="-1" w:hanging="1"/>
              <w:rPr>
                <w:rFonts w:ascii="宋体" w:hAnsi="宋体"/>
                <w:b/>
                <w:szCs w:val="21"/>
              </w:rPr>
            </w:pPr>
            <w:r>
              <w:rPr>
                <w:rFonts w:hint="eastAsia" w:ascii="宋体" w:hAnsi="宋体"/>
                <w:b/>
                <w:szCs w:val="21"/>
              </w:rPr>
              <w:t>4.2.事件调查</w:t>
            </w:r>
          </w:p>
          <w:p>
            <w:pPr>
              <w:spacing w:line="360" w:lineRule="exact"/>
              <w:ind w:left="-1" w:leftChars="-1" w:hanging="1"/>
              <w:rPr>
                <w:rFonts w:ascii="宋体" w:hAnsi="宋体"/>
                <w:szCs w:val="21"/>
              </w:rPr>
            </w:pPr>
            <w:r>
              <w:rPr>
                <w:rFonts w:hint="eastAsia" w:ascii="宋体" w:hAnsi="宋体"/>
                <w:szCs w:val="21"/>
              </w:rPr>
              <w:t>4.2.1. 轻伤和一般事件及一般环境污染事件，由综合部组织责任部门负责人及其他有关人员进行调查。</w:t>
            </w:r>
          </w:p>
          <w:p>
            <w:pPr>
              <w:spacing w:line="360" w:lineRule="exact"/>
              <w:ind w:left="-1" w:leftChars="-1" w:hanging="1"/>
              <w:rPr>
                <w:rFonts w:ascii="宋体" w:hAnsi="宋体"/>
                <w:szCs w:val="21"/>
              </w:rPr>
            </w:pPr>
            <w:r>
              <w:rPr>
                <w:rFonts w:hint="eastAsia" w:ascii="宋体" w:hAnsi="宋体"/>
                <w:szCs w:val="21"/>
              </w:rPr>
              <w:t>4.2.3. 重伤和死亡事件，重、特大事件及较严重的环境污染事故由管理者代表、综合部、生产车间和其它相关部门人员组成事故调查组，会同上级安全/环保主管部门、劳动部门、公安部门等按照《生产安全事故报告调查处理条例》及有关环境管理规定进行调查处理。查明发生事件原因、过程、人员伤亡/环境污染情况、经济损失情况，确定责任后提出处理意见和防范措施，写出调查报告，报总经理。（防范措施由管理者代表审批）</w:t>
            </w:r>
          </w:p>
          <w:p>
            <w:pPr>
              <w:spacing w:line="360" w:lineRule="exact"/>
              <w:ind w:left="-1" w:leftChars="-1" w:hanging="1"/>
              <w:rPr>
                <w:rFonts w:ascii="宋体" w:hAnsi="宋体"/>
                <w:szCs w:val="21"/>
              </w:rPr>
            </w:pPr>
            <w:r>
              <w:rPr>
                <w:rFonts w:hint="eastAsia" w:ascii="宋体" w:hAnsi="宋体"/>
                <w:szCs w:val="21"/>
              </w:rPr>
              <w:t>4.2.4. 非伤亡的职业病、传染病事件，由综合部组织各相关部门、人员组成调查组进行调查，并在10日内作出事件调查报告，报总经理。</w:t>
            </w:r>
          </w:p>
          <w:p>
            <w:pPr>
              <w:spacing w:line="360" w:lineRule="exact"/>
              <w:ind w:left="-1" w:leftChars="-1" w:hanging="1"/>
              <w:rPr>
                <w:rFonts w:ascii="宋体" w:hAnsi="宋体"/>
                <w:szCs w:val="21"/>
              </w:rPr>
            </w:pPr>
            <w:r>
              <w:rPr>
                <w:rFonts w:hint="eastAsia" w:ascii="宋体" w:hAnsi="宋体"/>
                <w:szCs w:val="21"/>
              </w:rPr>
              <w:t>4.2.5. 上级行政主管部门有特别要求时按上级主管部门意见执行。</w:t>
            </w:r>
          </w:p>
          <w:p>
            <w:pPr>
              <w:spacing w:line="360" w:lineRule="exact"/>
              <w:ind w:left="-1" w:leftChars="-1" w:hanging="1"/>
              <w:rPr>
                <w:rFonts w:ascii="宋体" w:hAnsi="宋体"/>
                <w:b/>
                <w:szCs w:val="21"/>
              </w:rPr>
            </w:pPr>
            <w:r>
              <w:rPr>
                <w:rFonts w:hint="eastAsia" w:ascii="宋体" w:hAnsi="宋体"/>
                <w:b/>
                <w:szCs w:val="21"/>
              </w:rPr>
              <w:t>4.3.事件处理</w:t>
            </w:r>
          </w:p>
          <w:p>
            <w:pPr>
              <w:spacing w:line="360" w:lineRule="exact"/>
              <w:ind w:left="-1" w:leftChars="-1" w:hanging="1"/>
              <w:rPr>
                <w:rFonts w:ascii="宋体" w:hAnsi="宋体"/>
                <w:szCs w:val="21"/>
              </w:rPr>
            </w:pPr>
            <w:r>
              <w:rPr>
                <w:rFonts w:hint="eastAsia" w:ascii="宋体" w:hAnsi="宋体"/>
                <w:szCs w:val="21"/>
              </w:rPr>
              <w:t>4.3.1.事件调查组提出处理意见和防范措施，由总经理审批，有必要时上报上级主管安全/环保监督部门。</w:t>
            </w:r>
          </w:p>
          <w:p>
            <w:pPr>
              <w:spacing w:line="360" w:lineRule="exact"/>
              <w:ind w:left="-1" w:leftChars="-1" w:hanging="1"/>
              <w:rPr>
                <w:rFonts w:ascii="宋体" w:hAnsi="宋体"/>
                <w:szCs w:val="21"/>
              </w:rPr>
            </w:pPr>
            <w:r>
              <w:rPr>
                <w:rFonts w:hint="eastAsia" w:ascii="宋体" w:hAnsi="宋体"/>
                <w:szCs w:val="21"/>
              </w:rPr>
              <w:t>4.3.2. 对防范措施的落实情况由综合部进行跟踪检查，验证其有效性和符合性。</w:t>
            </w:r>
          </w:p>
          <w:p>
            <w:pPr>
              <w:spacing w:line="360" w:lineRule="exact"/>
              <w:ind w:left="-1" w:leftChars="-1" w:hanging="1"/>
              <w:rPr>
                <w:rFonts w:ascii="宋体" w:hAnsi="宋体"/>
                <w:szCs w:val="21"/>
              </w:rPr>
            </w:pPr>
            <w:r>
              <w:rPr>
                <w:rFonts w:hint="eastAsia" w:ascii="宋体" w:hAnsi="宋体"/>
                <w:szCs w:val="21"/>
              </w:rPr>
              <w:t>4.3.3. 在处理事件时，应按照“四不放过”的原则进行，即：</w:t>
            </w:r>
          </w:p>
          <w:p>
            <w:pPr>
              <w:numPr>
                <w:ilvl w:val="0"/>
                <w:numId w:val="24"/>
              </w:numPr>
              <w:spacing w:line="360" w:lineRule="exact"/>
              <w:ind w:left="-1" w:leftChars="-1" w:hanging="1"/>
              <w:rPr>
                <w:rFonts w:ascii="宋体" w:hAnsi="宋体"/>
                <w:szCs w:val="21"/>
              </w:rPr>
            </w:pPr>
            <w:r>
              <w:rPr>
                <w:rFonts w:hint="eastAsia" w:ascii="宋体" w:hAnsi="宋体"/>
                <w:szCs w:val="21"/>
              </w:rPr>
              <w:t>事件调查不清楚不放过；</w:t>
            </w:r>
          </w:p>
          <w:p>
            <w:pPr>
              <w:numPr>
                <w:ilvl w:val="0"/>
                <w:numId w:val="24"/>
              </w:numPr>
              <w:spacing w:line="360" w:lineRule="exact"/>
              <w:ind w:left="-1" w:leftChars="-1" w:hanging="1"/>
              <w:rPr>
                <w:rFonts w:ascii="宋体" w:hAnsi="宋体"/>
                <w:szCs w:val="21"/>
              </w:rPr>
            </w:pPr>
            <w:r>
              <w:rPr>
                <w:rFonts w:hint="eastAsia" w:ascii="宋体" w:hAnsi="宋体"/>
                <w:szCs w:val="21"/>
              </w:rPr>
              <w:t>事件责任人得不到处理不放过；</w:t>
            </w:r>
          </w:p>
          <w:p>
            <w:pPr>
              <w:numPr>
                <w:ilvl w:val="0"/>
                <w:numId w:val="24"/>
              </w:numPr>
              <w:spacing w:line="360" w:lineRule="exact"/>
              <w:ind w:left="-1" w:leftChars="-1" w:hanging="1"/>
              <w:rPr>
                <w:rFonts w:ascii="宋体" w:hAnsi="宋体"/>
                <w:szCs w:val="21"/>
              </w:rPr>
            </w:pPr>
            <w:r>
              <w:rPr>
                <w:rFonts w:hint="eastAsia" w:ascii="宋体" w:hAnsi="宋体"/>
                <w:szCs w:val="21"/>
              </w:rPr>
              <w:t>员工受不到教育不放过；</w:t>
            </w:r>
          </w:p>
          <w:p>
            <w:pPr>
              <w:numPr>
                <w:ilvl w:val="0"/>
                <w:numId w:val="24"/>
              </w:numPr>
              <w:spacing w:line="360" w:lineRule="exact"/>
              <w:ind w:left="-1" w:leftChars="-1" w:hanging="1"/>
              <w:rPr>
                <w:rFonts w:ascii="宋体" w:hAnsi="宋体"/>
                <w:szCs w:val="21"/>
              </w:rPr>
            </w:pPr>
            <w:r>
              <w:rPr>
                <w:rFonts w:hint="eastAsia" w:ascii="宋体" w:hAnsi="宋体"/>
                <w:szCs w:val="21"/>
              </w:rPr>
              <w:t>没有制定防范措施不放过。</w:t>
            </w:r>
          </w:p>
          <w:p>
            <w:pPr>
              <w:spacing w:line="360" w:lineRule="exact"/>
              <w:ind w:left="-1" w:leftChars="-1" w:hanging="1"/>
              <w:rPr>
                <w:rFonts w:ascii="宋体" w:hAnsi="宋体"/>
                <w:b/>
                <w:szCs w:val="21"/>
              </w:rPr>
            </w:pPr>
            <w:r>
              <w:rPr>
                <w:rFonts w:hint="eastAsia" w:ascii="宋体" w:hAnsi="宋体"/>
                <w:b/>
                <w:szCs w:val="21"/>
              </w:rPr>
              <w:t>4.4.事件统计</w:t>
            </w:r>
          </w:p>
          <w:p>
            <w:pPr>
              <w:spacing w:line="360" w:lineRule="exact"/>
              <w:ind w:left="-1" w:leftChars="-1" w:hanging="1"/>
              <w:rPr>
                <w:rFonts w:ascii="宋体" w:hAnsi="宋体"/>
                <w:szCs w:val="21"/>
              </w:rPr>
            </w:pPr>
            <w:r>
              <w:rPr>
                <w:rFonts w:hint="eastAsia" w:ascii="宋体" w:hAnsi="宋体"/>
                <w:szCs w:val="21"/>
              </w:rPr>
              <w:t>4.4.1. 综合部每月进行统计分析，利于防范、改进，并于公司例会上进行通报。</w:t>
            </w:r>
          </w:p>
          <w:p>
            <w:pPr>
              <w:spacing w:line="360" w:lineRule="exact"/>
              <w:ind w:left="-1" w:leftChars="-1" w:hanging="1"/>
              <w:rPr>
                <w:rFonts w:ascii="宋体" w:hAnsi="宋体"/>
                <w:szCs w:val="21"/>
              </w:rPr>
            </w:pPr>
            <w:r>
              <w:rPr>
                <w:rFonts w:hint="eastAsia" w:ascii="宋体" w:hAnsi="宋体"/>
                <w:szCs w:val="21"/>
              </w:rPr>
              <w:t>4.4.2. 统计上报按GB6411-1986《企业职工伤亡事故分类》及《生产安全事故报告调查处理条例》（2007年6月1日实施）等有关规定执行。</w:t>
            </w:r>
          </w:p>
          <w:p>
            <w:pPr>
              <w:spacing w:line="360" w:lineRule="exact"/>
              <w:ind w:left="-1" w:leftChars="-1" w:hanging="1"/>
              <w:rPr>
                <w:rFonts w:ascii="宋体" w:hAnsi="宋体"/>
                <w:szCs w:val="21"/>
              </w:rPr>
            </w:pPr>
            <w:r>
              <w:rPr>
                <w:rFonts w:hint="eastAsia" w:ascii="宋体" w:hAnsi="宋体"/>
                <w:b/>
                <w:szCs w:val="21"/>
              </w:rPr>
              <w:t>4.5.</w:t>
            </w:r>
            <w:r>
              <w:rPr>
                <w:rFonts w:hint="eastAsia" w:ascii="宋体" w:hAnsi="宋体"/>
                <w:szCs w:val="21"/>
              </w:rPr>
              <w:t xml:space="preserve"> 对发生的任何事件、违章等不符合，均需采取相应的纠正和预防措施，具体执行《改进控制程序》的有关规定。</w:t>
            </w:r>
          </w:p>
          <w:p>
            <w:pPr>
              <w:pStyle w:val="2"/>
              <w:spacing w:line="360" w:lineRule="exact"/>
              <w:ind w:left="-1" w:leftChars="-1" w:hanging="1"/>
              <w:rPr>
                <w:rFonts w:ascii="宋体" w:hAnsi="宋体"/>
                <w:szCs w:val="21"/>
              </w:rPr>
            </w:pPr>
            <w:r>
              <w:rPr>
                <w:rFonts w:hint="eastAsia" w:ascii="宋体" w:hAnsi="宋体"/>
                <w:b/>
                <w:szCs w:val="21"/>
              </w:rPr>
              <w:t>4.6.</w:t>
            </w:r>
            <w:r>
              <w:rPr>
                <w:rFonts w:hint="eastAsia" w:ascii="宋体" w:hAnsi="宋体"/>
                <w:szCs w:val="21"/>
              </w:rPr>
              <w:t xml:space="preserve"> 有关事件调查、处理、统计分析及上报等全套记录由综合部归口管理，并执行《记录控制程序》。</w:t>
            </w:r>
          </w:p>
          <w:p>
            <w:pPr>
              <w:pStyle w:val="2"/>
              <w:spacing w:line="360" w:lineRule="exact"/>
              <w:ind w:left="-1" w:leftChars="-1" w:hanging="1"/>
              <w:rPr>
                <w:rFonts w:ascii="宋体" w:hAnsi="宋体"/>
                <w:b/>
                <w:szCs w:val="21"/>
              </w:rPr>
            </w:pPr>
            <w:r>
              <w:rPr>
                <w:rFonts w:hint="eastAsia" w:ascii="宋体" w:hAnsi="宋体"/>
                <w:b/>
                <w:szCs w:val="21"/>
              </w:rPr>
              <w:t>5. 相关/支持性文件</w:t>
            </w:r>
          </w:p>
          <w:p>
            <w:pPr>
              <w:spacing w:line="360" w:lineRule="exact"/>
              <w:ind w:left="-1" w:leftChars="-1" w:hanging="1"/>
              <w:rPr>
                <w:rFonts w:ascii="宋体" w:hAnsi="宋体"/>
                <w:szCs w:val="21"/>
              </w:rPr>
            </w:pPr>
            <w:r>
              <w:rPr>
                <w:rFonts w:hint="eastAsia" w:ascii="宋体" w:hAnsi="宋体"/>
                <w:szCs w:val="21"/>
              </w:rPr>
              <w:t>5.1. 《企业职工伤亡事故分类》</w:t>
            </w:r>
          </w:p>
          <w:p>
            <w:pPr>
              <w:spacing w:line="360" w:lineRule="exact"/>
              <w:ind w:left="-1" w:leftChars="-1" w:hanging="1"/>
              <w:rPr>
                <w:rFonts w:ascii="宋体" w:hAnsi="宋体"/>
                <w:szCs w:val="21"/>
              </w:rPr>
            </w:pPr>
            <w:r>
              <w:rPr>
                <w:rFonts w:hint="eastAsia" w:ascii="宋体" w:hAnsi="宋体"/>
                <w:szCs w:val="21"/>
              </w:rPr>
              <w:t>5.2. 《生产安全事故报告调查处理条例》（2007年6月1日实施）</w:t>
            </w:r>
          </w:p>
          <w:p>
            <w:pPr>
              <w:spacing w:line="360" w:lineRule="exact"/>
              <w:ind w:left="-1" w:leftChars="-1" w:hanging="1"/>
              <w:rPr>
                <w:rFonts w:ascii="宋体" w:hAnsi="宋体"/>
                <w:szCs w:val="21"/>
              </w:rPr>
            </w:pPr>
            <w:r>
              <w:rPr>
                <w:rFonts w:hint="eastAsia" w:ascii="宋体" w:hAnsi="宋体"/>
                <w:szCs w:val="21"/>
              </w:rPr>
              <w:t>5.3. 《记录控制程序》</w:t>
            </w:r>
          </w:p>
          <w:p>
            <w:pPr>
              <w:spacing w:line="360" w:lineRule="exact"/>
              <w:ind w:left="-1" w:leftChars="-1" w:hanging="1"/>
              <w:rPr>
                <w:rFonts w:ascii="宋体" w:hAnsi="宋体"/>
                <w:szCs w:val="21"/>
              </w:rPr>
            </w:pPr>
            <w:r>
              <w:rPr>
                <w:rFonts w:hint="eastAsia" w:ascii="宋体" w:hAnsi="宋体"/>
                <w:szCs w:val="21"/>
              </w:rPr>
              <w:t>5.4. 《改进控制程序》</w:t>
            </w:r>
          </w:p>
          <w:p>
            <w:pPr>
              <w:pStyle w:val="2"/>
              <w:spacing w:line="360" w:lineRule="exact"/>
              <w:ind w:left="-1" w:leftChars="-1" w:hanging="1"/>
              <w:rPr>
                <w:rFonts w:ascii="宋体" w:hAnsi="宋体"/>
                <w:b/>
                <w:szCs w:val="21"/>
              </w:rPr>
            </w:pPr>
            <w:r>
              <w:rPr>
                <w:rFonts w:hint="eastAsia" w:ascii="宋体" w:hAnsi="宋体"/>
                <w:b/>
                <w:szCs w:val="21"/>
              </w:rPr>
              <w:t>6. 记录</w:t>
            </w:r>
          </w:p>
          <w:p>
            <w:pPr>
              <w:spacing w:line="360" w:lineRule="exact"/>
              <w:ind w:left="-1" w:leftChars="-1" w:hanging="1"/>
              <w:rPr>
                <w:rFonts w:ascii="宋体" w:hAnsi="宋体"/>
                <w:szCs w:val="21"/>
              </w:rPr>
            </w:pPr>
            <w:r>
              <w:rPr>
                <w:rFonts w:hint="eastAsia" w:ascii="宋体" w:hAnsi="宋体"/>
                <w:szCs w:val="21"/>
              </w:rPr>
              <w:t>6.1. 《事件不符合调查表》</w:t>
            </w:r>
          </w:p>
          <w:p>
            <w:pPr>
              <w:spacing w:line="360" w:lineRule="exact"/>
              <w:ind w:left="-1" w:leftChars="-1" w:hanging="1"/>
              <w:rPr>
                <w:rFonts w:ascii="宋体" w:hAnsi="宋体"/>
                <w:szCs w:val="21"/>
              </w:rPr>
            </w:pPr>
            <w:r>
              <w:rPr>
                <w:rFonts w:hint="eastAsia" w:ascii="宋体" w:hAnsi="宋体"/>
                <w:szCs w:val="21"/>
              </w:rPr>
              <w:t>6.2. 《事件不符合调查报告》</w:t>
            </w:r>
          </w:p>
          <w:p>
            <w:pPr>
              <w:tabs>
                <w:tab w:val="left" w:pos="2360"/>
              </w:tabs>
              <w:spacing w:line="360" w:lineRule="exact"/>
              <w:ind w:right="-88" w:rightChars="-42"/>
              <w:rPr>
                <w:rFonts w:ascii="宋体" w:hAnsi="宋体"/>
                <w:szCs w:val="21"/>
              </w:rPr>
            </w:pPr>
          </w:p>
          <w:p>
            <w:pPr>
              <w:tabs>
                <w:tab w:val="left" w:pos="2360"/>
              </w:tabs>
              <w:spacing w:line="360" w:lineRule="exact"/>
              <w:ind w:right="-88" w:rightChars="-42"/>
              <w:rPr>
                <w:rFonts w:ascii="宋体" w:hAnsi="宋体"/>
                <w:szCs w:val="21"/>
              </w:rPr>
            </w:pPr>
          </w:p>
          <w:p>
            <w:pPr>
              <w:tabs>
                <w:tab w:val="left" w:pos="2360"/>
              </w:tabs>
              <w:spacing w:line="360" w:lineRule="exact"/>
              <w:ind w:right="-88" w:rightChars="-42"/>
              <w:rPr>
                <w:rFonts w:ascii="宋体" w:hAnsi="宋体"/>
                <w:szCs w:val="21"/>
              </w:rPr>
            </w:pPr>
          </w:p>
          <w:p>
            <w:pPr>
              <w:tabs>
                <w:tab w:val="left" w:pos="2360"/>
              </w:tabs>
              <w:spacing w:line="360" w:lineRule="exact"/>
              <w:ind w:right="-88" w:rightChars="-42"/>
              <w:rPr>
                <w:rFonts w:ascii="宋体" w:hAnsi="宋体"/>
                <w:szCs w:val="21"/>
              </w:rPr>
            </w:pPr>
          </w:p>
          <w:p>
            <w:pPr>
              <w:tabs>
                <w:tab w:val="left" w:pos="2360"/>
              </w:tabs>
              <w:spacing w:line="360" w:lineRule="exact"/>
              <w:ind w:right="-88" w:rightChars="-42"/>
              <w:rPr>
                <w:rFonts w:ascii="宋体" w:hAnsi="宋体"/>
                <w:szCs w:val="21"/>
              </w:rPr>
            </w:pPr>
          </w:p>
          <w:p>
            <w:pPr>
              <w:tabs>
                <w:tab w:val="left" w:pos="2360"/>
              </w:tabs>
              <w:spacing w:line="360" w:lineRule="exact"/>
              <w:ind w:right="-88" w:rightChars="-42"/>
              <w:rPr>
                <w:rFonts w:ascii="宋体" w:hAnsi="宋体"/>
                <w:szCs w:val="21"/>
              </w:rPr>
            </w:pPr>
          </w:p>
          <w:p>
            <w:pPr>
              <w:tabs>
                <w:tab w:val="left" w:pos="2360"/>
              </w:tabs>
              <w:spacing w:line="360" w:lineRule="exact"/>
              <w:ind w:right="-88" w:rightChars="-42"/>
              <w:rPr>
                <w:rFonts w:ascii="宋体" w:hAnsi="宋体"/>
                <w:szCs w:val="21"/>
              </w:rPr>
            </w:pPr>
          </w:p>
        </w:tc>
      </w:tr>
    </w:tbl>
    <w:p/>
    <w:p/>
    <w:p/>
    <w:p/>
    <w:tbl>
      <w:tblPr>
        <w:tblStyle w:val="9"/>
        <w:tblW w:w="10324"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0"/>
        <w:gridCol w:w="1559"/>
        <w:gridCol w:w="3944"/>
        <w:gridCol w:w="1287"/>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620" w:type="dxa"/>
            <w:vMerge w:val="restart"/>
          </w:tcPr>
          <w:p/>
        </w:tc>
        <w:tc>
          <w:tcPr>
            <w:tcW w:w="1559" w:type="dxa"/>
            <w:vAlign w:val="center"/>
          </w:tcPr>
          <w:p>
            <w:pPr>
              <w:jc w:val="center"/>
              <w:rPr>
                <w:rFonts w:ascii="宋体"/>
                <w:b/>
                <w:sz w:val="28"/>
              </w:rPr>
            </w:pPr>
            <w:r>
              <w:rPr>
                <w:rFonts w:hint="eastAsia" w:ascii="宋体"/>
                <w:b/>
                <w:sz w:val="28"/>
              </w:rPr>
              <w:t>文件名称</w:t>
            </w:r>
          </w:p>
        </w:tc>
        <w:tc>
          <w:tcPr>
            <w:tcW w:w="3944" w:type="dxa"/>
            <w:vAlign w:val="center"/>
          </w:tcPr>
          <w:p>
            <w:pPr>
              <w:jc w:val="center"/>
              <w:rPr>
                <w:rFonts w:ascii="宋体"/>
                <w:b/>
                <w:sz w:val="28"/>
              </w:rPr>
            </w:pPr>
            <w:r>
              <w:rPr>
                <w:rFonts w:hint="eastAsia" w:ascii="宋体"/>
                <w:b/>
                <w:sz w:val="28"/>
              </w:rPr>
              <w:t>纠正和预防措施控制程序</w:t>
            </w:r>
          </w:p>
        </w:tc>
        <w:tc>
          <w:tcPr>
            <w:tcW w:w="1287" w:type="dxa"/>
            <w:vAlign w:val="center"/>
          </w:tcPr>
          <w:p>
            <w:pPr>
              <w:jc w:val="center"/>
              <w:rPr>
                <w:rFonts w:ascii="宋体"/>
                <w:b/>
                <w:sz w:val="28"/>
              </w:rPr>
            </w:pPr>
            <w:r>
              <w:rPr>
                <w:rFonts w:hint="eastAsia" w:ascii="宋体"/>
                <w:b/>
                <w:sz w:val="28"/>
              </w:rPr>
              <w:t>版次</w:t>
            </w:r>
          </w:p>
        </w:tc>
        <w:tc>
          <w:tcPr>
            <w:tcW w:w="914" w:type="dxa"/>
            <w:vAlign w:val="center"/>
          </w:tcPr>
          <w:p>
            <w:pPr>
              <w:jc w:val="center"/>
              <w:rPr>
                <w:rFonts w:ascii="宋体"/>
                <w:b/>
                <w:sz w:val="28"/>
              </w:rPr>
            </w:pPr>
            <w:r>
              <w:rPr>
                <w:rFonts w:hint="eastAsia" w:ascii="宋体"/>
                <w:b/>
                <w:sz w:val="28"/>
              </w:rPr>
              <w:t xml:space="preserve">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620" w:type="dxa"/>
            <w:vMerge w:val="continue"/>
          </w:tcPr>
          <w:p>
            <w:pPr>
              <w:spacing w:line="400" w:lineRule="exact"/>
              <w:jc w:val="center"/>
              <w:rPr>
                <w:rFonts w:eastAsia="黑体"/>
                <w:b/>
                <w:sz w:val="36"/>
              </w:rPr>
            </w:pPr>
          </w:p>
        </w:tc>
        <w:tc>
          <w:tcPr>
            <w:tcW w:w="1559" w:type="dxa"/>
            <w:vAlign w:val="center"/>
          </w:tcPr>
          <w:p>
            <w:pPr>
              <w:spacing w:line="400" w:lineRule="exact"/>
              <w:jc w:val="center"/>
              <w:rPr>
                <w:rFonts w:ascii="宋体"/>
                <w:b/>
                <w:sz w:val="28"/>
              </w:rPr>
            </w:pPr>
            <w:r>
              <w:rPr>
                <w:rFonts w:hint="eastAsia" w:ascii="宋体"/>
                <w:b/>
                <w:sz w:val="28"/>
              </w:rPr>
              <w:t>文件编号</w:t>
            </w:r>
          </w:p>
        </w:tc>
        <w:tc>
          <w:tcPr>
            <w:tcW w:w="3944" w:type="dxa"/>
            <w:vAlign w:val="center"/>
          </w:tcPr>
          <w:p>
            <w:pPr>
              <w:spacing w:line="400" w:lineRule="exact"/>
              <w:jc w:val="center"/>
              <w:rPr>
                <w:rFonts w:ascii="宋体"/>
                <w:b/>
                <w:sz w:val="28"/>
              </w:rPr>
            </w:pPr>
            <w:r>
              <w:rPr>
                <w:rFonts w:hint="eastAsia" w:ascii="宋体"/>
                <w:b/>
                <w:sz w:val="28"/>
              </w:rPr>
              <w:t>LQY—P—32</w:t>
            </w:r>
          </w:p>
        </w:tc>
        <w:tc>
          <w:tcPr>
            <w:tcW w:w="1287" w:type="dxa"/>
            <w:vAlign w:val="center"/>
          </w:tcPr>
          <w:p>
            <w:pPr>
              <w:spacing w:line="400" w:lineRule="exact"/>
              <w:jc w:val="center"/>
              <w:rPr>
                <w:rFonts w:ascii="宋体"/>
                <w:b/>
                <w:sz w:val="28"/>
              </w:rPr>
            </w:pPr>
            <w:r>
              <w:rPr>
                <w:rFonts w:hint="eastAsia" w:ascii="宋体"/>
                <w:b/>
                <w:sz w:val="28"/>
              </w:rPr>
              <w:t>修改状态</w:t>
            </w:r>
          </w:p>
        </w:tc>
        <w:tc>
          <w:tcPr>
            <w:tcW w:w="914" w:type="dxa"/>
            <w:vAlign w:val="center"/>
          </w:tcPr>
          <w:p>
            <w:pPr>
              <w:spacing w:line="400" w:lineRule="exact"/>
              <w:jc w:val="center"/>
              <w:rPr>
                <w:rFonts w:ascii="宋体"/>
                <w:b/>
                <w:sz w:val="28"/>
              </w:rPr>
            </w:pPr>
            <w:r>
              <w:rPr>
                <w:rFonts w:hint="eastAsia" w:ascii="宋体"/>
                <w:b/>
                <w:sz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5" w:hRule="atLeast"/>
        </w:trPr>
        <w:tc>
          <w:tcPr>
            <w:tcW w:w="10324" w:type="dxa"/>
            <w:gridSpan w:val="5"/>
          </w:tcPr>
          <w:p>
            <w:pPr>
              <w:spacing w:line="360" w:lineRule="exact"/>
              <w:jc w:val="left"/>
            </w:pPr>
            <w:r>
              <w:rPr>
                <w:rFonts w:hint="eastAsia"/>
              </w:rPr>
              <w:t>1. 目的：</w:t>
            </w:r>
          </w:p>
          <w:p>
            <w:pPr>
              <w:spacing w:line="360" w:lineRule="exact"/>
              <w:jc w:val="left"/>
            </w:pPr>
            <w:r>
              <w:rPr>
                <w:rFonts w:hint="eastAsia"/>
              </w:rPr>
              <w:t xml:space="preserve">  为了消除实际或潜在的不合格，由责任单位制定并实施相应的纠正和预防措施，改善已存在的不合格或预防潜在不合格的发生，从而确保产品质量。</w:t>
            </w:r>
          </w:p>
          <w:p>
            <w:pPr>
              <w:spacing w:line="360" w:lineRule="exact"/>
              <w:jc w:val="left"/>
            </w:pPr>
            <w:r>
              <w:rPr>
                <w:rFonts w:hint="eastAsia"/>
              </w:rPr>
              <w:t>2. 适用范围：</w:t>
            </w:r>
          </w:p>
          <w:p>
            <w:pPr>
              <w:spacing w:line="360" w:lineRule="exact"/>
              <w:jc w:val="left"/>
            </w:pPr>
            <w:r>
              <w:rPr>
                <w:rFonts w:hint="eastAsia"/>
              </w:rPr>
              <w:t xml:space="preserve">  适用于与管理体系有关的各相关单位。</w:t>
            </w:r>
          </w:p>
          <w:p>
            <w:pPr>
              <w:spacing w:line="360" w:lineRule="exact"/>
              <w:jc w:val="left"/>
            </w:pPr>
            <w:r>
              <w:rPr>
                <w:rFonts w:hint="eastAsia"/>
              </w:rPr>
              <w:t>3. 职责：</w:t>
            </w:r>
          </w:p>
          <w:p>
            <w:pPr>
              <w:spacing w:line="360" w:lineRule="exact"/>
              <w:jc w:val="left"/>
            </w:pPr>
            <w:r>
              <w:rPr>
                <w:rFonts w:hint="eastAsia"/>
              </w:rPr>
              <w:t>3.1 纠正和预防措施的提出：综合部、生产车间。</w:t>
            </w:r>
          </w:p>
          <w:p>
            <w:pPr>
              <w:spacing w:line="360" w:lineRule="exact"/>
              <w:jc w:val="left"/>
            </w:pPr>
            <w:r>
              <w:rPr>
                <w:rFonts w:hint="eastAsia"/>
              </w:rPr>
              <w:t>3.2 原因分析：责任单位。</w:t>
            </w:r>
          </w:p>
          <w:p>
            <w:pPr>
              <w:spacing w:line="360" w:lineRule="exact"/>
              <w:jc w:val="left"/>
            </w:pPr>
            <w:r>
              <w:rPr>
                <w:rFonts w:hint="eastAsia"/>
              </w:rPr>
              <w:t>3.3 纠正和预防措施的实施：生产车间、综合部</w:t>
            </w:r>
          </w:p>
          <w:p>
            <w:pPr>
              <w:spacing w:line="360" w:lineRule="exact"/>
              <w:jc w:val="left"/>
            </w:pPr>
            <w:r>
              <w:rPr>
                <w:rFonts w:hint="eastAsia"/>
              </w:rPr>
              <w:t>4. 定义：无</w:t>
            </w:r>
          </w:p>
          <w:p>
            <w:pPr>
              <w:spacing w:line="360" w:lineRule="exact"/>
              <w:jc w:val="left"/>
            </w:pPr>
            <w:r>
              <w:rPr>
                <w:rFonts w:hint="eastAsia"/>
              </w:rPr>
              <w:t>5. 工作程序：</w:t>
            </w:r>
          </w:p>
          <w:p>
            <w:pPr>
              <w:spacing w:line="360" w:lineRule="exact"/>
              <w:jc w:val="left"/>
            </w:pPr>
            <w:r>
              <w:rPr>
                <w:rFonts w:hint="eastAsia"/>
              </w:rPr>
              <w:t>5.1 流程图（见附件）</w:t>
            </w:r>
          </w:p>
          <w:p>
            <w:pPr>
              <w:spacing w:line="360" w:lineRule="exact"/>
              <w:jc w:val="left"/>
            </w:pPr>
            <w:r>
              <w:rPr>
                <w:rFonts w:hint="eastAsia"/>
              </w:rPr>
              <w:t>5.2 纠正措施</w:t>
            </w:r>
          </w:p>
          <w:p>
            <w:pPr>
              <w:spacing w:line="360" w:lineRule="exact"/>
              <w:jc w:val="left"/>
            </w:pPr>
            <w:r>
              <w:rPr>
                <w:rFonts w:hint="eastAsia"/>
              </w:rPr>
              <w:t>5.2.1 进厂物资的不合格采取的纠正措施</w:t>
            </w:r>
          </w:p>
          <w:p>
            <w:pPr>
              <w:spacing w:line="360" w:lineRule="exact"/>
              <w:jc w:val="left"/>
            </w:pPr>
            <w:r>
              <w:rPr>
                <w:rFonts w:hint="eastAsia"/>
              </w:rPr>
              <w:t xml:space="preserve">   进厂物资不合格，由回收利用部、生产车间责成供方制订和实施纠正措施。</w:t>
            </w:r>
          </w:p>
          <w:p>
            <w:pPr>
              <w:spacing w:line="360" w:lineRule="exact"/>
              <w:jc w:val="left"/>
            </w:pPr>
            <w:r>
              <w:rPr>
                <w:rFonts w:hint="eastAsia"/>
              </w:rPr>
              <w:t>5.2.2生产过程中出现的不合格的纠正措施</w:t>
            </w:r>
          </w:p>
          <w:p>
            <w:pPr>
              <w:spacing w:line="360" w:lineRule="exact"/>
              <w:jc w:val="left"/>
            </w:pPr>
            <w:r>
              <w:rPr>
                <w:rFonts w:hint="eastAsia"/>
              </w:rPr>
              <w:t>5.2.2.1 生产过程中出现的不合格，批量不合格率大于5％小于10％，由质检员责成有关人员制订纠正措施，质检员进行效果验证。</w:t>
            </w:r>
          </w:p>
          <w:p>
            <w:pPr>
              <w:spacing w:line="360" w:lineRule="exact"/>
              <w:jc w:val="left"/>
            </w:pPr>
            <w:r>
              <w:rPr>
                <w:rFonts w:hint="eastAsia"/>
              </w:rPr>
              <w:t>5.2.2.2 如不合格率大于10％（批量不少于500件）的不合格批要上报生产车间，由生产车间责成车间有关责任者制订纠正措施，并进行效果验证。</w:t>
            </w:r>
          </w:p>
          <w:p>
            <w:pPr>
              <w:spacing w:line="360" w:lineRule="exact"/>
              <w:jc w:val="left"/>
            </w:pPr>
            <w:r>
              <w:rPr>
                <w:rFonts w:hint="eastAsia"/>
              </w:rPr>
              <w:t>5.2.2.3 如果产品发生较大质量问题（批量大于1000件、不合格率大于50％）时，生产单位要上报生产车间和分管副总，由分管副总和生产车间组织人员进行分析，并责成责任单位制订和实施纠正措施，由生产车间进行效果验证。</w:t>
            </w:r>
          </w:p>
          <w:p>
            <w:pPr>
              <w:spacing w:line="360" w:lineRule="exact"/>
              <w:jc w:val="left"/>
            </w:pPr>
            <w:r>
              <w:rPr>
                <w:rFonts w:hint="eastAsia"/>
              </w:rPr>
              <w:t>5.2.3 顾客投诉的纠正措施</w:t>
            </w:r>
          </w:p>
          <w:p>
            <w:pPr>
              <w:spacing w:line="360" w:lineRule="exact"/>
              <w:jc w:val="left"/>
            </w:pPr>
            <w:r>
              <w:rPr>
                <w:rFonts w:hint="eastAsia"/>
              </w:rPr>
              <w:t xml:space="preserve">  顾客投诉时，按照《顾客沟通程序》执行。</w:t>
            </w:r>
          </w:p>
          <w:p>
            <w:pPr>
              <w:spacing w:line="360" w:lineRule="exact"/>
              <w:jc w:val="left"/>
            </w:pPr>
            <w:r>
              <w:rPr>
                <w:rFonts w:hint="eastAsia"/>
              </w:rPr>
              <w:t>5.2.4 顾客满意度调查不合格项的纠正措施</w:t>
            </w:r>
          </w:p>
          <w:p>
            <w:pPr>
              <w:spacing w:line="360" w:lineRule="exact"/>
              <w:jc w:val="left"/>
            </w:pPr>
            <w:r>
              <w:rPr>
                <w:rFonts w:hint="eastAsia"/>
              </w:rPr>
              <w:t xml:space="preserve">  通过对顾客满意度调查发现的不合格项，由责任部门制订纠正措施，由生产车间对实施效果进行验证。</w:t>
            </w:r>
          </w:p>
          <w:p>
            <w:pPr>
              <w:spacing w:line="360" w:lineRule="exact"/>
              <w:jc w:val="left"/>
            </w:pPr>
            <w:r>
              <w:rPr>
                <w:rFonts w:hint="eastAsia"/>
              </w:rPr>
              <w:t>5.2.5 管理体系内部审核中出现的不合格纠正和预防措施</w:t>
            </w:r>
          </w:p>
          <w:p>
            <w:pPr>
              <w:spacing w:line="360" w:lineRule="exact"/>
              <w:jc w:val="left"/>
            </w:pPr>
            <w:r>
              <w:rPr>
                <w:rFonts w:hint="eastAsia"/>
              </w:rPr>
              <w:t>如内审中出现不合格，审核小组负责评审分析其发生原因，并责成责任单位制定纠正和预防措施，并进行效果验证。</w:t>
            </w:r>
          </w:p>
          <w:p>
            <w:pPr>
              <w:spacing w:line="360" w:lineRule="exact"/>
              <w:jc w:val="left"/>
            </w:pPr>
            <w:r>
              <w:rPr>
                <w:rFonts w:hint="eastAsia"/>
              </w:rPr>
              <w:t>5.2.6 各部门在每月绩效考核数据分析时，如发现绩效未达成时，应制定纠正措施。</w:t>
            </w:r>
          </w:p>
          <w:p>
            <w:pPr>
              <w:spacing w:line="360" w:lineRule="exact"/>
              <w:jc w:val="left"/>
            </w:pPr>
            <w:r>
              <w:rPr>
                <w:rFonts w:hint="eastAsia"/>
              </w:rPr>
              <w:t>5.3 预防措施</w:t>
            </w:r>
          </w:p>
          <w:p>
            <w:pPr>
              <w:spacing w:line="360" w:lineRule="exact"/>
              <w:jc w:val="left"/>
            </w:pPr>
            <w:r>
              <w:rPr>
                <w:rFonts w:hint="eastAsia"/>
              </w:rPr>
              <w:t>5.3.1 生产车间/各厂在审核、检验、管理评审、数据分析等过程，及其它信息来源中发现潜在的不合格隐患，应组织分析原因，并责成相关单位制订预防措施。</w:t>
            </w:r>
          </w:p>
          <w:p>
            <w:pPr>
              <w:spacing w:line="360" w:lineRule="exact"/>
              <w:jc w:val="left"/>
            </w:pPr>
            <w:r>
              <w:rPr>
                <w:rFonts w:hint="eastAsia"/>
              </w:rPr>
              <w:t>5.3.2 生产车间对预防措施的实施情况进行检查，评价并监督预防措施的实施效果。</w:t>
            </w:r>
          </w:p>
          <w:p>
            <w:pPr>
              <w:spacing w:line="360" w:lineRule="exact"/>
              <w:jc w:val="left"/>
            </w:pPr>
            <w:r>
              <w:rPr>
                <w:rFonts w:hint="eastAsia"/>
              </w:rPr>
              <w:t>5.3.3 在预防措施中发现没有达到预防效果时，生产车间、各厂负责组织责任部门查找原因，并采取相应措施。</w:t>
            </w:r>
          </w:p>
          <w:p>
            <w:pPr>
              <w:spacing w:line="360" w:lineRule="exact"/>
              <w:jc w:val="left"/>
            </w:pPr>
            <w:r>
              <w:rPr>
                <w:rFonts w:hint="eastAsia"/>
              </w:rPr>
              <w:t>5.4 因纠正和预防措施引起的文件更改按《文件资料控制程序》执行。</w:t>
            </w:r>
          </w:p>
          <w:p>
            <w:pPr>
              <w:spacing w:line="360" w:lineRule="exact"/>
              <w:jc w:val="left"/>
            </w:pPr>
            <w:r>
              <w:rPr>
                <w:rFonts w:hint="eastAsia"/>
              </w:rPr>
              <w:t>6. 相关/支持性文件：</w:t>
            </w:r>
          </w:p>
          <w:p>
            <w:pPr>
              <w:spacing w:line="360" w:lineRule="exact"/>
              <w:jc w:val="left"/>
            </w:pPr>
            <w:r>
              <w:rPr>
                <w:rFonts w:hint="eastAsia"/>
              </w:rPr>
              <w:t>6.1 文件资料控制程序</w:t>
            </w:r>
          </w:p>
          <w:p>
            <w:pPr>
              <w:jc w:val="left"/>
            </w:pPr>
            <w:r>
              <w:rPr>
                <w:rFonts w:hint="eastAsia"/>
              </w:rPr>
              <w:t>6.2 内部审核控制程序</w:t>
            </w:r>
          </w:p>
          <w:p>
            <w:pPr>
              <w:jc w:val="left"/>
            </w:pPr>
            <w:r>
              <w:rPr>
                <w:rFonts w:hint="eastAsia"/>
              </w:rPr>
              <w:t>6.3 顾客沟通控制程序</w:t>
            </w:r>
          </w:p>
          <w:p>
            <w:pPr>
              <w:jc w:val="left"/>
            </w:pPr>
            <w:r>
              <w:rPr>
                <w:rFonts w:hint="eastAsia"/>
              </w:rPr>
              <w:t>7. 记录                      编号                  版本                  保存期限</w:t>
            </w:r>
          </w:p>
          <w:p>
            <w:pPr>
              <w:spacing w:line="360" w:lineRule="exact"/>
              <w:jc w:val="left"/>
            </w:pPr>
            <w:r>
              <w:rPr>
                <w:rFonts w:hint="eastAsia"/>
              </w:rPr>
              <w:t>7.1 纠正和预防措施             LQY-P-04-03               01                      三年</w:t>
            </w: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p>
            <w:pPr>
              <w:spacing w:line="360" w:lineRule="exact"/>
              <w:jc w:val="left"/>
            </w:pPr>
          </w:p>
        </w:tc>
      </w:tr>
    </w:tbl>
    <w:p/>
    <w:p/>
    <w:tbl>
      <w:tblPr>
        <w:tblStyle w:val="9"/>
        <w:tblW w:w="10605"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559"/>
        <w:gridCol w:w="3701"/>
        <w:gridCol w:w="157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2405" w:type="dxa"/>
            <w:vMerge w:val="restart"/>
            <w:vAlign w:val="center"/>
          </w:tcPr>
          <w:p>
            <w:pPr>
              <w:spacing w:line="400" w:lineRule="exact"/>
              <w:jc w:val="center"/>
              <w:rPr>
                <w:rFonts w:eastAsia="黑体"/>
                <w:b/>
                <w:sz w:val="36"/>
              </w:rPr>
            </w:pPr>
          </w:p>
        </w:tc>
        <w:tc>
          <w:tcPr>
            <w:tcW w:w="1559" w:type="dxa"/>
            <w:vAlign w:val="center"/>
          </w:tcPr>
          <w:p>
            <w:pPr>
              <w:spacing w:line="400" w:lineRule="exact"/>
              <w:jc w:val="center"/>
              <w:rPr>
                <w:rFonts w:ascii="宋体"/>
                <w:b/>
                <w:sz w:val="30"/>
              </w:rPr>
            </w:pPr>
            <w:r>
              <w:rPr>
                <w:rFonts w:hint="eastAsia" w:ascii="宋体"/>
                <w:b/>
                <w:sz w:val="30"/>
              </w:rPr>
              <w:t>文件名称</w:t>
            </w:r>
          </w:p>
        </w:tc>
        <w:tc>
          <w:tcPr>
            <w:tcW w:w="3701" w:type="dxa"/>
            <w:vAlign w:val="center"/>
          </w:tcPr>
          <w:p>
            <w:pPr>
              <w:spacing w:line="400" w:lineRule="exact"/>
              <w:jc w:val="center"/>
              <w:rPr>
                <w:rFonts w:ascii="宋体"/>
                <w:b/>
                <w:sz w:val="30"/>
              </w:rPr>
            </w:pPr>
            <w:r>
              <w:rPr>
                <w:rFonts w:hint="eastAsia" w:ascii="宋体"/>
                <w:b/>
                <w:sz w:val="30"/>
              </w:rPr>
              <w:t>绩效管理和持续改进管理程序</w:t>
            </w:r>
          </w:p>
        </w:tc>
        <w:tc>
          <w:tcPr>
            <w:tcW w:w="1575" w:type="dxa"/>
            <w:vAlign w:val="center"/>
          </w:tcPr>
          <w:p>
            <w:pPr>
              <w:spacing w:line="400" w:lineRule="exact"/>
              <w:jc w:val="center"/>
              <w:rPr>
                <w:rFonts w:ascii="宋体"/>
                <w:b/>
                <w:sz w:val="30"/>
              </w:rPr>
            </w:pPr>
            <w:r>
              <w:rPr>
                <w:rFonts w:hint="eastAsia" w:ascii="宋体"/>
                <w:b/>
                <w:sz w:val="30"/>
              </w:rPr>
              <w:t>版次</w:t>
            </w:r>
          </w:p>
        </w:tc>
        <w:tc>
          <w:tcPr>
            <w:tcW w:w="1365" w:type="dxa"/>
            <w:vAlign w:val="center"/>
          </w:tcPr>
          <w:p>
            <w:pPr>
              <w:spacing w:line="400" w:lineRule="exact"/>
              <w:jc w:val="center"/>
              <w:rPr>
                <w:rFonts w:ascii="宋体"/>
                <w:b/>
                <w:sz w:val="30"/>
              </w:rPr>
            </w:pPr>
            <w:r>
              <w:rPr>
                <w:rFonts w:hint="eastAsia" w:ascii="宋体"/>
                <w:b/>
                <w:sz w:val="30"/>
              </w:rPr>
              <w:t xml:space="preserve">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2405" w:type="dxa"/>
            <w:vMerge w:val="continue"/>
            <w:vAlign w:val="center"/>
          </w:tcPr>
          <w:p>
            <w:pPr>
              <w:spacing w:line="400" w:lineRule="exact"/>
              <w:jc w:val="center"/>
              <w:rPr>
                <w:rFonts w:eastAsia="黑体"/>
                <w:b/>
                <w:sz w:val="36"/>
              </w:rPr>
            </w:pPr>
          </w:p>
        </w:tc>
        <w:tc>
          <w:tcPr>
            <w:tcW w:w="1559" w:type="dxa"/>
            <w:vAlign w:val="center"/>
          </w:tcPr>
          <w:p>
            <w:pPr>
              <w:spacing w:line="400" w:lineRule="exact"/>
              <w:jc w:val="center"/>
              <w:rPr>
                <w:rFonts w:ascii="宋体"/>
                <w:b/>
                <w:sz w:val="30"/>
              </w:rPr>
            </w:pPr>
            <w:r>
              <w:rPr>
                <w:rFonts w:hint="eastAsia" w:ascii="宋体"/>
                <w:b/>
                <w:sz w:val="30"/>
              </w:rPr>
              <w:t>文件编号</w:t>
            </w:r>
          </w:p>
        </w:tc>
        <w:tc>
          <w:tcPr>
            <w:tcW w:w="3701" w:type="dxa"/>
            <w:vAlign w:val="center"/>
          </w:tcPr>
          <w:p>
            <w:pPr>
              <w:spacing w:line="400" w:lineRule="exact"/>
              <w:jc w:val="center"/>
              <w:rPr>
                <w:rFonts w:ascii="宋体"/>
                <w:b/>
                <w:sz w:val="30"/>
              </w:rPr>
            </w:pPr>
            <w:r>
              <w:rPr>
                <w:rFonts w:hint="eastAsia" w:ascii="宋体"/>
                <w:b/>
                <w:sz w:val="30"/>
              </w:rPr>
              <w:t>LQY-P-33</w:t>
            </w:r>
          </w:p>
        </w:tc>
        <w:tc>
          <w:tcPr>
            <w:tcW w:w="1575" w:type="dxa"/>
            <w:vAlign w:val="center"/>
          </w:tcPr>
          <w:p>
            <w:pPr>
              <w:spacing w:line="400" w:lineRule="exact"/>
              <w:jc w:val="center"/>
              <w:rPr>
                <w:rFonts w:ascii="宋体"/>
                <w:b/>
                <w:sz w:val="30"/>
              </w:rPr>
            </w:pPr>
            <w:r>
              <w:rPr>
                <w:rFonts w:hint="eastAsia" w:ascii="宋体"/>
                <w:b/>
                <w:sz w:val="30"/>
              </w:rPr>
              <w:t>修改</w:t>
            </w:r>
          </w:p>
          <w:p>
            <w:pPr>
              <w:spacing w:line="400" w:lineRule="exact"/>
              <w:jc w:val="center"/>
              <w:rPr>
                <w:rFonts w:ascii="宋体"/>
                <w:b/>
                <w:sz w:val="30"/>
              </w:rPr>
            </w:pPr>
            <w:r>
              <w:rPr>
                <w:rFonts w:hint="eastAsia" w:ascii="宋体"/>
                <w:b/>
                <w:sz w:val="30"/>
              </w:rPr>
              <w:t>状态</w:t>
            </w:r>
          </w:p>
        </w:tc>
        <w:tc>
          <w:tcPr>
            <w:tcW w:w="1365" w:type="dxa"/>
            <w:vAlign w:val="center"/>
          </w:tcPr>
          <w:p>
            <w:pPr>
              <w:spacing w:line="400" w:lineRule="exact"/>
              <w:jc w:val="center"/>
              <w:rPr>
                <w:rFonts w:ascii="宋体"/>
                <w:b/>
                <w:sz w:val="30"/>
              </w:rPr>
            </w:pPr>
            <w:r>
              <w:rPr>
                <w:rFonts w:hint="eastAsia" w:ascii="宋体"/>
                <w:b/>
                <w:sz w:val="3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2" w:hRule="atLeast"/>
        </w:trPr>
        <w:tc>
          <w:tcPr>
            <w:tcW w:w="10605" w:type="dxa"/>
            <w:gridSpan w:val="5"/>
          </w:tcPr>
          <w:p>
            <w:pPr>
              <w:numPr>
                <w:ilvl w:val="0"/>
                <w:numId w:val="25"/>
              </w:numPr>
              <w:spacing w:line="360" w:lineRule="auto"/>
              <w:ind w:left="318" w:hanging="318"/>
              <w:jc w:val="left"/>
            </w:pPr>
            <w:r>
              <w:rPr>
                <w:rFonts w:hint="eastAsia"/>
              </w:rPr>
              <w:t>目的</w:t>
            </w:r>
          </w:p>
          <w:p>
            <w:pPr>
              <w:spacing w:line="360" w:lineRule="auto"/>
              <w:ind w:left="315"/>
              <w:jc w:val="left"/>
            </w:pPr>
            <w:r>
              <w:rPr>
                <w:rFonts w:hint="eastAsia"/>
              </w:rPr>
              <w:t>通过对公司各项工作进行评估，确保各项工作高质量完成，不断提高产品质量、生产效率及降低成本，提高公司的市场竞争能力。</w:t>
            </w:r>
          </w:p>
          <w:p>
            <w:pPr>
              <w:numPr>
                <w:ilvl w:val="0"/>
                <w:numId w:val="25"/>
              </w:numPr>
              <w:spacing w:line="360" w:lineRule="auto"/>
              <w:ind w:left="318" w:hanging="318"/>
              <w:jc w:val="left"/>
            </w:pPr>
            <w:r>
              <w:rPr>
                <w:rFonts w:hint="eastAsia"/>
              </w:rPr>
              <w:t>适用范围：</w:t>
            </w:r>
          </w:p>
          <w:p>
            <w:pPr>
              <w:spacing w:line="360" w:lineRule="auto"/>
              <w:ind w:left="315"/>
              <w:jc w:val="left"/>
            </w:pPr>
            <w:r>
              <w:rPr>
                <w:rFonts w:hint="eastAsia"/>
              </w:rPr>
              <w:t>适用于公司经营管理的关键指标及产品质量、环境、职业健康安全、生产效率、成本降低等项目的改进。</w:t>
            </w:r>
          </w:p>
          <w:p>
            <w:pPr>
              <w:numPr>
                <w:ilvl w:val="0"/>
                <w:numId w:val="25"/>
              </w:numPr>
              <w:spacing w:line="360" w:lineRule="auto"/>
              <w:jc w:val="left"/>
            </w:pPr>
            <w:r>
              <w:rPr>
                <w:rFonts w:hint="eastAsia"/>
              </w:rPr>
              <w:t>职责：</w:t>
            </w:r>
          </w:p>
          <w:p>
            <w:pPr>
              <w:spacing w:line="360" w:lineRule="auto"/>
              <w:jc w:val="left"/>
            </w:pPr>
            <w:r>
              <w:rPr>
                <w:rFonts w:hint="eastAsia"/>
              </w:rPr>
              <w:t>3.1总经理综合部负责制订各单位的主要经济指标，经董事长审批后公布实施；</w:t>
            </w:r>
          </w:p>
          <w:p>
            <w:pPr>
              <w:spacing w:line="360" w:lineRule="auto"/>
              <w:jc w:val="left"/>
            </w:pPr>
            <w:r>
              <w:rPr>
                <w:rFonts w:hint="eastAsia"/>
              </w:rPr>
              <w:t>3.2财务处将各单位的经营结果每月进行统计并公布；</w:t>
            </w:r>
          </w:p>
          <w:p>
            <w:pPr>
              <w:spacing w:line="360" w:lineRule="auto"/>
              <w:jc w:val="left"/>
            </w:pPr>
            <w:r>
              <w:rPr>
                <w:rFonts w:hint="eastAsia"/>
              </w:rPr>
              <w:t>3.3各部门自行制定各自的工作计划及目标并实施；</w:t>
            </w:r>
          </w:p>
          <w:p>
            <w:pPr>
              <w:spacing w:line="360" w:lineRule="auto"/>
              <w:jc w:val="left"/>
            </w:pPr>
            <w:r>
              <w:rPr>
                <w:rFonts w:hint="eastAsia"/>
              </w:rPr>
              <w:t>3.4综合部对各部门的目标、指标实施情况进行监督；</w:t>
            </w:r>
          </w:p>
          <w:p>
            <w:pPr>
              <w:spacing w:line="360" w:lineRule="auto"/>
              <w:jc w:val="left"/>
            </w:pPr>
            <w:r>
              <w:rPr>
                <w:rFonts w:hint="eastAsia"/>
              </w:rPr>
              <w:t>3.5各部门提出改进实施计划，综合部负责验证。</w:t>
            </w:r>
          </w:p>
          <w:p>
            <w:pPr>
              <w:numPr>
                <w:ilvl w:val="0"/>
                <w:numId w:val="25"/>
              </w:numPr>
              <w:spacing w:line="360" w:lineRule="auto"/>
              <w:jc w:val="left"/>
            </w:pPr>
            <w:r>
              <w:rPr>
                <w:rFonts w:hint="eastAsia"/>
              </w:rPr>
              <w:t>定义：无</w:t>
            </w:r>
          </w:p>
          <w:p>
            <w:pPr>
              <w:numPr>
                <w:ilvl w:val="0"/>
                <w:numId w:val="25"/>
              </w:numPr>
              <w:spacing w:line="360" w:lineRule="auto"/>
              <w:jc w:val="left"/>
            </w:pPr>
            <w:r>
              <w:rPr>
                <w:rFonts w:hint="eastAsia"/>
              </w:rPr>
              <w:t>工作程序</w:t>
            </w:r>
          </w:p>
          <w:p>
            <w:pPr>
              <w:spacing w:line="360" w:lineRule="auto"/>
              <w:jc w:val="left"/>
            </w:pPr>
            <w:r>
              <w:rPr>
                <w:rFonts w:hint="eastAsia"/>
              </w:rPr>
              <w:t>5.1绩效管理</w:t>
            </w:r>
          </w:p>
          <w:p>
            <w:pPr>
              <w:spacing w:line="360" w:lineRule="auto"/>
              <w:jc w:val="left"/>
            </w:pPr>
            <w:r>
              <w:rPr>
                <w:rFonts w:hint="eastAsia"/>
              </w:rPr>
              <w:t>5.1.1总经理综合部负责制定各生产经营部门的主要经济指标，如产值、出口交货值等，经董事长批准后实施；</w:t>
            </w:r>
          </w:p>
          <w:p>
            <w:pPr>
              <w:spacing w:line="360" w:lineRule="auto"/>
              <w:jc w:val="left"/>
            </w:pPr>
            <w:r>
              <w:t>5.1.2</w:t>
            </w:r>
            <w:r>
              <w:rPr>
                <w:rFonts w:hint="eastAsia"/>
              </w:rPr>
              <w:t>财务处将每月的经营结果统计汇总，并每月进行考核；</w:t>
            </w:r>
          </w:p>
          <w:p>
            <w:pPr>
              <w:spacing w:line="360" w:lineRule="auto"/>
              <w:jc w:val="left"/>
            </w:pPr>
            <w:r>
              <w:rPr>
                <w:rFonts w:hint="eastAsia"/>
              </w:rPr>
              <w:t>5.13财务处每月初公布上月指标实际完成情况及经营结果，指标完成情况达不到计划的80%的单位应分析原因，制定并采取纠正措施，由综合部进行验证。</w:t>
            </w:r>
          </w:p>
          <w:p>
            <w:pPr>
              <w:spacing w:line="360" w:lineRule="auto"/>
              <w:jc w:val="left"/>
            </w:pPr>
            <w:r>
              <w:rPr>
                <w:rFonts w:hint="eastAsia"/>
              </w:rPr>
              <w:t>5.2持续改进计划的制定和实施</w:t>
            </w:r>
          </w:p>
          <w:p>
            <w:pPr>
              <w:spacing w:line="360" w:lineRule="auto"/>
              <w:jc w:val="left"/>
            </w:pPr>
            <w:r>
              <w:rPr>
                <w:rFonts w:hint="eastAsia"/>
              </w:rPr>
              <w:t>5.2.1后勤各有关职能部门及各生产分厂根据公司管理方针及目标的要求，制定出各自的目标及工作计划并实施；</w:t>
            </w:r>
          </w:p>
          <w:p>
            <w:pPr>
              <w:spacing w:line="360" w:lineRule="auto"/>
              <w:jc w:val="left"/>
              <w:rPr>
                <w:color w:val="FF0000"/>
              </w:rPr>
            </w:pPr>
            <w:r>
              <w:rPr>
                <w:rFonts w:hint="eastAsia"/>
              </w:rPr>
              <w:t>5.2.2各部门将每月的目标和计划完成情况报公司生产车间和综合部；并且每月召开管理会议，并记录会议内容，作为日后追踪考核的依据。</w:t>
            </w:r>
          </w:p>
          <w:p>
            <w:pPr>
              <w:spacing w:line="360" w:lineRule="auto"/>
              <w:jc w:val="left"/>
            </w:pPr>
            <w:r>
              <w:rPr>
                <w:rFonts w:hint="eastAsia"/>
              </w:rPr>
              <w:t>5.2.3生产车间和综合部根据各部门目标及计划完成情况提报及数据分析的结果进行审查，并将主要目标完成情况报分管副总和总经理；</w:t>
            </w:r>
          </w:p>
          <w:p>
            <w:pPr>
              <w:spacing w:line="360" w:lineRule="auto"/>
              <w:jc w:val="left"/>
            </w:pPr>
            <w:r>
              <w:rPr>
                <w:rFonts w:hint="eastAsia"/>
              </w:rPr>
              <w:t>5.2.4生产车间根据各部门的目标达成情况、数据分析或内审结果等存在的问题，在质量管理会议上进行通报，责成存在问题的单位制定持续改进计划，并对计划实施情况进行跟踪验证，验证结果上报分管副总或总经理；</w:t>
            </w:r>
          </w:p>
          <w:p>
            <w:pPr>
              <w:spacing w:line="360" w:lineRule="auto"/>
              <w:jc w:val="left"/>
            </w:pPr>
            <w:r>
              <w:rPr>
                <w:rFonts w:hint="eastAsia"/>
              </w:rPr>
              <w:t>5.2.5改进项目主要包括以下项目：A、目标指标的持续改进；B、生产效率的提高；C、顾客满意度的提高；D、其他可以改进的项目。</w:t>
            </w:r>
          </w:p>
          <w:p>
            <w:pPr>
              <w:spacing w:line="360" w:lineRule="auto"/>
              <w:jc w:val="left"/>
            </w:pPr>
            <w:r>
              <w:rPr>
                <w:rFonts w:hint="eastAsia"/>
              </w:rPr>
              <w:t>5.2.6相关记录由各相关部门参照《记录控制程序》进行保存。</w:t>
            </w:r>
          </w:p>
          <w:p>
            <w:pPr>
              <w:numPr>
                <w:ilvl w:val="0"/>
                <w:numId w:val="25"/>
              </w:numPr>
              <w:spacing w:line="360" w:lineRule="auto"/>
              <w:jc w:val="left"/>
            </w:pPr>
            <w:r>
              <w:rPr>
                <w:rFonts w:hint="eastAsia"/>
              </w:rPr>
              <w:t>相关/支持性文件</w:t>
            </w:r>
          </w:p>
          <w:p>
            <w:pPr>
              <w:spacing w:line="360" w:lineRule="auto"/>
              <w:jc w:val="left"/>
            </w:pPr>
            <w:r>
              <w:rPr>
                <w:rFonts w:hint="eastAsia"/>
              </w:rPr>
              <w:t>6.1数据分析程序</w:t>
            </w:r>
          </w:p>
          <w:p>
            <w:pPr>
              <w:spacing w:line="360" w:lineRule="auto"/>
              <w:jc w:val="left"/>
            </w:pPr>
            <w:r>
              <w:rPr>
                <w:rFonts w:hint="eastAsia"/>
              </w:rPr>
              <w:t>6.2记录控制程序</w:t>
            </w:r>
          </w:p>
          <w:p>
            <w:pPr>
              <w:spacing w:line="360" w:lineRule="auto"/>
              <w:jc w:val="left"/>
            </w:pPr>
            <w:r>
              <w:rPr>
                <w:rFonts w:hint="eastAsia"/>
              </w:rPr>
              <w:t>7、记录                            编号           版本          保存期限</w:t>
            </w:r>
          </w:p>
          <w:p>
            <w:pPr>
              <w:spacing w:line="360" w:lineRule="auto"/>
              <w:jc w:val="left"/>
            </w:pPr>
            <w:r>
              <w:rPr>
                <w:rFonts w:hint="eastAsia"/>
              </w:rPr>
              <w:t>7.1生产计划完成情况汇总表          LQY-P-11-04           01           一年</w:t>
            </w:r>
          </w:p>
          <w:p>
            <w:pPr>
              <w:spacing w:line="360" w:lineRule="auto"/>
              <w:jc w:val="left"/>
            </w:pPr>
            <w:r>
              <w:rPr>
                <w:rFonts w:hint="eastAsia"/>
              </w:rPr>
              <w:t>7.2生产统计月报表                  LQY-P-11-02           01           一年</w:t>
            </w:r>
          </w:p>
          <w:p>
            <w:pPr>
              <w:spacing w:line="360" w:lineRule="auto"/>
              <w:jc w:val="left"/>
            </w:pPr>
            <w:r>
              <w:rPr>
                <w:rFonts w:hint="eastAsia"/>
              </w:rPr>
              <w:t>7.3纠正和预防措施表                LQY-P-04-03           01           一年</w:t>
            </w:r>
          </w:p>
          <w:p>
            <w:pPr>
              <w:spacing w:line="360" w:lineRule="auto"/>
              <w:jc w:val="left"/>
            </w:pPr>
            <w:r>
              <w:rPr>
                <w:rFonts w:hint="eastAsia"/>
              </w:rPr>
              <w:t>7.4会议记录                        LQY-P-20-01           01           一年</w:t>
            </w:r>
          </w:p>
          <w:p>
            <w:pPr>
              <w:spacing w:line="360" w:lineRule="auto"/>
              <w:jc w:val="left"/>
            </w:pPr>
          </w:p>
          <w:p>
            <w:pPr>
              <w:spacing w:line="360" w:lineRule="auto"/>
              <w:jc w:val="left"/>
            </w:pPr>
          </w:p>
        </w:tc>
      </w:tr>
    </w:tbl>
    <w:p/>
    <w:p/>
    <w:p/>
    <w:p/>
    <w:p/>
    <w:p/>
    <w:p/>
    <w:p/>
    <w:p/>
    <w:p/>
    <w:tbl>
      <w:tblPr>
        <w:tblStyle w:val="9"/>
        <w:tblW w:w="10605"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842"/>
        <w:gridCol w:w="3276"/>
        <w:gridCol w:w="157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2547" w:type="dxa"/>
            <w:vMerge w:val="restart"/>
            <w:vAlign w:val="center"/>
          </w:tcPr>
          <w:p>
            <w:pPr>
              <w:spacing w:line="400" w:lineRule="exact"/>
              <w:jc w:val="center"/>
              <w:rPr>
                <w:rFonts w:eastAsia="黑体"/>
                <w:b/>
                <w:sz w:val="36"/>
              </w:rPr>
            </w:pPr>
          </w:p>
        </w:tc>
        <w:tc>
          <w:tcPr>
            <w:tcW w:w="1842" w:type="dxa"/>
            <w:vAlign w:val="center"/>
          </w:tcPr>
          <w:p>
            <w:pPr>
              <w:spacing w:line="400" w:lineRule="exact"/>
              <w:jc w:val="center"/>
              <w:rPr>
                <w:rFonts w:ascii="宋体"/>
                <w:b/>
                <w:sz w:val="30"/>
              </w:rPr>
            </w:pPr>
            <w:r>
              <w:rPr>
                <w:rFonts w:hint="eastAsia" w:ascii="宋体"/>
                <w:b/>
                <w:sz w:val="30"/>
              </w:rPr>
              <w:t>文件名称</w:t>
            </w:r>
          </w:p>
        </w:tc>
        <w:tc>
          <w:tcPr>
            <w:tcW w:w="3276" w:type="dxa"/>
            <w:vAlign w:val="center"/>
          </w:tcPr>
          <w:p>
            <w:pPr>
              <w:spacing w:line="400" w:lineRule="exact"/>
              <w:jc w:val="center"/>
              <w:rPr>
                <w:rFonts w:ascii="宋体"/>
                <w:b/>
                <w:sz w:val="30"/>
              </w:rPr>
            </w:pPr>
            <w:r>
              <w:rPr>
                <w:rFonts w:hint="eastAsia" w:ascii="宋体"/>
                <w:b/>
                <w:sz w:val="30"/>
              </w:rPr>
              <w:t>变更控制程序</w:t>
            </w:r>
          </w:p>
        </w:tc>
        <w:tc>
          <w:tcPr>
            <w:tcW w:w="1575" w:type="dxa"/>
            <w:vAlign w:val="center"/>
          </w:tcPr>
          <w:p>
            <w:pPr>
              <w:spacing w:line="400" w:lineRule="exact"/>
              <w:jc w:val="center"/>
              <w:rPr>
                <w:rFonts w:ascii="宋体"/>
                <w:b/>
                <w:sz w:val="30"/>
              </w:rPr>
            </w:pPr>
            <w:r>
              <w:rPr>
                <w:rFonts w:hint="eastAsia" w:ascii="宋体"/>
                <w:b/>
                <w:sz w:val="30"/>
              </w:rPr>
              <w:t>版次</w:t>
            </w:r>
          </w:p>
        </w:tc>
        <w:tc>
          <w:tcPr>
            <w:tcW w:w="1365" w:type="dxa"/>
            <w:vAlign w:val="center"/>
          </w:tcPr>
          <w:p>
            <w:pPr>
              <w:spacing w:line="400" w:lineRule="exact"/>
              <w:jc w:val="center"/>
              <w:rPr>
                <w:rFonts w:ascii="宋体"/>
                <w:b/>
                <w:sz w:val="30"/>
              </w:rPr>
            </w:pPr>
            <w:r>
              <w:rPr>
                <w:rFonts w:hint="eastAsia" w:ascii="宋体"/>
                <w:b/>
                <w:sz w:val="3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38" w:hRule="atLeast"/>
        </w:trPr>
        <w:tc>
          <w:tcPr>
            <w:tcW w:w="2547" w:type="dxa"/>
            <w:vMerge w:val="continue"/>
            <w:vAlign w:val="center"/>
          </w:tcPr>
          <w:p>
            <w:pPr>
              <w:spacing w:line="400" w:lineRule="exact"/>
              <w:jc w:val="center"/>
            </w:pPr>
          </w:p>
        </w:tc>
        <w:tc>
          <w:tcPr>
            <w:tcW w:w="1842" w:type="dxa"/>
            <w:vAlign w:val="center"/>
          </w:tcPr>
          <w:p>
            <w:pPr>
              <w:spacing w:line="400" w:lineRule="exact"/>
              <w:jc w:val="center"/>
              <w:rPr>
                <w:rFonts w:ascii="宋体"/>
                <w:b/>
                <w:sz w:val="30"/>
              </w:rPr>
            </w:pPr>
            <w:r>
              <w:rPr>
                <w:rFonts w:hint="eastAsia" w:ascii="宋体"/>
                <w:b/>
                <w:sz w:val="30"/>
              </w:rPr>
              <w:t>文件编号</w:t>
            </w:r>
          </w:p>
        </w:tc>
        <w:tc>
          <w:tcPr>
            <w:tcW w:w="3276" w:type="dxa"/>
            <w:vAlign w:val="center"/>
          </w:tcPr>
          <w:p>
            <w:pPr>
              <w:spacing w:line="400" w:lineRule="exact"/>
              <w:jc w:val="center"/>
              <w:rPr>
                <w:rFonts w:ascii="宋体"/>
                <w:b/>
                <w:sz w:val="30"/>
              </w:rPr>
            </w:pPr>
            <w:r>
              <w:rPr>
                <w:rFonts w:hint="eastAsia" w:ascii="宋体"/>
                <w:b/>
                <w:sz w:val="30"/>
              </w:rPr>
              <w:t>QEOP-34</w:t>
            </w:r>
          </w:p>
        </w:tc>
        <w:tc>
          <w:tcPr>
            <w:tcW w:w="1575" w:type="dxa"/>
            <w:vAlign w:val="center"/>
          </w:tcPr>
          <w:p>
            <w:pPr>
              <w:spacing w:line="400" w:lineRule="exact"/>
              <w:jc w:val="center"/>
              <w:rPr>
                <w:rFonts w:ascii="宋体"/>
                <w:b/>
                <w:sz w:val="30"/>
              </w:rPr>
            </w:pPr>
            <w:r>
              <w:rPr>
                <w:rFonts w:hint="eastAsia" w:ascii="宋体"/>
                <w:b/>
                <w:sz w:val="30"/>
              </w:rPr>
              <w:t>修改</w:t>
            </w:r>
          </w:p>
          <w:p>
            <w:pPr>
              <w:spacing w:line="400" w:lineRule="exact"/>
              <w:jc w:val="center"/>
              <w:rPr>
                <w:rFonts w:ascii="宋体"/>
                <w:b/>
                <w:sz w:val="30"/>
              </w:rPr>
            </w:pPr>
            <w:r>
              <w:rPr>
                <w:rFonts w:hint="eastAsia" w:ascii="宋体"/>
                <w:b/>
                <w:sz w:val="30"/>
              </w:rPr>
              <w:t>状态</w:t>
            </w:r>
          </w:p>
        </w:tc>
        <w:tc>
          <w:tcPr>
            <w:tcW w:w="1365" w:type="dxa"/>
            <w:vAlign w:val="center"/>
          </w:tcPr>
          <w:p>
            <w:pPr>
              <w:spacing w:line="400" w:lineRule="exact"/>
              <w:jc w:val="center"/>
              <w:rPr>
                <w:rFonts w:ascii="宋体"/>
                <w:b/>
                <w:sz w:val="30"/>
              </w:rPr>
            </w:pPr>
            <w:r>
              <w:rPr>
                <w:rFonts w:hint="eastAsia" w:ascii="宋体"/>
                <w:b/>
                <w:sz w:val="3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32" w:hRule="atLeast"/>
        </w:trPr>
        <w:tc>
          <w:tcPr>
            <w:tcW w:w="10605" w:type="dxa"/>
            <w:gridSpan w:val="5"/>
          </w:tcPr>
          <w:p>
            <w:pPr>
              <w:adjustRightInd w:val="0"/>
              <w:snapToGrid w:val="0"/>
              <w:spacing w:line="360" w:lineRule="auto"/>
              <w:rPr>
                <w:rFonts w:asciiTheme="minorEastAsia" w:hAnsiTheme="minorEastAsia" w:eastAsiaTheme="minorEastAsia"/>
                <w:b/>
                <w:color w:val="000000"/>
                <w:szCs w:val="21"/>
              </w:rPr>
            </w:pPr>
            <w:r>
              <w:rPr>
                <w:rFonts w:asciiTheme="minorEastAsia" w:hAnsiTheme="minorEastAsia" w:eastAsiaTheme="minorEastAsia"/>
                <w:b/>
                <w:color w:val="000000"/>
                <w:szCs w:val="21"/>
              </w:rPr>
              <w:t>1.目的</w:t>
            </w:r>
          </w:p>
          <w:p>
            <w:pPr>
              <w:adjustRightInd w:val="0"/>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为了对人员、管理、工艺、技术、设备、设施等永久性或暂时性的变化进行有计划的控制，从源头控制和削减在一定条件下产生的变更对企业管理体系的有害影响，对各类变更情况采取相应有效的控制措施，确保变更过程符合管理体系要求</w:t>
            </w:r>
            <w:r>
              <w:rPr>
                <w:rFonts w:asciiTheme="minorEastAsia" w:hAnsiTheme="minorEastAsia" w:eastAsiaTheme="minorEastAsia"/>
                <w:szCs w:val="21"/>
              </w:rPr>
              <w:t>。</w:t>
            </w:r>
          </w:p>
          <w:p>
            <w:pPr>
              <w:adjustRightInd w:val="0"/>
              <w:snapToGrid w:val="0"/>
              <w:spacing w:line="360" w:lineRule="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2.范围</w:t>
            </w:r>
          </w:p>
          <w:p>
            <w:pPr>
              <w:adjustRightInd w:val="0"/>
              <w:snapToGrid w:val="0"/>
              <w:spacing w:line="360" w:lineRule="auto"/>
              <w:rPr>
                <w:rFonts w:asciiTheme="minorEastAsia" w:hAnsiTheme="minorEastAsia" w:eastAsiaTheme="minorEastAsia"/>
                <w:color w:val="000000"/>
                <w:szCs w:val="21"/>
              </w:rPr>
            </w:pPr>
            <w:r>
              <w:rPr>
                <w:rFonts w:hint="eastAsia" w:asciiTheme="minorEastAsia" w:hAnsiTheme="minorEastAsia" w:eastAsiaTheme="minorEastAsia"/>
                <w:szCs w:val="21"/>
              </w:rPr>
              <w:t>适用于管理体系运行过程中对变更的管理，包括：管理、新扩改基建、新增环境安全设施、新作业环境、新人员、新设备设施、新工艺、新材料、新产品、设备用途更改等</w:t>
            </w:r>
            <w:r>
              <w:rPr>
                <w:rFonts w:asciiTheme="minorEastAsia" w:hAnsiTheme="minorEastAsia" w:eastAsiaTheme="minorEastAsia"/>
                <w:szCs w:val="21"/>
              </w:rPr>
              <w:t>。</w:t>
            </w:r>
          </w:p>
          <w:p>
            <w:pPr>
              <w:spacing w:line="360" w:lineRule="auto"/>
              <w:rPr>
                <w:rFonts w:asciiTheme="minorEastAsia" w:hAnsiTheme="minorEastAsia" w:eastAsiaTheme="minorEastAsia"/>
                <w:b/>
                <w:color w:val="000000"/>
                <w:kern w:val="0"/>
                <w:szCs w:val="21"/>
              </w:rPr>
            </w:pPr>
            <w:r>
              <w:rPr>
                <w:rFonts w:hint="eastAsia" w:asciiTheme="minorEastAsia" w:hAnsiTheme="minorEastAsia" w:eastAsiaTheme="minorEastAsia"/>
                <w:b/>
                <w:color w:val="000000"/>
                <w:kern w:val="0"/>
                <w:szCs w:val="21"/>
              </w:rPr>
              <w:t>3.定义</w:t>
            </w:r>
          </w:p>
          <w:p>
            <w:pPr>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3.1新扩改基建：指用于生产、储存、生活、办公等，新增加建筑，或对原有建筑扩建、改造结构或规模的项目。 </w:t>
            </w:r>
          </w:p>
          <w:p>
            <w:pPr>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3.2新设备设施、安全设施：指新增机械设备或安全设施、消耗一定能资源，产生一定废物、带来一定的作业风险，或需定期维护点检、更换零部件、追加安全防护的机器。 </w:t>
            </w:r>
          </w:p>
          <w:p>
            <w:pPr>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3.3新材料：指新增原材料，包装材料中可能含有新的化学成分，并具有一定职业危害的材料。 </w:t>
            </w:r>
          </w:p>
          <w:p>
            <w:pPr>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3.4新产品：指新产品生产过程中，需要增加新材料、新设备、新技术、新作业环境、作业场所、作业人员、作业操作规程、体系管理或包装材料等。 </w:t>
            </w:r>
          </w:p>
          <w:p>
            <w:pPr>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3.5设备更改：是指对设备、工具等进行改造，例:生产线设备改造、手动工具等改造。 </w:t>
            </w:r>
          </w:p>
          <w:p>
            <w:pPr>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3.6用途更改：是指由一般用途该做特殊用途，例：储藏室改为易燃化学品库或油库等。 </w:t>
            </w:r>
          </w:p>
          <w:p>
            <w:pPr>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3.7管理变更：政策法规和标准的变更，企业机构和人员的变更、管理体系的变更等。</w:t>
            </w:r>
          </w:p>
          <w:p>
            <w:pPr>
              <w:adjustRightInd w:val="0"/>
              <w:snapToGrid w:val="0"/>
              <w:spacing w:line="360" w:lineRule="auto"/>
              <w:rPr>
                <w:rFonts w:asciiTheme="minorEastAsia" w:hAnsiTheme="minorEastAsia" w:eastAsiaTheme="minorEastAsia"/>
                <w:b/>
                <w:color w:val="000000"/>
                <w:kern w:val="0"/>
                <w:szCs w:val="21"/>
              </w:rPr>
            </w:pPr>
            <w:r>
              <w:rPr>
                <w:rFonts w:hint="eastAsia" w:asciiTheme="minorEastAsia" w:hAnsiTheme="minorEastAsia" w:eastAsiaTheme="minorEastAsia"/>
                <w:b/>
                <w:color w:val="000000"/>
                <w:kern w:val="0"/>
                <w:szCs w:val="21"/>
              </w:rPr>
              <w:t>4.职责 </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4.1综合部 </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（1）负责协助各部门对变更过程环境和职业健康安全的调查、策划、实施控制、验证、文件建立和完善、人员的培训等。</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 （2）负责办理新改扩建项目的申报手续。 </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（3）负责管理体系变更时的文件建立及修订，并将变更内容传达到各部门人员。 </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（4）负责法律、法规、标准变更时的及时更新，并将最新法规、标准传达到各部门人员。</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（5）组织对应急计划变更的沟通，协助各部门将应急修订内容传达与员工。 </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（6）对新扩改建中环境、职业健康安全风险的控制、办理竣工验收、三同时验收、消防验收等工作； </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（7）负责人员组织机构及其职责的变更； </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（8）负责组织对新进人员、调岗人员的环境职业健康安全培训教育； </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（9）负责新进人员、调岗人员职责的确定、更正及传达、并修订相关文件。 </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4.2综合部 </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（1）负责获取新材料的信息、MSDS、运行时相关数据等资料。 </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（2）负责供应商变更的主要管理工作。</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4.3生产车间 </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（1）负责对工艺变更需要的产品设计、生产工艺、材料等调查，控制环境负荷物质、职业危害因素； </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（2）负责设计变更的接收，并及时传达设计变更的内容； </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（3）负责顾客要求的变更时是否会产生新的危险源作管理及控制。 </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（4）负责设备、工具等用途更改前后的危险源辨识及风险评价，控制由于设备、工具等用途变更带来的职业健康安全危害； </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（5）配合上述部门进行变更需求，并在生产过程中遵守、执行环境职业健康安全方面的要求，从源头控制职业健康安全风险。</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（6）负责对作业场所合理布局，选择低能、高效、安全、噪音低的设备设施，控制作业场所职业危害因素，改善作业环境； </w:t>
            </w:r>
          </w:p>
          <w:p>
            <w:pPr>
              <w:adjustRightInd w:val="0"/>
              <w:snapToGrid w:val="0"/>
              <w:spacing w:line="360" w:lineRule="auto"/>
              <w:rPr>
                <w:rFonts w:asciiTheme="minorEastAsia" w:hAnsiTheme="minorEastAsia" w:eastAsiaTheme="minorEastAsia"/>
                <w:b/>
                <w:color w:val="000000"/>
                <w:kern w:val="0"/>
                <w:szCs w:val="21"/>
              </w:rPr>
            </w:pPr>
            <w:r>
              <w:rPr>
                <w:rFonts w:hint="eastAsia" w:asciiTheme="minorEastAsia" w:hAnsiTheme="minorEastAsia" w:eastAsiaTheme="minorEastAsia"/>
                <w:color w:val="000000"/>
                <w:kern w:val="0"/>
                <w:szCs w:val="21"/>
              </w:rPr>
              <w:t>（7）负责设备更改前后的危险源识别及风险评价，降低设备更改带来的职业健康安全危害。</w:t>
            </w:r>
          </w:p>
          <w:p>
            <w:pPr>
              <w:adjustRightInd w:val="0"/>
              <w:snapToGrid w:val="0"/>
              <w:spacing w:line="360" w:lineRule="auto"/>
              <w:rPr>
                <w:rFonts w:asciiTheme="minorEastAsia" w:hAnsiTheme="minorEastAsia" w:eastAsiaTheme="minorEastAsia"/>
                <w:b/>
                <w:color w:val="000000"/>
                <w:kern w:val="0"/>
                <w:szCs w:val="21"/>
              </w:rPr>
            </w:pPr>
            <w:r>
              <w:rPr>
                <w:rFonts w:hint="eastAsia" w:asciiTheme="minorEastAsia" w:hAnsiTheme="minorEastAsia" w:eastAsiaTheme="minorEastAsia"/>
                <w:b/>
                <w:color w:val="000000"/>
                <w:kern w:val="0"/>
                <w:szCs w:val="21"/>
              </w:rPr>
              <w:t>5.作业程序</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5.1任何变更均应加以识别、评审、实施、验证、确认和控制，并在实施前得到批准；公司依据对健康、安全、环境造成影响的因素，确定变更范围。 </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5.2变更的级别划分： </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变更管理可分为重大变更、一般变更、临时变更管理。 </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5.2.1重大变更指对公司综合管理表现有重大影响的变更，变更前的潜在危险可能会造成重大经济损失或可能造成人员伤亡事故的变更。 </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5.2.2一般变更指工作程序、设备、人员、承包商的改变，也包括管理体系风险评价过程中和管理体系各要素运行过程中的局部调整变更。 </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5.2.3临时变更指作业场所在不改变风险评价结果的前提下，进行的暂时性变更以及本程序范围内个别条款的变更。</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5.3组织机构变更 </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5.3.1公司组织机构变更必须经公司董事会批准,原则上不影响质量管理体系的运行。机构变更后，相应的管理职责、权限应重新分配，涉及到相关部门的质量目标应重新分解。 </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 5.3.2组织机构变更后，人事部应组织进行风险评估，并填写相应的记录。 </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5.4 重要人员变更 </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5.4.1重要人员包括总经理、管理者代表、副总、部门经理、车间主管等； </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5.4.2 重要人员在聘用配备和变更时，应按《岗位职责和任职要求》规定的教育、学历、经验、培训等符合条件的人群中选拔。在变更前，应由综合部填写变更人信息和相关资质复印件和培训记录，经总经理审核后，由相关上一级领导批准，实施变更。 </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5.5新改扩建项目管理</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5.5.1 新、扩、改建项目必须策划，进行危险源辨识和风险评价，采取改善措施。 </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5.5.2 新、扩、改建项目应进行环境、职业健康安全预评价。 </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5.5.3 危险源登记和风险评价按《风险和机遇的应对措施控制程序》执行。</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5.5.4 新、扩、改建项目需要配套建设的环境、职业健康安全设施，必须执行“三同时”制度。 </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5.6新设备、新工具、新材料导入管理 </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5.6.1生产车间在采购新设备前，要对安全、能耗、排污、职业危害、报废回收性等进行评估。 </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5.6.2生产车间在新材料购买前，要考虑产品的环保性质、职业危害。</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5.7管理体系变更 </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5.7.1公司承诺、方针和目标的变更，由综合部提出，管理者代表批准后发布实施； </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5.7.2各部门负责分管业务活动范围内各类变更的控制管理，变更管理的内容要在所涉及到的要素中体现。</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5.8法律、法规变更 </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5.8.1当与环境安全管理有关的现行法律、法规和标准被修订，或上级颁布了新的有关法律、法规和标准时，安环科及相关部门HSE管理体系做出相应的变更。 </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5.8.2法律、法规和标准变更后的评审、确认和更新的工作程序按《法律法规管理及合规性评价程序》执行。 </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5.9设备、用途更改的管理 </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5.9.1设备、用途更改策划时，要考虑更改带来的危险源及重大风险，要对风险进行控</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制，确保更改前后不会带来职业健康安全危害。 </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5.9.2设备、用途更改策划时，要与安环科、生产车间一同对更改进行危险源辨识及风险评价，执行《风险和机遇的应对措施控制程序》，实施结果，报厂长批准。改造后，要向作业人员调查操作的适宜性及进行使用方法的教育、作业指导书的修订。</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5.10主要供应商的变更 </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  当产品所使用的原料、辅料等关键供应商发生变更时，由综合部负责组织生产车间、生产车间按规定对供应商资质和质量体系进行评审其满足本公司要求提供的产品或活动的能力。</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5.11 工艺变更管理 </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5.11.1  变更生产工艺，包括变更生产设备，变更生产工艺流程、工艺方法、工艺技术参数以及质量标准等，其变更可能只涉及上述某一环节，也可能涉及上述多个环节，同时在工艺中增加或删除工序或某环节，也属于生产工艺的变更。  </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5.11.2生产工艺变更分为三类：                           </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（1）微小变更：其变更不会引起产品质量的改变，不会引起安全性、有效性的明显改变，对产品质量基本不产生影响； </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（2）中度变更：其变更对产品质量有影响但变化不大，不会产生明显影响，需要通过相应的研究工作证明变更产品质量不产生影响； </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（3） 重大变更：其变更会引起产品质量的明显改变，可能对产品质量产生明显影响， 需要进行全面研究工作证明其变更对产品质量没有产生负面影响。 </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    5.11.3工艺控制参数等，应对产品需要变更的工艺方法进行安全性、有效性评估，确认对产品质量安全性、有效性无显著影响，对产品进行小批量试生产，收集数据，进行稳定性研究，按规定进行现场检查，原始数据资料审核，经批准后，按规定修订质量标准和产品工艺规程，经批准后进行变更。                            </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6、变更管理控制 </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6.1申请部门必须提供详细的变更方案及变更依据。对于重大变更应提供可行性报告。负责确认变更将涉及到的部门，并在变更审批表中注明。  </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6.2 变更完成后，申请部门变更协调员填写变更执行报告，只有完成变更进行追踪批准之后，才能认为变更已经完成并允许执行。涉及变更的产品只有在变更结果得到完全确认后，方能放行。 </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6.3变更控制：由变更申请部门负责指定变更协调员，变更协调员负责已获的批准的变更的内部的实施与协调，掌握进度，保证在要求的时间内完成。若未能如期实施变更，则须以书面形式报告，以说明原因，并再次确认完成日期。变更协调员负责通告变更实施的进展情况。 </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6.4 变更涉及的相关部门：充分考虑变更的影响因素，对变更方案提出建议或意见，积</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极配合、支持变更的实施。                             </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6.5 变更评估小组：是变更的专业评审组织。负责变更的预审批，确认变更的影响因素，</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对相关变更内容及措施达成共识，确保各项变更是符合相关法规要求的。           </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6.6 管理者代表负责组织“变更评估小组”会议，讨论变更申请，变更内容及变更的支</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持依据。负责及时地对已完成的变更执行报告进行确认跟踪，并将已批准的变更的开始执行日以文件形式通知变更相关人员和相关方。生产车间负责变更文件的归档。   </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 6.7所有的变更在变更前应进行风险评估，变更的实施部门对变更实施过程进行风险分</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析，评估结果为可接受风险时方可执行变更，应及时将遗留风险和新带来的风险通知相关方。当合同有要求时，由综合部门通知客户。</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6.8当发生环境、职业健康安全事故后，管理部要组织相关部门进行分析，对导致事故发生的相关因素进行识别预评价，并组织相关变更程序。 </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6.9其他变更管理，以变更前后变化的大小判定是否需进行危险源辨识和风险评价，进行策划、实施、批准。 </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6.10变更的全过程要留有记录并归档保存，记录的管理执行《文件和记录控制程序》。</w:t>
            </w:r>
          </w:p>
          <w:p>
            <w:pPr>
              <w:adjustRightInd w:val="0"/>
              <w:snapToGrid w:val="0"/>
              <w:spacing w:line="360" w:lineRule="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 xml:space="preserve">7.相关文件     </w:t>
            </w:r>
          </w:p>
          <w:p>
            <w:pPr>
              <w:adjustRightInd w:val="0"/>
              <w:snapToGrid w:val="0"/>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7.1《文件和记录控制程序》</w:t>
            </w:r>
          </w:p>
          <w:p>
            <w:pPr>
              <w:adjustRightInd w:val="0"/>
              <w:snapToGrid w:val="0"/>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7.2《风险和机遇的应对措施控制程序》   </w:t>
            </w:r>
          </w:p>
          <w:p>
            <w:pPr>
              <w:adjustRightInd w:val="0"/>
              <w:snapToGrid w:val="0"/>
              <w:spacing w:line="360" w:lineRule="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 xml:space="preserve">8.质量记录  </w:t>
            </w:r>
          </w:p>
          <w:p>
            <w:pPr>
              <w:adjustRightInd w:val="0"/>
              <w:snapToGrid w:val="0"/>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8.1《变更申请表》</w:t>
            </w:r>
          </w:p>
          <w:p>
            <w:pPr>
              <w:adjustRightInd w:val="0"/>
              <w:snapToGrid w:val="0"/>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8.2《变更验收单》</w:t>
            </w:r>
          </w:p>
          <w:p>
            <w:pPr>
              <w:adjustRightInd w:val="0"/>
              <w:snapToGrid w:val="0"/>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8.3《风险评价记录表》</w:t>
            </w:r>
          </w:p>
          <w:p>
            <w:pPr>
              <w:spacing w:line="360" w:lineRule="exact"/>
              <w:jc w:val="left"/>
              <w:rPr>
                <w:rFonts w:asciiTheme="minorEastAsia" w:hAnsiTheme="minorEastAsia" w:eastAsiaTheme="minorEastAsia"/>
                <w:szCs w:val="21"/>
              </w:rPr>
            </w:pPr>
          </w:p>
        </w:tc>
      </w:tr>
    </w:tbl>
    <w:p/>
    <w:p/>
    <w:p/>
    <w:p/>
    <w:tbl>
      <w:tblPr>
        <w:tblStyle w:val="9"/>
        <w:tblW w:w="10605"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842"/>
        <w:gridCol w:w="3276"/>
        <w:gridCol w:w="157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7" w:hRule="atLeast"/>
        </w:trPr>
        <w:tc>
          <w:tcPr>
            <w:tcW w:w="2547" w:type="dxa"/>
            <w:vMerge w:val="restart"/>
            <w:vAlign w:val="center"/>
          </w:tcPr>
          <w:p>
            <w:pPr>
              <w:spacing w:line="400" w:lineRule="exact"/>
              <w:jc w:val="center"/>
              <w:rPr>
                <w:rFonts w:eastAsia="黑体"/>
                <w:b/>
                <w:sz w:val="36"/>
              </w:rPr>
            </w:pPr>
          </w:p>
        </w:tc>
        <w:tc>
          <w:tcPr>
            <w:tcW w:w="1842" w:type="dxa"/>
            <w:vAlign w:val="center"/>
          </w:tcPr>
          <w:p>
            <w:pPr>
              <w:spacing w:line="400" w:lineRule="exact"/>
              <w:jc w:val="center"/>
              <w:rPr>
                <w:rFonts w:ascii="宋体"/>
                <w:b/>
                <w:sz w:val="30"/>
              </w:rPr>
            </w:pPr>
            <w:r>
              <w:rPr>
                <w:rFonts w:hint="eastAsia" w:ascii="宋体"/>
                <w:b/>
                <w:sz w:val="30"/>
              </w:rPr>
              <w:t>文件名称</w:t>
            </w:r>
          </w:p>
        </w:tc>
        <w:tc>
          <w:tcPr>
            <w:tcW w:w="3276" w:type="dxa"/>
            <w:vAlign w:val="center"/>
          </w:tcPr>
          <w:p>
            <w:pPr>
              <w:spacing w:line="400" w:lineRule="exact"/>
              <w:jc w:val="center"/>
              <w:rPr>
                <w:rFonts w:ascii="宋体"/>
                <w:b/>
                <w:sz w:val="30"/>
              </w:rPr>
            </w:pPr>
            <w:r>
              <w:rPr>
                <w:rFonts w:hint="eastAsia" w:ascii="宋体"/>
                <w:b/>
                <w:sz w:val="30"/>
              </w:rPr>
              <w:t>组织知识控制程序</w:t>
            </w:r>
          </w:p>
        </w:tc>
        <w:tc>
          <w:tcPr>
            <w:tcW w:w="1575" w:type="dxa"/>
            <w:vAlign w:val="center"/>
          </w:tcPr>
          <w:p>
            <w:pPr>
              <w:spacing w:line="400" w:lineRule="exact"/>
              <w:jc w:val="center"/>
              <w:rPr>
                <w:rFonts w:ascii="宋体"/>
                <w:b/>
                <w:sz w:val="30"/>
              </w:rPr>
            </w:pPr>
            <w:r>
              <w:rPr>
                <w:rFonts w:hint="eastAsia" w:ascii="宋体"/>
                <w:b/>
                <w:sz w:val="30"/>
              </w:rPr>
              <w:t>版次</w:t>
            </w:r>
          </w:p>
        </w:tc>
        <w:tc>
          <w:tcPr>
            <w:tcW w:w="1365" w:type="dxa"/>
            <w:vAlign w:val="center"/>
          </w:tcPr>
          <w:p>
            <w:pPr>
              <w:spacing w:line="400" w:lineRule="exact"/>
              <w:jc w:val="center"/>
              <w:rPr>
                <w:rFonts w:ascii="宋体"/>
                <w:b/>
                <w:sz w:val="30"/>
              </w:rPr>
            </w:pPr>
            <w:r>
              <w:rPr>
                <w:rFonts w:hint="eastAsia" w:ascii="宋体"/>
                <w:b/>
                <w:sz w:val="3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38" w:hRule="atLeast"/>
        </w:trPr>
        <w:tc>
          <w:tcPr>
            <w:tcW w:w="2547" w:type="dxa"/>
            <w:vMerge w:val="continue"/>
            <w:vAlign w:val="center"/>
          </w:tcPr>
          <w:p>
            <w:pPr>
              <w:spacing w:line="400" w:lineRule="exact"/>
              <w:jc w:val="center"/>
            </w:pPr>
          </w:p>
        </w:tc>
        <w:tc>
          <w:tcPr>
            <w:tcW w:w="1842" w:type="dxa"/>
            <w:vAlign w:val="center"/>
          </w:tcPr>
          <w:p>
            <w:pPr>
              <w:spacing w:line="400" w:lineRule="exact"/>
              <w:jc w:val="center"/>
              <w:rPr>
                <w:rFonts w:ascii="宋体"/>
                <w:b/>
                <w:sz w:val="30"/>
              </w:rPr>
            </w:pPr>
            <w:r>
              <w:rPr>
                <w:rFonts w:hint="eastAsia" w:ascii="宋体"/>
                <w:b/>
                <w:sz w:val="30"/>
              </w:rPr>
              <w:t>文件编号</w:t>
            </w:r>
          </w:p>
        </w:tc>
        <w:tc>
          <w:tcPr>
            <w:tcW w:w="3276" w:type="dxa"/>
            <w:vAlign w:val="center"/>
          </w:tcPr>
          <w:p>
            <w:pPr>
              <w:spacing w:line="400" w:lineRule="exact"/>
              <w:jc w:val="center"/>
              <w:rPr>
                <w:rFonts w:ascii="宋体"/>
                <w:b/>
                <w:sz w:val="30"/>
              </w:rPr>
            </w:pPr>
            <w:r>
              <w:rPr>
                <w:rFonts w:hint="eastAsia" w:ascii="宋体"/>
                <w:b/>
                <w:sz w:val="30"/>
              </w:rPr>
              <w:t>QEOP-35</w:t>
            </w:r>
          </w:p>
        </w:tc>
        <w:tc>
          <w:tcPr>
            <w:tcW w:w="1575" w:type="dxa"/>
            <w:vAlign w:val="center"/>
          </w:tcPr>
          <w:p>
            <w:pPr>
              <w:spacing w:line="400" w:lineRule="exact"/>
              <w:jc w:val="center"/>
              <w:rPr>
                <w:rFonts w:ascii="宋体"/>
                <w:b/>
                <w:sz w:val="30"/>
              </w:rPr>
            </w:pPr>
            <w:r>
              <w:rPr>
                <w:rFonts w:hint="eastAsia" w:ascii="宋体"/>
                <w:b/>
                <w:sz w:val="30"/>
              </w:rPr>
              <w:t>修改</w:t>
            </w:r>
          </w:p>
          <w:p>
            <w:pPr>
              <w:spacing w:line="400" w:lineRule="exact"/>
              <w:jc w:val="center"/>
              <w:rPr>
                <w:rFonts w:ascii="宋体"/>
                <w:b/>
                <w:sz w:val="30"/>
              </w:rPr>
            </w:pPr>
            <w:r>
              <w:rPr>
                <w:rFonts w:hint="eastAsia" w:ascii="宋体"/>
                <w:b/>
                <w:sz w:val="30"/>
              </w:rPr>
              <w:t>状态</w:t>
            </w:r>
          </w:p>
        </w:tc>
        <w:tc>
          <w:tcPr>
            <w:tcW w:w="1365" w:type="dxa"/>
            <w:vAlign w:val="center"/>
          </w:tcPr>
          <w:p>
            <w:pPr>
              <w:spacing w:line="400" w:lineRule="exact"/>
              <w:jc w:val="center"/>
              <w:rPr>
                <w:rFonts w:ascii="宋体"/>
                <w:b/>
                <w:sz w:val="30"/>
              </w:rPr>
            </w:pPr>
            <w:r>
              <w:rPr>
                <w:rFonts w:hint="eastAsia" w:ascii="宋体"/>
                <w:b/>
                <w:sz w:val="3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2" w:hRule="atLeast"/>
        </w:trPr>
        <w:tc>
          <w:tcPr>
            <w:tcW w:w="10605" w:type="dxa"/>
            <w:gridSpan w:val="5"/>
          </w:tcPr>
          <w:p>
            <w:pPr>
              <w:spacing w:line="360" w:lineRule="auto"/>
              <w:rPr>
                <w:rFonts w:ascii="宋体" w:hAnsi="宋体"/>
                <w:b/>
                <w:color w:val="000000"/>
              </w:rPr>
            </w:pPr>
            <w:r>
              <w:rPr>
                <w:rFonts w:hint="eastAsia" w:ascii="宋体" w:hAnsi="宋体"/>
                <w:b/>
                <w:color w:val="000000"/>
              </w:rPr>
              <w:t>1．目的</w:t>
            </w:r>
          </w:p>
          <w:p>
            <w:pPr>
              <w:spacing w:line="360" w:lineRule="auto"/>
              <w:jc w:val="left"/>
              <w:rPr>
                <w:rFonts w:ascii="宋体" w:hAnsi="宋体"/>
                <w:color w:val="000000"/>
              </w:rPr>
            </w:pPr>
            <w:r>
              <w:rPr>
                <w:rFonts w:hint="eastAsia" w:ascii="宋体" w:hAnsi="宋体"/>
                <w:color w:val="000000"/>
              </w:rPr>
              <w:t>为了对知识实行统一、有效的控制和管理。</w:t>
            </w:r>
          </w:p>
          <w:p>
            <w:pPr>
              <w:numPr>
                <w:ilvl w:val="0"/>
                <w:numId w:val="26"/>
              </w:numPr>
              <w:spacing w:line="360" w:lineRule="auto"/>
              <w:rPr>
                <w:rFonts w:ascii="宋体" w:hAnsi="宋体"/>
                <w:b/>
                <w:color w:val="000000"/>
              </w:rPr>
            </w:pPr>
            <w:r>
              <w:rPr>
                <w:rFonts w:hint="eastAsia" w:ascii="宋体" w:hAnsi="宋体"/>
                <w:b/>
                <w:color w:val="000000"/>
              </w:rPr>
              <w:t>适用范围</w:t>
            </w:r>
          </w:p>
          <w:p>
            <w:pPr>
              <w:spacing w:line="360" w:lineRule="auto"/>
              <w:rPr>
                <w:rFonts w:ascii="宋体" w:hAnsi="宋体"/>
                <w:color w:val="000000"/>
              </w:rPr>
            </w:pPr>
            <w:r>
              <w:rPr>
                <w:rFonts w:hint="eastAsia" w:ascii="宋体" w:hAnsi="宋体"/>
                <w:color w:val="000000"/>
              </w:rPr>
              <w:t>适用于公司内部知识的交流和共享的管理、外部知识管理、企业知识资产的管理。</w:t>
            </w:r>
          </w:p>
          <w:p>
            <w:pPr>
              <w:numPr>
                <w:ilvl w:val="0"/>
                <w:numId w:val="26"/>
              </w:numPr>
              <w:spacing w:line="360" w:lineRule="auto"/>
              <w:rPr>
                <w:rFonts w:ascii="宋体" w:hAnsi="宋体"/>
                <w:b/>
                <w:color w:val="000000"/>
              </w:rPr>
            </w:pPr>
            <w:r>
              <w:rPr>
                <w:rFonts w:hint="eastAsia" w:ascii="宋体" w:hAnsi="宋体"/>
                <w:b/>
                <w:color w:val="000000"/>
              </w:rPr>
              <w:t>职责</w:t>
            </w:r>
          </w:p>
          <w:p>
            <w:pPr>
              <w:spacing w:line="360" w:lineRule="auto"/>
              <w:rPr>
                <w:rFonts w:ascii="宋体" w:hAnsi="宋体"/>
                <w:color w:val="000000"/>
              </w:rPr>
            </w:pPr>
            <w:r>
              <w:rPr>
                <w:rFonts w:hint="eastAsia" w:ascii="宋体" w:hAnsi="宋体"/>
                <w:color w:val="000000"/>
              </w:rPr>
              <w:t>3.1总经理：知识资料的限制级别的审批。  </w:t>
            </w:r>
          </w:p>
          <w:p>
            <w:pPr>
              <w:spacing w:line="360" w:lineRule="auto"/>
              <w:rPr>
                <w:rFonts w:ascii="宋体" w:hAnsi="宋体"/>
                <w:color w:val="000000"/>
              </w:rPr>
            </w:pPr>
            <w:r>
              <w:rPr>
                <w:rFonts w:hint="eastAsia" w:ascii="宋体" w:hAnsi="宋体"/>
                <w:color w:val="000000"/>
              </w:rPr>
              <w:t>3.2综合部：负责组织知识资料的收集、整理、发布工作。  </w:t>
            </w:r>
          </w:p>
          <w:p>
            <w:pPr>
              <w:spacing w:line="360" w:lineRule="auto"/>
              <w:rPr>
                <w:rFonts w:ascii="宋体" w:hAnsi="宋体"/>
                <w:color w:val="000000"/>
              </w:rPr>
            </w:pPr>
            <w:r>
              <w:rPr>
                <w:rFonts w:hint="eastAsia" w:ascii="宋体" w:hAnsi="宋体"/>
                <w:color w:val="000000"/>
              </w:rPr>
              <w:t>3.3其他部门：负责配合综合部提供相应的资料。</w:t>
            </w:r>
          </w:p>
          <w:p>
            <w:pPr>
              <w:spacing w:line="360" w:lineRule="auto"/>
              <w:rPr>
                <w:rFonts w:ascii="宋体" w:hAnsi="宋体"/>
                <w:b/>
                <w:color w:val="000000"/>
              </w:rPr>
            </w:pPr>
            <w:r>
              <w:rPr>
                <w:rFonts w:hint="eastAsia" w:ascii="宋体" w:hAnsi="宋体"/>
                <w:b/>
                <w:color w:val="000000"/>
              </w:rPr>
              <w:t>4．程序</w:t>
            </w:r>
          </w:p>
          <w:p>
            <w:pPr>
              <w:spacing w:line="360" w:lineRule="auto"/>
              <w:rPr>
                <w:rFonts w:ascii="宋体" w:hAnsi="宋体"/>
                <w:color w:val="000000"/>
              </w:rPr>
            </w:pPr>
            <w:r>
              <w:rPr>
                <w:rFonts w:hint="eastAsia" w:ascii="宋体" w:hAnsi="宋体"/>
                <w:color w:val="000000"/>
              </w:rPr>
              <w:t>4.1综合部：</w:t>
            </w:r>
            <w:r>
              <w:rPr>
                <w:rFonts w:ascii="宋体" w:hAnsi="宋体"/>
                <w:color w:val="000000"/>
              </w:rPr>
              <w:t> </w:t>
            </w:r>
          </w:p>
          <w:p>
            <w:pPr>
              <w:spacing w:line="360" w:lineRule="auto"/>
              <w:rPr>
                <w:rFonts w:ascii="宋体" w:hAnsi="宋体"/>
                <w:color w:val="000000"/>
              </w:rPr>
            </w:pPr>
            <w:r>
              <w:rPr>
                <w:rFonts w:hint="eastAsia" w:ascii="宋体" w:hAnsi="宋体"/>
                <w:color w:val="000000"/>
              </w:rPr>
              <w:t>负责每半年组织各部门收集本部门的知识内容,并对收集过程提供协助。</w:t>
            </w:r>
            <w:r>
              <w:rPr>
                <w:rFonts w:ascii="宋体" w:hAnsi="宋体"/>
                <w:color w:val="000000"/>
              </w:rPr>
              <w:t> </w:t>
            </w:r>
          </w:p>
          <w:p>
            <w:pPr>
              <w:spacing w:line="360" w:lineRule="auto"/>
              <w:rPr>
                <w:rFonts w:ascii="宋体" w:hAnsi="宋体"/>
                <w:color w:val="000000"/>
              </w:rPr>
            </w:pPr>
            <w:r>
              <w:rPr>
                <w:rFonts w:hint="eastAsia" w:ascii="宋体" w:hAnsi="宋体"/>
                <w:color w:val="000000"/>
              </w:rPr>
              <w:t>1）负责收集公司内部管理制度，公司信息公告。</w:t>
            </w:r>
            <w:r>
              <w:rPr>
                <w:rFonts w:ascii="宋体" w:hAnsi="宋体"/>
                <w:color w:val="000000"/>
              </w:rPr>
              <w:t> </w:t>
            </w:r>
          </w:p>
          <w:p>
            <w:pPr>
              <w:spacing w:line="360" w:lineRule="auto"/>
              <w:rPr>
                <w:rFonts w:ascii="宋体" w:hAnsi="宋体"/>
                <w:color w:val="000000"/>
              </w:rPr>
            </w:pPr>
            <w:r>
              <w:rPr>
                <w:rFonts w:hint="eastAsia" w:ascii="宋体" w:hAnsi="宋体"/>
                <w:color w:val="000000"/>
              </w:rPr>
              <w:t>2）负责外部国家法律法规，行业法规、标准等。</w:t>
            </w:r>
            <w:r>
              <w:rPr>
                <w:rFonts w:ascii="宋体" w:hAnsi="宋体"/>
                <w:color w:val="000000"/>
              </w:rPr>
              <w:t> </w:t>
            </w:r>
          </w:p>
          <w:p>
            <w:pPr>
              <w:spacing w:line="360" w:lineRule="auto"/>
              <w:rPr>
                <w:rFonts w:ascii="宋体" w:hAnsi="宋体"/>
                <w:color w:val="000000"/>
              </w:rPr>
            </w:pPr>
            <w:r>
              <w:rPr>
                <w:rFonts w:hint="eastAsia" w:ascii="宋体" w:hAnsi="宋体"/>
                <w:color w:val="000000"/>
              </w:rPr>
              <w:t>3）负责公司知识产权、商誉等管理维护。</w:t>
            </w:r>
            <w:r>
              <w:rPr>
                <w:rFonts w:ascii="宋体" w:hAnsi="宋体"/>
                <w:color w:val="000000"/>
              </w:rPr>
              <w:t> </w:t>
            </w:r>
          </w:p>
          <w:p>
            <w:pPr>
              <w:spacing w:line="360" w:lineRule="auto"/>
              <w:rPr>
                <w:rFonts w:ascii="宋体" w:hAnsi="宋体"/>
                <w:color w:val="000000"/>
              </w:rPr>
            </w:pPr>
            <w:r>
              <w:rPr>
                <w:rFonts w:hint="eastAsia" w:ascii="宋体" w:hAnsi="宋体"/>
                <w:color w:val="000000"/>
              </w:rPr>
              <w:t>4)负责组织对各部门提供的知识信息资料进行整理，形成知识资产清单。</w:t>
            </w:r>
          </w:p>
          <w:p>
            <w:pPr>
              <w:spacing w:line="360" w:lineRule="auto"/>
              <w:rPr>
                <w:rFonts w:ascii="宋体" w:hAnsi="宋体"/>
                <w:color w:val="000000"/>
              </w:rPr>
            </w:pPr>
            <w:r>
              <w:rPr>
                <w:rFonts w:hint="eastAsia" w:ascii="宋体" w:hAnsi="宋体"/>
                <w:color w:val="000000"/>
              </w:rPr>
              <w:t>5）负责按限制级别在共享平台发布相关知识资料，发布的资料需为PDF扫描版式。  </w:t>
            </w:r>
          </w:p>
          <w:p>
            <w:pPr>
              <w:spacing w:line="360" w:lineRule="auto"/>
              <w:rPr>
                <w:rFonts w:ascii="宋体" w:hAnsi="宋体"/>
                <w:color w:val="000000"/>
              </w:rPr>
            </w:pPr>
            <w:r>
              <w:rPr>
                <w:rFonts w:hint="eastAsia" w:ascii="宋体" w:hAnsi="宋体"/>
                <w:color w:val="000000"/>
              </w:rPr>
              <w:t>6）负责组织审核组成员对相关更改资料进行重新整理。  </w:t>
            </w:r>
          </w:p>
          <w:p>
            <w:pPr>
              <w:spacing w:line="360" w:lineRule="auto"/>
              <w:rPr>
                <w:rFonts w:ascii="宋体" w:hAnsi="宋体"/>
                <w:color w:val="000000"/>
              </w:rPr>
            </w:pPr>
            <w:r>
              <w:rPr>
                <w:rFonts w:hint="eastAsia" w:ascii="宋体" w:hAnsi="宋体"/>
                <w:color w:val="000000"/>
              </w:rPr>
              <w:t>7）负责公司知识资料的持续有效性管理。每年12月对相关文件进行跟踪,确定均为最新版本。</w:t>
            </w:r>
          </w:p>
          <w:p>
            <w:pPr>
              <w:spacing w:line="360" w:lineRule="auto"/>
              <w:rPr>
                <w:rFonts w:ascii="宋体" w:hAnsi="宋体"/>
                <w:color w:val="000000"/>
              </w:rPr>
            </w:pPr>
            <w:r>
              <w:rPr>
                <w:rFonts w:hint="eastAsia" w:ascii="宋体" w:hAnsi="宋体"/>
                <w:color w:val="000000"/>
              </w:rPr>
              <w:t>8）负责收集顾客和竞争对手等利益相关者的动态报告，专家、顾客意见的采集，行业信息、市场动 态等。  </w:t>
            </w:r>
          </w:p>
          <w:p>
            <w:pPr>
              <w:spacing w:line="360" w:lineRule="auto"/>
              <w:rPr>
                <w:rFonts w:ascii="宋体" w:hAnsi="宋体"/>
                <w:color w:val="000000"/>
              </w:rPr>
            </w:pPr>
            <w:r>
              <w:rPr>
                <w:rFonts w:hint="eastAsia" w:ascii="宋体" w:hAnsi="宋体"/>
                <w:color w:val="000000"/>
              </w:rPr>
              <w:t>4.2管理者代表：  </w:t>
            </w:r>
          </w:p>
          <w:p>
            <w:pPr>
              <w:spacing w:line="360" w:lineRule="auto"/>
              <w:rPr>
                <w:rFonts w:ascii="宋体" w:hAnsi="宋体"/>
                <w:color w:val="000000"/>
              </w:rPr>
            </w:pPr>
            <w:r>
              <w:rPr>
                <w:rFonts w:hint="eastAsia" w:ascii="宋体" w:hAnsi="宋体"/>
                <w:color w:val="000000"/>
              </w:rPr>
              <w:t>负责公司方针、目标、质量手册以及程序文件的收集。  </w:t>
            </w:r>
          </w:p>
          <w:p>
            <w:pPr>
              <w:spacing w:line="360" w:lineRule="auto"/>
              <w:rPr>
                <w:rFonts w:ascii="宋体" w:hAnsi="宋体"/>
                <w:color w:val="000000"/>
              </w:rPr>
            </w:pPr>
            <w:r>
              <w:rPr>
                <w:rFonts w:hint="eastAsia" w:ascii="宋体" w:hAnsi="宋体"/>
                <w:color w:val="000000"/>
              </w:rPr>
              <w:t>4.3工程管理部：</w:t>
            </w:r>
          </w:p>
          <w:p>
            <w:pPr>
              <w:spacing w:line="360" w:lineRule="auto"/>
              <w:rPr>
                <w:rFonts w:ascii="宋体" w:hAnsi="宋体"/>
                <w:color w:val="000000"/>
              </w:rPr>
            </w:pPr>
            <w:r>
              <w:rPr>
                <w:rFonts w:hint="eastAsia" w:ascii="宋体" w:hAnsi="宋体"/>
                <w:color w:val="000000"/>
              </w:rPr>
              <w:t>1）负责公司内部专业技术（流程、技术、新技术的研究）。  </w:t>
            </w:r>
          </w:p>
          <w:p>
            <w:pPr>
              <w:spacing w:line="360" w:lineRule="auto"/>
              <w:rPr>
                <w:rFonts w:ascii="宋体" w:hAnsi="宋体"/>
                <w:color w:val="000000"/>
              </w:rPr>
            </w:pPr>
            <w:r>
              <w:rPr>
                <w:rFonts w:hint="eastAsia" w:ascii="宋体" w:hAnsi="宋体"/>
                <w:color w:val="000000"/>
              </w:rPr>
              <w:t>2）负责外部技术动态的跟踪，行业领先者的最佳实践调查等。  </w:t>
            </w:r>
          </w:p>
          <w:p>
            <w:pPr>
              <w:spacing w:line="360" w:lineRule="auto"/>
              <w:rPr>
                <w:rFonts w:ascii="宋体" w:hAnsi="宋体"/>
                <w:color w:val="000000"/>
              </w:rPr>
            </w:pPr>
            <w:r>
              <w:rPr>
                <w:rFonts w:ascii="宋体" w:hAnsi="宋体"/>
                <w:color w:val="000000"/>
              </w:rPr>
              <w:t>3</w:t>
            </w:r>
            <w:r>
              <w:rPr>
                <w:rFonts w:hint="eastAsia" w:ascii="宋体" w:hAnsi="宋体"/>
                <w:color w:val="000000"/>
              </w:rPr>
              <w:t>）负责生产过程控制技术（工艺等）与工程应用的经验教训积累。  </w:t>
            </w:r>
          </w:p>
          <w:p>
            <w:pPr>
              <w:spacing w:line="360" w:lineRule="auto"/>
              <w:rPr>
                <w:rFonts w:ascii="宋体" w:hAnsi="宋体"/>
                <w:color w:val="000000"/>
              </w:rPr>
            </w:pPr>
            <w:r>
              <w:rPr>
                <w:rFonts w:hint="eastAsia" w:ascii="宋体" w:hAnsi="宋体"/>
                <w:color w:val="000000"/>
              </w:rPr>
              <w:t>4.</w:t>
            </w:r>
            <w:r>
              <w:rPr>
                <w:rFonts w:ascii="宋体" w:hAnsi="宋体"/>
                <w:color w:val="000000"/>
              </w:rPr>
              <w:t>4</w:t>
            </w:r>
            <w:r>
              <w:rPr>
                <w:rFonts w:hint="eastAsia" w:ascii="宋体" w:hAnsi="宋体"/>
                <w:color w:val="000000"/>
              </w:rPr>
              <w:t>各部门经理  </w:t>
            </w:r>
          </w:p>
          <w:p>
            <w:pPr>
              <w:spacing w:line="360" w:lineRule="auto"/>
              <w:rPr>
                <w:rFonts w:ascii="宋体" w:hAnsi="宋体"/>
                <w:color w:val="000000"/>
              </w:rPr>
            </w:pPr>
            <w:r>
              <w:rPr>
                <w:rFonts w:hint="eastAsia" w:ascii="宋体" w:hAnsi="宋体"/>
                <w:color w:val="000000"/>
              </w:rPr>
              <w:t>1）相关责任部门提供协助，相关部门有责任主动完善该信息库。  </w:t>
            </w:r>
          </w:p>
          <w:p>
            <w:pPr>
              <w:spacing w:line="360" w:lineRule="auto"/>
              <w:rPr>
                <w:rFonts w:ascii="宋体" w:hAnsi="宋体"/>
                <w:color w:val="000000"/>
              </w:rPr>
            </w:pPr>
            <w:r>
              <w:rPr>
                <w:rFonts w:hint="eastAsia" w:ascii="宋体" w:hAnsi="宋体"/>
                <w:color w:val="000000"/>
              </w:rPr>
              <w:t>2）负责讨论确定各项类型知识的不同授权级别，并确定相应的使用人的权限。</w:t>
            </w:r>
          </w:p>
          <w:p>
            <w:pPr>
              <w:spacing w:line="360" w:lineRule="auto"/>
              <w:rPr>
                <w:rFonts w:ascii="宋体" w:hAnsi="宋体"/>
                <w:color w:val="000000"/>
              </w:rPr>
            </w:pPr>
            <w:r>
              <w:rPr>
                <w:rFonts w:hint="eastAsia" w:ascii="宋体" w:hAnsi="宋体"/>
                <w:color w:val="000000"/>
              </w:rPr>
              <w:t>3）知识的积累与保存分部门、分责任人按公司规范的格式进行保存。资料需按《文件和记录控制程序》保存到相应的部门。  </w:t>
            </w:r>
          </w:p>
          <w:p>
            <w:pPr>
              <w:spacing w:line="360" w:lineRule="auto"/>
              <w:rPr>
                <w:rFonts w:ascii="宋体" w:hAnsi="宋体"/>
                <w:color w:val="000000"/>
              </w:rPr>
            </w:pPr>
            <w:r>
              <w:rPr>
                <w:rFonts w:hint="eastAsia" w:ascii="宋体" w:hAnsi="宋体"/>
                <w:color w:val="000000"/>
              </w:rPr>
              <w:t>4.8总经理  </w:t>
            </w:r>
          </w:p>
          <w:p>
            <w:pPr>
              <w:spacing w:line="360" w:lineRule="auto"/>
              <w:rPr>
                <w:rFonts w:ascii="宋体" w:hAnsi="宋体"/>
                <w:color w:val="000000"/>
              </w:rPr>
            </w:pPr>
            <w:r>
              <w:rPr>
                <w:rFonts w:hint="eastAsia" w:ascii="宋体" w:hAnsi="宋体"/>
                <w:color w:val="000000"/>
              </w:rPr>
              <w:t>负责对知识限制权限进行批准。</w:t>
            </w:r>
          </w:p>
          <w:p>
            <w:pPr>
              <w:spacing w:line="360" w:lineRule="auto"/>
              <w:ind w:left="632" w:hanging="632" w:hangingChars="300"/>
              <w:rPr>
                <w:rFonts w:ascii="宋体" w:hAnsi="宋体"/>
                <w:b/>
                <w:color w:val="000000"/>
              </w:rPr>
            </w:pPr>
            <w:r>
              <w:rPr>
                <w:rFonts w:hint="eastAsia" w:ascii="宋体" w:hAnsi="宋体"/>
                <w:b/>
                <w:color w:val="000000"/>
              </w:rPr>
              <w:t>5. 相关文件</w:t>
            </w:r>
            <w:r>
              <w:rPr>
                <w:rFonts w:hint="eastAsia" w:ascii="宋体" w:hAnsi="宋体"/>
                <w:b/>
                <w:color w:val="000000"/>
              </w:rPr>
              <w:tab/>
            </w:r>
          </w:p>
          <w:p>
            <w:pPr>
              <w:spacing w:line="360" w:lineRule="auto"/>
              <w:rPr>
                <w:rFonts w:ascii="宋体" w:hAnsi="宋体"/>
                <w:color w:val="000000"/>
              </w:rPr>
            </w:pPr>
            <w:r>
              <w:rPr>
                <w:rFonts w:hint="eastAsia" w:ascii="宋体" w:hAnsi="宋体"/>
                <w:color w:val="000000"/>
              </w:rPr>
              <w:t>文件和记录控制程序</w:t>
            </w:r>
            <w:r>
              <w:rPr>
                <w:rFonts w:hint="eastAsia" w:ascii="宋体" w:hAnsi="宋体"/>
                <w:color w:val="000000"/>
              </w:rPr>
              <w:tab/>
            </w:r>
            <w:r>
              <w:rPr>
                <w:rFonts w:hint="eastAsia" w:ascii="宋体" w:hAnsi="宋体"/>
                <w:color w:val="000000"/>
              </w:rPr>
              <w:tab/>
            </w:r>
            <w:r>
              <w:rPr>
                <w:rFonts w:hint="eastAsia" w:ascii="宋体" w:hAnsi="宋体"/>
                <w:color w:val="000000"/>
              </w:rPr>
              <w:tab/>
            </w:r>
            <w:r>
              <w:rPr>
                <w:rFonts w:hint="eastAsia" w:ascii="宋体" w:hAnsi="宋体"/>
                <w:color w:val="000000"/>
              </w:rPr>
              <w:tab/>
            </w:r>
            <w:r>
              <w:rPr>
                <w:rFonts w:hint="eastAsia" w:ascii="宋体" w:hAnsi="宋体"/>
                <w:color w:val="000000"/>
              </w:rPr>
              <w:tab/>
            </w:r>
            <w:r>
              <w:rPr>
                <w:rFonts w:hint="eastAsia" w:ascii="宋体" w:hAnsi="宋体"/>
                <w:color w:val="000000"/>
              </w:rPr>
              <w:tab/>
            </w:r>
          </w:p>
          <w:p>
            <w:pPr>
              <w:spacing w:line="360" w:lineRule="auto"/>
              <w:ind w:left="630" w:hanging="630" w:hangingChars="300"/>
              <w:rPr>
                <w:rFonts w:asciiTheme="minorEastAsia" w:hAnsiTheme="minorEastAsia" w:eastAsiaTheme="minorEastAsia"/>
                <w:szCs w:val="21"/>
              </w:rPr>
            </w:pPr>
          </w:p>
        </w:tc>
      </w:tr>
    </w:tbl>
    <w:p/>
    <w:sectPr>
      <w:footerReference r:id="rId3"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3666275"/>
      <w:docPartObj>
        <w:docPartGallery w:val="AutoText"/>
      </w:docPartObj>
    </w:sdtPr>
    <w:sdtContent>
      <w:p>
        <w:pPr>
          <w:pStyle w:val="7"/>
          <w:jc w:val="center"/>
        </w:pPr>
        <w:r>
          <w:fldChar w:fldCharType="begin"/>
        </w:r>
        <w:r>
          <w:instrText xml:space="preserve">PAGE   \* MERGEFORMAT</w:instrText>
        </w:r>
        <w:r>
          <w:fldChar w:fldCharType="separate"/>
        </w:r>
        <w:r>
          <w:rPr>
            <w:lang w:val="zh-CN"/>
          </w:rPr>
          <w:t>81</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3"/>
      <w:numFmt w:val="lowerLetter"/>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11"/>
    <w:multiLevelType w:val="multilevel"/>
    <w:tmpl w:val="00000011"/>
    <w:lvl w:ilvl="0" w:tentative="0">
      <w:start w:val="1"/>
      <w:numFmt w:val="lowerLetter"/>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65A6C51"/>
    <w:multiLevelType w:val="multilevel"/>
    <w:tmpl w:val="065A6C51"/>
    <w:lvl w:ilvl="0" w:tentative="0">
      <w:start w:val="1"/>
      <w:numFmt w:val="lowerLetter"/>
      <w:lvlText w:val="%1."/>
      <w:lvlJc w:val="left"/>
      <w:pPr>
        <w:tabs>
          <w:tab w:val="left" w:pos="1125"/>
        </w:tabs>
        <w:ind w:left="1117" w:hanging="397"/>
      </w:pPr>
      <w:rPr>
        <w:rFonts w:hint="eastAsia"/>
      </w:r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3">
    <w:nsid w:val="0EDC3752"/>
    <w:multiLevelType w:val="singleLevel"/>
    <w:tmpl w:val="0EDC3752"/>
    <w:lvl w:ilvl="0" w:tentative="0">
      <w:start w:val="1"/>
      <w:numFmt w:val="decimal"/>
      <w:lvlText w:val="%1、"/>
      <w:lvlJc w:val="left"/>
      <w:pPr>
        <w:tabs>
          <w:tab w:val="left" w:pos="315"/>
        </w:tabs>
        <w:ind w:left="315" w:hanging="315"/>
      </w:pPr>
      <w:rPr>
        <w:rFonts w:hint="eastAsia"/>
      </w:rPr>
    </w:lvl>
  </w:abstractNum>
  <w:abstractNum w:abstractNumId="4">
    <w:nsid w:val="11425538"/>
    <w:multiLevelType w:val="singleLevel"/>
    <w:tmpl w:val="11425538"/>
    <w:lvl w:ilvl="0" w:tentative="0">
      <w:start w:val="1"/>
      <w:numFmt w:val="decimal"/>
      <w:lvlText w:val="%1、"/>
      <w:lvlJc w:val="left"/>
      <w:pPr>
        <w:tabs>
          <w:tab w:val="left" w:pos="360"/>
        </w:tabs>
        <w:ind w:left="360" w:hanging="360"/>
      </w:pPr>
      <w:rPr>
        <w:rFonts w:hint="eastAsia"/>
      </w:rPr>
    </w:lvl>
  </w:abstractNum>
  <w:abstractNum w:abstractNumId="5">
    <w:nsid w:val="12D2308C"/>
    <w:multiLevelType w:val="multilevel"/>
    <w:tmpl w:val="12D2308C"/>
    <w:lvl w:ilvl="0" w:tentative="0">
      <w:start w:val="2"/>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87E5B8D"/>
    <w:multiLevelType w:val="multilevel"/>
    <w:tmpl w:val="187E5B8D"/>
    <w:lvl w:ilvl="0" w:tentative="0">
      <w:start w:val="1"/>
      <w:numFmt w:val="lowerLetter"/>
      <w:lvlText w:val="%1."/>
      <w:lvlJc w:val="left"/>
      <w:pPr>
        <w:tabs>
          <w:tab w:val="left" w:pos="840"/>
        </w:tabs>
        <w:ind w:left="832" w:hanging="397"/>
      </w:pPr>
      <w:rPr>
        <w:rFonts w:hint="eastAsia"/>
      </w:rPr>
    </w:lvl>
    <w:lvl w:ilvl="1" w:tentative="0">
      <w:start w:val="1"/>
      <w:numFmt w:val="lowerLetter"/>
      <w:lvlText w:val="%2)"/>
      <w:lvlJc w:val="left"/>
      <w:pPr>
        <w:tabs>
          <w:tab w:val="left" w:pos="765"/>
        </w:tabs>
        <w:ind w:left="765" w:hanging="420"/>
      </w:pPr>
    </w:lvl>
    <w:lvl w:ilvl="2" w:tentative="0">
      <w:start w:val="1"/>
      <w:numFmt w:val="lowerRoman"/>
      <w:lvlText w:val="%3."/>
      <w:lvlJc w:val="right"/>
      <w:pPr>
        <w:tabs>
          <w:tab w:val="left" w:pos="1185"/>
        </w:tabs>
        <w:ind w:left="1185" w:hanging="420"/>
      </w:pPr>
    </w:lvl>
    <w:lvl w:ilvl="3" w:tentative="0">
      <w:start w:val="1"/>
      <w:numFmt w:val="decimal"/>
      <w:lvlText w:val="%4."/>
      <w:lvlJc w:val="left"/>
      <w:pPr>
        <w:tabs>
          <w:tab w:val="left" w:pos="1605"/>
        </w:tabs>
        <w:ind w:left="1605" w:hanging="420"/>
      </w:pPr>
    </w:lvl>
    <w:lvl w:ilvl="4" w:tentative="0">
      <w:start w:val="1"/>
      <w:numFmt w:val="lowerLetter"/>
      <w:lvlText w:val="%5)"/>
      <w:lvlJc w:val="left"/>
      <w:pPr>
        <w:tabs>
          <w:tab w:val="left" w:pos="2025"/>
        </w:tabs>
        <w:ind w:left="2025" w:hanging="420"/>
      </w:pPr>
    </w:lvl>
    <w:lvl w:ilvl="5" w:tentative="0">
      <w:start w:val="1"/>
      <w:numFmt w:val="lowerRoman"/>
      <w:lvlText w:val="%6."/>
      <w:lvlJc w:val="right"/>
      <w:pPr>
        <w:tabs>
          <w:tab w:val="left" w:pos="2445"/>
        </w:tabs>
        <w:ind w:left="2445" w:hanging="420"/>
      </w:pPr>
    </w:lvl>
    <w:lvl w:ilvl="6" w:tentative="0">
      <w:start w:val="1"/>
      <w:numFmt w:val="decimal"/>
      <w:lvlText w:val="%7."/>
      <w:lvlJc w:val="left"/>
      <w:pPr>
        <w:tabs>
          <w:tab w:val="left" w:pos="2865"/>
        </w:tabs>
        <w:ind w:left="2865" w:hanging="420"/>
      </w:pPr>
    </w:lvl>
    <w:lvl w:ilvl="7" w:tentative="0">
      <w:start w:val="1"/>
      <w:numFmt w:val="lowerLetter"/>
      <w:lvlText w:val="%8)"/>
      <w:lvlJc w:val="left"/>
      <w:pPr>
        <w:tabs>
          <w:tab w:val="left" w:pos="3285"/>
        </w:tabs>
        <w:ind w:left="3285" w:hanging="420"/>
      </w:pPr>
    </w:lvl>
    <w:lvl w:ilvl="8" w:tentative="0">
      <w:start w:val="1"/>
      <w:numFmt w:val="lowerRoman"/>
      <w:lvlText w:val="%9."/>
      <w:lvlJc w:val="right"/>
      <w:pPr>
        <w:tabs>
          <w:tab w:val="left" w:pos="3705"/>
        </w:tabs>
        <w:ind w:left="3705" w:hanging="420"/>
      </w:pPr>
    </w:lvl>
  </w:abstractNum>
  <w:abstractNum w:abstractNumId="7">
    <w:nsid w:val="18DC53DA"/>
    <w:multiLevelType w:val="singleLevel"/>
    <w:tmpl w:val="18DC53DA"/>
    <w:lvl w:ilvl="0" w:tentative="0">
      <w:start w:val="1"/>
      <w:numFmt w:val="decimal"/>
      <w:lvlText w:val="%1、"/>
      <w:lvlJc w:val="left"/>
      <w:pPr>
        <w:tabs>
          <w:tab w:val="left" w:pos="435"/>
        </w:tabs>
        <w:ind w:left="435" w:hanging="435"/>
      </w:pPr>
      <w:rPr>
        <w:rFonts w:hint="eastAsia"/>
      </w:rPr>
    </w:lvl>
  </w:abstractNum>
  <w:abstractNum w:abstractNumId="8">
    <w:nsid w:val="1DD05DEF"/>
    <w:multiLevelType w:val="singleLevel"/>
    <w:tmpl w:val="1DD05DEF"/>
    <w:lvl w:ilvl="0" w:tentative="0">
      <w:start w:val="1"/>
      <w:numFmt w:val="lowerLetter"/>
      <w:lvlText w:val="%1、"/>
      <w:lvlJc w:val="left"/>
      <w:pPr>
        <w:tabs>
          <w:tab w:val="left" w:pos="300"/>
        </w:tabs>
        <w:ind w:left="300" w:hanging="300"/>
      </w:pPr>
      <w:rPr>
        <w:rFonts w:hint="default"/>
      </w:rPr>
    </w:lvl>
  </w:abstractNum>
  <w:abstractNum w:abstractNumId="9">
    <w:nsid w:val="32F23280"/>
    <w:multiLevelType w:val="singleLevel"/>
    <w:tmpl w:val="32F23280"/>
    <w:lvl w:ilvl="0" w:tentative="0">
      <w:start w:val="1"/>
      <w:numFmt w:val="decimal"/>
      <w:lvlText w:val="%1、"/>
      <w:lvlJc w:val="left"/>
      <w:pPr>
        <w:tabs>
          <w:tab w:val="left" w:pos="315"/>
        </w:tabs>
        <w:ind w:left="315" w:hanging="315"/>
      </w:pPr>
      <w:rPr>
        <w:rFonts w:hint="eastAsia"/>
      </w:rPr>
    </w:lvl>
  </w:abstractNum>
  <w:abstractNum w:abstractNumId="10">
    <w:nsid w:val="3BA61248"/>
    <w:multiLevelType w:val="singleLevel"/>
    <w:tmpl w:val="3BA61248"/>
    <w:lvl w:ilvl="0" w:tentative="0">
      <w:start w:val="1"/>
      <w:numFmt w:val="decimal"/>
      <w:lvlText w:val="%1、"/>
      <w:lvlJc w:val="left"/>
      <w:pPr>
        <w:tabs>
          <w:tab w:val="left" w:pos="315"/>
        </w:tabs>
        <w:ind w:left="315" w:hanging="315"/>
      </w:pPr>
      <w:rPr>
        <w:rFonts w:hint="eastAsia"/>
      </w:rPr>
    </w:lvl>
  </w:abstractNum>
  <w:abstractNum w:abstractNumId="11">
    <w:nsid w:val="41B50361"/>
    <w:multiLevelType w:val="multilevel"/>
    <w:tmpl w:val="41B50361"/>
    <w:lvl w:ilvl="0" w:tentative="0">
      <w:start w:val="1"/>
      <w:numFmt w:val="lowerLetter"/>
      <w:lvlText w:val="%1."/>
      <w:lvlJc w:val="left"/>
      <w:pPr>
        <w:tabs>
          <w:tab w:val="left" w:pos="1005"/>
        </w:tabs>
        <w:ind w:left="997" w:hanging="397"/>
      </w:pPr>
      <w:rPr>
        <w:rFonts w:hint="eastAsia"/>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12">
    <w:nsid w:val="47751BE0"/>
    <w:multiLevelType w:val="multilevel"/>
    <w:tmpl w:val="47751BE0"/>
    <w:lvl w:ilvl="0" w:tentative="0">
      <w:start w:val="1"/>
      <w:numFmt w:val="lowerLetter"/>
      <w:lvlText w:val="%1."/>
      <w:lvlJc w:val="left"/>
      <w:pPr>
        <w:tabs>
          <w:tab w:val="left" w:pos="840"/>
        </w:tabs>
        <w:ind w:left="832" w:hanging="397"/>
      </w:pPr>
      <w:rPr>
        <w:rFonts w:hint="eastAsia" w:ascii="宋体" w:hAnsi="宋体" w:eastAsia="宋体"/>
      </w:rPr>
    </w:lvl>
    <w:lvl w:ilvl="1" w:tentative="0">
      <w:start w:val="1"/>
      <w:numFmt w:val="lowerLetter"/>
      <w:lvlText w:val="%2）"/>
      <w:lvlJc w:val="left"/>
      <w:pPr>
        <w:tabs>
          <w:tab w:val="left" w:pos="1215"/>
        </w:tabs>
        <w:ind w:left="1215" w:hanging="360"/>
      </w:pPr>
      <w:rPr>
        <w:rFonts w:hint="eastAsia"/>
      </w:rPr>
    </w:lvl>
    <w:lvl w:ilvl="2" w:tentative="0">
      <w:start w:val="1"/>
      <w:numFmt w:val="japaneseCounting"/>
      <w:lvlText w:val="（%3）"/>
      <w:lvlJc w:val="left"/>
      <w:pPr>
        <w:tabs>
          <w:tab w:val="left" w:pos="2130"/>
        </w:tabs>
        <w:ind w:left="2130" w:hanging="855"/>
      </w:pPr>
      <w:rPr>
        <w:rFonts w:hint="eastAsia"/>
      </w:r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13">
    <w:nsid w:val="525C4CCE"/>
    <w:multiLevelType w:val="singleLevel"/>
    <w:tmpl w:val="525C4CCE"/>
    <w:lvl w:ilvl="0" w:tentative="0">
      <w:start w:val="1"/>
      <w:numFmt w:val="decimal"/>
      <w:lvlText w:val="%1、"/>
      <w:lvlJc w:val="left"/>
      <w:pPr>
        <w:tabs>
          <w:tab w:val="left" w:pos="420"/>
        </w:tabs>
        <w:ind w:left="420" w:hanging="315"/>
      </w:pPr>
      <w:rPr>
        <w:rFonts w:hint="eastAsia"/>
      </w:rPr>
    </w:lvl>
  </w:abstractNum>
  <w:abstractNum w:abstractNumId="14">
    <w:nsid w:val="526375B8"/>
    <w:multiLevelType w:val="multilevel"/>
    <w:tmpl w:val="526375B8"/>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5F25DF5"/>
    <w:multiLevelType w:val="singleLevel"/>
    <w:tmpl w:val="55F25DF5"/>
    <w:lvl w:ilvl="0" w:tentative="0">
      <w:start w:val="1"/>
      <w:numFmt w:val="decimal"/>
      <w:lvlText w:val="%1、"/>
      <w:lvlJc w:val="left"/>
      <w:pPr>
        <w:tabs>
          <w:tab w:val="left" w:pos="420"/>
        </w:tabs>
        <w:ind w:left="420" w:hanging="315"/>
      </w:pPr>
      <w:rPr>
        <w:rFonts w:hint="eastAsia"/>
      </w:rPr>
    </w:lvl>
  </w:abstractNum>
  <w:abstractNum w:abstractNumId="16">
    <w:nsid w:val="56AA7FE3"/>
    <w:multiLevelType w:val="multilevel"/>
    <w:tmpl w:val="56AA7FE3"/>
    <w:lvl w:ilvl="0" w:tentative="0">
      <w:start w:val="1"/>
      <w:numFmt w:val="lowerLetter"/>
      <w:lvlText w:val="%1."/>
      <w:lvlJc w:val="left"/>
      <w:pPr>
        <w:tabs>
          <w:tab w:val="left" w:pos="-180"/>
        </w:tabs>
        <w:ind w:left="-1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58562A3A"/>
    <w:multiLevelType w:val="singleLevel"/>
    <w:tmpl w:val="58562A3A"/>
    <w:lvl w:ilvl="0" w:tentative="0">
      <w:start w:val="1"/>
      <w:numFmt w:val="decimal"/>
      <w:lvlText w:val="%1、"/>
      <w:lvlJc w:val="left"/>
      <w:pPr>
        <w:tabs>
          <w:tab w:val="left" w:pos="315"/>
        </w:tabs>
        <w:ind w:left="315" w:hanging="315"/>
      </w:pPr>
      <w:rPr>
        <w:rFonts w:hint="eastAsia"/>
      </w:rPr>
    </w:lvl>
  </w:abstractNum>
  <w:abstractNum w:abstractNumId="18">
    <w:nsid w:val="5E483D36"/>
    <w:multiLevelType w:val="multilevel"/>
    <w:tmpl w:val="5E483D36"/>
    <w:lvl w:ilvl="0" w:tentative="0">
      <w:start w:val="1"/>
      <w:numFmt w:val="lowerLetter"/>
      <w:lvlText w:val="%1."/>
      <w:lvlJc w:val="left"/>
      <w:pPr>
        <w:tabs>
          <w:tab w:val="left" w:pos="645"/>
        </w:tabs>
        <w:ind w:left="637" w:hanging="397"/>
      </w:pPr>
      <w:rPr>
        <w:rFonts w:hint="eastAsia"/>
      </w:rPr>
    </w:lvl>
    <w:lvl w:ilvl="1" w:tentative="0">
      <w:start w:val="1"/>
      <w:numFmt w:val="lowerLetter"/>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19">
    <w:nsid w:val="660E031A"/>
    <w:multiLevelType w:val="multilevel"/>
    <w:tmpl w:val="660E031A"/>
    <w:lvl w:ilvl="0" w:tentative="0">
      <w:start w:val="4"/>
      <w:numFmt w:val="decimal"/>
      <w:lvlText w:val="%1."/>
      <w:lvlJc w:val="left"/>
      <w:pPr>
        <w:tabs>
          <w:tab w:val="left" w:pos="960"/>
        </w:tabs>
        <w:ind w:left="960" w:hanging="960"/>
      </w:pPr>
      <w:rPr>
        <w:rFonts w:hint="default"/>
      </w:rPr>
    </w:lvl>
    <w:lvl w:ilvl="1" w:tentative="0">
      <w:start w:val="3"/>
      <w:numFmt w:val="decimal"/>
      <w:lvlText w:val="%1.%2."/>
      <w:lvlJc w:val="left"/>
      <w:pPr>
        <w:tabs>
          <w:tab w:val="left" w:pos="960"/>
        </w:tabs>
        <w:ind w:left="960" w:hanging="960"/>
      </w:pPr>
      <w:rPr>
        <w:rFonts w:hint="default"/>
      </w:rPr>
    </w:lvl>
    <w:lvl w:ilvl="2" w:tentative="0">
      <w:start w:val="1"/>
      <w:numFmt w:val="decimal"/>
      <w:lvlText w:val="%1.%2.%3."/>
      <w:lvlJc w:val="left"/>
      <w:pPr>
        <w:tabs>
          <w:tab w:val="left" w:pos="960"/>
        </w:tabs>
        <w:ind w:left="960" w:hanging="960"/>
      </w:pPr>
      <w:rPr>
        <w:rFonts w:hint="default"/>
      </w:rPr>
    </w:lvl>
    <w:lvl w:ilvl="3" w:tentative="0">
      <w:start w:val="4"/>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2160"/>
        </w:tabs>
        <w:ind w:left="2160" w:hanging="216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0">
    <w:nsid w:val="6B271636"/>
    <w:multiLevelType w:val="multilevel"/>
    <w:tmpl w:val="6B271636"/>
    <w:lvl w:ilvl="0" w:tentative="0">
      <w:start w:val="1"/>
      <w:numFmt w:val="lowerLetter"/>
      <w:lvlText w:val="%1."/>
      <w:lvlJc w:val="left"/>
      <w:pPr>
        <w:tabs>
          <w:tab w:val="left" w:pos="840"/>
        </w:tabs>
        <w:ind w:left="832" w:hanging="397"/>
      </w:pPr>
      <w:rPr>
        <w:rFonts w:hint="eastAsia"/>
      </w:rPr>
    </w:lvl>
    <w:lvl w:ilvl="1" w:tentative="0">
      <w:start w:val="1"/>
      <w:numFmt w:val="lowerLetter"/>
      <w:lvlText w:val="%2)"/>
      <w:lvlJc w:val="left"/>
      <w:pPr>
        <w:tabs>
          <w:tab w:val="left" w:pos="765"/>
        </w:tabs>
        <w:ind w:left="765" w:hanging="420"/>
      </w:pPr>
    </w:lvl>
    <w:lvl w:ilvl="2" w:tentative="0">
      <w:start w:val="1"/>
      <w:numFmt w:val="lowerRoman"/>
      <w:lvlText w:val="%3."/>
      <w:lvlJc w:val="right"/>
      <w:pPr>
        <w:tabs>
          <w:tab w:val="left" w:pos="1185"/>
        </w:tabs>
        <w:ind w:left="1185" w:hanging="420"/>
      </w:pPr>
    </w:lvl>
    <w:lvl w:ilvl="3" w:tentative="0">
      <w:start w:val="1"/>
      <w:numFmt w:val="decimal"/>
      <w:lvlText w:val="%4."/>
      <w:lvlJc w:val="left"/>
      <w:pPr>
        <w:tabs>
          <w:tab w:val="left" w:pos="1605"/>
        </w:tabs>
        <w:ind w:left="1605" w:hanging="420"/>
      </w:pPr>
    </w:lvl>
    <w:lvl w:ilvl="4" w:tentative="0">
      <w:start w:val="1"/>
      <w:numFmt w:val="lowerLetter"/>
      <w:lvlText w:val="%5)"/>
      <w:lvlJc w:val="left"/>
      <w:pPr>
        <w:tabs>
          <w:tab w:val="left" w:pos="2025"/>
        </w:tabs>
        <w:ind w:left="2025" w:hanging="420"/>
      </w:pPr>
    </w:lvl>
    <w:lvl w:ilvl="5" w:tentative="0">
      <w:start w:val="1"/>
      <w:numFmt w:val="lowerRoman"/>
      <w:lvlText w:val="%6."/>
      <w:lvlJc w:val="right"/>
      <w:pPr>
        <w:tabs>
          <w:tab w:val="left" w:pos="2445"/>
        </w:tabs>
        <w:ind w:left="2445" w:hanging="420"/>
      </w:pPr>
    </w:lvl>
    <w:lvl w:ilvl="6" w:tentative="0">
      <w:start w:val="1"/>
      <w:numFmt w:val="decimal"/>
      <w:lvlText w:val="%7."/>
      <w:lvlJc w:val="left"/>
      <w:pPr>
        <w:tabs>
          <w:tab w:val="left" w:pos="2865"/>
        </w:tabs>
        <w:ind w:left="2865" w:hanging="420"/>
      </w:pPr>
    </w:lvl>
    <w:lvl w:ilvl="7" w:tentative="0">
      <w:start w:val="1"/>
      <w:numFmt w:val="lowerLetter"/>
      <w:lvlText w:val="%8)"/>
      <w:lvlJc w:val="left"/>
      <w:pPr>
        <w:tabs>
          <w:tab w:val="left" w:pos="3285"/>
        </w:tabs>
        <w:ind w:left="3285" w:hanging="420"/>
      </w:pPr>
    </w:lvl>
    <w:lvl w:ilvl="8" w:tentative="0">
      <w:start w:val="1"/>
      <w:numFmt w:val="lowerRoman"/>
      <w:lvlText w:val="%9."/>
      <w:lvlJc w:val="right"/>
      <w:pPr>
        <w:tabs>
          <w:tab w:val="left" w:pos="3705"/>
        </w:tabs>
        <w:ind w:left="3705" w:hanging="420"/>
      </w:pPr>
    </w:lvl>
  </w:abstractNum>
  <w:abstractNum w:abstractNumId="21">
    <w:nsid w:val="6BD932A0"/>
    <w:multiLevelType w:val="multilevel"/>
    <w:tmpl w:val="6BD932A0"/>
    <w:lvl w:ilvl="0" w:tentative="0">
      <w:start w:val="1"/>
      <w:numFmt w:val="lowerLetter"/>
      <w:lvlText w:val="%1)"/>
      <w:lvlJc w:val="left"/>
      <w:pPr>
        <w:tabs>
          <w:tab w:val="left" w:pos="795"/>
        </w:tabs>
        <w:ind w:left="795" w:hanging="360"/>
      </w:pPr>
      <w:rPr>
        <w:rFonts w:hint="default"/>
      </w:rPr>
    </w:lvl>
    <w:lvl w:ilvl="1" w:tentative="0">
      <w:start w:val="1"/>
      <w:numFmt w:val="lowerLetter"/>
      <w:lvlText w:val="%2."/>
      <w:lvlJc w:val="left"/>
      <w:pPr>
        <w:tabs>
          <w:tab w:val="left" w:pos="1125"/>
        </w:tabs>
        <w:ind w:left="1117" w:hanging="397"/>
      </w:pPr>
      <w:rPr>
        <w:rFonts w:hint="eastAsia"/>
      </w:r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22">
    <w:nsid w:val="6EF90B83"/>
    <w:multiLevelType w:val="multilevel"/>
    <w:tmpl w:val="6EF90B83"/>
    <w:lvl w:ilvl="0" w:tentative="0">
      <w:start w:val="1"/>
      <w:numFmt w:val="lowerLetter"/>
      <w:lvlText w:val="%1."/>
      <w:lvlJc w:val="left"/>
      <w:pPr>
        <w:tabs>
          <w:tab w:val="left" w:pos="840"/>
        </w:tabs>
        <w:ind w:left="832" w:hanging="397"/>
      </w:pPr>
      <w:rPr>
        <w:rFonts w:hint="eastAsia"/>
      </w:rPr>
    </w:lvl>
    <w:lvl w:ilvl="1" w:tentative="0">
      <w:start w:val="1"/>
      <w:numFmt w:val="lowerLetter"/>
      <w:lvlText w:val="%2）"/>
      <w:lvlJc w:val="left"/>
      <w:pPr>
        <w:tabs>
          <w:tab w:val="left" w:pos="1215"/>
        </w:tabs>
        <w:ind w:left="1215" w:hanging="360"/>
      </w:pPr>
      <w:rPr>
        <w:rFonts w:hint="eastAsia"/>
      </w:r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23">
    <w:nsid w:val="744432DB"/>
    <w:multiLevelType w:val="singleLevel"/>
    <w:tmpl w:val="744432DB"/>
    <w:lvl w:ilvl="0" w:tentative="0">
      <w:start w:val="1"/>
      <w:numFmt w:val="decimal"/>
      <w:lvlText w:val="%1、"/>
      <w:lvlJc w:val="left"/>
      <w:pPr>
        <w:tabs>
          <w:tab w:val="left" w:pos="315"/>
        </w:tabs>
        <w:ind w:left="315" w:hanging="315"/>
      </w:pPr>
      <w:rPr>
        <w:rFonts w:hint="eastAsia"/>
      </w:rPr>
    </w:lvl>
  </w:abstractNum>
  <w:abstractNum w:abstractNumId="24">
    <w:nsid w:val="785C301E"/>
    <w:multiLevelType w:val="singleLevel"/>
    <w:tmpl w:val="785C301E"/>
    <w:lvl w:ilvl="0" w:tentative="0">
      <w:start w:val="1"/>
      <w:numFmt w:val="decimal"/>
      <w:lvlText w:val="%1、"/>
      <w:lvlJc w:val="left"/>
      <w:pPr>
        <w:tabs>
          <w:tab w:val="left" w:pos="315"/>
        </w:tabs>
        <w:ind w:left="315" w:hanging="315"/>
      </w:pPr>
      <w:rPr>
        <w:rFonts w:hint="eastAsia"/>
      </w:rPr>
    </w:lvl>
  </w:abstractNum>
  <w:abstractNum w:abstractNumId="25">
    <w:nsid w:val="7FB22570"/>
    <w:multiLevelType w:val="singleLevel"/>
    <w:tmpl w:val="7FB22570"/>
    <w:lvl w:ilvl="0" w:tentative="0">
      <w:start w:val="1"/>
      <w:numFmt w:val="lowerLetter"/>
      <w:lvlText w:val="%1、"/>
      <w:lvlJc w:val="left"/>
      <w:pPr>
        <w:tabs>
          <w:tab w:val="left" w:pos="300"/>
        </w:tabs>
        <w:ind w:left="300" w:hanging="300"/>
      </w:pPr>
      <w:rPr>
        <w:rFonts w:hint="default"/>
      </w:rPr>
    </w:lvl>
  </w:abstractNum>
  <w:num w:numId="1">
    <w:abstractNumId w:val="16"/>
    <w:lvlOverride w:ilvl="0">
      <w:startOverride w:val="1"/>
    </w:lvlOverride>
  </w:num>
  <w:num w:numId="2">
    <w:abstractNumId w:val="22"/>
  </w:num>
  <w:num w:numId="3">
    <w:abstractNumId w:val="20"/>
  </w:num>
  <w:num w:numId="4">
    <w:abstractNumId w:val="19"/>
  </w:num>
  <w:num w:numId="5">
    <w:abstractNumId w:val="6"/>
  </w:num>
  <w:num w:numId="6">
    <w:abstractNumId w:val="12"/>
  </w:num>
  <w:num w:numId="7">
    <w:abstractNumId w:val="17"/>
  </w:num>
  <w:num w:numId="8">
    <w:abstractNumId w:val="7"/>
  </w:num>
  <w:num w:numId="9">
    <w:abstractNumId w:val="1"/>
  </w:num>
  <w:num w:numId="10">
    <w:abstractNumId w:val="0"/>
  </w:num>
  <w:num w:numId="11">
    <w:abstractNumId w:val="13"/>
  </w:num>
  <w:num w:numId="12">
    <w:abstractNumId w:val="15"/>
  </w:num>
  <w:num w:numId="13">
    <w:abstractNumId w:val="23"/>
  </w:num>
  <w:num w:numId="14">
    <w:abstractNumId w:val="10"/>
  </w:num>
  <w:num w:numId="15">
    <w:abstractNumId w:val="3"/>
  </w:num>
  <w:num w:numId="16">
    <w:abstractNumId w:val="9"/>
  </w:num>
  <w:num w:numId="17">
    <w:abstractNumId w:val="8"/>
  </w:num>
  <w:num w:numId="18">
    <w:abstractNumId w:val="25"/>
  </w:num>
  <w:num w:numId="19">
    <w:abstractNumId w:val="21"/>
  </w:num>
  <w:num w:numId="20">
    <w:abstractNumId w:val="2"/>
  </w:num>
  <w:num w:numId="21">
    <w:abstractNumId w:val="18"/>
  </w:num>
  <w:num w:numId="22">
    <w:abstractNumId w:val="4"/>
  </w:num>
  <w:num w:numId="23">
    <w:abstractNumId w:val="14"/>
  </w:num>
  <w:num w:numId="24">
    <w:abstractNumId w:val="11"/>
  </w:num>
  <w:num w:numId="25">
    <w:abstractNumId w:val="2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50F"/>
    <w:rsid w:val="00041B32"/>
    <w:rsid w:val="00043E2A"/>
    <w:rsid w:val="00044EEE"/>
    <w:rsid w:val="00071A5F"/>
    <w:rsid w:val="00073B7C"/>
    <w:rsid w:val="00095A49"/>
    <w:rsid w:val="00102AD4"/>
    <w:rsid w:val="00131CBD"/>
    <w:rsid w:val="00195AF2"/>
    <w:rsid w:val="001B7088"/>
    <w:rsid w:val="001E773A"/>
    <w:rsid w:val="002009E9"/>
    <w:rsid w:val="002664A7"/>
    <w:rsid w:val="00340E3C"/>
    <w:rsid w:val="00360806"/>
    <w:rsid w:val="0036720D"/>
    <w:rsid w:val="003A4143"/>
    <w:rsid w:val="00400961"/>
    <w:rsid w:val="004949CC"/>
    <w:rsid w:val="004B4F48"/>
    <w:rsid w:val="004D16E5"/>
    <w:rsid w:val="004D67A0"/>
    <w:rsid w:val="004D726D"/>
    <w:rsid w:val="00571748"/>
    <w:rsid w:val="005B5064"/>
    <w:rsid w:val="005C2F98"/>
    <w:rsid w:val="005F5147"/>
    <w:rsid w:val="006056EF"/>
    <w:rsid w:val="006059ED"/>
    <w:rsid w:val="00622ED7"/>
    <w:rsid w:val="00631B13"/>
    <w:rsid w:val="0068550F"/>
    <w:rsid w:val="006A26C4"/>
    <w:rsid w:val="006A3549"/>
    <w:rsid w:val="006C033D"/>
    <w:rsid w:val="00712BFB"/>
    <w:rsid w:val="00731A7C"/>
    <w:rsid w:val="00763AAA"/>
    <w:rsid w:val="0079725C"/>
    <w:rsid w:val="007D19B2"/>
    <w:rsid w:val="007E7C01"/>
    <w:rsid w:val="007F6C5E"/>
    <w:rsid w:val="007F7CBA"/>
    <w:rsid w:val="0080611E"/>
    <w:rsid w:val="00817F15"/>
    <w:rsid w:val="00826C8B"/>
    <w:rsid w:val="0083188E"/>
    <w:rsid w:val="00843366"/>
    <w:rsid w:val="0085110C"/>
    <w:rsid w:val="00853689"/>
    <w:rsid w:val="00886F04"/>
    <w:rsid w:val="00890504"/>
    <w:rsid w:val="009127CA"/>
    <w:rsid w:val="00935776"/>
    <w:rsid w:val="009427CF"/>
    <w:rsid w:val="009B2C38"/>
    <w:rsid w:val="00A364F6"/>
    <w:rsid w:val="00A60C39"/>
    <w:rsid w:val="00AB4DA6"/>
    <w:rsid w:val="00AC4D05"/>
    <w:rsid w:val="00AE5BAA"/>
    <w:rsid w:val="00BC09AF"/>
    <w:rsid w:val="00BF1EB2"/>
    <w:rsid w:val="00C03AB5"/>
    <w:rsid w:val="00C12C47"/>
    <w:rsid w:val="00D01C0A"/>
    <w:rsid w:val="00D40D62"/>
    <w:rsid w:val="00D96C1A"/>
    <w:rsid w:val="00DA1388"/>
    <w:rsid w:val="00E31D53"/>
    <w:rsid w:val="00E63E82"/>
    <w:rsid w:val="00E73962"/>
    <w:rsid w:val="00E86C78"/>
    <w:rsid w:val="00ED0942"/>
    <w:rsid w:val="00ED79A9"/>
    <w:rsid w:val="00F31DB2"/>
    <w:rsid w:val="00FA3A77"/>
    <w:rsid w:val="6A354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0"/>
    <w:pPr>
      <w:spacing w:line="360" w:lineRule="auto"/>
      <w:ind w:firstLine="420"/>
      <w:jc w:val="left"/>
    </w:pPr>
  </w:style>
  <w:style w:type="paragraph" w:styleId="3">
    <w:name w:val="List 2"/>
    <w:basedOn w:val="1"/>
    <w:unhideWhenUsed/>
    <w:qFormat/>
    <w:uiPriority w:val="0"/>
    <w:pPr>
      <w:ind w:left="840" w:hanging="420"/>
    </w:pPr>
  </w:style>
  <w:style w:type="paragraph" w:styleId="4">
    <w:name w:val="Plain Text"/>
    <w:basedOn w:val="1"/>
    <w:link w:val="13"/>
    <w:uiPriority w:val="0"/>
    <w:rPr>
      <w:rFonts w:ascii="宋体" w:hAnsi="Courier New"/>
    </w:rPr>
  </w:style>
  <w:style w:type="paragraph" w:styleId="5">
    <w:name w:val="Date"/>
    <w:basedOn w:val="1"/>
    <w:next w:val="1"/>
    <w:link w:val="15"/>
    <w:qFormat/>
    <w:uiPriority w:val="0"/>
    <w:rPr>
      <w:rFonts w:ascii="楷体_GB2312" w:hAnsi="Courier New" w:eastAsia="楷体_GB2312"/>
      <w:sz w:val="32"/>
    </w:rPr>
  </w:style>
  <w:style w:type="paragraph" w:styleId="6">
    <w:name w:val="Balloon Text"/>
    <w:basedOn w:val="1"/>
    <w:link w:val="16"/>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uiPriority w:val="99"/>
    <w:rPr>
      <w:sz w:val="18"/>
      <w:szCs w:val="18"/>
    </w:rPr>
  </w:style>
  <w:style w:type="character" w:customStyle="1" w:styleId="12">
    <w:name w:val="页脚 Char"/>
    <w:basedOn w:val="10"/>
    <w:link w:val="7"/>
    <w:uiPriority w:val="99"/>
    <w:rPr>
      <w:sz w:val="18"/>
      <w:szCs w:val="18"/>
    </w:rPr>
  </w:style>
  <w:style w:type="character" w:customStyle="1" w:styleId="13">
    <w:name w:val="纯文本 Char"/>
    <w:basedOn w:val="10"/>
    <w:link w:val="4"/>
    <w:uiPriority w:val="0"/>
    <w:rPr>
      <w:rFonts w:ascii="宋体" w:hAnsi="Courier New" w:eastAsia="宋体" w:cs="Times New Roman"/>
      <w:szCs w:val="20"/>
    </w:rPr>
  </w:style>
  <w:style w:type="character" w:customStyle="1" w:styleId="14">
    <w:name w:val="正文文本缩进 Char"/>
    <w:basedOn w:val="10"/>
    <w:link w:val="2"/>
    <w:qFormat/>
    <w:uiPriority w:val="0"/>
    <w:rPr>
      <w:rFonts w:ascii="Times New Roman" w:hAnsi="Times New Roman" w:eastAsia="宋体" w:cs="Times New Roman"/>
      <w:szCs w:val="20"/>
    </w:rPr>
  </w:style>
  <w:style w:type="character" w:customStyle="1" w:styleId="15">
    <w:name w:val="日期 Char"/>
    <w:basedOn w:val="10"/>
    <w:link w:val="5"/>
    <w:uiPriority w:val="0"/>
    <w:rPr>
      <w:rFonts w:ascii="楷体_GB2312" w:hAnsi="Courier New" w:eastAsia="楷体_GB2312" w:cs="Times New Roman"/>
      <w:sz w:val="32"/>
      <w:szCs w:val="20"/>
    </w:rPr>
  </w:style>
  <w:style w:type="character" w:customStyle="1" w:styleId="16">
    <w:name w:val="批注框文本 Char"/>
    <w:basedOn w:val="10"/>
    <w:link w:val="6"/>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10542</Words>
  <Characters>60093</Characters>
  <Lines>500</Lines>
  <Paragraphs>140</Paragraphs>
  <TotalTime>342</TotalTime>
  <ScaleCrop>false</ScaleCrop>
  <LinksUpToDate>false</LinksUpToDate>
  <CharactersWithSpaces>70495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2018-03-13T01:10:00Z</dcterms:created>
  <dc:creator>PC</dc:creator>
  <cp:lastModifiedBy>1</cp:lastModifiedBy>
  <dcterms:modified xsi:type="dcterms:W3CDTF">2021-07-16T05:07:17Z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AB28E024B4BA461F963EF4C9B8F02A42</vt:lpwstr>
  </property>
</Properties>
</file>