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沧州中渤重工机械装备有限公司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ascii="Segoe UI Emoji" w:hAnsi="Segoe UI Emoji" w:cs="Segoe UI Emoji"/>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ascii="Segoe UI Emoji" w:hAnsi="Segoe UI Emoji" w:cs="Segoe UI Emoji"/>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color w:val="000000" w:themeColor="text1"/>
          <w:szCs w:val="21"/>
        </w:rPr>
      </w:pPr>
      <w:permStart w:id="49" w:edGrp="everyone"/>
      <w:r>
        <w:rPr>
          <w:rFonts w:hint="eastAsia" w:ascii="宋体" w:hAnsi="宋体"/>
          <w:b/>
          <w:color w:val="000000" w:themeColor="text1"/>
          <w:szCs w:val="21"/>
          <w:u w:val="single"/>
        </w:rPr>
        <w:t xml:space="preserve"> </w:t>
      </w:r>
      <w:r>
        <w:rPr>
          <w:rFonts w:hint="eastAsia"/>
        </w:rPr>
        <w:t>三次油气回收、油气回收在线监测、VOCS/毒害气体浓度在线监测、油品泄漏监测、防爆工具，计量仪器，防爆防静电仪器，消防安全器材设备。</w:t>
      </w:r>
      <w:permEnd w:id="49"/>
    </w:p>
    <w:p>
      <w:pPr>
        <w:spacing w:line="300" w:lineRule="auto"/>
        <w:rPr>
          <w:rFonts w:ascii="宋体" w:hAnsi="宋体"/>
          <w:b/>
          <w:color w:val="000000" w:themeColor="text1"/>
          <w:szCs w:val="21"/>
        </w:rPr>
      </w:pPr>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河北省南皮付庄工业区</w:t>
      </w:r>
      <w:r>
        <w:rPr>
          <w:rFonts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t>39</w:t>
      </w:r>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t>2019</w:t>
      </w:r>
      <w:r>
        <w:rPr>
          <w:rFonts w:hint="eastAsia"/>
          <w:color w:val="000000" w:themeColor="text1"/>
          <w:szCs w:val="21"/>
          <w:u w:val="single"/>
        </w:rPr>
        <w:t xml:space="preserve"> </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t>9</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t>35000</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叁万伍千元整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hint="eastAsia"/>
        </w:rPr>
        <w:t>初次认证费用</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t xml:space="preserve"> 9000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玖仟元整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t>监督</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t>/</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t>/</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ascii="宋体" w:hAnsi="宋体"/>
          <w:color w:val="000000" w:themeColor="text1"/>
          <w:sz w:val="24"/>
          <w:szCs w:val="24"/>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沧州中渤重工机械装备有限公司</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 xml:space="preserve">9113092767324259XG  </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 xml:space="preserve"> 南皮县付庄工业区</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rPr>
              <w:t>中国农业银行股份有限公司泊头市支行  50626001040013874</w:t>
            </w:r>
            <w:bookmarkStart w:id="1" w:name="_GoBack"/>
            <w:bookmarkEnd w:id="1"/>
            <w:r>
              <w:rPr>
                <w:rFonts w:hint="eastAsia"/>
              </w:rPr>
              <w:t xml:space="preserve"> </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沧州中渤重工机械装备有限公司</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color w:val="000000" w:themeColor="text1"/>
                <w:kern w:val="0"/>
                <w:szCs w:val="21"/>
              </w:rPr>
              <w:t xml:space="preserve"> </w:t>
            </w:r>
            <w:r>
              <w:rPr>
                <w:rFonts w:hint="eastAsia"/>
              </w:rPr>
              <w:t>9113092767324259XG</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南皮县付庄工业区</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中国农业银行股份有限公司泊头市支行</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50626001040013874</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rPr>
              <w:t>13691313210</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rPr>
              <w:t xml:space="preserve">南皮县付庄工业区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r>
              <w:rPr>
                <w:rFonts w:hint="eastAsia"/>
              </w:rPr>
              <w:t>王硕</w:t>
            </w:r>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r>
              <w:rPr>
                <w:rFonts w:hint="eastAsia"/>
              </w:rPr>
              <w:t>13691313210</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bookmarkStart w:id="0" w:name="_Hlk21607079"/>
            <w:r>
              <w:rPr>
                <w:color w:val="000000" w:themeColor="text1"/>
                <w:szCs w:val="21"/>
              </w:rPr>
              <w:t>/</w:t>
            </w:r>
            <w:bookmarkEnd w:id="0"/>
            <w:r>
              <w:rPr>
                <w:color w:val="000000" w:themeColor="text1"/>
                <w:szCs w:val="21"/>
              </w:rPr>
              <w:t>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r>
              <w:rPr>
                <w:rFonts w:hint="eastAsia"/>
              </w:rPr>
              <w:t>8</w:t>
            </w:r>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rPr>
              <w:t>30</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r>
              <w:t>2019</w:t>
            </w:r>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r>
              <w:t>8</w:t>
            </w:r>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r>
              <w:t>30</w:t>
            </w:r>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3EFA"/>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94DE3"/>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4E87"/>
    <w:rsid w:val="0085056D"/>
    <w:rsid w:val="00865CE9"/>
    <w:rsid w:val="0087449C"/>
    <w:rsid w:val="00875462"/>
    <w:rsid w:val="0089592F"/>
    <w:rsid w:val="008A5130"/>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8645A"/>
    <w:rsid w:val="00D90E88"/>
    <w:rsid w:val="00DD0CFA"/>
    <w:rsid w:val="00DD193E"/>
    <w:rsid w:val="00DD6BA1"/>
    <w:rsid w:val="00DE0452"/>
    <w:rsid w:val="00DE1A4B"/>
    <w:rsid w:val="00DE2161"/>
    <w:rsid w:val="00DE7F79"/>
    <w:rsid w:val="00E24035"/>
    <w:rsid w:val="00E32398"/>
    <w:rsid w:val="00E522C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0E00992"/>
    <w:rsid w:val="5C1B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1159</Words>
  <Characters>6607</Characters>
  <Lines>55</Lines>
  <Paragraphs>15</Paragraphs>
  <TotalTime>0</TotalTime>
  <ScaleCrop>false</ScaleCrop>
  <LinksUpToDate>false</LinksUpToDate>
  <CharactersWithSpaces>7751</CharactersWithSpaces>
  <Application>WPS Office_11.8.2.8593_F1E327BC-269C-435d-A152-05C5408002CA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hp</cp:lastModifiedBy>
  <cp:lastPrinted>2018-05-25T07:49:00Z</cp:lastPrinted>
  <dcterms:modified xsi:type="dcterms:W3CDTF">2019-10-11T00:45:32Z</dcterms:modified>
  <dc:title>WSF/RO004-A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