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color w:val="auto"/>
          <w:kern w:val="2"/>
          <w:sz w:val="21"/>
          <w:szCs w:val="24"/>
          <w:highlight w:val="none"/>
          <w:u w:val="none"/>
          <w:lang w:val="en-US" w:eastAsia="zh-CN" w:bidi="ar-SA"/>
        </w:rPr>
        <w:id w:val="147456253"/>
        <w15:color w:val="DBDBDB"/>
        <w:docPartObj>
          <w:docPartGallery w:val="Table of Contents"/>
          <w:docPartUnique/>
        </w:docPartObj>
      </w:sdtPr>
      <w:sdtEndPr>
        <w:rPr>
          <w:rFonts w:ascii="宋体" w:hAnsi="宋体" w:eastAsia="宋体" w:cstheme="minorBidi"/>
          <w:b/>
          <w:color w:val="auto"/>
          <w:kern w:val="2"/>
          <w:sz w:val="21"/>
          <w:szCs w:val="24"/>
          <w:highlight w:val="none"/>
          <w:u w:val="none"/>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480" w:lineRule="exact"/>
            <w:ind w:left="0" w:leftChars="0" w:right="0" w:rightChars="0" w:firstLine="0" w:firstLineChars="0"/>
            <w:jc w:val="center"/>
            <w:textAlignment w:val="auto"/>
            <w:rPr>
              <w:color w:val="auto"/>
              <w:sz w:val="24"/>
              <w:szCs w:val="24"/>
              <w:highlight w:val="none"/>
              <w:u w:val="none"/>
            </w:rPr>
          </w:pPr>
        </w:p>
        <w:p>
          <w:pPr>
            <w:pStyle w:val="26"/>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b/>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TOC \o "1-2" \h \u </w:instrText>
          </w:r>
          <w:r>
            <w:rPr>
              <w:color w:val="auto"/>
              <w:sz w:val="24"/>
              <w:szCs w:val="24"/>
              <w:highlight w:val="none"/>
              <w:u w:val="none"/>
            </w:rPr>
            <w:fldChar w:fldCharType="separate"/>
          </w:r>
          <w:r>
            <w:rPr>
              <w:b/>
              <w:color w:val="auto"/>
              <w:sz w:val="24"/>
              <w:szCs w:val="24"/>
              <w:highlight w:val="none"/>
              <w:u w:val="none"/>
            </w:rPr>
            <w:fldChar w:fldCharType="begin"/>
          </w:r>
          <w:r>
            <w:rPr>
              <w:b/>
              <w:color w:val="auto"/>
              <w:sz w:val="24"/>
              <w:szCs w:val="24"/>
              <w:highlight w:val="none"/>
              <w:u w:val="none"/>
            </w:rPr>
            <w:instrText xml:space="preserve"> HYPERLINK \l _Toc23693 </w:instrText>
          </w:r>
          <w:r>
            <w:rPr>
              <w:b/>
              <w:color w:val="auto"/>
              <w:sz w:val="24"/>
              <w:szCs w:val="24"/>
              <w:highlight w:val="none"/>
              <w:u w:val="none"/>
            </w:rPr>
            <w:fldChar w:fldCharType="separate"/>
          </w:r>
          <w:r>
            <w:rPr>
              <w:rFonts w:hint="eastAsia" w:ascii="宋体" w:hAnsi="宋体" w:eastAsia="宋体" w:cs="宋体"/>
              <w:b/>
              <w:color w:val="auto"/>
              <w:sz w:val="24"/>
              <w:szCs w:val="24"/>
              <w:highlight w:val="none"/>
              <w:u w:val="none"/>
              <w:lang w:val="en-US" w:eastAsia="zh-CN"/>
            </w:rPr>
            <w:t xml:space="preserve">第八章 </w:t>
          </w:r>
          <w:r>
            <w:rPr>
              <w:rFonts w:hint="default"/>
              <w:b/>
              <w:color w:val="auto"/>
              <w:sz w:val="24"/>
              <w:szCs w:val="24"/>
              <w:highlight w:val="none"/>
              <w:u w:val="none"/>
              <w:lang w:val="en-US" w:eastAsia="zh-CN"/>
            </w:rPr>
            <w:t>污染防治措施分析</w:t>
          </w:r>
          <w:r>
            <w:rPr>
              <w:b/>
              <w:color w:val="auto"/>
              <w:sz w:val="24"/>
              <w:szCs w:val="24"/>
              <w:highlight w:val="none"/>
              <w:u w:val="none"/>
            </w:rPr>
            <w:tab/>
          </w:r>
          <w:r>
            <w:rPr>
              <w:b/>
              <w:color w:val="auto"/>
              <w:sz w:val="24"/>
              <w:szCs w:val="24"/>
              <w:highlight w:val="none"/>
              <w:u w:val="none"/>
            </w:rPr>
            <w:fldChar w:fldCharType="begin"/>
          </w:r>
          <w:r>
            <w:rPr>
              <w:b/>
              <w:color w:val="auto"/>
              <w:sz w:val="24"/>
              <w:szCs w:val="24"/>
              <w:highlight w:val="none"/>
              <w:u w:val="none"/>
            </w:rPr>
            <w:instrText xml:space="preserve"> PAGEREF _Toc23693 \h </w:instrText>
          </w:r>
          <w:r>
            <w:rPr>
              <w:b/>
              <w:color w:val="auto"/>
              <w:sz w:val="24"/>
              <w:szCs w:val="24"/>
              <w:highlight w:val="none"/>
              <w:u w:val="none"/>
            </w:rPr>
            <w:fldChar w:fldCharType="separate"/>
          </w:r>
          <w:r>
            <w:rPr>
              <w:b/>
              <w:color w:val="auto"/>
              <w:sz w:val="24"/>
              <w:szCs w:val="24"/>
              <w:highlight w:val="none"/>
              <w:u w:val="none"/>
            </w:rPr>
            <w:t>891</w:t>
          </w:r>
          <w:r>
            <w:rPr>
              <w:b/>
              <w:color w:val="auto"/>
              <w:sz w:val="24"/>
              <w:szCs w:val="24"/>
              <w:highlight w:val="none"/>
              <w:u w:val="none"/>
            </w:rPr>
            <w:fldChar w:fldCharType="end"/>
          </w:r>
          <w:r>
            <w:rPr>
              <w:b/>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_Toc10032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8.1 </w:t>
          </w:r>
          <w:r>
            <w:rPr>
              <w:rFonts w:hint="default"/>
              <w:color w:val="auto"/>
              <w:sz w:val="24"/>
              <w:szCs w:val="24"/>
              <w:highlight w:val="none"/>
              <w:u w:val="none"/>
              <w:lang w:val="en-US" w:eastAsia="zh-CN"/>
            </w:rPr>
            <w:t>施工期污染防治措施</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_Toc10032 \h </w:instrText>
          </w:r>
          <w:r>
            <w:rPr>
              <w:color w:val="auto"/>
              <w:sz w:val="24"/>
              <w:szCs w:val="24"/>
              <w:highlight w:val="none"/>
              <w:u w:val="none"/>
            </w:rPr>
            <w:fldChar w:fldCharType="separate"/>
          </w:r>
          <w:r>
            <w:rPr>
              <w:color w:val="auto"/>
              <w:sz w:val="24"/>
              <w:szCs w:val="24"/>
              <w:highlight w:val="none"/>
              <w:u w:val="none"/>
            </w:rPr>
            <w:t>891</w:t>
          </w:r>
          <w:r>
            <w:rPr>
              <w:color w:val="auto"/>
              <w:sz w:val="24"/>
              <w:szCs w:val="24"/>
              <w:highlight w:val="none"/>
              <w:u w:val="none"/>
            </w:rPr>
            <w:fldChar w:fldCharType="end"/>
          </w:r>
          <w:r>
            <w:rPr>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_Toc31810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8.2 </w:t>
          </w:r>
          <w:r>
            <w:rPr>
              <w:rFonts w:hint="default"/>
              <w:color w:val="auto"/>
              <w:sz w:val="24"/>
              <w:szCs w:val="24"/>
              <w:highlight w:val="none"/>
              <w:u w:val="none"/>
              <w:lang w:val="en-US" w:eastAsia="zh-CN"/>
            </w:rPr>
            <w:t>运营期废气污染防治措施</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_Toc31810 \h </w:instrText>
          </w:r>
          <w:r>
            <w:rPr>
              <w:color w:val="auto"/>
              <w:sz w:val="24"/>
              <w:szCs w:val="24"/>
              <w:highlight w:val="none"/>
              <w:u w:val="none"/>
            </w:rPr>
            <w:fldChar w:fldCharType="separate"/>
          </w:r>
          <w:r>
            <w:rPr>
              <w:color w:val="auto"/>
              <w:sz w:val="24"/>
              <w:szCs w:val="24"/>
              <w:highlight w:val="none"/>
              <w:u w:val="none"/>
            </w:rPr>
            <w:t>891</w:t>
          </w:r>
          <w:r>
            <w:rPr>
              <w:color w:val="auto"/>
              <w:sz w:val="24"/>
              <w:szCs w:val="24"/>
              <w:highlight w:val="none"/>
              <w:u w:val="none"/>
            </w:rPr>
            <w:fldChar w:fldCharType="end"/>
          </w:r>
          <w:r>
            <w:rPr>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_Toc11765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8.3 </w:t>
          </w:r>
          <w:r>
            <w:rPr>
              <w:rFonts w:hint="default"/>
              <w:color w:val="auto"/>
              <w:sz w:val="24"/>
              <w:szCs w:val="24"/>
              <w:highlight w:val="none"/>
              <w:u w:val="none"/>
              <w:lang w:val="en-US" w:eastAsia="zh-CN"/>
            </w:rPr>
            <w:t>运营期废水污染防治措施</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_Toc11765 \h </w:instrText>
          </w:r>
          <w:r>
            <w:rPr>
              <w:color w:val="auto"/>
              <w:sz w:val="24"/>
              <w:szCs w:val="24"/>
              <w:highlight w:val="none"/>
              <w:u w:val="none"/>
            </w:rPr>
            <w:fldChar w:fldCharType="separate"/>
          </w:r>
          <w:r>
            <w:rPr>
              <w:color w:val="auto"/>
              <w:sz w:val="24"/>
              <w:szCs w:val="24"/>
              <w:highlight w:val="none"/>
              <w:u w:val="none"/>
            </w:rPr>
            <w:t>914</w:t>
          </w:r>
          <w:r>
            <w:rPr>
              <w:color w:val="auto"/>
              <w:sz w:val="24"/>
              <w:szCs w:val="24"/>
              <w:highlight w:val="none"/>
              <w:u w:val="none"/>
            </w:rPr>
            <w:fldChar w:fldCharType="end"/>
          </w:r>
          <w:r>
            <w:rPr>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_Toc31711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8.4 </w:t>
          </w:r>
          <w:r>
            <w:rPr>
              <w:rFonts w:hint="default"/>
              <w:color w:val="auto"/>
              <w:sz w:val="24"/>
              <w:szCs w:val="24"/>
              <w:highlight w:val="none"/>
              <w:u w:val="none"/>
              <w:lang w:val="en-US" w:eastAsia="zh-CN"/>
            </w:rPr>
            <w:t>运营期噪声治理措施</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_Toc31711 \h </w:instrText>
          </w:r>
          <w:r>
            <w:rPr>
              <w:color w:val="auto"/>
              <w:sz w:val="24"/>
              <w:szCs w:val="24"/>
              <w:highlight w:val="none"/>
              <w:u w:val="none"/>
            </w:rPr>
            <w:fldChar w:fldCharType="separate"/>
          </w:r>
          <w:r>
            <w:rPr>
              <w:color w:val="auto"/>
              <w:sz w:val="24"/>
              <w:szCs w:val="24"/>
              <w:highlight w:val="none"/>
              <w:u w:val="none"/>
            </w:rPr>
            <w:t>925</w:t>
          </w:r>
          <w:r>
            <w:rPr>
              <w:color w:val="auto"/>
              <w:sz w:val="24"/>
              <w:szCs w:val="24"/>
              <w:highlight w:val="none"/>
              <w:u w:val="none"/>
            </w:rPr>
            <w:fldChar w:fldCharType="end"/>
          </w:r>
          <w:r>
            <w:rPr>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_Toc16579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8.5 </w:t>
          </w:r>
          <w:r>
            <w:rPr>
              <w:rFonts w:hint="default"/>
              <w:color w:val="auto"/>
              <w:sz w:val="24"/>
              <w:szCs w:val="24"/>
              <w:highlight w:val="none"/>
              <w:u w:val="none"/>
              <w:lang w:val="en-US" w:eastAsia="zh-CN"/>
            </w:rPr>
            <w:t>运营期固体废物治理措施</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_Toc16579 \h </w:instrText>
          </w:r>
          <w:r>
            <w:rPr>
              <w:color w:val="auto"/>
              <w:sz w:val="24"/>
              <w:szCs w:val="24"/>
              <w:highlight w:val="none"/>
              <w:u w:val="none"/>
            </w:rPr>
            <w:fldChar w:fldCharType="separate"/>
          </w:r>
          <w:r>
            <w:rPr>
              <w:color w:val="auto"/>
              <w:sz w:val="24"/>
              <w:szCs w:val="24"/>
              <w:highlight w:val="none"/>
              <w:u w:val="none"/>
            </w:rPr>
            <w:t>926</w:t>
          </w:r>
          <w:r>
            <w:rPr>
              <w:color w:val="auto"/>
              <w:sz w:val="24"/>
              <w:szCs w:val="24"/>
              <w:highlight w:val="none"/>
              <w:u w:val="none"/>
            </w:rPr>
            <w:fldChar w:fldCharType="end"/>
          </w:r>
          <w:r>
            <w:rPr>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_Toc30238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8.6 </w:t>
          </w:r>
          <w:r>
            <w:rPr>
              <w:rFonts w:hint="default"/>
              <w:color w:val="auto"/>
              <w:sz w:val="24"/>
              <w:szCs w:val="24"/>
              <w:highlight w:val="none"/>
              <w:u w:val="none"/>
              <w:lang w:val="en-US" w:eastAsia="zh-CN"/>
            </w:rPr>
            <w:t>运营期地下水</w:t>
          </w:r>
          <w:r>
            <w:rPr>
              <w:rFonts w:hint="eastAsia"/>
              <w:color w:val="auto"/>
              <w:sz w:val="24"/>
              <w:szCs w:val="24"/>
              <w:highlight w:val="none"/>
              <w:u w:val="none"/>
              <w:lang w:val="en-US" w:eastAsia="zh-CN"/>
            </w:rPr>
            <w:t>与土壤</w:t>
          </w:r>
          <w:r>
            <w:rPr>
              <w:rFonts w:hint="default"/>
              <w:color w:val="auto"/>
              <w:sz w:val="24"/>
              <w:szCs w:val="24"/>
              <w:highlight w:val="none"/>
              <w:u w:val="none"/>
              <w:lang w:val="en-US" w:eastAsia="zh-CN"/>
            </w:rPr>
            <w:t>防治措施</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_Toc30238 \h </w:instrText>
          </w:r>
          <w:r>
            <w:rPr>
              <w:color w:val="auto"/>
              <w:sz w:val="24"/>
              <w:szCs w:val="24"/>
              <w:highlight w:val="none"/>
              <w:u w:val="none"/>
            </w:rPr>
            <w:fldChar w:fldCharType="separate"/>
          </w:r>
          <w:r>
            <w:rPr>
              <w:color w:val="auto"/>
              <w:sz w:val="24"/>
              <w:szCs w:val="24"/>
              <w:highlight w:val="none"/>
              <w:u w:val="none"/>
            </w:rPr>
            <w:t>930</w:t>
          </w:r>
          <w:r>
            <w:rPr>
              <w:color w:val="auto"/>
              <w:sz w:val="24"/>
              <w:szCs w:val="24"/>
              <w:highlight w:val="none"/>
              <w:u w:val="none"/>
            </w:rPr>
            <w:fldChar w:fldCharType="end"/>
          </w:r>
          <w:r>
            <w:rPr>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_Toc23082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8.7 </w:t>
          </w:r>
          <w:r>
            <w:rPr>
              <w:rFonts w:hint="default"/>
              <w:color w:val="auto"/>
              <w:sz w:val="24"/>
              <w:szCs w:val="24"/>
              <w:highlight w:val="none"/>
              <w:u w:val="none"/>
              <w:lang w:val="en-US" w:eastAsia="zh-CN"/>
            </w:rPr>
            <w:t>环保投资估算</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_Toc23082 \h </w:instrText>
          </w:r>
          <w:r>
            <w:rPr>
              <w:color w:val="auto"/>
              <w:sz w:val="24"/>
              <w:szCs w:val="24"/>
              <w:highlight w:val="none"/>
              <w:u w:val="none"/>
            </w:rPr>
            <w:fldChar w:fldCharType="separate"/>
          </w:r>
          <w:r>
            <w:rPr>
              <w:color w:val="auto"/>
              <w:sz w:val="24"/>
              <w:szCs w:val="24"/>
              <w:highlight w:val="none"/>
              <w:u w:val="none"/>
            </w:rPr>
            <w:t>934</w:t>
          </w:r>
          <w:r>
            <w:rPr>
              <w:color w:val="auto"/>
              <w:sz w:val="24"/>
              <w:szCs w:val="24"/>
              <w:highlight w:val="none"/>
              <w:u w:val="none"/>
            </w:rPr>
            <w:fldChar w:fldCharType="end"/>
          </w:r>
          <w:r>
            <w:rPr>
              <w:color w:val="auto"/>
              <w:sz w:val="24"/>
              <w:szCs w:val="24"/>
              <w:highlight w:val="none"/>
              <w:u w:val="none"/>
            </w:rPr>
            <w:fldChar w:fldCharType="end"/>
          </w:r>
        </w:p>
        <w:p>
          <w:pPr>
            <w:pStyle w:val="26"/>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b/>
              <w:color w:val="auto"/>
              <w:sz w:val="24"/>
              <w:szCs w:val="24"/>
              <w:highlight w:val="none"/>
              <w:u w:val="none"/>
            </w:rPr>
          </w:pPr>
          <w:r>
            <w:rPr>
              <w:b/>
              <w:color w:val="auto"/>
              <w:sz w:val="24"/>
              <w:szCs w:val="24"/>
              <w:highlight w:val="none"/>
              <w:u w:val="none"/>
            </w:rPr>
            <w:fldChar w:fldCharType="begin"/>
          </w:r>
          <w:r>
            <w:rPr>
              <w:b/>
              <w:color w:val="auto"/>
              <w:sz w:val="24"/>
              <w:szCs w:val="24"/>
              <w:highlight w:val="none"/>
              <w:u w:val="none"/>
            </w:rPr>
            <w:instrText xml:space="preserve"> HYPERLINK \l _Toc12573 </w:instrText>
          </w:r>
          <w:r>
            <w:rPr>
              <w:b/>
              <w:color w:val="auto"/>
              <w:sz w:val="24"/>
              <w:szCs w:val="24"/>
              <w:highlight w:val="none"/>
              <w:u w:val="none"/>
            </w:rPr>
            <w:fldChar w:fldCharType="separate"/>
          </w:r>
          <w:r>
            <w:rPr>
              <w:rFonts w:hint="eastAsia" w:ascii="宋体" w:hAnsi="宋体" w:eastAsia="宋体" w:cs="宋体"/>
              <w:b/>
              <w:color w:val="auto"/>
              <w:sz w:val="24"/>
              <w:szCs w:val="24"/>
              <w:highlight w:val="none"/>
              <w:u w:val="none"/>
              <w:lang w:val="en-US" w:eastAsia="zh-CN"/>
            </w:rPr>
            <w:t xml:space="preserve">第九章 </w:t>
          </w:r>
          <w:r>
            <w:rPr>
              <w:rFonts w:hint="default"/>
              <w:b/>
              <w:color w:val="auto"/>
              <w:sz w:val="24"/>
              <w:szCs w:val="24"/>
              <w:highlight w:val="none"/>
              <w:u w:val="none"/>
              <w:lang w:val="en-US" w:eastAsia="zh-CN"/>
            </w:rPr>
            <w:t>环境经济损益分析</w:t>
          </w:r>
          <w:r>
            <w:rPr>
              <w:b/>
              <w:color w:val="auto"/>
              <w:sz w:val="24"/>
              <w:szCs w:val="24"/>
              <w:highlight w:val="none"/>
              <w:u w:val="none"/>
            </w:rPr>
            <w:tab/>
          </w:r>
          <w:r>
            <w:rPr>
              <w:b/>
              <w:color w:val="auto"/>
              <w:sz w:val="24"/>
              <w:szCs w:val="24"/>
              <w:highlight w:val="none"/>
              <w:u w:val="none"/>
            </w:rPr>
            <w:fldChar w:fldCharType="begin"/>
          </w:r>
          <w:r>
            <w:rPr>
              <w:b/>
              <w:color w:val="auto"/>
              <w:sz w:val="24"/>
              <w:szCs w:val="24"/>
              <w:highlight w:val="none"/>
              <w:u w:val="none"/>
            </w:rPr>
            <w:instrText xml:space="preserve"> PAGEREF _Toc12573 \h </w:instrText>
          </w:r>
          <w:r>
            <w:rPr>
              <w:b/>
              <w:color w:val="auto"/>
              <w:sz w:val="24"/>
              <w:szCs w:val="24"/>
              <w:highlight w:val="none"/>
              <w:u w:val="none"/>
            </w:rPr>
            <w:fldChar w:fldCharType="separate"/>
          </w:r>
          <w:r>
            <w:rPr>
              <w:b/>
              <w:color w:val="auto"/>
              <w:sz w:val="24"/>
              <w:szCs w:val="24"/>
              <w:highlight w:val="none"/>
              <w:u w:val="none"/>
            </w:rPr>
            <w:t>936</w:t>
          </w:r>
          <w:r>
            <w:rPr>
              <w:b/>
              <w:color w:val="auto"/>
              <w:sz w:val="24"/>
              <w:szCs w:val="24"/>
              <w:highlight w:val="none"/>
              <w:u w:val="none"/>
            </w:rPr>
            <w:fldChar w:fldCharType="end"/>
          </w:r>
          <w:r>
            <w:rPr>
              <w:b/>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_Toc13483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9.1 </w:t>
          </w:r>
          <w:r>
            <w:rPr>
              <w:rFonts w:hint="eastAsia"/>
              <w:color w:val="auto"/>
              <w:sz w:val="24"/>
              <w:szCs w:val="24"/>
              <w:highlight w:val="none"/>
              <w:u w:val="none"/>
              <w:lang w:val="en-US" w:eastAsia="zh-CN"/>
            </w:rPr>
            <w:t>项目</w:t>
          </w:r>
          <w:r>
            <w:rPr>
              <w:rFonts w:hint="default"/>
              <w:color w:val="auto"/>
              <w:sz w:val="24"/>
              <w:szCs w:val="24"/>
              <w:highlight w:val="none"/>
              <w:u w:val="none"/>
              <w:lang w:val="en-US" w:eastAsia="zh-CN"/>
            </w:rPr>
            <w:t>经济效益分析</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_Toc13483 \h </w:instrText>
          </w:r>
          <w:r>
            <w:rPr>
              <w:color w:val="auto"/>
              <w:sz w:val="24"/>
              <w:szCs w:val="24"/>
              <w:highlight w:val="none"/>
              <w:u w:val="none"/>
            </w:rPr>
            <w:fldChar w:fldCharType="separate"/>
          </w:r>
          <w:r>
            <w:rPr>
              <w:color w:val="auto"/>
              <w:sz w:val="24"/>
              <w:szCs w:val="24"/>
              <w:highlight w:val="none"/>
              <w:u w:val="none"/>
            </w:rPr>
            <w:t>936</w:t>
          </w:r>
          <w:r>
            <w:rPr>
              <w:color w:val="auto"/>
              <w:sz w:val="24"/>
              <w:szCs w:val="24"/>
              <w:highlight w:val="none"/>
              <w:u w:val="none"/>
            </w:rPr>
            <w:fldChar w:fldCharType="end"/>
          </w:r>
          <w:r>
            <w:rPr>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_Toc7102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9.2 </w:t>
          </w:r>
          <w:r>
            <w:rPr>
              <w:rFonts w:hint="default"/>
              <w:color w:val="auto"/>
              <w:sz w:val="24"/>
              <w:szCs w:val="24"/>
              <w:highlight w:val="none"/>
              <w:u w:val="none"/>
              <w:lang w:val="en-US" w:eastAsia="zh-CN"/>
            </w:rPr>
            <w:t>项目社会效益分析</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_Toc7102 \h </w:instrText>
          </w:r>
          <w:r>
            <w:rPr>
              <w:color w:val="auto"/>
              <w:sz w:val="24"/>
              <w:szCs w:val="24"/>
              <w:highlight w:val="none"/>
              <w:u w:val="none"/>
            </w:rPr>
            <w:fldChar w:fldCharType="separate"/>
          </w:r>
          <w:r>
            <w:rPr>
              <w:color w:val="auto"/>
              <w:sz w:val="24"/>
              <w:szCs w:val="24"/>
              <w:highlight w:val="none"/>
              <w:u w:val="none"/>
            </w:rPr>
            <w:t>936</w:t>
          </w:r>
          <w:r>
            <w:rPr>
              <w:color w:val="auto"/>
              <w:sz w:val="24"/>
              <w:szCs w:val="24"/>
              <w:highlight w:val="none"/>
              <w:u w:val="none"/>
            </w:rPr>
            <w:fldChar w:fldCharType="end"/>
          </w:r>
          <w:r>
            <w:rPr>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_Toc12411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9.3 </w:t>
          </w:r>
          <w:r>
            <w:rPr>
              <w:rFonts w:hint="default"/>
              <w:color w:val="auto"/>
              <w:sz w:val="24"/>
              <w:szCs w:val="24"/>
              <w:highlight w:val="none"/>
              <w:u w:val="none"/>
              <w:lang w:val="en-US" w:eastAsia="zh-CN"/>
            </w:rPr>
            <w:t>项目环境效益分析</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_Toc12411 \h </w:instrText>
          </w:r>
          <w:r>
            <w:rPr>
              <w:color w:val="auto"/>
              <w:sz w:val="24"/>
              <w:szCs w:val="24"/>
              <w:highlight w:val="none"/>
              <w:u w:val="none"/>
            </w:rPr>
            <w:fldChar w:fldCharType="separate"/>
          </w:r>
          <w:r>
            <w:rPr>
              <w:color w:val="auto"/>
              <w:sz w:val="24"/>
              <w:szCs w:val="24"/>
              <w:highlight w:val="none"/>
              <w:u w:val="none"/>
            </w:rPr>
            <w:t>937</w:t>
          </w:r>
          <w:r>
            <w:rPr>
              <w:color w:val="auto"/>
              <w:sz w:val="24"/>
              <w:szCs w:val="24"/>
              <w:highlight w:val="none"/>
              <w:u w:val="none"/>
            </w:rPr>
            <w:fldChar w:fldCharType="end"/>
          </w:r>
          <w:r>
            <w:rPr>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_Toc30419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9.4 </w:t>
          </w:r>
          <w:r>
            <w:rPr>
              <w:rFonts w:hint="default"/>
              <w:color w:val="auto"/>
              <w:sz w:val="24"/>
              <w:szCs w:val="24"/>
              <w:highlight w:val="none"/>
              <w:u w:val="none"/>
              <w:lang w:val="en-US" w:eastAsia="zh-CN"/>
            </w:rPr>
            <w:t>工程经济损益分析</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_Toc30419 \h </w:instrText>
          </w:r>
          <w:r>
            <w:rPr>
              <w:color w:val="auto"/>
              <w:sz w:val="24"/>
              <w:szCs w:val="24"/>
              <w:highlight w:val="none"/>
              <w:u w:val="none"/>
            </w:rPr>
            <w:fldChar w:fldCharType="separate"/>
          </w:r>
          <w:r>
            <w:rPr>
              <w:color w:val="auto"/>
              <w:sz w:val="24"/>
              <w:szCs w:val="24"/>
              <w:highlight w:val="none"/>
              <w:u w:val="none"/>
            </w:rPr>
            <w:t>938</w:t>
          </w:r>
          <w:r>
            <w:rPr>
              <w:color w:val="auto"/>
              <w:sz w:val="24"/>
              <w:szCs w:val="24"/>
              <w:highlight w:val="none"/>
              <w:u w:val="none"/>
            </w:rPr>
            <w:fldChar w:fldCharType="end"/>
          </w:r>
          <w:r>
            <w:rPr>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_Toc11986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9.5 </w:t>
          </w:r>
          <w:r>
            <w:rPr>
              <w:rFonts w:hint="default"/>
              <w:color w:val="auto"/>
              <w:sz w:val="24"/>
              <w:szCs w:val="24"/>
              <w:highlight w:val="none"/>
              <w:u w:val="none"/>
              <w:lang w:val="en-US" w:eastAsia="zh-CN"/>
            </w:rPr>
            <w:t>小结</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_Toc11986 \h </w:instrText>
          </w:r>
          <w:r>
            <w:rPr>
              <w:color w:val="auto"/>
              <w:sz w:val="24"/>
              <w:szCs w:val="24"/>
              <w:highlight w:val="none"/>
              <w:u w:val="none"/>
            </w:rPr>
            <w:fldChar w:fldCharType="separate"/>
          </w:r>
          <w:r>
            <w:rPr>
              <w:color w:val="auto"/>
              <w:sz w:val="24"/>
              <w:szCs w:val="24"/>
              <w:highlight w:val="none"/>
              <w:u w:val="none"/>
            </w:rPr>
            <w:t>939</w:t>
          </w:r>
          <w:r>
            <w:rPr>
              <w:color w:val="auto"/>
              <w:sz w:val="24"/>
              <w:szCs w:val="24"/>
              <w:highlight w:val="none"/>
              <w:u w:val="none"/>
            </w:rPr>
            <w:fldChar w:fldCharType="end"/>
          </w:r>
          <w:r>
            <w:rPr>
              <w:color w:val="auto"/>
              <w:sz w:val="24"/>
              <w:szCs w:val="24"/>
              <w:highlight w:val="none"/>
              <w:u w:val="none"/>
            </w:rPr>
            <w:fldChar w:fldCharType="end"/>
          </w:r>
        </w:p>
        <w:p>
          <w:pPr>
            <w:pStyle w:val="26"/>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b/>
              <w:color w:val="auto"/>
              <w:sz w:val="24"/>
              <w:szCs w:val="24"/>
              <w:highlight w:val="none"/>
              <w:u w:val="none"/>
            </w:rPr>
          </w:pPr>
          <w:r>
            <w:rPr>
              <w:b/>
              <w:color w:val="auto"/>
              <w:sz w:val="24"/>
              <w:szCs w:val="24"/>
              <w:highlight w:val="none"/>
              <w:u w:val="none"/>
            </w:rPr>
            <w:fldChar w:fldCharType="begin"/>
          </w:r>
          <w:r>
            <w:rPr>
              <w:b/>
              <w:color w:val="auto"/>
              <w:sz w:val="24"/>
              <w:szCs w:val="24"/>
              <w:highlight w:val="none"/>
              <w:u w:val="none"/>
            </w:rPr>
            <w:instrText xml:space="preserve"> HYPERLINK \l _Toc23478 </w:instrText>
          </w:r>
          <w:r>
            <w:rPr>
              <w:b/>
              <w:color w:val="auto"/>
              <w:sz w:val="24"/>
              <w:szCs w:val="24"/>
              <w:highlight w:val="none"/>
              <w:u w:val="none"/>
            </w:rPr>
            <w:fldChar w:fldCharType="separate"/>
          </w:r>
          <w:r>
            <w:rPr>
              <w:rFonts w:hint="eastAsia" w:ascii="宋体" w:hAnsi="宋体" w:eastAsia="宋体" w:cs="宋体"/>
              <w:b/>
              <w:color w:val="auto"/>
              <w:sz w:val="24"/>
              <w:szCs w:val="24"/>
              <w:highlight w:val="none"/>
              <w:u w:val="none"/>
              <w:lang w:val="en-US" w:eastAsia="zh-CN"/>
            </w:rPr>
            <w:t xml:space="preserve">第十章 </w:t>
          </w:r>
          <w:r>
            <w:rPr>
              <w:rFonts w:hint="default"/>
              <w:b/>
              <w:color w:val="auto"/>
              <w:sz w:val="24"/>
              <w:szCs w:val="24"/>
              <w:highlight w:val="none"/>
              <w:u w:val="none"/>
              <w:lang w:val="en-US" w:eastAsia="zh-CN"/>
            </w:rPr>
            <w:t>环境管理与监测计划</w:t>
          </w:r>
          <w:r>
            <w:rPr>
              <w:b/>
              <w:color w:val="auto"/>
              <w:sz w:val="24"/>
              <w:szCs w:val="24"/>
              <w:highlight w:val="none"/>
              <w:u w:val="none"/>
            </w:rPr>
            <w:tab/>
          </w:r>
          <w:r>
            <w:rPr>
              <w:b/>
              <w:color w:val="auto"/>
              <w:sz w:val="24"/>
              <w:szCs w:val="24"/>
              <w:highlight w:val="none"/>
              <w:u w:val="none"/>
            </w:rPr>
            <w:fldChar w:fldCharType="begin"/>
          </w:r>
          <w:r>
            <w:rPr>
              <w:b/>
              <w:color w:val="auto"/>
              <w:sz w:val="24"/>
              <w:szCs w:val="24"/>
              <w:highlight w:val="none"/>
              <w:u w:val="none"/>
            </w:rPr>
            <w:instrText xml:space="preserve"> PAGEREF _Toc23478 \h </w:instrText>
          </w:r>
          <w:r>
            <w:rPr>
              <w:b/>
              <w:color w:val="auto"/>
              <w:sz w:val="24"/>
              <w:szCs w:val="24"/>
              <w:highlight w:val="none"/>
              <w:u w:val="none"/>
            </w:rPr>
            <w:fldChar w:fldCharType="separate"/>
          </w:r>
          <w:r>
            <w:rPr>
              <w:b/>
              <w:color w:val="auto"/>
              <w:sz w:val="24"/>
              <w:szCs w:val="24"/>
              <w:highlight w:val="none"/>
              <w:u w:val="none"/>
            </w:rPr>
            <w:t>940</w:t>
          </w:r>
          <w:r>
            <w:rPr>
              <w:b/>
              <w:color w:val="auto"/>
              <w:sz w:val="24"/>
              <w:szCs w:val="24"/>
              <w:highlight w:val="none"/>
              <w:u w:val="none"/>
            </w:rPr>
            <w:fldChar w:fldCharType="end"/>
          </w:r>
          <w:r>
            <w:rPr>
              <w:b/>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_Toc13461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10.1 </w:t>
          </w:r>
          <w:r>
            <w:rPr>
              <w:rFonts w:hint="default"/>
              <w:color w:val="auto"/>
              <w:sz w:val="24"/>
              <w:szCs w:val="24"/>
              <w:highlight w:val="none"/>
              <w:u w:val="none"/>
              <w:lang w:val="en-US" w:eastAsia="zh-CN"/>
            </w:rPr>
            <w:t>环境管理</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_Toc13461 \h </w:instrText>
          </w:r>
          <w:r>
            <w:rPr>
              <w:color w:val="auto"/>
              <w:sz w:val="24"/>
              <w:szCs w:val="24"/>
              <w:highlight w:val="none"/>
              <w:u w:val="none"/>
            </w:rPr>
            <w:fldChar w:fldCharType="separate"/>
          </w:r>
          <w:r>
            <w:rPr>
              <w:color w:val="auto"/>
              <w:sz w:val="24"/>
              <w:szCs w:val="24"/>
              <w:highlight w:val="none"/>
              <w:u w:val="none"/>
            </w:rPr>
            <w:t>940</w:t>
          </w:r>
          <w:r>
            <w:rPr>
              <w:color w:val="auto"/>
              <w:sz w:val="24"/>
              <w:szCs w:val="24"/>
              <w:highlight w:val="none"/>
              <w:u w:val="none"/>
            </w:rPr>
            <w:fldChar w:fldCharType="end"/>
          </w:r>
          <w:r>
            <w:rPr>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_Toc12487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10.2 </w:t>
          </w:r>
          <w:r>
            <w:rPr>
              <w:rFonts w:hint="default"/>
              <w:color w:val="auto"/>
              <w:sz w:val="24"/>
              <w:szCs w:val="24"/>
              <w:highlight w:val="none"/>
              <w:u w:val="none"/>
              <w:lang w:val="en-US" w:eastAsia="zh-CN"/>
            </w:rPr>
            <w:t>环境监测计划</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_Toc12487 \h </w:instrText>
          </w:r>
          <w:r>
            <w:rPr>
              <w:color w:val="auto"/>
              <w:sz w:val="24"/>
              <w:szCs w:val="24"/>
              <w:highlight w:val="none"/>
              <w:u w:val="none"/>
            </w:rPr>
            <w:fldChar w:fldCharType="separate"/>
          </w:r>
          <w:r>
            <w:rPr>
              <w:color w:val="auto"/>
              <w:sz w:val="24"/>
              <w:szCs w:val="24"/>
              <w:highlight w:val="none"/>
              <w:u w:val="none"/>
            </w:rPr>
            <w:t>955</w:t>
          </w:r>
          <w:r>
            <w:rPr>
              <w:color w:val="auto"/>
              <w:sz w:val="24"/>
              <w:szCs w:val="24"/>
              <w:highlight w:val="none"/>
              <w:u w:val="none"/>
            </w:rPr>
            <w:fldChar w:fldCharType="end"/>
          </w:r>
          <w:r>
            <w:rPr>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_Toc30575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10.3 </w:t>
          </w:r>
          <w:r>
            <w:rPr>
              <w:rFonts w:hint="default"/>
              <w:color w:val="auto"/>
              <w:sz w:val="24"/>
              <w:szCs w:val="24"/>
              <w:highlight w:val="none"/>
              <w:u w:val="none"/>
              <w:lang w:val="en-US" w:eastAsia="zh-CN"/>
            </w:rPr>
            <w:t>信息公开</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_Toc30575 \h </w:instrText>
          </w:r>
          <w:r>
            <w:rPr>
              <w:color w:val="auto"/>
              <w:sz w:val="24"/>
              <w:szCs w:val="24"/>
              <w:highlight w:val="none"/>
              <w:u w:val="none"/>
            </w:rPr>
            <w:fldChar w:fldCharType="separate"/>
          </w:r>
          <w:r>
            <w:rPr>
              <w:color w:val="auto"/>
              <w:sz w:val="24"/>
              <w:szCs w:val="24"/>
              <w:highlight w:val="none"/>
              <w:u w:val="none"/>
            </w:rPr>
            <w:t>959</w:t>
          </w:r>
          <w:r>
            <w:rPr>
              <w:color w:val="auto"/>
              <w:sz w:val="24"/>
              <w:szCs w:val="24"/>
              <w:highlight w:val="none"/>
              <w:u w:val="none"/>
            </w:rPr>
            <w:fldChar w:fldCharType="end"/>
          </w:r>
          <w:r>
            <w:rPr>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_Toc17065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10.4 </w:t>
          </w:r>
          <w:r>
            <w:rPr>
              <w:rFonts w:hint="default"/>
              <w:color w:val="auto"/>
              <w:sz w:val="24"/>
              <w:szCs w:val="24"/>
              <w:highlight w:val="none"/>
              <w:u w:val="none"/>
              <w:lang w:val="en-US" w:eastAsia="zh-CN"/>
            </w:rPr>
            <w:t>“三同时”验收</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_Toc17065 \h </w:instrText>
          </w:r>
          <w:r>
            <w:rPr>
              <w:color w:val="auto"/>
              <w:sz w:val="24"/>
              <w:szCs w:val="24"/>
              <w:highlight w:val="none"/>
              <w:u w:val="none"/>
            </w:rPr>
            <w:fldChar w:fldCharType="separate"/>
          </w:r>
          <w:r>
            <w:rPr>
              <w:color w:val="auto"/>
              <w:sz w:val="24"/>
              <w:szCs w:val="24"/>
              <w:highlight w:val="none"/>
              <w:u w:val="none"/>
            </w:rPr>
            <w:t>960</w:t>
          </w:r>
          <w:r>
            <w:rPr>
              <w:color w:val="auto"/>
              <w:sz w:val="24"/>
              <w:szCs w:val="24"/>
              <w:highlight w:val="none"/>
              <w:u w:val="none"/>
            </w:rPr>
            <w:fldChar w:fldCharType="end"/>
          </w:r>
          <w:r>
            <w:rPr>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_Toc20633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10.5 </w:t>
          </w:r>
          <w:r>
            <w:rPr>
              <w:rFonts w:hint="default"/>
              <w:color w:val="auto"/>
              <w:sz w:val="24"/>
              <w:szCs w:val="24"/>
              <w:highlight w:val="none"/>
              <w:u w:val="none"/>
              <w:lang w:val="en-US" w:eastAsia="zh-CN"/>
            </w:rPr>
            <w:t>总量控制分析</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_Toc20633 \h </w:instrText>
          </w:r>
          <w:r>
            <w:rPr>
              <w:color w:val="auto"/>
              <w:sz w:val="24"/>
              <w:szCs w:val="24"/>
              <w:highlight w:val="none"/>
              <w:u w:val="none"/>
            </w:rPr>
            <w:fldChar w:fldCharType="separate"/>
          </w:r>
          <w:r>
            <w:rPr>
              <w:color w:val="auto"/>
              <w:sz w:val="24"/>
              <w:szCs w:val="24"/>
              <w:highlight w:val="none"/>
              <w:u w:val="none"/>
            </w:rPr>
            <w:t>963</w:t>
          </w:r>
          <w:r>
            <w:rPr>
              <w:color w:val="auto"/>
              <w:sz w:val="24"/>
              <w:szCs w:val="24"/>
              <w:highlight w:val="none"/>
              <w:u w:val="none"/>
            </w:rPr>
            <w:fldChar w:fldCharType="end"/>
          </w:r>
          <w:r>
            <w:rPr>
              <w:color w:val="auto"/>
              <w:sz w:val="24"/>
              <w:szCs w:val="24"/>
              <w:highlight w:val="none"/>
              <w:u w:val="none"/>
            </w:rPr>
            <w:fldChar w:fldCharType="end"/>
          </w:r>
        </w:p>
        <w:p>
          <w:pPr>
            <w:pStyle w:val="26"/>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b/>
              <w:color w:val="auto"/>
              <w:sz w:val="24"/>
              <w:szCs w:val="24"/>
              <w:highlight w:val="none"/>
              <w:u w:val="none"/>
            </w:rPr>
          </w:pPr>
          <w:r>
            <w:rPr>
              <w:b/>
              <w:color w:val="auto"/>
              <w:sz w:val="24"/>
              <w:szCs w:val="24"/>
              <w:highlight w:val="none"/>
              <w:u w:val="none"/>
            </w:rPr>
            <w:fldChar w:fldCharType="begin"/>
          </w:r>
          <w:r>
            <w:rPr>
              <w:b/>
              <w:color w:val="auto"/>
              <w:sz w:val="24"/>
              <w:szCs w:val="24"/>
              <w:highlight w:val="none"/>
              <w:u w:val="none"/>
            </w:rPr>
            <w:instrText xml:space="preserve"> HYPERLINK \l _Toc12390 </w:instrText>
          </w:r>
          <w:r>
            <w:rPr>
              <w:b/>
              <w:color w:val="auto"/>
              <w:sz w:val="24"/>
              <w:szCs w:val="24"/>
              <w:highlight w:val="none"/>
              <w:u w:val="none"/>
            </w:rPr>
            <w:fldChar w:fldCharType="separate"/>
          </w:r>
          <w:r>
            <w:rPr>
              <w:rFonts w:hint="eastAsia" w:ascii="宋体" w:hAnsi="宋体" w:eastAsia="宋体" w:cs="宋体"/>
              <w:b/>
              <w:color w:val="auto"/>
              <w:sz w:val="24"/>
              <w:szCs w:val="24"/>
              <w:highlight w:val="none"/>
              <w:u w:val="none"/>
              <w:lang w:val="en-US" w:eastAsia="zh-CN"/>
            </w:rPr>
            <w:t xml:space="preserve">第十一章 </w:t>
          </w:r>
          <w:r>
            <w:rPr>
              <w:rFonts w:hint="default"/>
              <w:b/>
              <w:color w:val="auto"/>
              <w:sz w:val="24"/>
              <w:szCs w:val="24"/>
              <w:highlight w:val="none"/>
              <w:u w:val="none"/>
              <w:lang w:val="en-US" w:eastAsia="zh-CN"/>
            </w:rPr>
            <w:t>结论与建议</w:t>
          </w:r>
          <w:r>
            <w:rPr>
              <w:b/>
              <w:color w:val="auto"/>
              <w:sz w:val="24"/>
              <w:szCs w:val="24"/>
              <w:highlight w:val="none"/>
              <w:u w:val="none"/>
            </w:rPr>
            <w:tab/>
          </w:r>
          <w:r>
            <w:rPr>
              <w:b/>
              <w:color w:val="auto"/>
              <w:sz w:val="24"/>
              <w:szCs w:val="24"/>
              <w:highlight w:val="none"/>
              <w:u w:val="none"/>
            </w:rPr>
            <w:fldChar w:fldCharType="begin"/>
          </w:r>
          <w:r>
            <w:rPr>
              <w:b/>
              <w:color w:val="auto"/>
              <w:sz w:val="24"/>
              <w:szCs w:val="24"/>
              <w:highlight w:val="none"/>
              <w:u w:val="none"/>
            </w:rPr>
            <w:instrText xml:space="preserve"> PAGEREF _Toc12390 \h </w:instrText>
          </w:r>
          <w:r>
            <w:rPr>
              <w:b/>
              <w:color w:val="auto"/>
              <w:sz w:val="24"/>
              <w:szCs w:val="24"/>
              <w:highlight w:val="none"/>
              <w:u w:val="none"/>
            </w:rPr>
            <w:fldChar w:fldCharType="separate"/>
          </w:r>
          <w:r>
            <w:rPr>
              <w:b/>
              <w:color w:val="auto"/>
              <w:sz w:val="24"/>
              <w:szCs w:val="24"/>
              <w:highlight w:val="none"/>
              <w:u w:val="none"/>
            </w:rPr>
            <w:t>966</w:t>
          </w:r>
          <w:r>
            <w:rPr>
              <w:b/>
              <w:color w:val="auto"/>
              <w:sz w:val="24"/>
              <w:szCs w:val="24"/>
              <w:highlight w:val="none"/>
              <w:u w:val="none"/>
            </w:rPr>
            <w:fldChar w:fldCharType="end"/>
          </w:r>
          <w:r>
            <w:rPr>
              <w:b/>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_Toc10964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11.1 </w:t>
          </w:r>
          <w:r>
            <w:rPr>
              <w:rFonts w:hint="default"/>
              <w:color w:val="auto"/>
              <w:sz w:val="24"/>
              <w:szCs w:val="24"/>
              <w:highlight w:val="none"/>
              <w:u w:val="none"/>
              <w:lang w:val="en-US" w:eastAsia="zh-CN"/>
            </w:rPr>
            <w:t>建设项目概况</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_Toc10964 \h </w:instrText>
          </w:r>
          <w:r>
            <w:rPr>
              <w:color w:val="auto"/>
              <w:sz w:val="24"/>
              <w:szCs w:val="24"/>
              <w:highlight w:val="none"/>
              <w:u w:val="none"/>
            </w:rPr>
            <w:fldChar w:fldCharType="separate"/>
          </w:r>
          <w:r>
            <w:rPr>
              <w:color w:val="auto"/>
              <w:sz w:val="24"/>
              <w:szCs w:val="24"/>
              <w:highlight w:val="none"/>
              <w:u w:val="none"/>
            </w:rPr>
            <w:t>966</w:t>
          </w:r>
          <w:r>
            <w:rPr>
              <w:color w:val="auto"/>
              <w:sz w:val="24"/>
              <w:szCs w:val="24"/>
              <w:highlight w:val="none"/>
              <w:u w:val="none"/>
            </w:rPr>
            <w:fldChar w:fldCharType="end"/>
          </w:r>
          <w:r>
            <w:rPr>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_Toc2553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11.2 </w:t>
          </w:r>
          <w:r>
            <w:rPr>
              <w:rFonts w:hint="default"/>
              <w:color w:val="auto"/>
              <w:sz w:val="24"/>
              <w:szCs w:val="24"/>
              <w:highlight w:val="none"/>
              <w:u w:val="none"/>
              <w:lang w:val="en-US" w:eastAsia="zh-CN"/>
            </w:rPr>
            <w:t>产业政策、规划相符性</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_Toc2553 \h </w:instrText>
          </w:r>
          <w:r>
            <w:rPr>
              <w:color w:val="auto"/>
              <w:sz w:val="24"/>
              <w:szCs w:val="24"/>
              <w:highlight w:val="none"/>
              <w:u w:val="none"/>
            </w:rPr>
            <w:fldChar w:fldCharType="separate"/>
          </w:r>
          <w:r>
            <w:rPr>
              <w:color w:val="auto"/>
              <w:sz w:val="24"/>
              <w:szCs w:val="24"/>
              <w:highlight w:val="none"/>
              <w:u w:val="none"/>
            </w:rPr>
            <w:t>966</w:t>
          </w:r>
          <w:r>
            <w:rPr>
              <w:color w:val="auto"/>
              <w:sz w:val="24"/>
              <w:szCs w:val="24"/>
              <w:highlight w:val="none"/>
              <w:u w:val="none"/>
            </w:rPr>
            <w:fldChar w:fldCharType="end"/>
          </w:r>
          <w:r>
            <w:rPr>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_Toc28017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11.3 </w:t>
          </w:r>
          <w:r>
            <w:rPr>
              <w:rFonts w:hint="default"/>
              <w:color w:val="auto"/>
              <w:sz w:val="24"/>
              <w:szCs w:val="24"/>
              <w:highlight w:val="none"/>
              <w:u w:val="none"/>
              <w:lang w:val="en-US" w:eastAsia="zh-CN"/>
            </w:rPr>
            <w:t>环境质量现状</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_Toc28017 \h </w:instrText>
          </w:r>
          <w:r>
            <w:rPr>
              <w:color w:val="auto"/>
              <w:sz w:val="24"/>
              <w:szCs w:val="24"/>
              <w:highlight w:val="none"/>
              <w:u w:val="none"/>
            </w:rPr>
            <w:fldChar w:fldCharType="separate"/>
          </w:r>
          <w:r>
            <w:rPr>
              <w:color w:val="auto"/>
              <w:sz w:val="24"/>
              <w:szCs w:val="24"/>
              <w:highlight w:val="none"/>
              <w:u w:val="none"/>
            </w:rPr>
            <w:t>967</w:t>
          </w:r>
          <w:r>
            <w:rPr>
              <w:color w:val="auto"/>
              <w:sz w:val="24"/>
              <w:szCs w:val="24"/>
              <w:highlight w:val="none"/>
              <w:u w:val="none"/>
            </w:rPr>
            <w:fldChar w:fldCharType="end"/>
          </w:r>
          <w:r>
            <w:rPr>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_Toc15298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11.4 </w:t>
          </w:r>
          <w:r>
            <w:rPr>
              <w:rFonts w:hint="default"/>
              <w:color w:val="auto"/>
              <w:sz w:val="24"/>
              <w:szCs w:val="24"/>
              <w:highlight w:val="none"/>
              <w:u w:val="none"/>
              <w:lang w:val="en-US" w:eastAsia="zh-CN"/>
            </w:rPr>
            <w:t>污染防治措施及达标排放情况</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_Toc15298 \h </w:instrText>
          </w:r>
          <w:r>
            <w:rPr>
              <w:color w:val="auto"/>
              <w:sz w:val="24"/>
              <w:szCs w:val="24"/>
              <w:highlight w:val="none"/>
              <w:u w:val="none"/>
            </w:rPr>
            <w:fldChar w:fldCharType="separate"/>
          </w:r>
          <w:r>
            <w:rPr>
              <w:color w:val="auto"/>
              <w:sz w:val="24"/>
              <w:szCs w:val="24"/>
              <w:highlight w:val="none"/>
              <w:u w:val="none"/>
            </w:rPr>
            <w:t>968</w:t>
          </w:r>
          <w:r>
            <w:rPr>
              <w:color w:val="auto"/>
              <w:sz w:val="24"/>
              <w:szCs w:val="24"/>
              <w:highlight w:val="none"/>
              <w:u w:val="none"/>
            </w:rPr>
            <w:fldChar w:fldCharType="end"/>
          </w:r>
          <w:r>
            <w:rPr>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_Toc13400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11.5 </w:t>
          </w:r>
          <w:r>
            <w:rPr>
              <w:rFonts w:hint="default"/>
              <w:color w:val="auto"/>
              <w:sz w:val="24"/>
              <w:szCs w:val="24"/>
              <w:highlight w:val="none"/>
              <w:u w:val="none"/>
              <w:lang w:val="en-US" w:eastAsia="zh-CN"/>
            </w:rPr>
            <w:t>环境影响预测结论</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_Toc13400 \h </w:instrText>
          </w:r>
          <w:r>
            <w:rPr>
              <w:color w:val="auto"/>
              <w:sz w:val="24"/>
              <w:szCs w:val="24"/>
              <w:highlight w:val="none"/>
              <w:u w:val="none"/>
            </w:rPr>
            <w:fldChar w:fldCharType="separate"/>
          </w:r>
          <w:r>
            <w:rPr>
              <w:color w:val="auto"/>
              <w:sz w:val="24"/>
              <w:szCs w:val="24"/>
              <w:highlight w:val="none"/>
              <w:u w:val="none"/>
            </w:rPr>
            <w:t>970</w:t>
          </w:r>
          <w:r>
            <w:rPr>
              <w:color w:val="auto"/>
              <w:sz w:val="24"/>
              <w:szCs w:val="24"/>
              <w:highlight w:val="none"/>
              <w:u w:val="none"/>
            </w:rPr>
            <w:fldChar w:fldCharType="end"/>
          </w:r>
          <w:r>
            <w:rPr>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sectPr>
              <w:headerReference r:id="rId5" w:type="default"/>
              <w:footerReference r:id="rId6" w:type="default"/>
              <w:pgSz w:w="11906" w:h="16838"/>
              <w:pgMar w:top="1701" w:right="1588" w:bottom="1985" w:left="1588" w:header="851" w:footer="1134" w:gutter="0"/>
              <w:pgBorders>
                <w:top w:val="none" w:sz="0" w:space="0"/>
                <w:left w:val="none" w:sz="0" w:space="0"/>
                <w:bottom w:val="none" w:sz="0" w:space="0"/>
                <w:right w:val="none" w:sz="0" w:space="0"/>
              </w:pgBorders>
              <w:pgNumType w:fmt="decimal" w:start="1"/>
              <w:cols w:space="720" w:num="1"/>
              <w:docGrid w:type="linesAndChars" w:linePitch="439" w:charSpace="13"/>
            </w:sectPr>
          </w:pP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_Toc30442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11.6 </w:t>
          </w:r>
          <w:r>
            <w:rPr>
              <w:rFonts w:hint="default"/>
              <w:color w:val="auto"/>
              <w:sz w:val="24"/>
              <w:szCs w:val="24"/>
              <w:highlight w:val="none"/>
              <w:u w:val="none"/>
              <w:lang w:val="en-US" w:eastAsia="zh-CN"/>
            </w:rPr>
            <w:t>环境风险影响分析结论</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_Toc30442 \h </w:instrText>
          </w:r>
          <w:r>
            <w:rPr>
              <w:color w:val="auto"/>
              <w:sz w:val="24"/>
              <w:szCs w:val="24"/>
              <w:highlight w:val="none"/>
              <w:u w:val="none"/>
            </w:rPr>
            <w:fldChar w:fldCharType="separate"/>
          </w:r>
          <w:r>
            <w:rPr>
              <w:color w:val="auto"/>
              <w:sz w:val="24"/>
              <w:szCs w:val="24"/>
              <w:highlight w:val="none"/>
              <w:u w:val="none"/>
            </w:rPr>
            <w:t>973</w:t>
          </w:r>
          <w:r>
            <w:rPr>
              <w:color w:val="auto"/>
              <w:sz w:val="24"/>
              <w:szCs w:val="24"/>
              <w:highlight w:val="none"/>
              <w:u w:val="none"/>
            </w:rPr>
            <w:fldChar w:fldCharType="end"/>
          </w:r>
          <w:r>
            <w:rPr>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_Toc25955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11.7 </w:t>
          </w:r>
          <w:r>
            <w:rPr>
              <w:rFonts w:hint="default"/>
              <w:color w:val="auto"/>
              <w:sz w:val="24"/>
              <w:szCs w:val="24"/>
              <w:highlight w:val="none"/>
              <w:u w:val="none"/>
              <w:lang w:val="en-US" w:eastAsia="zh-CN"/>
            </w:rPr>
            <w:t>总量控制指标建议</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_Toc25955 \h </w:instrText>
          </w:r>
          <w:r>
            <w:rPr>
              <w:color w:val="auto"/>
              <w:sz w:val="24"/>
              <w:szCs w:val="24"/>
              <w:highlight w:val="none"/>
              <w:u w:val="none"/>
            </w:rPr>
            <w:fldChar w:fldCharType="separate"/>
          </w:r>
          <w:r>
            <w:rPr>
              <w:color w:val="auto"/>
              <w:sz w:val="24"/>
              <w:szCs w:val="24"/>
              <w:highlight w:val="none"/>
              <w:u w:val="none"/>
            </w:rPr>
            <w:t>973</w:t>
          </w:r>
          <w:r>
            <w:rPr>
              <w:color w:val="auto"/>
              <w:sz w:val="24"/>
              <w:szCs w:val="24"/>
              <w:highlight w:val="none"/>
              <w:u w:val="none"/>
            </w:rPr>
            <w:fldChar w:fldCharType="end"/>
          </w:r>
          <w:r>
            <w:rPr>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_Toc1495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11.8 </w:t>
          </w:r>
          <w:r>
            <w:rPr>
              <w:rFonts w:hint="default"/>
              <w:color w:val="auto"/>
              <w:sz w:val="24"/>
              <w:szCs w:val="24"/>
              <w:highlight w:val="none"/>
              <w:u w:val="none"/>
              <w:lang w:val="en-US" w:eastAsia="zh-CN"/>
            </w:rPr>
            <w:t>公众参与结论</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_Toc1495 \h </w:instrText>
          </w:r>
          <w:r>
            <w:rPr>
              <w:color w:val="auto"/>
              <w:sz w:val="24"/>
              <w:szCs w:val="24"/>
              <w:highlight w:val="none"/>
              <w:u w:val="none"/>
            </w:rPr>
            <w:fldChar w:fldCharType="separate"/>
          </w:r>
          <w:r>
            <w:rPr>
              <w:color w:val="auto"/>
              <w:sz w:val="24"/>
              <w:szCs w:val="24"/>
              <w:highlight w:val="none"/>
              <w:u w:val="none"/>
            </w:rPr>
            <w:t>974</w:t>
          </w:r>
          <w:r>
            <w:rPr>
              <w:color w:val="auto"/>
              <w:sz w:val="24"/>
              <w:szCs w:val="24"/>
              <w:highlight w:val="none"/>
              <w:u w:val="none"/>
            </w:rPr>
            <w:fldChar w:fldCharType="end"/>
          </w:r>
          <w:r>
            <w:rPr>
              <w:color w:val="auto"/>
              <w:sz w:val="24"/>
              <w:szCs w:val="24"/>
              <w:highlight w:val="none"/>
              <w:u w:val="none"/>
            </w:rPr>
            <w:fldChar w:fldCharType="end"/>
          </w:r>
        </w:p>
        <w:p>
          <w:pPr>
            <w:pStyle w:val="27"/>
            <w:keepNext w:val="0"/>
            <w:keepLines w:val="0"/>
            <w:pageBreakBefore w:val="0"/>
            <w:tabs>
              <w:tab w:val="right" w:leader="dot" w:pos="8730"/>
            </w:tabs>
            <w:kinsoku/>
            <w:wordWrap/>
            <w:overflowPunct/>
            <w:topLinePunct w:val="0"/>
            <w:autoSpaceDE/>
            <w:autoSpaceDN/>
            <w:bidi w:val="0"/>
            <w:adjustRightInd/>
            <w:snapToGrid/>
            <w:spacing w:line="480" w:lineRule="exact"/>
            <w:textAlignment w:val="auto"/>
            <w:rPr>
              <w:color w:val="auto"/>
              <w:sz w:val="24"/>
              <w:szCs w:val="24"/>
              <w:highlight w:val="none"/>
              <w:u w:val="none"/>
            </w:rPr>
          </w:pPr>
          <w:r>
            <w:rPr>
              <w:color w:val="auto"/>
              <w:sz w:val="24"/>
              <w:szCs w:val="24"/>
              <w:highlight w:val="none"/>
              <w:u w:val="none"/>
            </w:rPr>
            <w:fldChar w:fldCharType="begin"/>
          </w:r>
          <w:r>
            <w:rPr>
              <w:color w:val="auto"/>
              <w:sz w:val="24"/>
              <w:szCs w:val="24"/>
              <w:highlight w:val="none"/>
              <w:u w:val="none"/>
            </w:rPr>
            <w:instrText xml:space="preserve"> HYPERLINK \l _Toc30100 </w:instrText>
          </w:r>
          <w:r>
            <w:rPr>
              <w:color w:val="auto"/>
              <w:sz w:val="24"/>
              <w:szCs w:val="24"/>
              <w:highlight w:val="none"/>
              <w:u w:val="none"/>
            </w:rPr>
            <w:fldChar w:fldCharType="separate"/>
          </w:r>
          <w:r>
            <w:rPr>
              <w:rFonts w:hint="eastAsia" w:ascii="Times New Roman" w:hAnsi="Times New Roman" w:eastAsia="宋体" w:cs="宋体"/>
              <w:color w:val="auto"/>
              <w:sz w:val="24"/>
              <w:szCs w:val="24"/>
              <w:highlight w:val="none"/>
              <w:u w:val="none"/>
              <w:lang w:val="en-US" w:eastAsia="zh-CN"/>
            </w:rPr>
            <w:t xml:space="preserve">11.9 </w:t>
          </w:r>
          <w:r>
            <w:rPr>
              <w:rFonts w:hint="default"/>
              <w:color w:val="auto"/>
              <w:sz w:val="24"/>
              <w:szCs w:val="24"/>
              <w:highlight w:val="none"/>
              <w:u w:val="none"/>
              <w:lang w:val="en-US" w:eastAsia="zh-CN"/>
            </w:rPr>
            <w:t>总结论</w:t>
          </w:r>
          <w:r>
            <w:rPr>
              <w:color w:val="auto"/>
              <w:sz w:val="24"/>
              <w:szCs w:val="24"/>
              <w:highlight w:val="none"/>
              <w:u w:val="none"/>
            </w:rPr>
            <w:tab/>
          </w:r>
          <w:r>
            <w:rPr>
              <w:color w:val="auto"/>
              <w:sz w:val="24"/>
              <w:szCs w:val="24"/>
              <w:highlight w:val="none"/>
              <w:u w:val="none"/>
            </w:rPr>
            <w:fldChar w:fldCharType="begin"/>
          </w:r>
          <w:r>
            <w:rPr>
              <w:color w:val="auto"/>
              <w:sz w:val="24"/>
              <w:szCs w:val="24"/>
              <w:highlight w:val="none"/>
              <w:u w:val="none"/>
            </w:rPr>
            <w:instrText xml:space="preserve"> PAGEREF _Toc30100 \h </w:instrText>
          </w:r>
          <w:r>
            <w:rPr>
              <w:color w:val="auto"/>
              <w:sz w:val="24"/>
              <w:szCs w:val="24"/>
              <w:highlight w:val="none"/>
              <w:u w:val="none"/>
            </w:rPr>
            <w:fldChar w:fldCharType="separate"/>
          </w:r>
          <w:r>
            <w:rPr>
              <w:color w:val="auto"/>
              <w:sz w:val="24"/>
              <w:szCs w:val="24"/>
              <w:highlight w:val="none"/>
              <w:u w:val="none"/>
            </w:rPr>
            <w:t>974</w:t>
          </w:r>
          <w:r>
            <w:rPr>
              <w:color w:val="auto"/>
              <w:sz w:val="24"/>
              <w:szCs w:val="24"/>
              <w:highlight w:val="none"/>
              <w:u w:val="none"/>
            </w:rPr>
            <w:fldChar w:fldCharType="end"/>
          </w:r>
          <w:r>
            <w:rPr>
              <w:color w:val="auto"/>
              <w:sz w:val="24"/>
              <w:szCs w:val="24"/>
              <w:highlight w:val="none"/>
              <w:u w:val="none"/>
            </w:rPr>
            <w:fldChar w:fldCharType="end"/>
          </w:r>
        </w:p>
        <w:p>
          <w:pPr>
            <w:keepNext w:val="0"/>
            <w:keepLines w:val="0"/>
            <w:pageBreakBefore w:val="0"/>
            <w:kinsoku/>
            <w:wordWrap/>
            <w:overflowPunct/>
            <w:topLinePunct w:val="0"/>
            <w:autoSpaceDE/>
            <w:autoSpaceDN/>
            <w:bidi w:val="0"/>
            <w:adjustRightInd/>
            <w:snapToGrid/>
            <w:spacing w:line="480" w:lineRule="exact"/>
            <w:textAlignment w:val="auto"/>
            <w:rPr>
              <w:color w:val="auto"/>
              <w:highlight w:val="none"/>
              <w:u w:val="none"/>
            </w:rPr>
          </w:pPr>
          <w:r>
            <w:rPr>
              <w:b/>
              <w:color w:val="auto"/>
              <w:sz w:val="24"/>
              <w:szCs w:val="24"/>
              <w:highlight w:val="none"/>
              <w:u w:val="none"/>
            </w:rPr>
            <w:fldChar w:fldCharType="end"/>
          </w:r>
        </w:p>
      </w:sdtContent>
    </w:sdt>
    <w:p>
      <w:pPr>
        <w:pStyle w:val="2"/>
        <w:numPr>
          <w:ilvl w:val="0"/>
          <w:numId w:val="0"/>
        </w:numPr>
        <w:bidi w:val="0"/>
        <w:ind w:leftChars="0"/>
        <w:rPr>
          <w:rFonts w:hint="default"/>
          <w:color w:val="auto"/>
          <w:highlight w:val="none"/>
          <w:u w:val="none"/>
          <w:lang w:val="en-US" w:eastAsia="zh-CN"/>
        </w:rPr>
        <w:sectPr>
          <w:footerReference r:id="rId7" w:type="default"/>
          <w:pgSz w:w="11906" w:h="16838"/>
          <w:pgMar w:top="1701" w:right="1588" w:bottom="1985" w:left="1588" w:header="851" w:footer="1134" w:gutter="0"/>
          <w:pgBorders>
            <w:top w:val="none" w:sz="0" w:space="0"/>
            <w:left w:val="none" w:sz="0" w:space="0"/>
            <w:bottom w:val="none" w:sz="0" w:space="0"/>
            <w:right w:val="none" w:sz="0" w:space="0"/>
          </w:pgBorders>
          <w:pgNumType w:fmt="decimal" w:start="1"/>
          <w:cols w:space="720" w:num="1"/>
          <w:docGrid w:type="linesAndChars" w:linePitch="439" w:charSpace="13"/>
        </w:sectPr>
      </w:pPr>
      <w:bookmarkStart w:id="0" w:name="_Toc23693"/>
    </w:p>
    <w:p>
      <w:pPr>
        <w:pStyle w:val="2"/>
        <w:bidi w:val="0"/>
        <w:rPr>
          <w:rFonts w:hint="default"/>
          <w:color w:val="auto"/>
          <w:highlight w:val="none"/>
          <w:u w:val="none"/>
          <w:lang w:val="en-US" w:eastAsia="zh-CN"/>
        </w:rPr>
      </w:pPr>
      <w:r>
        <w:rPr>
          <w:rFonts w:hint="default"/>
          <w:color w:val="auto"/>
          <w:highlight w:val="none"/>
          <w:u w:val="none"/>
          <w:lang w:val="en-US" w:eastAsia="zh-CN"/>
        </w:rPr>
        <w:t>污染防治措施分析</w:t>
      </w:r>
      <w:bookmarkEnd w:id="0"/>
    </w:p>
    <w:p>
      <w:pPr>
        <w:pStyle w:val="3"/>
        <w:bidi w:val="0"/>
        <w:rPr>
          <w:rFonts w:hint="default"/>
          <w:color w:val="auto"/>
          <w:highlight w:val="none"/>
          <w:u w:val="none"/>
          <w:lang w:val="en-US" w:eastAsia="zh-CN"/>
        </w:rPr>
      </w:pPr>
      <w:bookmarkStart w:id="1" w:name="_Toc4183"/>
      <w:bookmarkStart w:id="2" w:name="_Toc10032"/>
      <w:bookmarkStart w:id="3" w:name="_Toc10172"/>
      <w:bookmarkStart w:id="4" w:name="_Toc17688"/>
      <w:bookmarkStart w:id="5" w:name="_Toc12984"/>
      <w:bookmarkStart w:id="6" w:name="_Toc26442"/>
      <w:bookmarkStart w:id="7" w:name="_Toc18197"/>
      <w:r>
        <w:rPr>
          <w:rFonts w:hint="default"/>
          <w:color w:val="auto"/>
          <w:highlight w:val="none"/>
          <w:u w:val="none"/>
          <w:lang w:val="en-US" w:eastAsia="zh-CN"/>
        </w:rPr>
        <w:t>施工期污染防治措施</w:t>
      </w:r>
      <w:bookmarkEnd w:id="1"/>
      <w:bookmarkEnd w:id="2"/>
      <w:bookmarkEnd w:id="3"/>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本次</w:t>
      </w:r>
      <w:r>
        <w:rPr>
          <w:rFonts w:hint="eastAsia" w:eastAsia="宋体" w:cs="Times New Roman"/>
          <w:color w:val="auto"/>
          <w:sz w:val="24"/>
          <w:szCs w:val="24"/>
          <w:highlight w:val="none"/>
          <w:u w:val="none"/>
          <w:lang w:val="en-US" w:eastAsia="zh-CN"/>
        </w:rPr>
        <w:t>改建</w:t>
      </w:r>
      <w:r>
        <w:rPr>
          <w:rFonts w:hint="default" w:ascii="Times New Roman" w:hAnsi="Times New Roman" w:eastAsia="宋体" w:cs="Times New Roman"/>
          <w:color w:val="auto"/>
          <w:sz w:val="24"/>
          <w:szCs w:val="24"/>
          <w:highlight w:val="none"/>
          <w:u w:val="none"/>
          <w:lang w:val="en-US" w:eastAsia="zh-CN"/>
        </w:rPr>
        <w:t>工程依托现有工程已建厂房及生产线进行改造，不进行土建施工，只进行部分设备的改造安装，不再进行施工期污染防治措施分析</w:t>
      </w:r>
      <w:r>
        <w:rPr>
          <w:rFonts w:hint="eastAsia" w:eastAsia="宋体" w:cs="Times New Roman"/>
          <w:color w:val="auto"/>
          <w:sz w:val="24"/>
          <w:szCs w:val="24"/>
          <w:highlight w:val="none"/>
          <w:u w:val="none"/>
          <w:lang w:val="en-US" w:eastAsia="zh-CN"/>
        </w:rPr>
        <w:t>。</w:t>
      </w:r>
    </w:p>
    <w:p>
      <w:pPr>
        <w:pStyle w:val="3"/>
        <w:bidi w:val="0"/>
        <w:rPr>
          <w:rFonts w:hint="default"/>
          <w:color w:val="auto"/>
          <w:highlight w:val="none"/>
          <w:u w:val="none"/>
          <w:lang w:val="en-US" w:eastAsia="zh-CN"/>
        </w:rPr>
      </w:pPr>
      <w:bookmarkStart w:id="8" w:name="_Toc31810"/>
      <w:bookmarkStart w:id="9" w:name="_Toc6897"/>
      <w:bookmarkStart w:id="10" w:name="_Toc24805"/>
      <w:r>
        <w:rPr>
          <w:rFonts w:hint="default"/>
          <w:color w:val="auto"/>
          <w:highlight w:val="none"/>
          <w:u w:val="none"/>
          <w:lang w:val="en-US" w:eastAsia="zh-CN"/>
        </w:rPr>
        <w:t>运营期废气污染防治措施</w:t>
      </w:r>
      <w:bookmarkEnd w:id="4"/>
      <w:bookmarkEnd w:id="5"/>
      <w:bookmarkEnd w:id="6"/>
      <w:bookmarkEnd w:id="7"/>
      <w:bookmarkEnd w:id="8"/>
      <w:bookmarkEnd w:id="9"/>
      <w:bookmarkEnd w:id="10"/>
    </w:p>
    <w:p>
      <w:pPr>
        <w:pStyle w:val="2"/>
        <w:bidi w:val="0"/>
        <w:ind w:left="425" w:leftChars="0" w:hanging="425" w:firstLineChars="0"/>
        <w:rPr>
          <w:rFonts w:hint="default"/>
          <w:color w:val="auto"/>
          <w:highlight w:val="none"/>
          <w:u w:val="none"/>
          <w:lang w:val="en-US" w:eastAsia="zh-CN"/>
        </w:rPr>
        <w:sectPr>
          <w:footerReference r:id="rId8" w:type="default"/>
          <w:pgSz w:w="11906" w:h="16838"/>
          <w:pgMar w:top="1440" w:right="1800" w:bottom="1440" w:left="1800" w:header="851" w:footer="1134" w:gutter="0"/>
          <w:pgBorders>
            <w:top w:val="none" w:sz="0" w:space="0"/>
            <w:left w:val="none" w:sz="0" w:space="0"/>
            <w:bottom w:val="none" w:sz="0" w:space="0"/>
            <w:right w:val="none" w:sz="0" w:space="0"/>
          </w:pgBorders>
          <w:pgNumType w:fmt="decimal" w:start="891"/>
          <w:cols w:space="720" w:num="1"/>
          <w:docGrid w:type="linesAndChars" w:linePitch="439" w:charSpace="13"/>
        </w:sectPr>
      </w:pPr>
    </w:p>
    <w:p>
      <w:pPr>
        <w:pStyle w:val="9"/>
        <w:bidi w:val="0"/>
        <w:rPr>
          <w:rFonts w:hint="default"/>
          <w:color w:val="auto"/>
          <w:highlight w:val="none"/>
          <w:u w:val="none"/>
          <w:lang w:val="en-US" w:eastAsia="zh-CN"/>
        </w:rPr>
      </w:pPr>
      <w:r>
        <w:rPr>
          <w:rFonts w:hint="eastAsia"/>
          <w:color w:val="auto"/>
          <w:highlight w:val="none"/>
          <w:u w:val="none"/>
          <w:lang w:val="en-US" w:eastAsia="zh-CN"/>
        </w:rPr>
        <w:t xml:space="preserve"> </w:t>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8.2</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r>
        <w:rPr>
          <w:rFonts w:hint="eastAsia"/>
          <w:color w:val="auto"/>
          <w:highlight w:val="none"/>
          <w:u w:val="none"/>
          <w:lang w:val="en-US" w:eastAsia="zh-CN"/>
        </w:rPr>
        <w:t xml:space="preserve">      改建后全厂废气收集处理措施一览表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6"/>
        <w:gridCol w:w="2427"/>
        <w:gridCol w:w="2673"/>
        <w:gridCol w:w="1104"/>
        <w:gridCol w:w="1569"/>
        <w:gridCol w:w="2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091"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污染源</w:t>
            </w:r>
          </w:p>
        </w:tc>
        <w:tc>
          <w:tcPr>
            <w:tcW w:w="908"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所在单元</w:t>
            </w:r>
          </w:p>
        </w:tc>
        <w:tc>
          <w:tcPr>
            <w:tcW w:w="1000"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主要废气污染物</w:t>
            </w:r>
          </w:p>
        </w:tc>
        <w:tc>
          <w:tcPr>
            <w:tcW w:w="2000" w:type="pct"/>
            <w:gridSpan w:val="3"/>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1"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坎地沙坦酯生产线（现有工程）</w:t>
            </w:r>
          </w:p>
        </w:tc>
        <w:tc>
          <w:tcPr>
            <w:tcW w:w="908"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1车间北侧</w:t>
            </w:r>
          </w:p>
        </w:tc>
        <w:tc>
          <w:tcPr>
            <w:tcW w:w="1000" w:type="pct"/>
            <w:vMerge w:val="restar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甲苯、甲醇、乙醇、氯化氢、二氯甲烷等</w:t>
            </w:r>
          </w:p>
        </w:tc>
        <w:tc>
          <w:tcPr>
            <w:tcW w:w="413" w:type="pct"/>
            <w:vMerge w:val="restar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带温过程</w:t>
            </w:r>
            <w:r>
              <w:rPr>
                <w:rFonts w:hint="default" w:ascii="Times New Roman" w:hAnsi="Times New Roman" w:cs="Times New Roman"/>
                <w:color w:val="auto"/>
                <w:highlight w:val="none"/>
                <w:u w:val="none"/>
                <w:lang w:val="en-US" w:eastAsia="zh-CN"/>
              </w:rPr>
              <w:t>工艺废气经两级冷凝后与其他废气进入预处理</w:t>
            </w:r>
          </w:p>
        </w:tc>
        <w:tc>
          <w:tcPr>
            <w:tcW w:w="587"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降膜吸收+两级碱洗</w:t>
            </w:r>
          </w:p>
        </w:tc>
        <w:tc>
          <w:tcPr>
            <w:tcW w:w="1000" w:type="pct"/>
            <w:vMerge w:val="restar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现有RTO+35m排气筒（DA001）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1"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缬沙坦生产线（现有工程）</w:t>
            </w:r>
          </w:p>
        </w:tc>
        <w:tc>
          <w:tcPr>
            <w:tcW w:w="908"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6车间</w:t>
            </w:r>
          </w:p>
        </w:tc>
        <w:tc>
          <w:tcPr>
            <w:tcW w:w="1000"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c>
          <w:tcPr>
            <w:tcW w:w="413"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c>
          <w:tcPr>
            <w:tcW w:w="587"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降膜吸收+两级碱洗</w:t>
            </w:r>
          </w:p>
        </w:tc>
        <w:tc>
          <w:tcPr>
            <w:tcW w:w="1000"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1"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厄贝沙坦生产线（现有工程）</w:t>
            </w:r>
          </w:p>
        </w:tc>
        <w:tc>
          <w:tcPr>
            <w:tcW w:w="908"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4车间、</w:t>
            </w:r>
            <w:r>
              <w:rPr>
                <w:rFonts w:hint="eastAsia" w:cs="Times New Roman"/>
                <w:color w:val="auto"/>
                <w:highlight w:val="none"/>
                <w:u w:val="none"/>
                <w:lang w:val="en-US" w:eastAsia="zh-CN"/>
              </w:rPr>
              <w:t>8车间</w:t>
            </w:r>
          </w:p>
        </w:tc>
        <w:tc>
          <w:tcPr>
            <w:tcW w:w="1000"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c>
          <w:tcPr>
            <w:tcW w:w="413"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c>
          <w:tcPr>
            <w:tcW w:w="587"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两级碱洗</w:t>
            </w:r>
          </w:p>
        </w:tc>
        <w:tc>
          <w:tcPr>
            <w:tcW w:w="1000"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1"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储罐呼吸废气（现有+</w:t>
            </w:r>
            <w:r>
              <w:rPr>
                <w:rFonts w:hint="eastAsia" w:cs="Times New Roman"/>
                <w:color w:val="auto"/>
                <w:highlight w:val="none"/>
                <w:u w:val="none"/>
                <w:lang w:val="en-US" w:eastAsia="zh-CN"/>
              </w:rPr>
              <w:t>改建</w:t>
            </w:r>
            <w:r>
              <w:rPr>
                <w:rFonts w:hint="default" w:ascii="Times New Roman" w:hAnsi="Times New Roman" w:cs="Times New Roman"/>
                <w:color w:val="auto"/>
                <w:highlight w:val="none"/>
                <w:u w:val="none"/>
                <w:lang w:val="en-US" w:eastAsia="zh-CN"/>
              </w:rPr>
              <w:t>）</w:t>
            </w:r>
          </w:p>
        </w:tc>
        <w:tc>
          <w:tcPr>
            <w:tcW w:w="908"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储罐区</w:t>
            </w:r>
          </w:p>
        </w:tc>
        <w:tc>
          <w:tcPr>
            <w:tcW w:w="1000"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c>
          <w:tcPr>
            <w:tcW w:w="413"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w:t>
            </w:r>
          </w:p>
        </w:tc>
        <w:tc>
          <w:tcPr>
            <w:tcW w:w="587"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w:t>
            </w:r>
          </w:p>
        </w:tc>
        <w:tc>
          <w:tcPr>
            <w:tcW w:w="1000"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1"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现有三效蒸发（现有工程）</w:t>
            </w:r>
          </w:p>
        </w:tc>
        <w:tc>
          <w:tcPr>
            <w:tcW w:w="908"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w:t>
            </w:r>
          </w:p>
        </w:tc>
        <w:tc>
          <w:tcPr>
            <w:tcW w:w="1000"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c>
          <w:tcPr>
            <w:tcW w:w="413"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w:t>
            </w:r>
          </w:p>
        </w:tc>
        <w:tc>
          <w:tcPr>
            <w:tcW w:w="587"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w:t>
            </w:r>
          </w:p>
        </w:tc>
        <w:tc>
          <w:tcPr>
            <w:tcW w:w="1000"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1"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燃气锅炉</w:t>
            </w:r>
            <w:r>
              <w:rPr>
                <w:rFonts w:hint="eastAsia" w:cs="Times New Roman"/>
                <w:color w:val="auto"/>
                <w:highlight w:val="none"/>
                <w:u w:val="none"/>
                <w:lang w:val="en-US" w:eastAsia="zh-CN"/>
              </w:rPr>
              <w:t>*2</w:t>
            </w:r>
            <w:r>
              <w:rPr>
                <w:rFonts w:hint="default" w:ascii="Times New Roman" w:hAnsi="Times New Roman" w:cs="Times New Roman"/>
                <w:color w:val="auto"/>
                <w:highlight w:val="none"/>
                <w:u w:val="none"/>
                <w:lang w:val="en-US" w:eastAsia="zh-CN"/>
              </w:rPr>
              <w:t>（现有工程</w:t>
            </w:r>
            <w:r>
              <w:rPr>
                <w:rFonts w:hint="eastAsia" w:cs="Times New Roman"/>
                <w:color w:val="auto"/>
                <w:highlight w:val="none"/>
                <w:u w:val="none"/>
                <w:lang w:val="en-US" w:eastAsia="zh-CN"/>
              </w:rPr>
              <w:t>锅炉，改建工程实施后改用集中供热，现有锅炉改为备用锅炉</w:t>
            </w:r>
            <w:r>
              <w:rPr>
                <w:rFonts w:hint="default" w:ascii="Times New Roman" w:hAnsi="Times New Roman" w:cs="Times New Roman"/>
                <w:color w:val="auto"/>
                <w:highlight w:val="none"/>
                <w:u w:val="none"/>
                <w:lang w:val="en-US" w:eastAsia="zh-CN"/>
              </w:rPr>
              <w:t>）</w:t>
            </w:r>
          </w:p>
        </w:tc>
        <w:tc>
          <w:tcPr>
            <w:tcW w:w="908"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锅炉房</w:t>
            </w:r>
          </w:p>
        </w:tc>
        <w:tc>
          <w:tcPr>
            <w:tcW w:w="1000"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二氧化硫、氮氧化物、颗粒物</w:t>
            </w:r>
          </w:p>
        </w:tc>
        <w:tc>
          <w:tcPr>
            <w:tcW w:w="1000" w:type="pct"/>
            <w:gridSpan w:val="2"/>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低氮燃烧</w:t>
            </w:r>
          </w:p>
        </w:tc>
        <w:tc>
          <w:tcPr>
            <w:tcW w:w="1000"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8m排气筒（DA002</w:t>
            </w:r>
            <w:r>
              <w:rPr>
                <w:rFonts w:hint="eastAsia" w:cs="Times New Roman"/>
                <w:color w:val="auto"/>
                <w:highlight w:val="none"/>
                <w:u w:val="none"/>
                <w:lang w:val="en-US" w:eastAsia="zh-CN"/>
              </w:rPr>
              <w:t>、DA003，改建后停用</w:t>
            </w:r>
            <w:r>
              <w:rPr>
                <w:rFonts w:hint="default" w:ascii="Times New Roman" w:hAnsi="Times New Roman" w:cs="Times New Roman"/>
                <w:color w:val="auto"/>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1"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奥美沙坦酯生产线（</w:t>
            </w:r>
            <w:r>
              <w:rPr>
                <w:rFonts w:hint="eastAsia" w:cs="Times New Roman"/>
                <w:color w:val="auto"/>
                <w:highlight w:val="none"/>
                <w:u w:val="none"/>
                <w:lang w:val="en-US" w:eastAsia="zh-CN"/>
              </w:rPr>
              <w:t>改建</w:t>
            </w:r>
            <w:r>
              <w:rPr>
                <w:rFonts w:hint="default" w:ascii="Times New Roman" w:hAnsi="Times New Roman" w:cs="Times New Roman"/>
                <w:color w:val="auto"/>
                <w:highlight w:val="none"/>
                <w:u w:val="none"/>
                <w:lang w:val="en-US" w:eastAsia="zh-CN"/>
              </w:rPr>
              <w:t>工程）</w:t>
            </w:r>
          </w:p>
        </w:tc>
        <w:tc>
          <w:tcPr>
            <w:tcW w:w="908"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1车间南侧</w:t>
            </w:r>
          </w:p>
        </w:tc>
        <w:tc>
          <w:tcPr>
            <w:tcW w:w="1000"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氯化氢、颗粒物、甲醇、丙酮、乙酸、乙醇、乙酸乙酯、二氯甲烷</w:t>
            </w:r>
            <w:r>
              <w:rPr>
                <w:rFonts w:hint="eastAsia" w:cs="Times New Roman"/>
                <w:color w:val="auto"/>
                <w:highlight w:val="none"/>
                <w:u w:val="none"/>
                <w:lang w:val="en-US" w:eastAsia="zh-CN"/>
              </w:rPr>
              <w:t>等</w:t>
            </w:r>
          </w:p>
        </w:tc>
        <w:tc>
          <w:tcPr>
            <w:tcW w:w="413" w:type="pct"/>
            <w:vMerge w:val="restar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带温</w:t>
            </w:r>
            <w:r>
              <w:rPr>
                <w:rFonts w:hint="eastAsia" w:cs="Times New Roman"/>
                <w:color w:val="auto"/>
                <w:highlight w:val="none"/>
                <w:u w:val="none"/>
                <w:lang w:val="en-US" w:eastAsia="zh-CN"/>
              </w:rPr>
              <w:t>生产</w:t>
            </w:r>
            <w:r>
              <w:rPr>
                <w:rFonts w:hint="default" w:ascii="Times New Roman" w:hAnsi="Times New Roman" w:cs="Times New Roman"/>
                <w:color w:val="auto"/>
                <w:highlight w:val="none"/>
                <w:u w:val="none"/>
                <w:lang w:val="en-US" w:eastAsia="zh-CN"/>
              </w:rPr>
              <w:t>过程工艺废气经两级</w:t>
            </w:r>
            <w:r>
              <w:rPr>
                <w:rFonts w:hint="eastAsia" w:cs="Times New Roman"/>
                <w:color w:val="auto"/>
                <w:highlight w:val="none"/>
                <w:u w:val="none"/>
                <w:lang w:val="en-US" w:eastAsia="zh-CN"/>
              </w:rPr>
              <w:t>深度</w:t>
            </w:r>
            <w:r>
              <w:rPr>
                <w:rFonts w:hint="default" w:ascii="Times New Roman" w:hAnsi="Times New Roman" w:cs="Times New Roman"/>
                <w:color w:val="auto"/>
                <w:highlight w:val="none"/>
                <w:u w:val="none"/>
                <w:lang w:val="en-US" w:eastAsia="zh-CN"/>
              </w:rPr>
              <w:t>冷凝</w:t>
            </w:r>
            <w:r>
              <w:rPr>
                <w:rFonts w:hint="eastAsia" w:cs="Times New Roman"/>
                <w:color w:val="auto"/>
                <w:highlight w:val="none"/>
                <w:u w:val="none"/>
                <w:lang w:val="en-US" w:eastAsia="zh-CN"/>
              </w:rPr>
              <w:t>回收溶剂</w:t>
            </w:r>
            <w:r>
              <w:rPr>
                <w:rFonts w:hint="default" w:ascii="Times New Roman" w:hAnsi="Times New Roman" w:cs="Times New Roman"/>
                <w:color w:val="auto"/>
                <w:highlight w:val="none"/>
                <w:u w:val="none"/>
                <w:lang w:val="en-US" w:eastAsia="zh-CN"/>
              </w:rPr>
              <w:t>后与其他废气进入预处理</w:t>
            </w:r>
          </w:p>
        </w:tc>
        <w:tc>
          <w:tcPr>
            <w:tcW w:w="587"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两级碱洗</w:t>
            </w:r>
          </w:p>
        </w:tc>
        <w:tc>
          <w:tcPr>
            <w:tcW w:w="1000" w:type="pct"/>
            <w:vMerge w:val="restar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新建RTO+35m排气筒（</w:t>
            </w:r>
            <w:r>
              <w:rPr>
                <w:rFonts w:hint="eastAsia" w:cs="Times New Roman"/>
                <w:color w:val="auto"/>
                <w:highlight w:val="none"/>
                <w:u w:val="none"/>
                <w:lang w:val="en-US" w:eastAsia="zh-CN"/>
              </w:rPr>
              <w:t>DA005</w:t>
            </w:r>
            <w:r>
              <w:rPr>
                <w:rFonts w:hint="default" w:ascii="Times New Roman" w:hAnsi="Times New Roman" w:cs="Times New Roman"/>
                <w:color w:val="auto"/>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1"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马来酸依那普利生产线（</w:t>
            </w:r>
            <w:r>
              <w:rPr>
                <w:rFonts w:hint="eastAsia" w:cs="Times New Roman"/>
                <w:color w:val="auto"/>
                <w:highlight w:val="none"/>
                <w:u w:val="none"/>
                <w:lang w:val="en-US" w:eastAsia="zh-CN"/>
              </w:rPr>
              <w:t>改建</w:t>
            </w:r>
            <w:r>
              <w:rPr>
                <w:rFonts w:hint="default" w:ascii="Times New Roman" w:hAnsi="Times New Roman" w:cs="Times New Roman"/>
                <w:color w:val="auto"/>
                <w:highlight w:val="none"/>
                <w:u w:val="none"/>
                <w:lang w:val="en-US" w:eastAsia="zh-CN"/>
              </w:rPr>
              <w:t>工程）</w:t>
            </w:r>
          </w:p>
        </w:tc>
        <w:tc>
          <w:tcPr>
            <w:tcW w:w="908"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2车间</w:t>
            </w:r>
          </w:p>
        </w:tc>
        <w:tc>
          <w:tcPr>
            <w:tcW w:w="1000"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乙醇</w:t>
            </w:r>
            <w:r>
              <w:rPr>
                <w:rFonts w:hint="default" w:ascii="Times New Roman" w:hAnsi="Times New Roman" w:cs="Times New Roman"/>
                <w:color w:val="auto"/>
                <w:highlight w:val="none"/>
                <w:u w:val="none"/>
                <w:lang w:val="en-US" w:eastAsia="zh-CN"/>
              </w:rPr>
              <w:t>、</w:t>
            </w:r>
            <w:r>
              <w:rPr>
                <w:rFonts w:hint="eastAsia" w:cs="Times New Roman"/>
                <w:color w:val="auto"/>
                <w:highlight w:val="none"/>
                <w:u w:val="none"/>
                <w:lang w:val="en-US" w:eastAsia="zh-CN"/>
              </w:rPr>
              <w:t>乙酸乙酯等</w:t>
            </w:r>
          </w:p>
        </w:tc>
        <w:tc>
          <w:tcPr>
            <w:tcW w:w="413"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c>
          <w:tcPr>
            <w:tcW w:w="587"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highlight w:val="none"/>
                <w:u w:val="none"/>
                <w:lang w:val="en-US" w:eastAsia="zh-CN"/>
              </w:rPr>
            </w:pPr>
            <w:r>
              <w:rPr>
                <w:rFonts w:hint="eastAsia" w:cs="Times New Roman"/>
                <w:color w:val="auto"/>
                <w:highlight w:val="none"/>
                <w:u w:val="none"/>
                <w:lang w:val="en-US" w:eastAsia="zh-CN"/>
              </w:rPr>
              <w:t>/</w:t>
            </w:r>
          </w:p>
        </w:tc>
        <w:tc>
          <w:tcPr>
            <w:tcW w:w="1000"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1"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坎地沙坦酯生产线（</w:t>
            </w:r>
            <w:r>
              <w:rPr>
                <w:rFonts w:hint="eastAsia" w:cs="Times New Roman"/>
                <w:color w:val="auto"/>
                <w:highlight w:val="none"/>
                <w:u w:val="none"/>
                <w:lang w:val="en-US" w:eastAsia="zh-CN"/>
              </w:rPr>
              <w:t>改建</w:t>
            </w:r>
            <w:r>
              <w:rPr>
                <w:rFonts w:hint="default" w:ascii="Times New Roman" w:hAnsi="Times New Roman" w:cs="Times New Roman"/>
                <w:color w:val="auto"/>
                <w:highlight w:val="none"/>
                <w:u w:val="none"/>
                <w:lang w:val="en-US" w:eastAsia="zh-CN"/>
              </w:rPr>
              <w:t>工程）</w:t>
            </w:r>
          </w:p>
        </w:tc>
        <w:tc>
          <w:tcPr>
            <w:tcW w:w="908" w:type="pct"/>
            <w:vMerge w:val="restar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9车间</w:t>
            </w:r>
          </w:p>
        </w:tc>
        <w:tc>
          <w:tcPr>
            <w:tcW w:w="1000" w:type="pct"/>
            <w:vMerge w:val="restar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氯化氢、颗粒物、甲醇、丙酮、乙醇、乙酸乙酯、叔丁醇、二氧化硫、氨、甲苯、二氯甲烷</w:t>
            </w:r>
            <w:r>
              <w:rPr>
                <w:rFonts w:hint="eastAsia" w:cs="Times New Roman"/>
                <w:color w:val="auto"/>
                <w:highlight w:val="none"/>
                <w:u w:val="none"/>
                <w:lang w:val="en-US" w:eastAsia="zh-CN"/>
              </w:rPr>
              <w:t>等</w:t>
            </w:r>
          </w:p>
        </w:tc>
        <w:tc>
          <w:tcPr>
            <w:tcW w:w="413"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c>
          <w:tcPr>
            <w:tcW w:w="587" w:type="pct"/>
            <w:vMerge w:val="restar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降膜吸收+两级碱洗</w:t>
            </w:r>
          </w:p>
        </w:tc>
        <w:tc>
          <w:tcPr>
            <w:tcW w:w="1000"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091"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阿齐沙坦脂生产线（</w:t>
            </w:r>
            <w:r>
              <w:rPr>
                <w:rFonts w:hint="eastAsia" w:cs="Times New Roman"/>
                <w:color w:val="auto"/>
                <w:highlight w:val="none"/>
                <w:u w:val="none"/>
                <w:lang w:val="en-US" w:eastAsia="zh-CN"/>
              </w:rPr>
              <w:t>改建</w:t>
            </w:r>
            <w:r>
              <w:rPr>
                <w:rFonts w:hint="default" w:ascii="Times New Roman" w:hAnsi="Times New Roman" w:cs="Times New Roman"/>
                <w:color w:val="auto"/>
                <w:highlight w:val="none"/>
                <w:u w:val="none"/>
                <w:lang w:val="en-US" w:eastAsia="zh-CN"/>
              </w:rPr>
              <w:t>工程）</w:t>
            </w:r>
          </w:p>
        </w:tc>
        <w:tc>
          <w:tcPr>
            <w:tcW w:w="908"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c>
          <w:tcPr>
            <w:tcW w:w="1000"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c>
          <w:tcPr>
            <w:tcW w:w="413"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c>
          <w:tcPr>
            <w:tcW w:w="587"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c>
          <w:tcPr>
            <w:tcW w:w="1000"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1"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洛索洛芬钠生产线（</w:t>
            </w:r>
            <w:r>
              <w:rPr>
                <w:rFonts w:hint="eastAsia" w:cs="Times New Roman"/>
                <w:color w:val="auto"/>
                <w:highlight w:val="none"/>
                <w:u w:val="none"/>
                <w:lang w:val="en-US" w:eastAsia="zh-CN"/>
              </w:rPr>
              <w:t>改建</w:t>
            </w:r>
            <w:r>
              <w:rPr>
                <w:rFonts w:hint="default" w:ascii="Times New Roman" w:hAnsi="Times New Roman" w:cs="Times New Roman"/>
                <w:color w:val="auto"/>
                <w:highlight w:val="none"/>
                <w:u w:val="none"/>
                <w:lang w:val="en-US" w:eastAsia="zh-CN"/>
              </w:rPr>
              <w:t>工程）</w:t>
            </w:r>
          </w:p>
        </w:tc>
        <w:tc>
          <w:tcPr>
            <w:tcW w:w="908"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10车间</w:t>
            </w:r>
          </w:p>
        </w:tc>
        <w:tc>
          <w:tcPr>
            <w:tcW w:w="1000"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醋酸、乙腈、乙醇、氯化氢、颗粒物、甲醛、甲醇、溴化氢、硫酸、氨、甲苯、二氯甲烷等</w:t>
            </w:r>
          </w:p>
        </w:tc>
        <w:tc>
          <w:tcPr>
            <w:tcW w:w="413"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c>
          <w:tcPr>
            <w:tcW w:w="587"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降膜吸收+两级碱洗</w:t>
            </w:r>
          </w:p>
        </w:tc>
        <w:tc>
          <w:tcPr>
            <w:tcW w:w="1000"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1" w:type="pct"/>
            <w:vMerge w:val="restar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替米沙坦生产线（</w:t>
            </w:r>
            <w:r>
              <w:rPr>
                <w:rFonts w:hint="eastAsia" w:cs="Times New Roman"/>
                <w:color w:val="auto"/>
                <w:highlight w:val="none"/>
                <w:u w:val="none"/>
                <w:lang w:val="en-US" w:eastAsia="zh-CN"/>
              </w:rPr>
              <w:t>改建</w:t>
            </w:r>
            <w:r>
              <w:rPr>
                <w:rFonts w:hint="default" w:ascii="Times New Roman" w:hAnsi="Times New Roman" w:cs="Times New Roman"/>
                <w:color w:val="auto"/>
                <w:highlight w:val="none"/>
                <w:u w:val="none"/>
                <w:lang w:val="en-US" w:eastAsia="zh-CN"/>
              </w:rPr>
              <w:t>工程）</w:t>
            </w:r>
          </w:p>
        </w:tc>
        <w:tc>
          <w:tcPr>
            <w:tcW w:w="908"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3车间</w:t>
            </w:r>
          </w:p>
        </w:tc>
        <w:tc>
          <w:tcPr>
            <w:tcW w:w="1000"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乙醇、氯化氢、颗粒物、甲醇、溴化氢、硫酸、氨、二氯甲烷等</w:t>
            </w:r>
          </w:p>
        </w:tc>
        <w:tc>
          <w:tcPr>
            <w:tcW w:w="413"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c>
          <w:tcPr>
            <w:tcW w:w="587"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两级碱洗</w:t>
            </w:r>
          </w:p>
        </w:tc>
        <w:tc>
          <w:tcPr>
            <w:tcW w:w="1000"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1"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c>
          <w:tcPr>
            <w:tcW w:w="908"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5车间</w:t>
            </w:r>
          </w:p>
        </w:tc>
        <w:tc>
          <w:tcPr>
            <w:tcW w:w="1000"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氯化氢、颗粒物、甲醇、硝酸、甲胺、二氯甲烷等</w:t>
            </w:r>
          </w:p>
        </w:tc>
        <w:tc>
          <w:tcPr>
            <w:tcW w:w="413"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c>
          <w:tcPr>
            <w:tcW w:w="587"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降膜吸收+两级碱洗</w:t>
            </w:r>
          </w:p>
        </w:tc>
        <w:tc>
          <w:tcPr>
            <w:tcW w:w="1000"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1"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c>
          <w:tcPr>
            <w:tcW w:w="908"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7车间</w:t>
            </w:r>
          </w:p>
        </w:tc>
        <w:tc>
          <w:tcPr>
            <w:tcW w:w="1000"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甲苯、异丙醇、乙醇、氯化氢、颗粒物、甲醇、甲基磺酸等</w:t>
            </w:r>
          </w:p>
        </w:tc>
        <w:tc>
          <w:tcPr>
            <w:tcW w:w="413"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c>
          <w:tcPr>
            <w:tcW w:w="587"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降膜吸收+两级碱洗</w:t>
            </w:r>
          </w:p>
        </w:tc>
        <w:tc>
          <w:tcPr>
            <w:tcW w:w="1000"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9" w:type="pct"/>
            <w:gridSpan w:val="2"/>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精馏塔（现有+</w:t>
            </w:r>
            <w:r>
              <w:rPr>
                <w:rFonts w:hint="eastAsia" w:cs="Times New Roman"/>
                <w:color w:val="auto"/>
                <w:highlight w:val="none"/>
                <w:u w:val="none"/>
                <w:lang w:val="en-US" w:eastAsia="zh-CN"/>
              </w:rPr>
              <w:t>改建</w:t>
            </w:r>
            <w:r>
              <w:rPr>
                <w:rFonts w:hint="default" w:ascii="Times New Roman" w:hAnsi="Times New Roman" w:cs="Times New Roman"/>
                <w:color w:val="auto"/>
                <w:highlight w:val="none"/>
                <w:u w:val="none"/>
                <w:lang w:val="en-US" w:eastAsia="zh-CN"/>
              </w:rPr>
              <w:t>）</w:t>
            </w:r>
          </w:p>
        </w:tc>
        <w:tc>
          <w:tcPr>
            <w:tcW w:w="1000"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二氯甲烷、甲醇、乙醇等</w:t>
            </w:r>
          </w:p>
        </w:tc>
        <w:tc>
          <w:tcPr>
            <w:tcW w:w="1000" w:type="pct"/>
            <w:gridSpan w:val="2"/>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冷凝回收溶剂</w:t>
            </w:r>
          </w:p>
        </w:tc>
        <w:tc>
          <w:tcPr>
            <w:tcW w:w="1000"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9" w:type="pct"/>
            <w:gridSpan w:val="2"/>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新建MVR（</w:t>
            </w:r>
            <w:r>
              <w:rPr>
                <w:rFonts w:hint="eastAsia" w:cs="Times New Roman"/>
                <w:color w:val="auto"/>
                <w:highlight w:val="none"/>
                <w:u w:val="none"/>
                <w:lang w:val="en-US" w:eastAsia="zh-CN"/>
              </w:rPr>
              <w:t>改建</w:t>
            </w:r>
            <w:r>
              <w:rPr>
                <w:rFonts w:hint="default" w:ascii="Times New Roman" w:hAnsi="Times New Roman" w:cs="Times New Roman"/>
                <w:color w:val="auto"/>
                <w:highlight w:val="none"/>
                <w:u w:val="none"/>
                <w:lang w:val="en-US" w:eastAsia="zh-CN"/>
              </w:rPr>
              <w:t>工程）</w:t>
            </w:r>
          </w:p>
        </w:tc>
        <w:tc>
          <w:tcPr>
            <w:tcW w:w="1000"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二氯甲烷、丙酮、甲醇、甲苯、甲醛、乙腈、乙醇、乙酸乙酯、异丙醇、叔丁醇等</w:t>
            </w:r>
          </w:p>
        </w:tc>
        <w:tc>
          <w:tcPr>
            <w:tcW w:w="1000" w:type="pct"/>
            <w:gridSpan w:val="2"/>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w:t>
            </w:r>
          </w:p>
        </w:tc>
        <w:tc>
          <w:tcPr>
            <w:tcW w:w="1000"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9" w:type="pct"/>
            <w:gridSpan w:val="2"/>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危废间、化验室</w:t>
            </w:r>
            <w:r>
              <w:rPr>
                <w:rFonts w:hint="eastAsia" w:cs="Times New Roman"/>
                <w:color w:val="auto"/>
                <w:highlight w:val="none"/>
                <w:u w:val="none"/>
                <w:lang w:val="en-US" w:eastAsia="zh-CN"/>
              </w:rPr>
              <w:t>、原料库1</w:t>
            </w:r>
            <w:r>
              <w:rPr>
                <w:rFonts w:hint="default" w:ascii="Times New Roman" w:hAnsi="Times New Roman" w:cs="Times New Roman"/>
                <w:color w:val="auto"/>
                <w:highlight w:val="none"/>
                <w:u w:val="none"/>
                <w:lang w:val="en-US" w:eastAsia="zh-CN"/>
              </w:rPr>
              <w:t>（现有+</w:t>
            </w:r>
            <w:r>
              <w:rPr>
                <w:rFonts w:hint="eastAsia" w:cs="Times New Roman"/>
                <w:color w:val="auto"/>
                <w:highlight w:val="none"/>
                <w:u w:val="none"/>
                <w:lang w:val="en-US" w:eastAsia="zh-CN"/>
              </w:rPr>
              <w:t>改建</w:t>
            </w:r>
            <w:r>
              <w:rPr>
                <w:rFonts w:hint="default" w:ascii="Times New Roman" w:hAnsi="Times New Roman" w:cs="Times New Roman"/>
                <w:color w:val="auto"/>
                <w:highlight w:val="none"/>
                <w:u w:val="none"/>
                <w:lang w:val="en-US" w:eastAsia="zh-CN"/>
              </w:rPr>
              <w:t>）</w:t>
            </w:r>
          </w:p>
        </w:tc>
        <w:tc>
          <w:tcPr>
            <w:tcW w:w="1000"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有机废气</w:t>
            </w:r>
          </w:p>
        </w:tc>
        <w:tc>
          <w:tcPr>
            <w:tcW w:w="1000" w:type="pct"/>
            <w:gridSpan w:val="2"/>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w:t>
            </w:r>
          </w:p>
        </w:tc>
        <w:tc>
          <w:tcPr>
            <w:tcW w:w="1000"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9" w:type="pct"/>
            <w:gridSpan w:val="2"/>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污水站（现有+</w:t>
            </w:r>
            <w:r>
              <w:rPr>
                <w:rFonts w:hint="eastAsia" w:cs="Times New Roman"/>
                <w:color w:val="auto"/>
                <w:highlight w:val="none"/>
                <w:u w:val="none"/>
                <w:lang w:val="en-US" w:eastAsia="zh-CN"/>
              </w:rPr>
              <w:t>改建</w:t>
            </w:r>
            <w:r>
              <w:rPr>
                <w:rFonts w:hint="default" w:ascii="Times New Roman" w:hAnsi="Times New Roman" w:cs="Times New Roman"/>
                <w:color w:val="auto"/>
                <w:highlight w:val="none"/>
                <w:u w:val="none"/>
                <w:lang w:val="en-US" w:eastAsia="zh-CN"/>
              </w:rPr>
              <w:t>）</w:t>
            </w:r>
          </w:p>
        </w:tc>
        <w:tc>
          <w:tcPr>
            <w:tcW w:w="1000"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有机废气、氨、硫化氢等</w:t>
            </w:r>
          </w:p>
        </w:tc>
        <w:tc>
          <w:tcPr>
            <w:tcW w:w="1000" w:type="pct"/>
            <w:gridSpan w:val="2"/>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碱喷淋</w:t>
            </w:r>
          </w:p>
        </w:tc>
        <w:tc>
          <w:tcPr>
            <w:tcW w:w="1000"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9" w:type="pct"/>
            <w:gridSpan w:val="2"/>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包装间（</w:t>
            </w:r>
            <w:r>
              <w:rPr>
                <w:rFonts w:hint="eastAsia" w:cs="Times New Roman"/>
                <w:color w:val="auto"/>
                <w:highlight w:val="none"/>
                <w:u w:val="none"/>
                <w:lang w:val="en-US" w:eastAsia="zh-CN"/>
              </w:rPr>
              <w:t>现有+改建</w:t>
            </w:r>
            <w:r>
              <w:rPr>
                <w:rFonts w:hint="default" w:ascii="Times New Roman" w:hAnsi="Times New Roman" w:cs="Times New Roman"/>
                <w:color w:val="auto"/>
                <w:highlight w:val="none"/>
                <w:u w:val="none"/>
                <w:lang w:val="en-US" w:eastAsia="zh-CN"/>
              </w:rPr>
              <w:t>）</w:t>
            </w:r>
          </w:p>
        </w:tc>
        <w:tc>
          <w:tcPr>
            <w:tcW w:w="1000"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颗粒物</w:t>
            </w:r>
          </w:p>
        </w:tc>
        <w:tc>
          <w:tcPr>
            <w:tcW w:w="1000" w:type="pct"/>
            <w:gridSpan w:val="2"/>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w:t>
            </w:r>
          </w:p>
        </w:tc>
        <w:tc>
          <w:tcPr>
            <w:tcW w:w="1000"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袋式式除尘器+15m排气筒（</w:t>
            </w:r>
            <w:r>
              <w:rPr>
                <w:rFonts w:hint="eastAsia" w:cs="Times New Roman"/>
                <w:color w:val="auto"/>
                <w:highlight w:val="none"/>
                <w:u w:val="none"/>
                <w:lang w:val="en-US" w:eastAsia="zh-CN"/>
              </w:rPr>
              <w:t>DA006</w:t>
            </w:r>
            <w:r>
              <w:rPr>
                <w:rFonts w:hint="default" w:ascii="Times New Roman" w:hAnsi="Times New Roman" w:cs="Times New Roman"/>
                <w:color w:val="auto"/>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9" w:type="pct"/>
            <w:gridSpan w:val="2"/>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食堂（</w:t>
            </w:r>
            <w:r>
              <w:rPr>
                <w:rFonts w:hint="eastAsia" w:cs="Times New Roman"/>
                <w:color w:val="auto"/>
                <w:highlight w:val="none"/>
                <w:u w:val="none"/>
                <w:lang w:val="en-US" w:eastAsia="zh-CN"/>
              </w:rPr>
              <w:t>现有+改建</w:t>
            </w:r>
            <w:r>
              <w:rPr>
                <w:rFonts w:hint="default" w:ascii="Times New Roman" w:hAnsi="Times New Roman" w:cs="Times New Roman"/>
                <w:color w:val="auto"/>
                <w:highlight w:val="none"/>
                <w:u w:val="none"/>
                <w:lang w:val="en-US" w:eastAsia="zh-CN"/>
              </w:rPr>
              <w:t>）</w:t>
            </w:r>
          </w:p>
        </w:tc>
        <w:tc>
          <w:tcPr>
            <w:tcW w:w="1000"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油烟、非甲烷总烃</w:t>
            </w:r>
          </w:p>
        </w:tc>
        <w:tc>
          <w:tcPr>
            <w:tcW w:w="1000" w:type="pct"/>
            <w:gridSpan w:val="2"/>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w:t>
            </w:r>
          </w:p>
        </w:tc>
        <w:tc>
          <w:tcPr>
            <w:tcW w:w="1000"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复合油烟净化器+专用烟道（DA007）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9" w:type="pct"/>
            <w:gridSpan w:val="2"/>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危废焚烧炉（</w:t>
            </w:r>
            <w:r>
              <w:rPr>
                <w:rFonts w:hint="eastAsia" w:cs="Times New Roman"/>
                <w:color w:val="auto"/>
                <w:highlight w:val="none"/>
                <w:u w:val="none"/>
                <w:lang w:val="en-US" w:eastAsia="zh-CN"/>
              </w:rPr>
              <w:t>现有+改建</w:t>
            </w:r>
            <w:r>
              <w:rPr>
                <w:rFonts w:hint="default" w:ascii="Times New Roman" w:hAnsi="Times New Roman" w:cs="Times New Roman"/>
                <w:color w:val="auto"/>
                <w:highlight w:val="none"/>
                <w:u w:val="none"/>
                <w:lang w:val="en-US" w:eastAsia="zh-CN"/>
              </w:rPr>
              <w:t>）</w:t>
            </w:r>
          </w:p>
        </w:tc>
        <w:tc>
          <w:tcPr>
            <w:tcW w:w="1000"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颗粒物、二氧化硫、氮氧化物、氟化氢、氯化氢、一氧化碳、二噁英类</w:t>
            </w:r>
          </w:p>
        </w:tc>
        <w:tc>
          <w:tcPr>
            <w:tcW w:w="1000" w:type="pct"/>
            <w:gridSpan w:val="2"/>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w:t>
            </w:r>
          </w:p>
        </w:tc>
        <w:tc>
          <w:tcPr>
            <w:tcW w:w="1000" w:type="pct"/>
            <w:vAlign w:val="center"/>
          </w:tcPr>
          <w:p>
            <w:pPr>
              <w:pStyle w:val="2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“3T+E”控制+SNCR 脱硝+急冷+干式吸收+布袋除尘器+2级喷淋+35m排气筒（</w:t>
            </w:r>
            <w:r>
              <w:rPr>
                <w:rFonts w:hint="eastAsia" w:cs="Times New Roman"/>
                <w:color w:val="auto"/>
                <w:highlight w:val="none"/>
                <w:u w:val="none"/>
                <w:lang w:val="en-US" w:eastAsia="zh-CN"/>
              </w:rPr>
              <w:t>DA004</w:t>
            </w:r>
            <w:r>
              <w:rPr>
                <w:rFonts w:hint="default" w:ascii="Times New Roman" w:hAnsi="Times New Roman" w:cs="Times New Roman"/>
                <w:color w:val="auto"/>
                <w:highlight w:val="none"/>
                <w:u w:val="none"/>
                <w:lang w:val="en-US" w:eastAsia="zh-CN"/>
              </w:rPr>
              <w:t>）</w:t>
            </w:r>
          </w:p>
        </w:tc>
      </w:tr>
    </w:tbl>
    <w:p>
      <w:pPr>
        <w:keepNext/>
        <w:keepLines/>
        <w:widowControl w:val="0"/>
        <w:bidi w:val="0"/>
        <w:adjustRightInd w:val="0"/>
        <w:snapToGrid w:val="0"/>
        <w:spacing w:before="120" w:after="120" w:line="480" w:lineRule="atLeast"/>
        <w:ind w:firstLine="0" w:firstLineChars="0"/>
        <w:jc w:val="left"/>
        <w:outlineLvl w:val="9"/>
        <w:rPr>
          <w:rFonts w:hint="default" w:ascii="Times New Roman" w:hAnsi="Times New Roman" w:eastAsia="宋体" w:cs="Times New Roman"/>
          <w:b/>
          <w:bCs/>
          <w:color w:val="auto"/>
          <w:kern w:val="2"/>
          <w:sz w:val="28"/>
          <w:szCs w:val="30"/>
          <w:highlight w:val="none"/>
          <w:u w:val="none"/>
          <w:lang w:val="en-US" w:eastAsia="zh-CN" w:bidi="ar-SA"/>
        </w:rPr>
        <w:sectPr>
          <w:pgSz w:w="16838" w:h="11906" w:orient="landscape"/>
          <w:pgMar w:top="1588" w:right="1701" w:bottom="1588" w:left="1985" w:header="851" w:footer="1134" w:gutter="0"/>
          <w:pgBorders>
            <w:top w:val="none" w:sz="0" w:space="0"/>
            <w:left w:val="none" w:sz="0" w:space="0"/>
            <w:bottom w:val="none" w:sz="0" w:space="0"/>
            <w:right w:val="none" w:sz="0" w:space="0"/>
          </w:pgBorders>
          <w:pgNumType w:fmt="decimal"/>
          <w:cols w:space="720" w:num="1"/>
          <w:docGrid w:type="linesAndChars" w:linePitch="439" w:charSpace="13"/>
        </w:sectPr>
      </w:pPr>
    </w:p>
    <w:p>
      <w:pPr>
        <w:bidi w:val="0"/>
        <w:rPr>
          <w:color w:val="auto"/>
          <w:highlight w:val="none"/>
          <w:u w:val="none"/>
        </w:rPr>
      </w:pPr>
      <w:r>
        <w:rPr>
          <w:rFonts w:hint="default" w:ascii="Times New Roman" w:hAnsi="Times New Roman" w:eastAsia="宋体" w:cs="Times New Roman"/>
          <w:b/>
          <w:bCs/>
          <w:color w:val="auto"/>
          <w:kern w:val="2"/>
          <w:sz w:val="24"/>
          <w:szCs w:val="32"/>
          <w:highlight w:val="none"/>
          <w:u w:val="none"/>
          <w:lang w:val="en-US" w:eastAsia="zh-CN" w:bidi="ar-SA"/>
        </w:rPr>
        <w:drawing>
          <wp:anchor distT="0" distB="0" distL="114300" distR="114300" simplePos="0" relativeHeight="251666432" behindDoc="0" locked="0" layoutInCell="1" allowOverlap="1">
            <wp:simplePos x="0" y="0"/>
            <wp:positionH relativeFrom="column">
              <wp:posOffset>-317500</wp:posOffset>
            </wp:positionH>
            <wp:positionV relativeFrom="paragraph">
              <wp:posOffset>151130</wp:posOffset>
            </wp:positionV>
            <wp:extent cx="6057265" cy="7724775"/>
            <wp:effectExtent l="0" t="0" r="0" b="0"/>
            <wp:wrapNone/>
            <wp:docPr id="1" name="ECB019B1-382A-4266-B25C-5B523AA43C14-1" descr="C:/Users/lenovo/AppData/Local/Temp/wps.iLIlk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lenovo/AppData/Local/Temp/wps.iLIlkewps"/>
                    <pic:cNvPicPr>
                      <a:picLocks noChangeAspect="1"/>
                    </pic:cNvPicPr>
                  </pic:nvPicPr>
                  <pic:blipFill>
                    <a:blip r:embed="rId19"/>
                    <a:stretch>
                      <a:fillRect/>
                    </a:stretch>
                  </pic:blipFill>
                  <pic:spPr>
                    <a:xfrm>
                      <a:off x="0" y="0"/>
                      <a:ext cx="6057265" cy="7724775"/>
                    </a:xfrm>
                    <a:prstGeom prst="rect">
                      <a:avLst/>
                    </a:prstGeom>
                  </pic:spPr>
                </pic:pic>
              </a:graphicData>
            </a:graphic>
          </wp:anchor>
        </w:drawing>
      </w:r>
    </w:p>
    <w:p>
      <w:pPr>
        <w:bidi w:val="0"/>
        <w:rPr>
          <w:color w:val="auto"/>
          <w:highlight w:val="none"/>
          <w:u w:val="none"/>
        </w:rPr>
      </w:pPr>
    </w:p>
    <w:p>
      <w:pPr>
        <w:bidi w:val="0"/>
        <w:rPr>
          <w:color w:val="auto"/>
          <w:highlight w:val="none"/>
          <w:u w:val="none"/>
        </w:rPr>
      </w:pPr>
    </w:p>
    <w:p>
      <w:pPr>
        <w:bidi w:val="0"/>
        <w:rPr>
          <w:color w:val="auto"/>
          <w:highlight w:val="none"/>
          <w:u w:val="none"/>
        </w:rPr>
      </w:pPr>
    </w:p>
    <w:p>
      <w:pPr>
        <w:bidi w:val="0"/>
        <w:rPr>
          <w:color w:val="auto"/>
          <w:highlight w:val="none"/>
          <w:u w:val="none"/>
        </w:rPr>
      </w:pPr>
    </w:p>
    <w:p>
      <w:pPr>
        <w:bidi w:val="0"/>
        <w:rPr>
          <w:color w:val="auto"/>
          <w:highlight w:val="none"/>
          <w:u w:val="none"/>
        </w:rPr>
      </w:pPr>
    </w:p>
    <w:p>
      <w:pPr>
        <w:bidi w:val="0"/>
        <w:rPr>
          <w:color w:val="auto"/>
          <w:highlight w:val="none"/>
          <w:u w:val="none"/>
        </w:rPr>
      </w:pPr>
    </w:p>
    <w:p>
      <w:pPr>
        <w:bidi w:val="0"/>
        <w:rPr>
          <w:color w:val="auto"/>
          <w:highlight w:val="none"/>
          <w:u w:val="none"/>
        </w:rPr>
      </w:pPr>
    </w:p>
    <w:p>
      <w:pPr>
        <w:bidi w:val="0"/>
        <w:rPr>
          <w:color w:val="auto"/>
          <w:highlight w:val="none"/>
          <w:u w:val="none"/>
        </w:rPr>
      </w:pPr>
    </w:p>
    <w:p>
      <w:pPr>
        <w:bidi w:val="0"/>
        <w:rPr>
          <w:color w:val="auto"/>
          <w:highlight w:val="none"/>
          <w:u w:val="none"/>
        </w:rPr>
      </w:pPr>
    </w:p>
    <w:p>
      <w:pPr>
        <w:bidi w:val="0"/>
        <w:rPr>
          <w:color w:val="auto"/>
          <w:highlight w:val="none"/>
          <w:u w:val="none"/>
        </w:rPr>
      </w:pPr>
    </w:p>
    <w:p>
      <w:pPr>
        <w:pStyle w:val="24"/>
        <w:bidi w:val="0"/>
        <w:rPr>
          <w:rFonts w:hint="eastAsia"/>
          <w:color w:val="auto"/>
          <w:highlight w:val="none"/>
          <w:u w:val="none"/>
        </w:rPr>
      </w:pPr>
    </w:p>
    <w:p>
      <w:pPr>
        <w:pStyle w:val="24"/>
        <w:bidi w:val="0"/>
        <w:rPr>
          <w:rFonts w:hint="eastAsia"/>
          <w:color w:val="auto"/>
          <w:highlight w:val="none"/>
          <w:u w:val="none"/>
        </w:rPr>
      </w:pPr>
    </w:p>
    <w:p>
      <w:pPr>
        <w:pStyle w:val="24"/>
        <w:bidi w:val="0"/>
        <w:rPr>
          <w:rFonts w:hint="eastAsia"/>
          <w:color w:val="auto"/>
          <w:highlight w:val="none"/>
          <w:u w:val="none"/>
        </w:rPr>
      </w:pPr>
    </w:p>
    <w:p>
      <w:pPr>
        <w:pStyle w:val="24"/>
        <w:bidi w:val="0"/>
        <w:rPr>
          <w:rFonts w:hint="eastAsia"/>
          <w:color w:val="auto"/>
          <w:highlight w:val="none"/>
          <w:u w:val="none"/>
        </w:rPr>
      </w:pPr>
    </w:p>
    <w:p>
      <w:pPr>
        <w:pStyle w:val="24"/>
        <w:bidi w:val="0"/>
        <w:rPr>
          <w:rFonts w:hint="eastAsia"/>
          <w:color w:val="auto"/>
          <w:highlight w:val="none"/>
          <w:u w:val="none"/>
        </w:rPr>
      </w:pPr>
    </w:p>
    <w:p>
      <w:pPr>
        <w:pStyle w:val="24"/>
        <w:bidi w:val="0"/>
        <w:rPr>
          <w:rFonts w:hint="eastAsia"/>
          <w:color w:val="auto"/>
          <w:highlight w:val="none"/>
          <w:u w:val="none"/>
        </w:rPr>
      </w:pPr>
    </w:p>
    <w:p>
      <w:pPr>
        <w:pStyle w:val="9"/>
        <w:bidi w:val="0"/>
        <w:rPr>
          <w:color w:val="auto"/>
          <w:highlight w:val="none"/>
          <w:u w:val="single"/>
        </w:rPr>
      </w:pPr>
      <w:bookmarkStart w:id="11" w:name="_Ref24393"/>
    </w:p>
    <w:p>
      <w:pPr>
        <w:pStyle w:val="9"/>
        <w:bidi w:val="0"/>
        <w:rPr>
          <w:color w:val="auto"/>
          <w:highlight w:val="none"/>
          <w:u w:val="single"/>
        </w:rPr>
      </w:pPr>
    </w:p>
    <w:p>
      <w:pPr>
        <w:pStyle w:val="9"/>
        <w:bidi w:val="0"/>
        <w:rPr>
          <w:rFonts w:hint="eastAsia" w:eastAsia="宋体"/>
          <w:color w:val="auto"/>
          <w:highlight w:val="none"/>
          <w:u w:val="single"/>
          <w:lang w:val="en-US" w:eastAsia="zh-CN"/>
        </w:rPr>
        <w:sectPr>
          <w:pgSz w:w="11906" w:h="16838"/>
          <w:pgMar w:top="1701" w:right="1588" w:bottom="1985" w:left="1588" w:header="851" w:footer="1134" w:gutter="0"/>
          <w:pgBorders>
            <w:top w:val="none" w:sz="0" w:space="0"/>
            <w:left w:val="none" w:sz="0" w:space="0"/>
            <w:bottom w:val="none" w:sz="0" w:space="0"/>
            <w:right w:val="none" w:sz="0" w:space="0"/>
          </w:pgBorders>
          <w:pgNumType w:fmt="decimal"/>
          <w:cols w:space="720" w:num="1"/>
          <w:docGrid w:type="linesAndChars" w:linePitch="439" w:charSpace="13"/>
        </w:sectPr>
      </w:pPr>
      <w:r>
        <w:rPr>
          <w:color w:val="auto"/>
          <w:highlight w:val="none"/>
          <w:u w:val="single"/>
        </w:rPr>
        <w:t xml:space="preserve">图 </w:t>
      </w:r>
      <w:r>
        <w:rPr>
          <w:color w:val="auto"/>
          <w:highlight w:val="none"/>
          <w:u w:val="single"/>
        </w:rPr>
        <w:fldChar w:fldCharType="begin"/>
      </w:r>
      <w:r>
        <w:rPr>
          <w:color w:val="auto"/>
          <w:highlight w:val="none"/>
          <w:u w:val="single"/>
        </w:rPr>
        <w:instrText xml:space="preserve"> STYLEREF 2 \s </w:instrText>
      </w:r>
      <w:r>
        <w:rPr>
          <w:color w:val="auto"/>
          <w:highlight w:val="none"/>
          <w:u w:val="single"/>
        </w:rPr>
        <w:fldChar w:fldCharType="separate"/>
      </w:r>
      <w:r>
        <w:rPr>
          <w:color w:val="auto"/>
          <w:highlight w:val="none"/>
          <w:u w:val="single"/>
        </w:rPr>
        <w:t>8.2</w:t>
      </w:r>
      <w:r>
        <w:rPr>
          <w:color w:val="auto"/>
          <w:highlight w:val="none"/>
          <w:u w:val="single"/>
        </w:rPr>
        <w:fldChar w:fldCharType="end"/>
      </w:r>
      <w:r>
        <w:rPr>
          <w:rFonts w:hint="eastAsia"/>
          <w:color w:val="auto"/>
          <w:highlight w:val="none"/>
          <w:u w:val="single"/>
          <w:lang w:eastAsia="zh-CN"/>
        </w:rPr>
        <w:t>-</w:t>
      </w:r>
      <w:r>
        <w:rPr>
          <w:color w:val="auto"/>
          <w:highlight w:val="none"/>
          <w:u w:val="single"/>
        </w:rPr>
        <w:fldChar w:fldCharType="begin"/>
      </w:r>
      <w:r>
        <w:rPr>
          <w:color w:val="auto"/>
          <w:highlight w:val="none"/>
          <w:u w:val="single"/>
        </w:rPr>
        <w:instrText xml:space="preserve"> SEQ 图 \* ARABIC \s 2 </w:instrText>
      </w:r>
      <w:r>
        <w:rPr>
          <w:color w:val="auto"/>
          <w:highlight w:val="none"/>
          <w:u w:val="single"/>
        </w:rPr>
        <w:fldChar w:fldCharType="separate"/>
      </w:r>
      <w:r>
        <w:rPr>
          <w:color w:val="auto"/>
          <w:highlight w:val="none"/>
          <w:u w:val="single"/>
        </w:rPr>
        <w:t>1</w:t>
      </w:r>
      <w:r>
        <w:rPr>
          <w:color w:val="auto"/>
          <w:highlight w:val="none"/>
          <w:u w:val="single"/>
        </w:rPr>
        <w:fldChar w:fldCharType="end"/>
      </w:r>
      <w:bookmarkEnd w:id="11"/>
      <w:r>
        <w:rPr>
          <w:rFonts w:hint="eastAsia"/>
          <w:color w:val="auto"/>
          <w:highlight w:val="none"/>
          <w:u w:val="single"/>
        </w:rPr>
        <w:t xml:space="preserve">  全厂废气收集</w:t>
      </w:r>
      <w:r>
        <w:rPr>
          <w:rFonts w:hint="eastAsia"/>
          <w:color w:val="auto"/>
          <w:highlight w:val="none"/>
          <w:u w:val="single"/>
          <w:lang w:eastAsia="zh-CN"/>
        </w:rPr>
        <w:t>、</w:t>
      </w:r>
      <w:r>
        <w:rPr>
          <w:rFonts w:hint="eastAsia"/>
          <w:color w:val="auto"/>
          <w:highlight w:val="none"/>
          <w:u w:val="single"/>
          <w:lang w:val="en-US" w:eastAsia="zh-CN"/>
        </w:rPr>
        <w:t>处理</w:t>
      </w:r>
      <w:r>
        <w:rPr>
          <w:rFonts w:hint="eastAsia"/>
          <w:color w:val="auto"/>
          <w:highlight w:val="none"/>
          <w:u w:val="single"/>
        </w:rPr>
        <w:t>措施</w:t>
      </w:r>
      <w:r>
        <w:rPr>
          <w:rFonts w:hint="eastAsia"/>
          <w:color w:val="auto"/>
          <w:highlight w:val="none"/>
          <w:u w:val="single"/>
          <w:lang w:val="en-US" w:eastAsia="zh-CN"/>
        </w:rPr>
        <w:t>示意图</w:t>
      </w:r>
    </w:p>
    <w:p>
      <w:pPr>
        <w:pStyle w:val="4"/>
        <w:bidi w:val="0"/>
        <w:rPr>
          <w:rFonts w:hint="default"/>
          <w:color w:val="auto"/>
          <w:highlight w:val="none"/>
          <w:u w:val="none"/>
          <w:lang w:val="en-US" w:eastAsia="zh-CN"/>
        </w:rPr>
      </w:pPr>
      <w:bookmarkStart w:id="12" w:name="_Toc24713"/>
      <w:bookmarkStart w:id="13" w:name="_Toc29227"/>
      <w:bookmarkStart w:id="14" w:name="_Toc19393"/>
      <w:r>
        <w:rPr>
          <w:rFonts w:hint="default"/>
          <w:color w:val="auto"/>
          <w:highlight w:val="none"/>
          <w:u w:val="none"/>
          <w:lang w:val="en-US" w:eastAsia="zh-CN"/>
        </w:rPr>
        <w:t>酸性废气防治措施</w:t>
      </w:r>
      <w:bookmarkEnd w:id="12"/>
    </w:p>
    <w:p>
      <w:pPr>
        <w:bidi w:val="0"/>
        <w:spacing w:line="480" w:lineRule="exact"/>
        <w:ind w:firstLine="480" w:firstLineChars="200"/>
        <w:rPr>
          <w:rFonts w:hint="eastAsia"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项目生产过程将产生含丙酮、二氯甲烷、乙醇、乙酸乙酯、氯化氢、硫酸等的混合废气，</w:t>
      </w:r>
      <w:r>
        <w:rPr>
          <w:rFonts w:hint="eastAsia" w:eastAsia="宋体" w:cs="Times New Roman"/>
          <w:color w:val="auto"/>
          <w:sz w:val="24"/>
          <w:szCs w:val="24"/>
          <w:highlight w:val="none"/>
          <w:u w:val="none"/>
          <w:lang w:val="en-US" w:eastAsia="zh-CN"/>
        </w:rPr>
        <w:t>带温生产过程废气经冷凝回收溶剂后再进行降膜吸收/两级碱洗</w:t>
      </w:r>
      <w:r>
        <w:rPr>
          <w:rFonts w:hint="default" w:ascii="Times New Roman" w:hAnsi="Times New Roman" w:eastAsia="宋体" w:cs="Times New Roman"/>
          <w:color w:val="auto"/>
          <w:sz w:val="24"/>
          <w:szCs w:val="24"/>
          <w:highlight w:val="none"/>
          <w:u w:val="none"/>
          <w:lang w:val="en-US" w:eastAsia="zh-CN"/>
        </w:rPr>
        <w:t>预处理，</w:t>
      </w:r>
      <w:r>
        <w:rPr>
          <w:rFonts w:hint="eastAsia" w:eastAsia="宋体" w:cs="Times New Roman"/>
          <w:color w:val="auto"/>
          <w:sz w:val="24"/>
          <w:szCs w:val="24"/>
          <w:highlight w:val="none"/>
          <w:u w:val="none"/>
          <w:lang w:val="en-US" w:eastAsia="zh-CN"/>
        </w:rPr>
        <w:t>最后</w:t>
      </w:r>
      <w:r>
        <w:rPr>
          <w:rFonts w:hint="default" w:ascii="Times New Roman" w:hAnsi="Times New Roman" w:eastAsia="宋体" w:cs="Times New Roman"/>
          <w:color w:val="auto"/>
          <w:sz w:val="24"/>
          <w:szCs w:val="24"/>
          <w:highlight w:val="none"/>
          <w:u w:val="none"/>
          <w:lang w:val="en-US" w:eastAsia="zh-CN"/>
        </w:rPr>
        <w:t>进入RTO焚烧处置。RTO焚烧后的烟气以及危废焚烧炉废气同样含有酸性废气，需进行除酸</w:t>
      </w:r>
      <w:r>
        <w:rPr>
          <w:rFonts w:hint="eastAsia" w:eastAsia="宋体" w:cs="Times New Roman"/>
          <w:color w:val="auto"/>
          <w:sz w:val="24"/>
          <w:szCs w:val="24"/>
          <w:highlight w:val="none"/>
          <w:u w:val="none"/>
          <w:lang w:val="en-US" w:eastAsia="zh-CN"/>
        </w:rPr>
        <w:t>。</w:t>
      </w:r>
    </w:p>
    <w:p>
      <w:pPr>
        <w:bidi w:val="0"/>
        <w:spacing w:line="480" w:lineRule="exact"/>
        <w:ind w:firstLine="480" w:firstLineChars="200"/>
        <w:rPr>
          <w:rFonts w:hint="default" w:ascii="Times New Roman" w:hAnsi="Times New Roman" w:eastAsia="宋体" w:cs="Times New Roman"/>
          <w:color w:val="auto"/>
          <w:sz w:val="24"/>
          <w:szCs w:val="20"/>
          <w:highlight w:val="none"/>
          <w:u w:val="none"/>
        </w:rPr>
      </w:pPr>
      <w:r>
        <w:rPr>
          <w:rFonts w:hint="default" w:ascii="Times New Roman" w:hAnsi="Times New Roman" w:eastAsia="宋体" w:cs="Times New Roman"/>
          <w:color w:val="auto"/>
          <w:sz w:val="24"/>
          <w:szCs w:val="20"/>
          <w:highlight w:val="none"/>
          <w:u w:val="none"/>
        </w:rPr>
        <w:t>（1）降膜吸收</w:t>
      </w:r>
    </w:p>
    <w:p>
      <w:pPr>
        <w:bidi w:val="0"/>
        <w:spacing w:line="480" w:lineRule="exact"/>
        <w:ind w:firstLine="480" w:firstLineChars="200"/>
        <w:rPr>
          <w:rFonts w:hint="default" w:ascii="Times New Roman" w:hAnsi="Times New Roman" w:eastAsia="宋体" w:cs="Times New Roman"/>
          <w:color w:val="auto"/>
          <w:sz w:val="24"/>
          <w:szCs w:val="20"/>
          <w:highlight w:val="none"/>
          <w:u w:val="none"/>
        </w:rPr>
      </w:pPr>
      <w:r>
        <w:rPr>
          <w:rFonts w:hint="default" w:ascii="Times New Roman" w:hAnsi="Times New Roman" w:eastAsia="宋体" w:cs="Times New Roman"/>
          <w:color w:val="auto"/>
          <w:sz w:val="24"/>
          <w:szCs w:val="20"/>
          <w:highlight w:val="none"/>
          <w:u w:val="none"/>
        </w:rPr>
        <w:t>降膜吸收是利用水溶性气体易溶于水或能与水混溶的特性。工作原理：水溶性废气通过顶部或底部进入塔内，吸收剂（水）通过布膜器沿垂直列管内壁以薄膜状下降，气体自上而下（并流）或自下而上（逆流）通过内壁空间，气液两相在流动液膜上进行传质，达到去除水溶性气体的目的。</w:t>
      </w:r>
    </w:p>
    <w:p>
      <w:pPr>
        <w:bidi w:val="0"/>
        <w:spacing w:line="480" w:lineRule="exact"/>
        <w:ind w:firstLine="480" w:firstLineChars="200"/>
        <w:rPr>
          <w:rFonts w:hint="default" w:ascii="Times New Roman" w:hAnsi="Times New Roman" w:eastAsia="宋体" w:cs="Times New Roman"/>
          <w:color w:val="auto"/>
          <w:sz w:val="24"/>
          <w:szCs w:val="20"/>
          <w:highlight w:val="none"/>
          <w:u w:val="none"/>
        </w:rPr>
      </w:pPr>
      <w:r>
        <w:rPr>
          <w:rFonts w:hint="default" w:ascii="Times New Roman" w:hAnsi="Times New Roman" w:eastAsia="宋体" w:cs="Times New Roman"/>
          <w:color w:val="auto"/>
          <w:sz w:val="24"/>
          <w:szCs w:val="20"/>
          <w:highlight w:val="none"/>
          <w:u w:val="none"/>
        </w:rPr>
        <w:t>降膜吸收器是一种常见的废气处理装置，用于水溶性气体的回收和净化，降膜吸收工艺如下图所示。</w:t>
      </w:r>
    </w:p>
    <w:p>
      <w:pPr>
        <w:spacing w:line="240" w:lineRule="auto"/>
        <w:ind w:firstLine="585" w:firstLineChars="0"/>
        <w:jc w:val="center"/>
        <w:rPr>
          <w:rFonts w:hint="default" w:ascii="Times New Roman" w:hAnsi="Times New Roman" w:eastAsia="宋体" w:cs="Times New Roman"/>
          <w:color w:val="auto"/>
          <w:sz w:val="28"/>
          <w:szCs w:val="28"/>
          <w:highlight w:val="none"/>
          <w:u w:val="none"/>
        </w:rPr>
      </w:pPr>
      <w:r>
        <w:rPr>
          <w:rFonts w:hint="default" w:ascii="Times New Roman" w:hAnsi="Times New Roman" w:eastAsia="宋体" w:cs="Times New Roman"/>
          <w:color w:val="auto"/>
          <w:sz w:val="28"/>
          <w:szCs w:val="28"/>
          <w:highlight w:val="none"/>
          <w:u w:val="none"/>
        </w:rPr>
        <w:drawing>
          <wp:inline distT="0" distB="0" distL="114300" distR="114300">
            <wp:extent cx="4348480" cy="4168140"/>
            <wp:effectExtent l="0" t="0" r="13970" b="3810"/>
            <wp:docPr id="647" name="图片 3" descr="1610502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3" descr="1610502067(1)"/>
                    <pic:cNvPicPr>
                      <a:picLocks noChangeAspect="1"/>
                    </pic:cNvPicPr>
                  </pic:nvPicPr>
                  <pic:blipFill>
                    <a:blip r:embed="rId20"/>
                    <a:srcRect l="15048" r="19001"/>
                    <a:stretch>
                      <a:fillRect/>
                    </a:stretch>
                  </pic:blipFill>
                  <pic:spPr>
                    <a:xfrm>
                      <a:off x="0" y="0"/>
                      <a:ext cx="4348480" cy="4168140"/>
                    </a:xfrm>
                    <a:prstGeom prst="rect">
                      <a:avLst/>
                    </a:prstGeom>
                    <a:noFill/>
                    <a:ln>
                      <a:noFill/>
                    </a:ln>
                  </pic:spPr>
                </pic:pic>
              </a:graphicData>
            </a:graphic>
          </wp:inline>
        </w:drawing>
      </w:r>
    </w:p>
    <w:p>
      <w:pPr>
        <w:pStyle w:val="9"/>
        <w:bidi w:val="0"/>
        <w:rPr>
          <w:rFonts w:hint="default" w:ascii="Times New Roman" w:hAnsi="Times New Roman" w:eastAsia="宋体" w:cs="Times New Roman"/>
          <w:b/>
          <w:bCs/>
          <w:color w:val="auto"/>
          <w:kern w:val="2"/>
          <w:sz w:val="24"/>
          <w:szCs w:val="28"/>
          <w:highlight w:val="none"/>
          <w:u w:val="none"/>
          <w:lang w:val="en-US" w:eastAsia="zh-CN" w:bidi="ar-SA"/>
        </w:rPr>
      </w:pPr>
      <w:r>
        <w:rPr>
          <w:rFonts w:hint="eastAsia" w:eastAsia="宋体" w:cs="Times New Roman"/>
          <w:b/>
          <w:bCs/>
          <w:color w:val="auto"/>
          <w:kern w:val="2"/>
          <w:sz w:val="24"/>
          <w:szCs w:val="28"/>
          <w:highlight w:val="none"/>
          <w:u w:val="none"/>
          <w:lang w:val="en-US" w:eastAsia="zh-CN" w:bidi="ar-SA"/>
        </w:rPr>
        <w:t xml:space="preserve"> </w:t>
      </w:r>
      <w:r>
        <w:rPr>
          <w:color w:val="auto"/>
          <w:highlight w:val="none"/>
          <w:u w:val="none"/>
        </w:rPr>
        <w:t xml:space="preserve">图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8.2</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图 \* ARABIC \s 2 </w:instrText>
      </w:r>
      <w:r>
        <w:rPr>
          <w:color w:val="auto"/>
          <w:highlight w:val="none"/>
          <w:u w:val="none"/>
        </w:rPr>
        <w:fldChar w:fldCharType="separate"/>
      </w:r>
      <w:r>
        <w:rPr>
          <w:color w:val="auto"/>
          <w:highlight w:val="none"/>
          <w:u w:val="none"/>
        </w:rPr>
        <w:t>2</w:t>
      </w:r>
      <w:r>
        <w:rPr>
          <w:color w:val="auto"/>
          <w:highlight w:val="none"/>
          <w:u w:val="none"/>
        </w:rPr>
        <w:fldChar w:fldCharType="end"/>
      </w:r>
      <w:r>
        <w:rPr>
          <w:rFonts w:hint="default" w:ascii="Times New Roman" w:hAnsi="Times New Roman" w:eastAsia="宋体" w:cs="Times New Roman"/>
          <w:b/>
          <w:bCs/>
          <w:color w:val="auto"/>
          <w:kern w:val="2"/>
          <w:sz w:val="24"/>
          <w:szCs w:val="28"/>
          <w:highlight w:val="none"/>
          <w:u w:val="none"/>
          <w:lang w:val="en-US" w:eastAsia="zh-CN" w:bidi="ar-SA"/>
        </w:rPr>
        <w:t xml:space="preserve">  降膜吸收示意图</w:t>
      </w:r>
    </w:p>
    <w:p>
      <w:pPr>
        <w:bidi w:val="0"/>
        <w:adjustRightInd w:val="0"/>
        <w:snapToGrid w:val="0"/>
        <w:spacing w:line="480" w:lineRule="exact"/>
        <w:ind w:firstLine="480" w:firstLineChars="200"/>
        <w:outlineLvl w:val="9"/>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（2）碱喷淋</w:t>
      </w:r>
    </w:p>
    <w:p>
      <w:pPr>
        <w:bidi w:val="0"/>
        <w:adjustRightInd w:val="0"/>
        <w:snapToGrid w:val="0"/>
        <w:spacing w:line="480" w:lineRule="exact"/>
        <w:ind w:firstLine="480" w:firstLineChars="200"/>
        <w:outlineLvl w:val="9"/>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碱液吸收塔是工业废气处理设备中的一种，由贮液箱、塔体、进风段、喷淋层、填料层、旋流除雾层、出风锥帽、观检孔等组成。碱液吸收塔的处理流程：在呈酸性或碱性的酸雾废气，内置有新式的阶梯环填料，气液接触比表面积大；当废气经过分配板，将气体均匀分布于多面空心球，每只呈点接触，罗列后呈“W”道路行走，避免有偏流景象，在合作龙卷式不堵塞的喷嘴，呈120度喷洒，使气液</w:t>
      </w:r>
      <w:r>
        <w:rPr>
          <w:rFonts w:hint="eastAsia" w:eastAsia="宋体" w:cs="Times New Roman"/>
          <w:color w:val="auto"/>
          <w:kern w:val="0"/>
          <w:sz w:val="24"/>
          <w:szCs w:val="24"/>
          <w:highlight w:val="none"/>
          <w:u w:val="none"/>
          <w:lang w:val="en-US" w:eastAsia="zh-CN"/>
        </w:rPr>
        <w:t>充分混合</w:t>
      </w:r>
      <w:r>
        <w:rPr>
          <w:rFonts w:hint="default" w:ascii="Times New Roman" w:hAnsi="Times New Roman" w:eastAsia="宋体" w:cs="Times New Roman"/>
          <w:color w:val="auto"/>
          <w:kern w:val="0"/>
          <w:sz w:val="24"/>
          <w:szCs w:val="24"/>
          <w:highlight w:val="none"/>
          <w:u w:val="none"/>
          <w:lang w:val="en-US" w:eastAsia="zh-CN"/>
        </w:rPr>
        <w:t>，经过逆流式吸收液（中和液NaOH）的雾化喷淋洗刷，从而到达洁净作用，再</w:t>
      </w:r>
      <w:r>
        <w:rPr>
          <w:rFonts w:hint="eastAsia" w:eastAsia="宋体" w:cs="Times New Roman"/>
          <w:color w:val="auto"/>
          <w:kern w:val="0"/>
          <w:sz w:val="24"/>
          <w:szCs w:val="24"/>
          <w:highlight w:val="none"/>
          <w:u w:val="none"/>
          <w:lang w:val="en-US" w:eastAsia="zh-CN"/>
        </w:rPr>
        <w:t>加上碱液的中和作用</w:t>
      </w:r>
      <w:r>
        <w:rPr>
          <w:rFonts w:hint="default" w:ascii="Times New Roman" w:hAnsi="Times New Roman" w:eastAsia="宋体" w:cs="Times New Roman"/>
          <w:color w:val="auto"/>
          <w:kern w:val="0"/>
          <w:sz w:val="24"/>
          <w:szCs w:val="24"/>
          <w:highlight w:val="none"/>
          <w:u w:val="none"/>
          <w:lang w:val="en-US" w:eastAsia="zh-CN"/>
        </w:rPr>
        <w:t>，可</w:t>
      </w:r>
      <w:r>
        <w:rPr>
          <w:rFonts w:hint="eastAsia" w:eastAsia="宋体" w:cs="Times New Roman"/>
          <w:color w:val="auto"/>
          <w:kern w:val="0"/>
          <w:sz w:val="24"/>
          <w:szCs w:val="24"/>
          <w:highlight w:val="none"/>
          <w:u w:val="none"/>
          <w:lang w:val="en-US" w:eastAsia="zh-CN"/>
        </w:rPr>
        <w:t>去除</w:t>
      </w:r>
      <w:r>
        <w:rPr>
          <w:rFonts w:hint="default" w:ascii="Times New Roman" w:hAnsi="Times New Roman" w:eastAsia="宋体" w:cs="Times New Roman"/>
          <w:color w:val="auto"/>
          <w:kern w:val="0"/>
          <w:sz w:val="24"/>
          <w:szCs w:val="24"/>
          <w:highlight w:val="none"/>
          <w:u w:val="none"/>
          <w:lang w:val="en-US" w:eastAsia="zh-CN"/>
        </w:rPr>
        <w:t>废气中</w:t>
      </w:r>
      <w:r>
        <w:rPr>
          <w:rFonts w:hint="eastAsia" w:eastAsia="宋体" w:cs="Times New Roman"/>
          <w:color w:val="auto"/>
          <w:kern w:val="0"/>
          <w:sz w:val="24"/>
          <w:szCs w:val="24"/>
          <w:highlight w:val="none"/>
          <w:u w:val="none"/>
          <w:lang w:val="en-US" w:eastAsia="zh-CN"/>
        </w:rPr>
        <w:t>大部分酸性气体</w:t>
      </w:r>
      <w:r>
        <w:rPr>
          <w:rFonts w:hint="default" w:ascii="Times New Roman" w:hAnsi="Times New Roman" w:eastAsia="宋体" w:cs="Times New Roman"/>
          <w:color w:val="auto"/>
          <w:kern w:val="0"/>
          <w:sz w:val="24"/>
          <w:szCs w:val="24"/>
          <w:highlight w:val="none"/>
          <w:u w:val="none"/>
          <w:lang w:val="en-US" w:eastAsia="zh-CN"/>
        </w:rPr>
        <w:t>。</w:t>
      </w:r>
    </w:p>
    <w:p>
      <w:pPr>
        <w:bidi w:val="0"/>
        <w:adjustRightInd w:val="0"/>
        <w:snapToGrid w:val="0"/>
        <w:spacing w:line="480" w:lineRule="exact"/>
        <w:ind w:firstLine="480" w:firstLineChars="200"/>
        <w:outlineLvl w:val="9"/>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rPr>
        <w:drawing>
          <wp:anchor distT="0" distB="0" distL="114300" distR="114300" simplePos="0" relativeHeight="251662336" behindDoc="0" locked="0" layoutInCell="1" allowOverlap="1">
            <wp:simplePos x="0" y="0"/>
            <wp:positionH relativeFrom="column">
              <wp:posOffset>-43815</wp:posOffset>
            </wp:positionH>
            <wp:positionV relativeFrom="paragraph">
              <wp:posOffset>15875</wp:posOffset>
            </wp:positionV>
            <wp:extent cx="5276215" cy="3826510"/>
            <wp:effectExtent l="0" t="0" r="12065" b="13970"/>
            <wp:wrapNone/>
            <wp:docPr id="72"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21"/>
                    <pic:cNvPicPr>
                      <a:picLocks noChangeAspect="1"/>
                    </pic:cNvPicPr>
                  </pic:nvPicPr>
                  <pic:blipFill>
                    <a:blip r:embed="rId21"/>
                    <a:stretch>
                      <a:fillRect/>
                    </a:stretch>
                  </pic:blipFill>
                  <pic:spPr>
                    <a:xfrm>
                      <a:off x="0" y="0"/>
                      <a:ext cx="5276215" cy="3826510"/>
                    </a:xfrm>
                    <a:prstGeom prst="rect">
                      <a:avLst/>
                    </a:prstGeom>
                    <a:noFill/>
                    <a:ln>
                      <a:noFill/>
                    </a:ln>
                  </pic:spPr>
                </pic:pic>
              </a:graphicData>
            </a:graphic>
          </wp:anchor>
        </w:drawing>
      </w:r>
    </w:p>
    <w:p>
      <w:pPr>
        <w:adjustRightInd w:val="0"/>
        <w:snapToGrid w:val="0"/>
        <w:spacing w:line="480" w:lineRule="exact"/>
        <w:ind w:firstLine="480" w:firstLineChars="200"/>
        <w:outlineLvl w:val="9"/>
        <w:rPr>
          <w:rFonts w:hint="default" w:ascii="Times New Roman" w:hAnsi="Times New Roman" w:eastAsia="宋体" w:cs="Times New Roman"/>
          <w:color w:val="auto"/>
          <w:sz w:val="24"/>
          <w:szCs w:val="24"/>
          <w:highlight w:val="none"/>
          <w:u w:val="none"/>
          <w:lang w:val="en-US" w:eastAsia="zh-CN"/>
        </w:rPr>
      </w:pPr>
    </w:p>
    <w:p>
      <w:pPr>
        <w:widowControl/>
        <w:tabs>
          <w:tab w:val="left" w:pos="3285"/>
        </w:tabs>
        <w:adjustRightInd w:val="0"/>
        <w:snapToGrid w:val="0"/>
        <w:spacing w:line="480" w:lineRule="exact"/>
        <w:ind w:left="113" w:right="113" w:firstLine="360" w:firstLineChars="200"/>
        <w:jc w:val="center"/>
        <w:outlineLvl w:val="9"/>
        <w:rPr>
          <w:rFonts w:hint="default" w:ascii="Times New Roman" w:hAnsi="Times New Roman" w:eastAsia="宋体" w:cs="Times New Roman"/>
          <w:color w:val="auto"/>
          <w:kern w:val="0"/>
          <w:sz w:val="18"/>
          <w:szCs w:val="24"/>
          <w:highlight w:val="none"/>
          <w:u w:val="none"/>
          <w:lang w:val="en-US" w:eastAsia="zh-CN" w:bidi="en-US"/>
        </w:rPr>
      </w:pPr>
    </w:p>
    <w:p>
      <w:pPr>
        <w:widowControl/>
        <w:tabs>
          <w:tab w:val="left" w:pos="3285"/>
        </w:tabs>
        <w:adjustRightInd w:val="0"/>
        <w:snapToGrid w:val="0"/>
        <w:spacing w:line="480" w:lineRule="exact"/>
        <w:ind w:left="113" w:right="113" w:firstLine="360" w:firstLineChars="200"/>
        <w:jc w:val="center"/>
        <w:outlineLvl w:val="9"/>
        <w:rPr>
          <w:rFonts w:hint="default" w:ascii="Times New Roman" w:hAnsi="Times New Roman" w:eastAsia="宋体" w:cs="Times New Roman"/>
          <w:color w:val="auto"/>
          <w:kern w:val="0"/>
          <w:sz w:val="18"/>
          <w:szCs w:val="24"/>
          <w:highlight w:val="none"/>
          <w:u w:val="none"/>
          <w:lang w:val="en-US" w:eastAsia="zh-CN" w:bidi="en-US"/>
        </w:rPr>
      </w:pPr>
    </w:p>
    <w:p>
      <w:pPr>
        <w:widowControl/>
        <w:tabs>
          <w:tab w:val="left" w:pos="3285"/>
        </w:tabs>
        <w:adjustRightInd w:val="0"/>
        <w:snapToGrid w:val="0"/>
        <w:spacing w:line="480" w:lineRule="exact"/>
        <w:ind w:left="113" w:right="113" w:firstLine="360" w:firstLineChars="200"/>
        <w:jc w:val="center"/>
        <w:outlineLvl w:val="9"/>
        <w:rPr>
          <w:rFonts w:hint="default" w:ascii="Times New Roman" w:hAnsi="Times New Roman" w:eastAsia="宋体" w:cs="Times New Roman"/>
          <w:color w:val="auto"/>
          <w:kern w:val="0"/>
          <w:sz w:val="18"/>
          <w:szCs w:val="24"/>
          <w:highlight w:val="none"/>
          <w:u w:val="none"/>
          <w:lang w:val="en-US" w:eastAsia="zh-CN" w:bidi="en-US"/>
        </w:rPr>
      </w:pPr>
    </w:p>
    <w:p>
      <w:pPr>
        <w:widowControl/>
        <w:tabs>
          <w:tab w:val="left" w:pos="3285"/>
        </w:tabs>
        <w:adjustRightInd w:val="0"/>
        <w:snapToGrid w:val="0"/>
        <w:spacing w:line="480" w:lineRule="exact"/>
        <w:ind w:left="113" w:right="113" w:firstLine="360" w:firstLineChars="200"/>
        <w:jc w:val="center"/>
        <w:outlineLvl w:val="9"/>
        <w:rPr>
          <w:rFonts w:hint="default" w:ascii="Times New Roman" w:hAnsi="Times New Roman" w:eastAsia="宋体" w:cs="Times New Roman"/>
          <w:color w:val="auto"/>
          <w:kern w:val="0"/>
          <w:sz w:val="18"/>
          <w:szCs w:val="24"/>
          <w:highlight w:val="none"/>
          <w:u w:val="none"/>
          <w:lang w:val="en-US" w:eastAsia="zh-CN" w:bidi="en-US"/>
        </w:rPr>
      </w:pPr>
    </w:p>
    <w:p>
      <w:pPr>
        <w:widowControl/>
        <w:tabs>
          <w:tab w:val="left" w:pos="3285"/>
        </w:tabs>
        <w:adjustRightInd w:val="0"/>
        <w:snapToGrid w:val="0"/>
        <w:spacing w:line="480" w:lineRule="exact"/>
        <w:ind w:left="113" w:right="113" w:firstLine="360" w:firstLineChars="200"/>
        <w:jc w:val="center"/>
        <w:outlineLvl w:val="9"/>
        <w:rPr>
          <w:rFonts w:hint="default" w:ascii="Times New Roman" w:hAnsi="Times New Roman" w:eastAsia="宋体" w:cs="Times New Roman"/>
          <w:color w:val="auto"/>
          <w:kern w:val="0"/>
          <w:sz w:val="18"/>
          <w:szCs w:val="24"/>
          <w:highlight w:val="none"/>
          <w:u w:val="none"/>
          <w:lang w:val="en-US" w:eastAsia="zh-CN" w:bidi="en-US"/>
        </w:rPr>
      </w:pPr>
    </w:p>
    <w:p>
      <w:pPr>
        <w:widowControl/>
        <w:tabs>
          <w:tab w:val="left" w:pos="3285"/>
        </w:tabs>
        <w:adjustRightInd w:val="0"/>
        <w:snapToGrid w:val="0"/>
        <w:spacing w:line="480" w:lineRule="exact"/>
        <w:ind w:left="113" w:right="113" w:firstLine="360" w:firstLineChars="200"/>
        <w:jc w:val="center"/>
        <w:outlineLvl w:val="9"/>
        <w:rPr>
          <w:rFonts w:hint="default" w:ascii="Times New Roman" w:hAnsi="Times New Roman" w:eastAsia="宋体" w:cs="Times New Roman"/>
          <w:color w:val="auto"/>
          <w:kern w:val="0"/>
          <w:sz w:val="18"/>
          <w:szCs w:val="24"/>
          <w:highlight w:val="none"/>
          <w:u w:val="none"/>
          <w:lang w:val="en-US" w:eastAsia="zh-CN" w:bidi="en-US"/>
        </w:rPr>
      </w:pPr>
    </w:p>
    <w:p>
      <w:pPr>
        <w:widowControl/>
        <w:tabs>
          <w:tab w:val="left" w:pos="3285"/>
        </w:tabs>
        <w:adjustRightInd w:val="0"/>
        <w:snapToGrid w:val="0"/>
        <w:spacing w:line="480" w:lineRule="exact"/>
        <w:ind w:left="113" w:right="113" w:firstLine="360" w:firstLineChars="200"/>
        <w:jc w:val="center"/>
        <w:outlineLvl w:val="9"/>
        <w:rPr>
          <w:rFonts w:hint="default" w:ascii="Times New Roman" w:hAnsi="Times New Roman" w:eastAsia="宋体" w:cs="Times New Roman"/>
          <w:color w:val="auto"/>
          <w:kern w:val="0"/>
          <w:sz w:val="18"/>
          <w:szCs w:val="24"/>
          <w:highlight w:val="none"/>
          <w:u w:val="none"/>
          <w:lang w:val="en-US" w:eastAsia="zh-CN" w:bidi="en-US"/>
        </w:rPr>
      </w:pPr>
    </w:p>
    <w:p>
      <w:pPr>
        <w:widowControl/>
        <w:tabs>
          <w:tab w:val="left" w:pos="3285"/>
        </w:tabs>
        <w:adjustRightInd w:val="0"/>
        <w:snapToGrid w:val="0"/>
        <w:spacing w:line="480" w:lineRule="exact"/>
        <w:ind w:left="113" w:right="113" w:firstLine="360" w:firstLineChars="200"/>
        <w:jc w:val="center"/>
        <w:outlineLvl w:val="9"/>
        <w:rPr>
          <w:rFonts w:hint="default" w:ascii="Times New Roman" w:hAnsi="Times New Roman" w:eastAsia="宋体" w:cs="Times New Roman"/>
          <w:color w:val="auto"/>
          <w:kern w:val="0"/>
          <w:sz w:val="18"/>
          <w:szCs w:val="24"/>
          <w:highlight w:val="none"/>
          <w:u w:val="none"/>
          <w:lang w:val="en-US" w:eastAsia="zh-CN" w:bidi="en-US"/>
        </w:rPr>
      </w:pP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p>
    <w:p>
      <w:pPr>
        <w:pStyle w:val="9"/>
        <w:bidi w:val="0"/>
        <w:rPr>
          <w:rFonts w:hint="default" w:ascii="Times New Roman" w:hAnsi="Times New Roman" w:eastAsia="宋体" w:cs="Times New Roman"/>
          <w:b/>
          <w:bCs/>
          <w:color w:val="auto"/>
          <w:kern w:val="2"/>
          <w:sz w:val="24"/>
          <w:szCs w:val="24"/>
          <w:highlight w:val="none"/>
          <w:u w:val="none"/>
          <w:lang w:val="en-US" w:eastAsia="zh-CN" w:bidi="ar-SA"/>
        </w:rPr>
      </w:pPr>
      <w:r>
        <w:rPr>
          <w:rFonts w:hint="eastAsia" w:eastAsia="宋体" w:cs="Times New Roman"/>
          <w:b/>
          <w:bCs/>
          <w:color w:val="auto"/>
          <w:kern w:val="2"/>
          <w:sz w:val="24"/>
          <w:szCs w:val="24"/>
          <w:highlight w:val="none"/>
          <w:u w:val="none"/>
          <w:lang w:val="en-US" w:eastAsia="zh-CN" w:bidi="ar-SA"/>
        </w:rPr>
        <w:t xml:space="preserve"> </w:t>
      </w:r>
      <w:r>
        <w:rPr>
          <w:color w:val="auto"/>
          <w:highlight w:val="none"/>
          <w:u w:val="none"/>
        </w:rPr>
        <w:t xml:space="preserve">图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8.2</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图 \* ARABIC \s 2 </w:instrText>
      </w:r>
      <w:r>
        <w:rPr>
          <w:color w:val="auto"/>
          <w:highlight w:val="none"/>
          <w:u w:val="none"/>
        </w:rPr>
        <w:fldChar w:fldCharType="separate"/>
      </w:r>
      <w:r>
        <w:rPr>
          <w:color w:val="auto"/>
          <w:highlight w:val="none"/>
          <w:u w:val="none"/>
        </w:rPr>
        <w:t>3</w:t>
      </w:r>
      <w:r>
        <w:rPr>
          <w:color w:val="auto"/>
          <w:highlight w:val="none"/>
          <w:u w:val="none"/>
        </w:rPr>
        <w:fldChar w:fldCharType="end"/>
      </w:r>
      <w:r>
        <w:rPr>
          <w:rFonts w:hint="default" w:ascii="Times New Roman" w:hAnsi="Times New Roman" w:eastAsia="宋体" w:cs="Times New Roman"/>
          <w:b/>
          <w:bCs/>
          <w:color w:val="auto"/>
          <w:kern w:val="2"/>
          <w:sz w:val="24"/>
          <w:szCs w:val="24"/>
          <w:highlight w:val="none"/>
          <w:u w:val="none"/>
          <w:lang w:val="en-US" w:eastAsia="zh-CN" w:bidi="ar-SA"/>
        </w:rPr>
        <w:t xml:space="preserve">  碱喷淋塔示意图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本项目生产过程中部分工段产生的氯化氢气体量较大，吸收生成副产品盐酸，由于水吸收盐酸过程放出热量，喷淋吸收塔是绝热吸收，吸收热不能及时移走，吸收率较低。降膜吸收器是在列管内进行吸收氯化氢，同时吸收热经石墨列管壁导给列管外冷却水，吸收率高，由于降膜吸收塔强化了吸收过程的传热，氯化氢吸收效率可达99%以上。喷淋塔吸收效率相对较低，对氯化氢、溴化氢吸收效率高于95%，对于硫酸、硝酸高于90%。因此，对于氯化氢产生量较大的</w:t>
      </w:r>
      <w:r>
        <w:rPr>
          <w:rFonts w:hint="eastAsia" w:eastAsia="宋体" w:cs="Times New Roman"/>
          <w:color w:val="auto"/>
          <w:kern w:val="0"/>
          <w:sz w:val="24"/>
          <w:szCs w:val="24"/>
          <w:highlight w:val="none"/>
          <w:u w:val="none"/>
          <w:lang w:val="en-US" w:eastAsia="zh-CN"/>
        </w:rPr>
        <w:t>5车间</w:t>
      </w:r>
      <w:r>
        <w:rPr>
          <w:rFonts w:hint="default" w:ascii="Times New Roman" w:hAnsi="Times New Roman" w:eastAsia="宋体" w:cs="Times New Roman"/>
          <w:color w:val="auto"/>
          <w:kern w:val="0"/>
          <w:sz w:val="24"/>
          <w:szCs w:val="24"/>
          <w:highlight w:val="none"/>
          <w:u w:val="none"/>
          <w:lang w:val="en-US" w:eastAsia="zh-CN"/>
        </w:rPr>
        <w:t>、</w:t>
      </w:r>
      <w:r>
        <w:rPr>
          <w:rFonts w:hint="eastAsia" w:eastAsia="宋体" w:cs="Times New Roman"/>
          <w:color w:val="auto"/>
          <w:kern w:val="0"/>
          <w:sz w:val="24"/>
          <w:szCs w:val="24"/>
          <w:highlight w:val="none"/>
          <w:u w:val="none"/>
          <w:lang w:val="en-US" w:eastAsia="zh-CN"/>
        </w:rPr>
        <w:t>7车间</w:t>
      </w:r>
      <w:r>
        <w:rPr>
          <w:rFonts w:hint="default" w:ascii="Times New Roman" w:hAnsi="Times New Roman" w:eastAsia="宋体" w:cs="Times New Roman"/>
          <w:color w:val="auto"/>
          <w:kern w:val="0"/>
          <w:sz w:val="24"/>
          <w:szCs w:val="24"/>
          <w:highlight w:val="none"/>
          <w:u w:val="none"/>
          <w:lang w:val="en-US" w:eastAsia="zh-CN"/>
        </w:rPr>
        <w:t>、</w:t>
      </w:r>
      <w:r>
        <w:rPr>
          <w:rFonts w:hint="eastAsia" w:eastAsia="宋体" w:cs="Times New Roman"/>
          <w:color w:val="auto"/>
          <w:kern w:val="0"/>
          <w:sz w:val="24"/>
          <w:szCs w:val="24"/>
          <w:highlight w:val="none"/>
          <w:u w:val="none"/>
          <w:lang w:val="en-US" w:eastAsia="zh-CN"/>
        </w:rPr>
        <w:t>9车间</w:t>
      </w:r>
      <w:r>
        <w:rPr>
          <w:rFonts w:hint="default" w:ascii="Times New Roman" w:hAnsi="Times New Roman" w:eastAsia="宋体" w:cs="Times New Roman"/>
          <w:color w:val="auto"/>
          <w:kern w:val="0"/>
          <w:sz w:val="24"/>
          <w:szCs w:val="24"/>
          <w:highlight w:val="none"/>
          <w:u w:val="none"/>
          <w:lang w:val="en-US" w:eastAsia="zh-CN"/>
        </w:rPr>
        <w:t>、</w:t>
      </w:r>
      <w:r>
        <w:rPr>
          <w:rFonts w:hint="eastAsia" w:eastAsia="宋体" w:cs="Times New Roman"/>
          <w:color w:val="auto"/>
          <w:kern w:val="0"/>
          <w:sz w:val="24"/>
          <w:szCs w:val="24"/>
          <w:highlight w:val="none"/>
          <w:u w:val="none"/>
          <w:lang w:val="en-US" w:eastAsia="zh-CN"/>
        </w:rPr>
        <w:t>10车间</w:t>
      </w:r>
      <w:r>
        <w:rPr>
          <w:rFonts w:hint="default" w:ascii="Times New Roman" w:hAnsi="Times New Roman" w:eastAsia="宋体" w:cs="Times New Roman"/>
          <w:color w:val="auto"/>
          <w:kern w:val="0"/>
          <w:sz w:val="24"/>
          <w:szCs w:val="24"/>
          <w:highlight w:val="none"/>
          <w:u w:val="none"/>
          <w:lang w:val="en-US" w:eastAsia="zh-CN"/>
        </w:rPr>
        <w:t>，使用降膜吸收+2级碱喷淋预处理装置除酸，氯化氢、溴化氢去除效率可达99.95%，硫酸、硝酸去除效率可达99.9%，二氧化硫去除效率可达99.5%；对于氯化氢等酸性废气产生量较少的</w:t>
      </w:r>
      <w:r>
        <w:rPr>
          <w:rFonts w:hint="eastAsia" w:eastAsia="宋体" w:cs="Times New Roman"/>
          <w:color w:val="auto"/>
          <w:kern w:val="0"/>
          <w:sz w:val="24"/>
          <w:szCs w:val="24"/>
          <w:highlight w:val="none"/>
          <w:u w:val="none"/>
          <w:lang w:val="en-US" w:eastAsia="zh-CN"/>
        </w:rPr>
        <w:t>1车间</w:t>
      </w:r>
      <w:r>
        <w:rPr>
          <w:rFonts w:hint="default" w:ascii="Times New Roman" w:hAnsi="Times New Roman" w:eastAsia="宋体" w:cs="Times New Roman"/>
          <w:color w:val="auto"/>
          <w:kern w:val="0"/>
          <w:sz w:val="24"/>
          <w:szCs w:val="24"/>
          <w:highlight w:val="none"/>
          <w:u w:val="none"/>
          <w:lang w:val="en-US" w:eastAsia="zh-CN"/>
        </w:rPr>
        <w:t>、</w:t>
      </w:r>
      <w:r>
        <w:rPr>
          <w:rFonts w:hint="eastAsia" w:eastAsia="宋体" w:cs="Times New Roman"/>
          <w:color w:val="auto"/>
          <w:kern w:val="0"/>
          <w:sz w:val="24"/>
          <w:szCs w:val="24"/>
          <w:highlight w:val="none"/>
          <w:u w:val="none"/>
          <w:lang w:val="en-US" w:eastAsia="zh-CN"/>
        </w:rPr>
        <w:t>3车间</w:t>
      </w:r>
      <w:r>
        <w:rPr>
          <w:rFonts w:hint="default" w:ascii="Times New Roman" w:hAnsi="Times New Roman" w:eastAsia="宋体" w:cs="Times New Roman"/>
          <w:color w:val="auto"/>
          <w:kern w:val="0"/>
          <w:sz w:val="24"/>
          <w:szCs w:val="24"/>
          <w:highlight w:val="none"/>
          <w:u w:val="none"/>
          <w:lang w:val="en-US" w:eastAsia="zh-CN"/>
        </w:rPr>
        <w:t>，采用2级碱喷淋预处理装置除酸，氯化氢、溴化氢去除效率可达99.7%，硫酸、硝酸去除效率可达99%，二氧化硫去除效率可达96%。</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根据现有工程验收监测结果（现有工程同样会产生酸性气体，特别是氯化氢废气产生量较大），现有工程废气经降膜吸收+碱喷淋组合工艺预处理后，氯化氢浓度在1mg/m</w:t>
      </w:r>
      <w:r>
        <w:rPr>
          <w:rFonts w:hint="default" w:ascii="Times New Roman" w:hAnsi="Times New Roman" w:eastAsia="宋体" w:cs="Times New Roman"/>
          <w:color w:val="auto"/>
          <w:kern w:val="0"/>
          <w:sz w:val="24"/>
          <w:szCs w:val="24"/>
          <w:highlight w:val="none"/>
          <w:u w:val="none"/>
          <w:vertAlign w:val="superscript"/>
          <w:lang w:val="en-US" w:eastAsia="zh-CN"/>
        </w:rPr>
        <w:t>3</w:t>
      </w:r>
      <w:r>
        <w:rPr>
          <w:rFonts w:hint="default" w:ascii="Times New Roman" w:hAnsi="Times New Roman" w:eastAsia="宋体" w:cs="Times New Roman"/>
          <w:color w:val="auto"/>
          <w:kern w:val="0"/>
          <w:sz w:val="24"/>
          <w:szCs w:val="24"/>
          <w:highlight w:val="none"/>
          <w:u w:val="none"/>
          <w:lang w:val="en-US" w:eastAsia="zh-CN"/>
        </w:rPr>
        <w:t>以下，处理效果较好。</w:t>
      </w:r>
    </w:p>
    <w:p>
      <w:pPr>
        <w:pStyle w:val="4"/>
        <w:bidi w:val="0"/>
        <w:rPr>
          <w:rFonts w:hint="default"/>
          <w:color w:val="auto"/>
          <w:highlight w:val="none"/>
          <w:u w:val="none"/>
          <w:lang w:val="en-US" w:eastAsia="zh-CN"/>
        </w:rPr>
      </w:pPr>
      <w:bookmarkStart w:id="15" w:name="_Toc21613"/>
      <w:r>
        <w:rPr>
          <w:rFonts w:hint="default"/>
          <w:color w:val="auto"/>
          <w:highlight w:val="none"/>
          <w:u w:val="none"/>
          <w:lang w:val="en-US" w:eastAsia="zh-CN"/>
        </w:rPr>
        <w:t>含尘废气防治措施</w:t>
      </w:r>
      <w:bookmarkEnd w:id="15"/>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项目中间品及产品干燥及包装时，将产生干燥粉尘与包装粉尘。项目采用</w:t>
      </w:r>
      <w:r>
        <w:rPr>
          <w:rFonts w:hint="default" w:ascii="Times New Roman" w:hAnsi="Times New Roman" w:cs="Times New Roman"/>
          <w:color w:val="auto"/>
          <w:sz w:val="24"/>
          <w:szCs w:val="32"/>
          <w:highlight w:val="none"/>
          <w:u w:val="none"/>
          <w:lang w:val="en-US" w:eastAsia="zh-CN"/>
        </w:rPr>
        <w:t>双锥回转真空干燥机对</w:t>
      </w:r>
      <w:r>
        <w:rPr>
          <w:rFonts w:hint="default" w:ascii="Times New Roman" w:hAnsi="Times New Roman" w:eastAsia="宋体" w:cs="Times New Roman"/>
          <w:color w:val="auto"/>
          <w:sz w:val="24"/>
          <w:szCs w:val="24"/>
          <w:highlight w:val="none"/>
          <w:u w:val="none"/>
          <w:lang w:val="en-US" w:eastAsia="zh-CN"/>
        </w:rPr>
        <w:t>中间品与产品进行干燥。干燥过程全密闭，罐体内处于真空状态，干燥过程无粉尘外逸。干燥时罐体的回转使物料不断的上下、内外翻动，故加快了物料的干燥速度，能提高干燥效率，并可以提高物料干燥的均匀度。抽真空过程抽出的产品粉尘经过滤芯过滤回收至干燥机罐体内，未能回收的</w:t>
      </w:r>
      <w:r>
        <w:rPr>
          <w:rFonts w:hint="eastAsia" w:eastAsia="宋体" w:cs="Times New Roman"/>
          <w:color w:val="auto"/>
          <w:sz w:val="24"/>
          <w:szCs w:val="24"/>
          <w:highlight w:val="none"/>
          <w:u w:val="none"/>
          <w:lang w:val="en-US" w:eastAsia="zh-CN"/>
        </w:rPr>
        <w:t>微量</w:t>
      </w:r>
      <w:r>
        <w:rPr>
          <w:rFonts w:hint="default" w:ascii="Times New Roman" w:hAnsi="Times New Roman" w:eastAsia="宋体" w:cs="Times New Roman"/>
          <w:color w:val="auto"/>
          <w:sz w:val="24"/>
          <w:szCs w:val="24"/>
          <w:highlight w:val="none"/>
          <w:u w:val="none"/>
          <w:lang w:val="en-US" w:eastAsia="zh-CN"/>
        </w:rPr>
        <w:t>粉尘随集气管道进入RTO装置</w:t>
      </w:r>
      <w:r>
        <w:rPr>
          <w:rFonts w:hint="eastAsia" w:eastAsia="宋体" w:cs="Times New Roman"/>
          <w:color w:val="auto"/>
          <w:sz w:val="24"/>
          <w:szCs w:val="24"/>
          <w:highlight w:val="none"/>
          <w:u w:val="none"/>
          <w:lang w:val="en-US" w:eastAsia="zh-CN"/>
        </w:rPr>
        <w:t>过滤箱再次过滤</w:t>
      </w:r>
      <w:r>
        <w:rPr>
          <w:rFonts w:hint="default" w:ascii="Times New Roman" w:hAnsi="Times New Roman" w:eastAsia="宋体" w:cs="Times New Roman"/>
          <w:color w:val="auto"/>
          <w:sz w:val="24"/>
          <w:szCs w:val="24"/>
          <w:highlight w:val="none"/>
          <w:u w:val="none"/>
          <w:lang w:val="en-US" w:eastAsia="zh-CN"/>
        </w:rPr>
        <w:t>。完成干燥的中间品与产品需进行粗包装（无需精确计量），包装时，将排空气体的包装袋开口套在在双锥干燥机下方出料口处，使用设备自带螺丝紧固并不留空隙，然后打开干燥机阀门放料至包装袋内，包装袋使用含薄膜内衬的包装袋，中间品与产品粗包装过程基本无粉尘产生。</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项目产品经各车间内双锥干燥机干燥并粗包装后，转入包装间进行精包装（精密控制每袋产品质量）。由于不同批次的产品质量、含水率等存在差异，故需将不同批次的产品在包装间内通过双锥真空干燥机进行混合干燥。干燥后的物料通过下料口放料至下方的料桶内，料桶内垫有带薄膜内衬的包装袋，放料完毕进行人工称量并调整每袋产品的质量，确保各包装袋产品质量相同后扎口包装，产品向双锥真空干燥机投料、双锥真空干燥机放料至料桶、人工称量与调整质量过程将产生粉尘，包装间整体抽风形成微负压，抽出的含尘废气经车间外袋式除尘器处理后经15m高排气筒排放。</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袋式除尘器是一种含尘气体通过滤袋滤去其中粉尘离子的分离捕集装置，是过滤式除尘器的一种，广泛应用于净化含有微小粉尘离子的气体，可满足处理不同气量的含尘气体的要求，且可以捕集多种干性粉尘，净化效率达到9</w:t>
      </w:r>
      <w:r>
        <w:rPr>
          <w:rFonts w:hint="default" w:ascii="Times New Roman" w:hAnsi="Times New Roman" w:eastAsia="宋体" w:cs="Times New Roman"/>
          <w:color w:val="auto"/>
          <w:sz w:val="24"/>
          <w:szCs w:val="24"/>
          <w:highlight w:val="none"/>
          <w:u w:val="none"/>
          <w:lang w:val="en-US" w:eastAsia="zh-CN"/>
        </w:rPr>
        <w:t>9</w:t>
      </w:r>
      <w:r>
        <w:rPr>
          <w:rFonts w:hint="default" w:ascii="Times New Roman" w:hAnsi="Times New Roman" w:eastAsia="宋体" w:cs="Times New Roman"/>
          <w:color w:val="auto"/>
          <w:sz w:val="24"/>
          <w:szCs w:val="24"/>
          <w:highlight w:val="none"/>
          <w:u w:val="none"/>
        </w:rPr>
        <w:t>%以上。袋式除尘器运行稳定，没有污泥处理及腐蚀问题，操作、维护简单，目前该除尘器在处理含尘气体方面广泛应用。袋式除尘器工艺流程图见</w:t>
      </w:r>
      <w:r>
        <w:rPr>
          <w:rFonts w:hint="default" w:ascii="Times New Roman" w:hAnsi="Times New Roman" w:eastAsia="宋体" w:cs="Times New Roman"/>
          <w:color w:val="auto"/>
          <w:sz w:val="24"/>
          <w:szCs w:val="24"/>
          <w:highlight w:val="none"/>
          <w:u w:val="none"/>
        </w:rPr>
        <w:fldChar w:fldCharType="begin"/>
      </w:r>
      <w:r>
        <w:rPr>
          <w:rFonts w:hint="default" w:ascii="Times New Roman" w:hAnsi="Times New Roman" w:eastAsia="宋体" w:cs="Times New Roman"/>
          <w:color w:val="auto"/>
          <w:sz w:val="24"/>
          <w:szCs w:val="24"/>
          <w:highlight w:val="none"/>
          <w:u w:val="none"/>
        </w:rPr>
        <w:instrText xml:space="preserve"> REF _Ref24419 \h </w:instrText>
      </w:r>
      <w:r>
        <w:rPr>
          <w:rFonts w:hint="default" w:ascii="Times New Roman" w:hAnsi="Times New Roman" w:eastAsia="宋体" w:cs="Times New Roman"/>
          <w:color w:val="auto"/>
          <w:sz w:val="24"/>
          <w:szCs w:val="24"/>
          <w:highlight w:val="none"/>
          <w:u w:val="none"/>
        </w:rPr>
        <w:fldChar w:fldCharType="separate"/>
      </w:r>
      <w:r>
        <w:rPr>
          <w:color w:val="auto"/>
          <w:highlight w:val="none"/>
          <w:u w:val="none"/>
        </w:rPr>
        <w:t xml:space="preserve">图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8.2</w:t>
      </w:r>
      <w:r>
        <w:rPr>
          <w:color w:val="auto"/>
          <w:highlight w:val="none"/>
          <w:u w:val="none"/>
        </w:rPr>
        <w:fldChar w:fldCharType="end"/>
      </w:r>
      <w:r>
        <w:rPr>
          <w:rFonts w:hint="eastAsia"/>
          <w:color w:val="auto"/>
          <w:highlight w:val="none"/>
          <w:u w:val="none"/>
          <w:lang w:eastAsia="zh-CN"/>
        </w:rPr>
        <w:t>-</w:t>
      </w:r>
      <w:r>
        <w:rPr>
          <w:color w:val="auto"/>
          <w:highlight w:val="none"/>
          <w:u w:val="none"/>
        </w:rPr>
        <w:t>4</w:t>
      </w:r>
      <w:r>
        <w:rPr>
          <w:rFonts w:hint="default" w:ascii="Times New Roman" w:hAnsi="Times New Roman" w:eastAsia="宋体" w:cs="Times New Roman"/>
          <w:color w:val="auto"/>
          <w:sz w:val="24"/>
          <w:szCs w:val="24"/>
          <w:highlight w:val="none"/>
          <w:u w:val="none"/>
        </w:rPr>
        <w:fldChar w:fldCharType="end"/>
      </w:r>
      <w:r>
        <w:rPr>
          <w:rFonts w:hint="default" w:ascii="Times New Roman" w:hAnsi="Times New Roman" w:eastAsia="宋体" w:cs="Times New Roman"/>
          <w:color w:val="auto"/>
          <w:sz w:val="24"/>
          <w:szCs w:val="24"/>
          <w:highlight w:val="none"/>
          <w:u w:val="none"/>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u w:val="none"/>
        </w:rPr>
      </w:pPr>
      <w:r>
        <w:rPr>
          <w:color w:val="auto"/>
          <w:sz w:val="24"/>
          <w:highlight w:val="none"/>
          <w:u w:val="none"/>
        </w:rPr>
        <w:drawing>
          <wp:anchor distT="0" distB="0" distL="114300" distR="114300" simplePos="0" relativeHeight="251663360" behindDoc="0" locked="0" layoutInCell="1" allowOverlap="1">
            <wp:simplePos x="0" y="0"/>
            <wp:positionH relativeFrom="column">
              <wp:posOffset>810260</wp:posOffset>
            </wp:positionH>
            <wp:positionV relativeFrom="paragraph">
              <wp:posOffset>210185</wp:posOffset>
            </wp:positionV>
            <wp:extent cx="3452495" cy="2663825"/>
            <wp:effectExtent l="19050" t="19050" r="33655" b="29845"/>
            <wp:wrapNone/>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22"/>
                    <a:stretch>
                      <a:fillRect/>
                    </a:stretch>
                  </pic:blipFill>
                  <pic:spPr>
                    <a:xfrm>
                      <a:off x="1675130" y="1766570"/>
                      <a:ext cx="3452495" cy="2663825"/>
                    </a:xfrm>
                    <a:prstGeom prst="rect">
                      <a:avLst/>
                    </a:prstGeom>
                    <a:noFill/>
                    <a:ln w="19050" cap="flat" cmpd="sng">
                      <a:solidFill>
                        <a:srgbClr val="000000"/>
                      </a:solidFill>
                      <a:prstDash val="solid"/>
                      <a:miter/>
                      <a:headEnd type="none" w="med" len="med"/>
                      <a:tailEnd type="none" w="med" len="med"/>
                    </a:ln>
                    <a:effectLst/>
                  </pic:spPr>
                </pic:pic>
              </a:graphicData>
            </a:graphic>
          </wp:anchor>
        </w:drawing>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u w:val="none"/>
        </w:rPr>
      </w:pPr>
    </w:p>
    <w:p>
      <w:pPr>
        <w:widowControl/>
        <w:tabs>
          <w:tab w:val="left" w:pos="3285"/>
        </w:tabs>
        <w:adjustRightInd w:val="0"/>
        <w:snapToGrid w:val="0"/>
        <w:spacing w:line="480" w:lineRule="exact"/>
        <w:ind w:left="1680" w:right="1680" w:firstLine="360" w:firstLineChars="200"/>
        <w:jc w:val="center"/>
        <w:rPr>
          <w:rFonts w:hint="default" w:ascii="Times New Roman" w:hAnsi="Times New Roman" w:eastAsia="宋体" w:cs="Times New Roman"/>
          <w:color w:val="auto"/>
          <w:kern w:val="0"/>
          <w:sz w:val="18"/>
          <w:szCs w:val="24"/>
          <w:highlight w:val="none"/>
          <w:u w:val="none"/>
          <w:lang w:val="en-US" w:eastAsia="en-US" w:bidi="en-US"/>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rPr>
      </w:pPr>
    </w:p>
    <w:p>
      <w:pPr>
        <w:numPr>
          <w:ilvl w:val="0"/>
          <w:numId w:val="0"/>
        </w:numPr>
        <w:tabs>
          <w:tab w:val="left" w:pos="360"/>
        </w:tabs>
        <w:spacing w:before="0" w:after="0" w:line="276" w:lineRule="auto"/>
        <w:ind w:firstLine="420" w:firstLineChars="200"/>
        <w:jc w:val="both"/>
        <w:outlineLvl w:val="9"/>
        <w:rPr>
          <w:rFonts w:hint="default" w:ascii="Times New Roman" w:hAnsi="Times New Roman" w:eastAsia="宋体" w:cs="Times New Roman"/>
          <w:color w:val="auto"/>
          <w:sz w:val="21"/>
          <w:szCs w:val="22"/>
          <w:highlight w:val="none"/>
          <w:u w:val="none"/>
          <w:lang w:val="en-US" w:eastAsia="zh-CN" w:bidi="ar-SA"/>
        </w:rPr>
      </w:pPr>
    </w:p>
    <w:p>
      <w:pPr>
        <w:widowControl w:val="0"/>
        <w:adjustRightInd w:val="0"/>
        <w:snapToGrid w:val="0"/>
        <w:spacing w:line="480" w:lineRule="exact"/>
        <w:ind w:firstLine="480" w:firstLineChars="200"/>
        <w:jc w:val="left"/>
        <w:rPr>
          <w:rFonts w:hint="default" w:ascii="Times New Roman" w:hAnsi="Times New Roman" w:eastAsia="宋体" w:cs="Times New Roman"/>
          <w:color w:val="auto"/>
          <w:kern w:val="2"/>
          <w:sz w:val="24"/>
          <w:szCs w:val="24"/>
          <w:highlight w:val="none"/>
          <w:u w:val="none"/>
          <w:lang w:val="en-US" w:eastAsia="zh-CN" w:bidi="ar-SA"/>
        </w:rPr>
      </w:pPr>
    </w:p>
    <w:p>
      <w:pPr>
        <w:widowControl w:val="0"/>
        <w:adjustRightInd w:val="0"/>
        <w:snapToGrid w:val="0"/>
        <w:spacing w:line="480" w:lineRule="exact"/>
        <w:ind w:firstLine="480" w:firstLineChars="200"/>
        <w:jc w:val="left"/>
        <w:rPr>
          <w:rFonts w:hint="default" w:ascii="Times New Roman" w:hAnsi="Times New Roman" w:eastAsia="宋体" w:cs="Times New Roman"/>
          <w:color w:val="auto"/>
          <w:kern w:val="2"/>
          <w:sz w:val="24"/>
          <w:szCs w:val="24"/>
          <w:highlight w:val="none"/>
          <w:u w:val="none"/>
          <w:lang w:val="en-US" w:eastAsia="zh-CN" w:bidi="ar-SA"/>
        </w:rPr>
      </w:pPr>
    </w:p>
    <w:p>
      <w:pPr>
        <w:bidi w:val="0"/>
        <w:adjustRightInd w:val="0"/>
        <w:snapToGrid w:val="0"/>
        <w:spacing w:line="480" w:lineRule="exact"/>
        <w:ind w:left="0" w:leftChars="0" w:firstLine="638" w:firstLineChars="266"/>
        <w:outlineLvl w:val="9"/>
        <w:rPr>
          <w:rFonts w:hint="default" w:ascii="Times New Roman" w:hAnsi="Times New Roman" w:eastAsia="宋体" w:cs="Times New Roman"/>
          <w:b w:val="0"/>
          <w:bCs w:val="0"/>
          <w:color w:val="auto"/>
          <w:sz w:val="24"/>
          <w:szCs w:val="24"/>
          <w:highlight w:val="none"/>
          <w:u w:val="none"/>
          <w:lang w:val="en-US" w:eastAsia="zh-CN"/>
        </w:rPr>
      </w:pPr>
    </w:p>
    <w:p>
      <w:pPr>
        <w:bidi w:val="0"/>
        <w:adjustRightInd w:val="0"/>
        <w:snapToGrid w:val="0"/>
        <w:spacing w:line="480" w:lineRule="exact"/>
        <w:ind w:left="0" w:leftChars="0" w:firstLine="638" w:firstLineChars="266"/>
        <w:outlineLvl w:val="9"/>
        <w:rPr>
          <w:rFonts w:hint="default" w:ascii="Times New Roman" w:hAnsi="Times New Roman" w:eastAsia="宋体" w:cs="Times New Roman"/>
          <w:b w:val="0"/>
          <w:bCs w:val="0"/>
          <w:color w:val="auto"/>
          <w:sz w:val="24"/>
          <w:szCs w:val="24"/>
          <w:highlight w:val="none"/>
          <w:u w:val="none"/>
          <w:lang w:val="en-US" w:eastAsia="zh-CN"/>
        </w:rPr>
      </w:pPr>
    </w:p>
    <w:p>
      <w:pPr>
        <w:pStyle w:val="9"/>
        <w:bidi w:val="0"/>
        <w:rPr>
          <w:rFonts w:hint="default"/>
          <w:color w:val="auto"/>
          <w:highlight w:val="none"/>
          <w:u w:val="none"/>
          <w:lang w:val="en-US" w:eastAsia="zh-CN"/>
        </w:rPr>
      </w:pPr>
      <w:bookmarkStart w:id="16" w:name="_Ref24419"/>
      <w:r>
        <w:rPr>
          <w:color w:val="auto"/>
          <w:highlight w:val="none"/>
          <w:u w:val="none"/>
        </w:rPr>
        <w:t xml:space="preserve">图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8.2</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图 \* ARABIC \s 2 </w:instrText>
      </w:r>
      <w:r>
        <w:rPr>
          <w:color w:val="auto"/>
          <w:highlight w:val="none"/>
          <w:u w:val="none"/>
        </w:rPr>
        <w:fldChar w:fldCharType="separate"/>
      </w:r>
      <w:r>
        <w:rPr>
          <w:color w:val="auto"/>
          <w:highlight w:val="none"/>
          <w:u w:val="none"/>
        </w:rPr>
        <w:t>4</w:t>
      </w:r>
      <w:r>
        <w:rPr>
          <w:color w:val="auto"/>
          <w:highlight w:val="none"/>
          <w:u w:val="none"/>
        </w:rPr>
        <w:fldChar w:fldCharType="end"/>
      </w:r>
      <w:bookmarkEnd w:id="16"/>
      <w:r>
        <w:rPr>
          <w:rFonts w:hint="eastAsia"/>
          <w:color w:val="auto"/>
          <w:highlight w:val="none"/>
          <w:u w:val="none"/>
          <w:lang w:val="en-US" w:eastAsia="zh-CN"/>
        </w:rPr>
        <w:t xml:space="preserve">  </w:t>
      </w:r>
      <w:r>
        <w:rPr>
          <w:rFonts w:hint="default"/>
          <w:color w:val="auto"/>
          <w:highlight w:val="none"/>
          <w:u w:val="none"/>
          <w:lang w:val="en-US" w:eastAsia="zh-CN"/>
        </w:rPr>
        <w:t>袋式除尘器的工艺流程</w:t>
      </w:r>
    </w:p>
    <w:p>
      <w:pPr>
        <w:bidi w:val="0"/>
        <w:adjustRightInd w:val="0"/>
        <w:snapToGrid w:val="0"/>
        <w:spacing w:line="480" w:lineRule="exact"/>
        <w:ind w:left="0" w:leftChars="0" w:firstLine="638" w:firstLineChars="266"/>
        <w:outlineLvl w:val="9"/>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color w:val="auto"/>
          <w:sz w:val="24"/>
          <w:szCs w:val="24"/>
          <w:highlight w:val="none"/>
          <w:u w:val="none"/>
          <w:lang w:val="en-US" w:eastAsia="zh-CN"/>
        </w:rPr>
        <w:t>项目全厂包装粉尘经袋式除尘器处理后，</w:t>
      </w:r>
      <w:r>
        <w:rPr>
          <w:rFonts w:hint="default" w:ascii="Times New Roman" w:hAnsi="Times New Roman" w:eastAsia="宋体" w:cs="Times New Roman"/>
          <w:b w:val="0"/>
          <w:bCs w:val="0"/>
          <w:color w:val="auto"/>
          <w:sz w:val="24"/>
          <w:szCs w:val="24"/>
          <w:highlight w:val="none"/>
          <w:u w:val="none"/>
          <w:lang w:val="en-US" w:eastAsia="zh-CN"/>
        </w:rPr>
        <w:t>预测排放浓度1.3</w:t>
      </w:r>
      <w:r>
        <w:rPr>
          <w:rFonts w:hint="default" w:ascii="Times New Roman" w:hAnsi="Times New Roman" w:eastAsia="宋体" w:cs="Times New Roman"/>
          <w:b w:val="0"/>
          <w:bCs w:val="0"/>
          <w:color w:val="auto"/>
          <w:sz w:val="24"/>
          <w:szCs w:val="24"/>
          <w:highlight w:val="none"/>
          <w:u w:val="none"/>
        </w:rPr>
        <w:t>mg/m</w:t>
      </w:r>
      <w:r>
        <w:rPr>
          <w:rFonts w:hint="default" w:ascii="Times New Roman" w:hAnsi="Times New Roman" w:eastAsia="宋体" w:cs="Times New Roman"/>
          <w:b w:val="0"/>
          <w:bCs w:val="0"/>
          <w:color w:val="auto"/>
          <w:sz w:val="24"/>
          <w:szCs w:val="24"/>
          <w:highlight w:val="none"/>
          <w:u w:val="none"/>
          <w:vertAlign w:val="superscript"/>
        </w:rPr>
        <w:t>3</w:t>
      </w:r>
      <w:r>
        <w:rPr>
          <w:rFonts w:hint="default" w:ascii="Times New Roman" w:hAnsi="Times New Roman" w:eastAsia="宋体" w:cs="Times New Roman"/>
          <w:b w:val="0"/>
          <w:bCs w:val="0"/>
          <w:color w:val="auto"/>
          <w:sz w:val="24"/>
          <w:szCs w:val="24"/>
          <w:highlight w:val="none"/>
          <w:u w:val="none"/>
          <w:lang w:val="en-US" w:eastAsia="zh-CN"/>
        </w:rPr>
        <w:t>，可满足</w:t>
      </w:r>
      <w:r>
        <w:rPr>
          <w:rFonts w:hint="default" w:ascii="Times New Roman" w:hAnsi="Times New Roman" w:eastAsia="宋体" w:cs="Times New Roman"/>
          <w:b w:val="0"/>
          <w:bCs w:val="0"/>
          <w:color w:val="auto"/>
          <w:sz w:val="24"/>
          <w:szCs w:val="24"/>
          <w:highlight w:val="none"/>
          <w:u w:val="none"/>
        </w:rPr>
        <w:t>《制药工业大气污染物排放标准》（GB37823-2019）表</w:t>
      </w:r>
      <w:r>
        <w:rPr>
          <w:rFonts w:hint="eastAsia" w:eastAsia="宋体" w:cs="Times New Roman"/>
          <w:b w:val="0"/>
          <w:bCs w:val="0"/>
          <w:color w:val="auto"/>
          <w:sz w:val="24"/>
          <w:szCs w:val="24"/>
          <w:highlight w:val="none"/>
          <w:u w:val="none"/>
          <w:lang w:val="en-US" w:eastAsia="zh-CN"/>
        </w:rPr>
        <w:t>2</w:t>
      </w:r>
      <w:r>
        <w:rPr>
          <w:rFonts w:hint="default" w:ascii="Times New Roman" w:hAnsi="Times New Roman" w:eastAsia="宋体" w:cs="Times New Roman"/>
          <w:b w:val="0"/>
          <w:bCs w:val="0"/>
          <w:color w:val="auto"/>
          <w:sz w:val="24"/>
          <w:szCs w:val="24"/>
          <w:highlight w:val="none"/>
          <w:u w:val="none"/>
        </w:rPr>
        <w:t>大气污染物</w:t>
      </w:r>
      <w:r>
        <w:rPr>
          <w:rFonts w:hint="eastAsia" w:eastAsia="宋体" w:cs="Times New Roman"/>
          <w:b w:val="0"/>
          <w:bCs w:val="0"/>
          <w:color w:val="auto"/>
          <w:sz w:val="24"/>
          <w:szCs w:val="24"/>
          <w:highlight w:val="none"/>
          <w:u w:val="none"/>
          <w:lang w:val="en-US" w:eastAsia="zh-CN"/>
        </w:rPr>
        <w:t>特别</w:t>
      </w:r>
      <w:r>
        <w:rPr>
          <w:rFonts w:hint="default" w:ascii="Times New Roman" w:hAnsi="Times New Roman" w:eastAsia="宋体" w:cs="Times New Roman"/>
          <w:b w:val="0"/>
          <w:bCs w:val="0"/>
          <w:color w:val="auto"/>
          <w:sz w:val="24"/>
          <w:szCs w:val="24"/>
          <w:highlight w:val="none"/>
          <w:u w:val="none"/>
        </w:rPr>
        <w:t>排放限值</w:t>
      </w:r>
      <w:r>
        <w:rPr>
          <w:rFonts w:hint="default"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lang w:val="en-US" w:eastAsia="zh-CN"/>
        </w:rPr>
        <w:t>粉尘处理措施可行</w:t>
      </w:r>
      <w:r>
        <w:rPr>
          <w:rFonts w:hint="default" w:ascii="Times New Roman" w:hAnsi="Times New Roman" w:eastAsia="宋体" w:cs="Times New Roman"/>
          <w:b w:val="0"/>
          <w:bCs w:val="0"/>
          <w:color w:val="auto"/>
          <w:sz w:val="24"/>
          <w:szCs w:val="24"/>
          <w:highlight w:val="none"/>
          <w:u w:val="none"/>
        </w:rPr>
        <w:t>。</w:t>
      </w:r>
    </w:p>
    <w:p>
      <w:pPr>
        <w:pStyle w:val="4"/>
        <w:bidi w:val="0"/>
        <w:rPr>
          <w:rFonts w:hint="default"/>
          <w:color w:val="auto"/>
          <w:highlight w:val="none"/>
          <w:u w:val="none"/>
          <w:lang w:val="en-US" w:eastAsia="zh-CN"/>
        </w:rPr>
      </w:pPr>
      <w:bookmarkStart w:id="17" w:name="_Toc6986"/>
      <w:r>
        <w:rPr>
          <w:rFonts w:hint="default"/>
          <w:color w:val="auto"/>
          <w:highlight w:val="none"/>
          <w:u w:val="none"/>
          <w:lang w:val="en-US" w:eastAsia="zh-CN"/>
        </w:rPr>
        <w:t>有机废气防治措施</w:t>
      </w:r>
      <w:bookmarkEnd w:id="17"/>
    </w:p>
    <w:p>
      <w:pPr>
        <w:pStyle w:val="6"/>
        <w:bidi w:val="0"/>
        <w:rPr>
          <w:rFonts w:hint="default"/>
          <w:color w:val="auto"/>
          <w:highlight w:val="none"/>
          <w:u w:val="none"/>
          <w:lang w:val="en-US" w:eastAsia="zh-CN"/>
        </w:rPr>
      </w:pPr>
      <w:r>
        <w:rPr>
          <w:rFonts w:hint="eastAsia"/>
          <w:color w:val="auto"/>
          <w:highlight w:val="none"/>
          <w:u w:val="none"/>
          <w:lang w:val="en-US" w:eastAsia="zh-CN"/>
        </w:rPr>
        <w:t>治理措施可行性</w:t>
      </w:r>
    </w:p>
    <w:p>
      <w:pPr>
        <w:bidi w:val="0"/>
        <w:adjustRightInd w:val="0"/>
        <w:snapToGrid w:val="0"/>
        <w:spacing w:line="480" w:lineRule="exact"/>
        <w:ind w:left="0" w:leftChars="0" w:firstLine="638" w:firstLineChars="266"/>
        <w:outlineLvl w:val="9"/>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项目有机废气主要为生产过程使用的溶剂，包括为二氯甲烷、丙酮、甲醇、甲苯、乙腈、乙醇、乙酸乙酯、异丙醇等。</w:t>
      </w:r>
    </w:p>
    <w:p>
      <w:pPr>
        <w:bidi w:val="0"/>
        <w:adjustRightInd w:val="0"/>
        <w:snapToGrid w:val="0"/>
        <w:spacing w:line="480" w:lineRule="exact"/>
        <w:ind w:left="0" w:leftChars="0" w:firstLine="638" w:firstLineChars="266"/>
        <w:outlineLvl w:val="9"/>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常用的有机废气处理工艺包括洗涤吸收法、吸附法、冷凝法、燃烧法、催化氧化法等。根据《制药工业挥发性有机物治理 实用手册》（生态环境部大气环境司编）不同净化方法的对比情况如下表：</w:t>
      </w:r>
    </w:p>
    <w:p>
      <w:pPr>
        <w:bidi w:val="0"/>
        <w:rPr>
          <w:rFonts w:hint="default"/>
          <w:color w:val="auto"/>
          <w:lang w:val="en-US" w:eastAsia="zh-CN"/>
        </w:rPr>
      </w:pPr>
    </w:p>
    <w:p>
      <w:pPr>
        <w:bidi w:val="0"/>
        <w:rPr>
          <w:rFonts w:hint="default"/>
          <w:color w:val="auto"/>
          <w:lang w:val="en-US" w:eastAsia="zh-CN"/>
        </w:rPr>
      </w:pPr>
    </w:p>
    <w:p>
      <w:pPr>
        <w:rPr>
          <w:rFonts w:hint="default"/>
          <w:color w:val="auto"/>
          <w:lang w:val="en-US" w:eastAsia="zh-CN"/>
        </w:rPr>
      </w:pPr>
    </w:p>
    <w:p>
      <w:pPr>
        <w:pStyle w:val="9"/>
        <w:bidi w:val="0"/>
        <w:rPr>
          <w:rFonts w:hint="default" w:ascii="Times New Roman" w:hAnsi="Times New Roman" w:eastAsia="宋体" w:cs="Times New Roman"/>
          <w:b/>
          <w:color w:val="auto"/>
          <w:sz w:val="24"/>
          <w:szCs w:val="24"/>
          <w:highlight w:val="none"/>
          <w:u w:val="none"/>
        </w:rPr>
      </w:pPr>
      <w:r>
        <w:rPr>
          <w:rFonts w:hint="eastAsia" w:eastAsia="宋体" w:cs="Times New Roman"/>
          <w:b/>
          <w:color w:val="auto"/>
          <w:sz w:val="24"/>
          <w:szCs w:val="24"/>
          <w:highlight w:val="none"/>
          <w:u w:val="none"/>
          <w:lang w:val="en-US" w:eastAsia="zh-CN"/>
        </w:rPr>
        <w:t xml:space="preserve"> </w:t>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8.2</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2</w:t>
      </w:r>
      <w:r>
        <w:rPr>
          <w:color w:val="auto"/>
          <w:highlight w:val="none"/>
          <w:u w:val="none"/>
        </w:rPr>
        <w:fldChar w:fldCharType="end"/>
      </w:r>
      <w:r>
        <w:rPr>
          <w:rFonts w:hint="default" w:ascii="Times New Roman" w:hAnsi="Times New Roman" w:eastAsia="宋体" w:cs="Times New Roman"/>
          <w:b/>
          <w:color w:val="auto"/>
          <w:sz w:val="24"/>
          <w:szCs w:val="24"/>
          <w:highlight w:val="none"/>
          <w:u w:val="none"/>
        </w:rPr>
        <w:t xml:space="preserve">      有机废气的净化方法对比一览表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71"/>
        <w:gridCol w:w="1502"/>
        <w:gridCol w:w="2843"/>
        <w:gridCol w:w="3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1" w:hRule="atLeast"/>
        </w:trPr>
        <w:tc>
          <w:tcPr>
            <w:tcW w:w="1180" w:type="pct"/>
            <w:gridSpan w:val="2"/>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控制技术装备</w:t>
            </w:r>
          </w:p>
        </w:tc>
        <w:tc>
          <w:tcPr>
            <w:tcW w:w="1618" w:type="pct"/>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优点</w:t>
            </w:r>
          </w:p>
        </w:tc>
        <w:tc>
          <w:tcPr>
            <w:tcW w:w="2200" w:type="pct"/>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97" w:hRule="atLeast"/>
        </w:trPr>
        <w:tc>
          <w:tcPr>
            <w:tcW w:w="325" w:type="pct"/>
            <w:vMerge w:val="restart"/>
            <w:textDirection w:val="tbRlV"/>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rPr>
              <w:t>吸 附 技</w:t>
            </w:r>
            <w:r>
              <w:rPr>
                <w:rFonts w:hint="default" w:ascii="Times New Roman" w:hAnsi="Times New Roman" w:cs="Times New Roman"/>
                <w:color w:val="auto"/>
                <w:highlight w:val="none"/>
                <w:u w:val="none"/>
                <w:lang w:val="en-US" w:eastAsia="zh-CN"/>
              </w:rPr>
              <w:t xml:space="preserve"> 术</w:t>
            </w:r>
          </w:p>
        </w:tc>
        <w:tc>
          <w:tcPr>
            <w:tcW w:w="855" w:type="pct"/>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固定床吸附</w:t>
            </w:r>
          </w:p>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系统</w:t>
            </w:r>
          </w:p>
        </w:tc>
        <w:tc>
          <w:tcPr>
            <w:tcW w:w="1618" w:type="pct"/>
            <w:vAlign w:val="center"/>
          </w:tcPr>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1.初设成本低；</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2.能源需求低；</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3.适合多种污染物；</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4.臭味去除有很高的效率</w:t>
            </w:r>
          </w:p>
        </w:tc>
        <w:tc>
          <w:tcPr>
            <w:tcW w:w="2200" w:type="pct"/>
            <w:vAlign w:val="center"/>
          </w:tcPr>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1.无再生系统时吸附剂更换频繁；   </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2.不适合高浓度废气；             </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3.废气湿度大时吸附效率低；       </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4.不适合含颗粒物状废气，对废气预 处理要求高；                     </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5.热空气再生时有火灾危险；       </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6.对某些化合物（如酮类、苯乙烯） 吸附时受限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74" w:hRule="atLeast"/>
        </w:trPr>
        <w:tc>
          <w:tcPr>
            <w:tcW w:w="325" w:type="pct"/>
            <w:vMerge w:val="continue"/>
            <w:textDirection w:val="tbRlV"/>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p>
        </w:tc>
        <w:tc>
          <w:tcPr>
            <w:tcW w:w="855" w:type="pct"/>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旋转式吸附</w:t>
            </w:r>
          </w:p>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系统</w:t>
            </w:r>
          </w:p>
        </w:tc>
        <w:tc>
          <w:tcPr>
            <w:tcW w:w="1618" w:type="pct"/>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1.</w:t>
            </w:r>
            <w:r>
              <w:rPr>
                <w:rFonts w:hint="default" w:ascii="Times New Roman" w:hAnsi="Times New Roman" w:cs="Times New Roman"/>
                <w:color w:val="auto"/>
                <w:highlight w:val="none"/>
                <w:u w:val="none"/>
              </w:rPr>
              <w:t xml:space="preserve">结构紧凑，占地面积小；     </w:t>
            </w:r>
          </w:p>
          <w:p>
            <w:pPr>
              <w:pStyle w:val="22"/>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2.连续操作、运行稳定；       </w:t>
            </w:r>
          </w:p>
          <w:p>
            <w:pPr>
              <w:pStyle w:val="22"/>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US" w:eastAsia="zh-CN"/>
              </w:rPr>
              <w:t>3.</w:t>
            </w:r>
            <w:r>
              <w:rPr>
                <w:rFonts w:hint="default" w:ascii="Times New Roman" w:hAnsi="Times New Roman" w:cs="Times New Roman"/>
                <w:color w:val="auto"/>
                <w:highlight w:val="none"/>
                <w:u w:val="none"/>
              </w:rPr>
              <w:t>床层阻力小；               4.适用于低浓度、大风量的废气 处理；                      5.脱附后废气浓度浮动范围小</w:t>
            </w:r>
          </w:p>
        </w:tc>
        <w:tc>
          <w:tcPr>
            <w:tcW w:w="2200" w:type="pct"/>
            <w:vAlign w:val="center"/>
          </w:tcPr>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1.对密封件要求高，设备制造难度大、成本高；                    </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2.无法独立完全处理废气，需要与其他废气处理装置组合使用；        </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3.不适合含颗粒物状废气，对废气预处理要求高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27" w:hRule="atLeast"/>
        </w:trPr>
        <w:tc>
          <w:tcPr>
            <w:tcW w:w="325" w:type="pct"/>
            <w:textDirection w:val="tbRlV"/>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吸 收 技 术</w:t>
            </w:r>
          </w:p>
        </w:tc>
        <w:tc>
          <w:tcPr>
            <w:tcW w:w="855" w:type="pct"/>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吸收塔</w:t>
            </w:r>
          </w:p>
        </w:tc>
        <w:tc>
          <w:tcPr>
            <w:tcW w:w="1618" w:type="pct"/>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1.</w:t>
            </w:r>
            <w:r>
              <w:rPr>
                <w:rFonts w:hint="default" w:ascii="Times New Roman" w:hAnsi="Times New Roman" w:cs="Times New Roman"/>
                <w:color w:val="auto"/>
                <w:highlight w:val="none"/>
                <w:u w:val="none"/>
              </w:rPr>
              <w:t xml:space="preserve">工艺简单，设备费低；       </w:t>
            </w:r>
          </w:p>
          <w:p>
            <w:pPr>
              <w:pStyle w:val="22"/>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2.对水溶性有机废气处理效果 佳；</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3.不受高沸点物质影响；</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4.无耗材处理问题</w:t>
            </w:r>
          </w:p>
        </w:tc>
        <w:tc>
          <w:tcPr>
            <w:tcW w:w="2200" w:type="pct"/>
            <w:vAlign w:val="center"/>
          </w:tcPr>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1.净化效率较低；</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2.耗水量较大，排放大量废水，造成污染转移；</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3.填料吸收塔易阻塞；</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4.存在设备腐蚀问题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86" w:hRule="atLeast"/>
        </w:trPr>
        <w:tc>
          <w:tcPr>
            <w:tcW w:w="325" w:type="pct"/>
            <w:vMerge w:val="restart"/>
            <w:textDirection w:val="tbRlV"/>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燃 烧 技 术</w:t>
            </w:r>
          </w:p>
        </w:tc>
        <w:tc>
          <w:tcPr>
            <w:tcW w:w="855" w:type="pct"/>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TO/TNV</w:t>
            </w:r>
          </w:p>
        </w:tc>
        <w:tc>
          <w:tcPr>
            <w:tcW w:w="1618" w:type="pct"/>
            <w:vAlign w:val="center"/>
          </w:tcPr>
          <w:p>
            <w:pPr>
              <w:pStyle w:val="22"/>
              <w:keepNext w:val="0"/>
              <w:keepLines w:val="0"/>
              <w:pageBreakBefore w:val="0"/>
              <w:widowControl w:val="0"/>
              <w:numPr>
                <w:ilvl w:val="0"/>
                <w:numId w:val="2"/>
              </w:numPr>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污染物适用范围广；        </w:t>
            </w:r>
          </w:p>
          <w:p>
            <w:pPr>
              <w:pStyle w:val="22"/>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2.处理效率高(可达95%以上)； 3.设备简单</w:t>
            </w:r>
          </w:p>
        </w:tc>
        <w:tc>
          <w:tcPr>
            <w:tcW w:w="2200" w:type="pct"/>
            <w:vAlign w:val="center"/>
          </w:tcPr>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1.操作温度高，处理低浓度废气时运行成本高；                    </w:t>
            </w:r>
          </w:p>
          <w:p>
            <w:pPr>
              <w:pStyle w:val="22"/>
              <w:keepNext w:val="0"/>
              <w:keepLines w:val="0"/>
              <w:pageBreakBefore w:val="0"/>
              <w:widowControl w:val="0"/>
              <w:numPr>
                <w:ilvl w:val="0"/>
                <w:numId w:val="2"/>
              </w:numPr>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处理含氮化合物时可能造成烟气中NOx超标；                   </w:t>
            </w:r>
          </w:p>
          <w:p>
            <w:pPr>
              <w:pStyle w:val="22"/>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3.不适合含硫、卤素等化合物的治理；</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4.处理低浓度VOCs时燃料费用高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0" w:hRule="atLeast"/>
        </w:trPr>
        <w:tc>
          <w:tcPr>
            <w:tcW w:w="325" w:type="pct"/>
            <w:vMerge w:val="continue"/>
            <w:textDirection w:val="tbRlV"/>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p>
        </w:tc>
        <w:tc>
          <w:tcPr>
            <w:tcW w:w="855" w:type="pct"/>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CO</w:t>
            </w:r>
          </w:p>
        </w:tc>
        <w:tc>
          <w:tcPr>
            <w:tcW w:w="1618" w:type="pct"/>
            <w:vAlign w:val="center"/>
          </w:tcPr>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1.操作温度较直接燃烧低，运行 费用低；</w:t>
            </w:r>
          </w:p>
          <w:p>
            <w:pPr>
              <w:pStyle w:val="22"/>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US" w:eastAsia="zh-CN"/>
              </w:rPr>
              <w:t>2.</w:t>
            </w:r>
            <w:r>
              <w:rPr>
                <w:rFonts w:hint="default" w:ascii="Times New Roman" w:hAnsi="Times New Roman" w:cs="Times New Roman"/>
                <w:color w:val="auto"/>
                <w:highlight w:val="none"/>
                <w:u w:val="none"/>
              </w:rPr>
              <w:t xml:space="preserve">相较于TO，燃料消耗量少； </w:t>
            </w:r>
          </w:p>
          <w:p>
            <w:pPr>
              <w:pStyle w:val="22"/>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3.处理效率高（可达95%以上)</w:t>
            </w:r>
          </w:p>
        </w:tc>
        <w:tc>
          <w:tcPr>
            <w:tcW w:w="2200" w:type="pct"/>
            <w:vAlign w:val="center"/>
          </w:tcPr>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1.催化剂易失活（烧结、中毒、结焦），不适合含有S、卤素等化合物的净化；</w:t>
            </w:r>
          </w:p>
          <w:p>
            <w:pPr>
              <w:pStyle w:val="22"/>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2</w:t>
            </w:r>
            <w:r>
              <w:rPr>
                <w:rFonts w:hint="default" w:ascii="Times New Roman" w:hAnsi="Times New Roman" w:cs="Times New Roman"/>
                <w:color w:val="auto"/>
                <w:highlight w:val="none"/>
                <w:u w:val="none"/>
              </w:rPr>
              <w:t xml:space="preserve">.常用贵金属催化剂价格高； </w:t>
            </w:r>
          </w:p>
          <w:p>
            <w:pPr>
              <w:pStyle w:val="22"/>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3.有废弃催化剂处理问题；</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4.处理低浓度 VOCs 时燃料费用高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1" w:hRule="atLeast"/>
        </w:trPr>
        <w:tc>
          <w:tcPr>
            <w:tcW w:w="325" w:type="pct"/>
            <w:vMerge w:val="continue"/>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p>
        </w:tc>
        <w:tc>
          <w:tcPr>
            <w:tcW w:w="855" w:type="pct"/>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RTO</w:t>
            </w:r>
          </w:p>
        </w:tc>
        <w:tc>
          <w:tcPr>
            <w:tcW w:w="1618" w:type="pct"/>
            <w:vAlign w:val="center"/>
          </w:tcPr>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1.热回收效率高(＞90%)，运行 费用低；                    2.净化效率高（95%～99%）； 3.适用于高温气体</w:t>
            </w:r>
          </w:p>
        </w:tc>
        <w:tc>
          <w:tcPr>
            <w:tcW w:w="2200" w:type="pct"/>
            <w:vAlign w:val="center"/>
          </w:tcPr>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1.陶瓷蓄热体床层压损大且易阻塞； </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2.低 VOCs 浓度时燃料费用高；</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3.处理含氮化合物时可能造成烟气 中 NOx 超标；</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4</w:t>
            </w:r>
            <w:r>
              <w:rPr>
                <w:rFonts w:hint="default" w:ascii="Times New Roman" w:hAnsi="Times New Roman" w:cs="Times New Roman"/>
                <w:color w:val="auto"/>
                <w:highlight w:val="none"/>
                <w:u w:val="none"/>
                <w:lang w:val="en-US" w:eastAsia="zh-CN"/>
              </w:rPr>
              <w:t>.</w:t>
            </w:r>
            <w:r>
              <w:rPr>
                <w:rFonts w:hint="default" w:ascii="Times New Roman" w:hAnsi="Times New Roman" w:cs="Times New Roman"/>
                <w:color w:val="auto"/>
                <w:highlight w:val="none"/>
                <w:u w:val="none"/>
              </w:rPr>
              <w:t>不适合处理易自聚化合物（苯乙烯等），其会发生自聚现象，产生高沸点交联物质，造成蓄热体堵塞；</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5.不适合处理硅烷类物质，燃烧生成固体尘灰会堵塞蓄热陶瓷或切换阀密封面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80" w:hRule="atLeast"/>
        </w:trPr>
        <w:tc>
          <w:tcPr>
            <w:tcW w:w="325" w:type="pct"/>
            <w:vMerge w:val="continue"/>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p>
        </w:tc>
        <w:tc>
          <w:tcPr>
            <w:tcW w:w="855" w:type="pct"/>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RCO</w:t>
            </w:r>
          </w:p>
        </w:tc>
        <w:tc>
          <w:tcPr>
            <w:tcW w:w="1618" w:type="pct"/>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1.</w:t>
            </w:r>
            <w:r>
              <w:rPr>
                <w:rFonts w:hint="default" w:ascii="Times New Roman" w:hAnsi="Times New Roman" w:cs="Times New Roman"/>
                <w:color w:val="auto"/>
                <w:highlight w:val="none"/>
                <w:u w:val="none"/>
              </w:rPr>
              <w:t>操作温度低，热回收效率高 (＞90%)，运行成本较RTO低；</w:t>
            </w:r>
          </w:p>
          <w:p>
            <w:pPr>
              <w:pStyle w:val="22"/>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2.高去除率(95～99%)</w:t>
            </w:r>
          </w:p>
        </w:tc>
        <w:tc>
          <w:tcPr>
            <w:tcW w:w="2200" w:type="pct"/>
            <w:vAlign w:val="center"/>
          </w:tcPr>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1.催化剂易失活（烧结、中毒、结焦），不适合含有S、卤素等化合物的净化；                             2.陶瓷蓄热体床层压损大且易阻塞； </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3.处理含氮化合物时可能造成烟气中 NOx超标；                    </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4.常用贵金属催化剂成本高；       </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5.有废弃催化剂处理问题；</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6.不适合处理易自聚、易反应等物质（苯乙烯），其会发生自聚现象，产生高沸点交联物质，造成蓄热体堵塞；</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7.不适合处理硅烷类物质，燃烧生成固体尘灰会堵塞蓄热陶瓷或切换阀密封面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42" w:hRule="atLeast"/>
        </w:trPr>
        <w:tc>
          <w:tcPr>
            <w:tcW w:w="325" w:type="pct"/>
            <w:textDirection w:val="tbRlV"/>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生 物 技 术</w:t>
            </w:r>
          </w:p>
        </w:tc>
        <w:tc>
          <w:tcPr>
            <w:tcW w:w="855" w:type="pct"/>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生物处理系</w:t>
            </w:r>
          </w:p>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统（ 生物滤  床、生物滴滤 塔、生物洗涤</w:t>
            </w:r>
          </w:p>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塔等）</w:t>
            </w:r>
          </w:p>
        </w:tc>
        <w:tc>
          <w:tcPr>
            <w:tcW w:w="1618" w:type="pct"/>
            <w:vAlign w:val="center"/>
          </w:tcPr>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1.设备及操作成本低，操作简 单；</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2.除更换填料外不产生二次污 染；                        3.对低浓度恶臭异味去除率高</w:t>
            </w:r>
          </w:p>
        </w:tc>
        <w:tc>
          <w:tcPr>
            <w:tcW w:w="2200" w:type="pct"/>
            <w:vAlign w:val="center"/>
          </w:tcPr>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1.不适合处理高浓度废气；</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2.普适性差，处理混合废气时菌种不宜选择或驯化；</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3.对pH值控制要求高；           </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4.</w:t>
            </w:r>
            <w:r>
              <w:rPr>
                <w:rFonts w:hint="default" w:ascii="Times New Roman" w:hAnsi="Times New Roman" w:cs="Times New Roman"/>
                <w:color w:val="auto"/>
                <w:highlight w:val="none"/>
                <w:u w:val="none"/>
              </w:rPr>
              <w:t>占地广大、滞留时间长、处理负荷低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23" w:hRule="atLeast"/>
        </w:trPr>
        <w:tc>
          <w:tcPr>
            <w:tcW w:w="325" w:type="pct"/>
            <w:vMerge w:val="restart"/>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其 它 组 合 技 术</w:t>
            </w:r>
          </w:p>
        </w:tc>
        <w:tc>
          <w:tcPr>
            <w:tcW w:w="855" w:type="pct"/>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沸石浓缩转 轮＋</w:t>
            </w:r>
          </w:p>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RTO/CO/RCO</w:t>
            </w:r>
          </w:p>
        </w:tc>
        <w:tc>
          <w:tcPr>
            <w:tcW w:w="1618" w:type="pct"/>
            <w:vAlign w:val="center"/>
          </w:tcPr>
          <w:p>
            <w:pPr>
              <w:pStyle w:val="22"/>
              <w:keepNext w:val="0"/>
              <w:keepLines w:val="0"/>
              <w:pageBreakBefore w:val="0"/>
              <w:widowControl w:val="0"/>
              <w:numPr>
                <w:ilvl w:val="0"/>
                <w:numId w:val="3"/>
              </w:numPr>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去除效率高；             </w:t>
            </w:r>
          </w:p>
          <w:p>
            <w:pPr>
              <w:pStyle w:val="22"/>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适用于大风量低浓度废气； </w:t>
            </w:r>
          </w:p>
          <w:p>
            <w:pPr>
              <w:pStyle w:val="22"/>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燃料费较省； </w:t>
            </w:r>
          </w:p>
          <w:p>
            <w:pPr>
              <w:pStyle w:val="22"/>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运行费用较低</w:t>
            </w:r>
          </w:p>
        </w:tc>
        <w:tc>
          <w:tcPr>
            <w:tcW w:w="2200" w:type="pct"/>
            <w:vAlign w:val="center"/>
          </w:tcPr>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1.处理含高沸点或易聚合化合物时，转轮需定期处理和维护；         </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2.处理含高沸点或易聚合化合物时，转轮寿命短；                    </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3.对于极低浓度的恶臭异味废气处理，运行费用较高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43" w:hRule="atLeast"/>
        </w:trPr>
        <w:tc>
          <w:tcPr>
            <w:tcW w:w="325" w:type="pct"/>
            <w:vMerge w:val="continue"/>
            <w:textDirection w:val="tbRlV"/>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p>
        </w:tc>
        <w:tc>
          <w:tcPr>
            <w:tcW w:w="855" w:type="pct"/>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活性炭+CO</w:t>
            </w:r>
          </w:p>
        </w:tc>
        <w:tc>
          <w:tcPr>
            <w:tcW w:w="1618" w:type="pct"/>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1.</w:t>
            </w:r>
            <w:r>
              <w:rPr>
                <w:rFonts w:hint="default" w:ascii="Times New Roman" w:hAnsi="Times New Roman" w:cs="Times New Roman"/>
                <w:color w:val="auto"/>
                <w:highlight w:val="none"/>
                <w:u w:val="none"/>
              </w:rPr>
              <w:t xml:space="preserve">适用于低浓度废气处理； </w:t>
            </w:r>
          </w:p>
          <w:p>
            <w:pPr>
              <w:pStyle w:val="22"/>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2.</w:t>
            </w:r>
            <w:r>
              <w:rPr>
                <w:rFonts w:hint="default" w:ascii="Times New Roman" w:hAnsi="Times New Roman" w:cs="Times New Roman"/>
                <w:color w:val="auto"/>
                <w:highlight w:val="none"/>
                <w:u w:val="none"/>
              </w:rPr>
              <w:t xml:space="preserve">一次性投资费用低；     </w:t>
            </w:r>
          </w:p>
          <w:p>
            <w:pPr>
              <w:pStyle w:val="22"/>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3.</w:t>
            </w:r>
            <w:r>
              <w:rPr>
                <w:rFonts w:hint="default" w:ascii="Times New Roman" w:hAnsi="Times New Roman" w:cs="Times New Roman"/>
                <w:color w:val="auto"/>
                <w:highlight w:val="none"/>
                <w:u w:val="none"/>
              </w:rPr>
              <w:t xml:space="preserve">运行费用较低；         </w:t>
            </w:r>
          </w:p>
          <w:p>
            <w:pPr>
              <w:pStyle w:val="22"/>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4.净化效率较高（≥90%）</w:t>
            </w:r>
          </w:p>
        </w:tc>
        <w:tc>
          <w:tcPr>
            <w:tcW w:w="2200" w:type="pct"/>
            <w:vAlign w:val="center"/>
          </w:tcPr>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1.活性炭和催化剂需定期更换；     </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2.不适合含颗粒物状废气；         </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3.不适合处理含硫、卤素、重金属、油雾、 以及高沸点、易聚合化合物的废气；</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4.若采用热空气再生，不适合环己酮等酮类化合物的处理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88" w:hRule="atLeast"/>
        </w:trPr>
        <w:tc>
          <w:tcPr>
            <w:tcW w:w="325" w:type="pct"/>
            <w:vMerge w:val="continue"/>
            <w:textDirection w:val="tbRlV"/>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p>
        </w:tc>
        <w:tc>
          <w:tcPr>
            <w:tcW w:w="855" w:type="pct"/>
            <w:vAlign w:val="center"/>
          </w:tcPr>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p>
          <w:p>
            <w:pPr>
              <w:pStyle w:val="2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冷凝+吸附回 收</w:t>
            </w:r>
          </w:p>
        </w:tc>
        <w:tc>
          <w:tcPr>
            <w:tcW w:w="1618" w:type="pct"/>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1.</w:t>
            </w:r>
            <w:r>
              <w:rPr>
                <w:rFonts w:hint="default" w:ascii="Times New Roman" w:hAnsi="Times New Roman" w:cs="Times New Roman"/>
                <w:color w:val="auto"/>
                <w:highlight w:val="none"/>
                <w:u w:val="none"/>
              </w:rPr>
              <w:t xml:space="preserve">回收率高，有经济效益；  </w:t>
            </w:r>
          </w:p>
          <w:p>
            <w:pPr>
              <w:pStyle w:val="22"/>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2.适用于高沸点、高浓度废气处 理；</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3.低温下吸附处理 VOCs气体，安全性高</w:t>
            </w:r>
          </w:p>
        </w:tc>
        <w:tc>
          <w:tcPr>
            <w:tcW w:w="2200" w:type="pct"/>
            <w:vAlign w:val="center"/>
          </w:tcPr>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1. 单一冷凝要达标需要到很低的温度，能耗高；                    </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2.净化程度受冷凝温度限制、运行成本高；</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3.需要有附设的冷冻设备，投资大、能耗高、运行费用大</w:t>
            </w:r>
          </w:p>
        </w:tc>
      </w:tr>
    </w:tbl>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各类技术都有其一定的适用范围，其对废气组分及浓度、温度、湿度、风量等因素有不同要求，因此企业在选用治理技术时，应从技术可行性和经济性多方面进行考虑。</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废气浓度方面，对于高浓度的VOCs（通常高于1%，即10000ppm），一般需要进行有机物的回收。通常首先采用冷凝技术将废气中大部分的有机物进行回收，降浓后的有机物再采用其他技术进行处理。在有些情况下，虽然废气中VOCs的浓度很高，但并无回收价值或回收成本太高，直接燃烧法显得更加适用，如炼油厂尾气的处理等。</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对于低浓度的VOCs（通常为小于1000ppm），目前有很多的治理技术可以选择，如吸附浓缩后处理技术、吸收技术、生物技术等，在大多数情况下需要采用组合技术进行深度净化。视情况既可以对废气中价值较高的有机物进行冷凝回收，也可以采用催化燃烧或高温焚烧工艺进行销毁。在吸收技术中，采用有机溶剂为吸收剂的治理工艺由于存在安全性差和吸收液处理困难等缺点，目前己较少使用。采用水吸收目前主要用于废气的前处理，如去除漆雾和大分子高沸点的有机物、去除酸碱气体等。另外，对于水溶性高的VOCs，可采用生物滴滤法和生物洗涤法，水溶性稍低的可采用生物滤床。</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对于中等浓度的VOCs（数千ppm范围），当无回收价值时，一般采用催化燃烧（CO/RCO）和高温焚烧（TO/TNV/RTO）技术进行治理。在该浓度范围内，催化燃烧和高温燃烧技术的安全性和经济性是较为合理的，因此是目前应用最为广泛的治理技术。蓄热式催化燃烧（RCO）和蓄热式高温燃烧技术（RTO）近年来得到了广泛的应用，提高了催化燃烧和高温燃烧技术的经济性，使得催化燃烧和高温燃烧技术可以在更低的浓度下使用。</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p>
    <w:p>
      <w:pPr>
        <w:pStyle w:val="19"/>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cs="Times New Roman"/>
          <w:color w:val="auto"/>
          <w:highlight w:val="none"/>
          <w:u w:val="single"/>
        </w:rPr>
        <w:drawing>
          <wp:anchor distT="0" distB="0" distL="0" distR="0" simplePos="0" relativeHeight="251667456" behindDoc="0" locked="0" layoutInCell="1" allowOverlap="1">
            <wp:simplePos x="0" y="0"/>
            <wp:positionH relativeFrom="column">
              <wp:posOffset>-85090</wp:posOffset>
            </wp:positionH>
            <wp:positionV relativeFrom="paragraph">
              <wp:posOffset>188595</wp:posOffset>
            </wp:positionV>
            <wp:extent cx="5274310" cy="3723005"/>
            <wp:effectExtent l="0" t="0" r="0" b="0"/>
            <wp:wrapNone/>
            <wp:docPr id="2" name="IM 72"/>
            <wp:cNvGraphicFramePr/>
            <a:graphic xmlns:a="http://schemas.openxmlformats.org/drawingml/2006/main">
              <a:graphicData uri="http://schemas.openxmlformats.org/drawingml/2006/picture">
                <pic:pic xmlns:pic="http://schemas.openxmlformats.org/drawingml/2006/picture">
                  <pic:nvPicPr>
                    <pic:cNvPr id="2" name="IM 72"/>
                    <pic:cNvPicPr/>
                  </pic:nvPicPr>
                  <pic:blipFill>
                    <a:blip r:embed="rId23"/>
                    <a:stretch>
                      <a:fillRect/>
                    </a:stretch>
                  </pic:blipFill>
                  <pic:spPr>
                    <a:xfrm>
                      <a:off x="0" y="0"/>
                      <a:ext cx="5274563" cy="3723131"/>
                    </a:xfrm>
                    <a:prstGeom prst="rect">
                      <a:avLst/>
                    </a:prstGeom>
                  </pic:spPr>
                </pic:pic>
              </a:graphicData>
            </a:graphic>
          </wp:anchor>
        </w:drawing>
      </w:r>
    </w:p>
    <w:p>
      <w:pPr>
        <w:pStyle w:val="12"/>
        <w:rPr>
          <w:rFonts w:hint="default" w:ascii="Times New Roman" w:hAnsi="Times New Roman" w:eastAsia="宋体" w:cs="Times New Roman"/>
          <w:color w:val="auto"/>
          <w:sz w:val="24"/>
          <w:szCs w:val="24"/>
          <w:highlight w:val="none"/>
          <w:u w:val="single"/>
          <w:lang w:val="en-US" w:eastAsia="zh-CN"/>
        </w:rPr>
      </w:pPr>
    </w:p>
    <w:p>
      <w:pPr>
        <w:pStyle w:val="12"/>
        <w:rPr>
          <w:rFonts w:hint="default" w:ascii="Times New Roman" w:hAnsi="Times New Roman" w:eastAsia="宋体" w:cs="Times New Roman"/>
          <w:color w:val="auto"/>
          <w:sz w:val="24"/>
          <w:szCs w:val="24"/>
          <w:highlight w:val="none"/>
          <w:u w:val="single"/>
          <w:lang w:val="en-US" w:eastAsia="zh-CN"/>
        </w:rPr>
      </w:pPr>
    </w:p>
    <w:p>
      <w:pPr>
        <w:pStyle w:val="12"/>
        <w:rPr>
          <w:rFonts w:hint="default" w:ascii="Times New Roman" w:hAnsi="Times New Roman" w:eastAsia="宋体" w:cs="Times New Roman"/>
          <w:color w:val="auto"/>
          <w:sz w:val="24"/>
          <w:szCs w:val="24"/>
          <w:highlight w:val="none"/>
          <w:u w:val="single"/>
          <w:lang w:val="en-US" w:eastAsia="zh-CN"/>
        </w:rPr>
      </w:pPr>
    </w:p>
    <w:p>
      <w:pPr>
        <w:pStyle w:val="12"/>
        <w:rPr>
          <w:rFonts w:hint="default" w:ascii="Times New Roman" w:hAnsi="Times New Roman" w:eastAsia="宋体" w:cs="Times New Roman"/>
          <w:color w:val="auto"/>
          <w:sz w:val="24"/>
          <w:szCs w:val="24"/>
          <w:highlight w:val="none"/>
          <w:u w:val="single"/>
          <w:lang w:val="en-US" w:eastAsia="zh-CN"/>
        </w:rPr>
      </w:pPr>
    </w:p>
    <w:p>
      <w:pPr>
        <w:pStyle w:val="12"/>
        <w:rPr>
          <w:rFonts w:hint="default" w:ascii="Times New Roman" w:hAnsi="Times New Roman" w:eastAsia="宋体" w:cs="Times New Roman"/>
          <w:color w:val="auto"/>
          <w:sz w:val="24"/>
          <w:szCs w:val="24"/>
          <w:highlight w:val="none"/>
          <w:u w:val="single"/>
          <w:lang w:val="en-US" w:eastAsia="zh-CN"/>
        </w:rPr>
      </w:pPr>
    </w:p>
    <w:p>
      <w:pPr>
        <w:pStyle w:val="12"/>
        <w:rPr>
          <w:rFonts w:hint="default" w:ascii="Times New Roman" w:hAnsi="Times New Roman" w:eastAsia="宋体" w:cs="Times New Roman"/>
          <w:color w:val="auto"/>
          <w:sz w:val="24"/>
          <w:szCs w:val="24"/>
          <w:highlight w:val="none"/>
          <w:u w:val="single"/>
          <w:lang w:val="en-US" w:eastAsia="zh-CN"/>
        </w:rPr>
      </w:pPr>
    </w:p>
    <w:p>
      <w:pPr>
        <w:pStyle w:val="12"/>
        <w:rPr>
          <w:rFonts w:hint="default" w:ascii="Times New Roman" w:hAnsi="Times New Roman" w:eastAsia="宋体" w:cs="Times New Roman"/>
          <w:color w:val="auto"/>
          <w:sz w:val="24"/>
          <w:szCs w:val="24"/>
          <w:highlight w:val="none"/>
          <w:u w:val="single"/>
          <w:lang w:val="en-US" w:eastAsia="zh-CN"/>
        </w:rPr>
      </w:pPr>
    </w:p>
    <w:p>
      <w:pPr>
        <w:pStyle w:val="12"/>
        <w:rPr>
          <w:rFonts w:hint="default" w:ascii="Times New Roman" w:hAnsi="Times New Roman" w:eastAsia="宋体" w:cs="Times New Roman"/>
          <w:color w:val="auto"/>
          <w:sz w:val="24"/>
          <w:szCs w:val="24"/>
          <w:highlight w:val="none"/>
          <w:u w:val="single"/>
          <w:lang w:val="en-US" w:eastAsia="zh-CN"/>
        </w:rPr>
      </w:pPr>
    </w:p>
    <w:p>
      <w:pPr>
        <w:pStyle w:val="12"/>
        <w:rPr>
          <w:rFonts w:hint="default" w:ascii="Times New Roman" w:hAnsi="Times New Roman" w:eastAsia="宋体" w:cs="Times New Roman"/>
          <w:color w:val="auto"/>
          <w:sz w:val="24"/>
          <w:szCs w:val="24"/>
          <w:highlight w:val="none"/>
          <w:u w:val="single"/>
          <w:lang w:val="en-US" w:eastAsia="zh-CN"/>
        </w:rPr>
      </w:pPr>
    </w:p>
    <w:p>
      <w:pPr>
        <w:pStyle w:val="12"/>
        <w:rPr>
          <w:rFonts w:hint="default" w:ascii="Times New Roman" w:hAnsi="Times New Roman" w:eastAsia="宋体" w:cs="Times New Roman"/>
          <w:color w:val="auto"/>
          <w:sz w:val="24"/>
          <w:szCs w:val="24"/>
          <w:highlight w:val="none"/>
          <w:u w:val="single"/>
          <w:lang w:val="en-US" w:eastAsia="zh-CN"/>
        </w:rPr>
      </w:pPr>
    </w:p>
    <w:p>
      <w:pPr>
        <w:pStyle w:val="12"/>
        <w:rPr>
          <w:rFonts w:hint="default" w:ascii="Times New Roman" w:hAnsi="Times New Roman" w:eastAsia="宋体" w:cs="Times New Roman"/>
          <w:color w:val="auto"/>
          <w:sz w:val="24"/>
          <w:szCs w:val="24"/>
          <w:highlight w:val="none"/>
          <w:u w:val="single"/>
          <w:lang w:val="en-US" w:eastAsia="zh-CN"/>
        </w:rPr>
      </w:pPr>
    </w:p>
    <w:p>
      <w:pPr>
        <w:pStyle w:val="12"/>
        <w:rPr>
          <w:rFonts w:hint="default" w:ascii="Times New Roman" w:hAnsi="Times New Roman" w:eastAsia="宋体" w:cs="Times New Roman"/>
          <w:color w:val="auto"/>
          <w:sz w:val="24"/>
          <w:szCs w:val="24"/>
          <w:highlight w:val="none"/>
          <w:u w:val="single"/>
          <w:lang w:val="en-US" w:eastAsia="zh-CN"/>
        </w:rPr>
      </w:pPr>
    </w:p>
    <w:p>
      <w:pPr>
        <w:pStyle w:val="12"/>
        <w:rPr>
          <w:rFonts w:hint="default" w:ascii="Times New Roman" w:hAnsi="Times New Roman" w:eastAsia="宋体" w:cs="Times New Roman"/>
          <w:color w:val="auto"/>
          <w:sz w:val="24"/>
          <w:szCs w:val="24"/>
          <w:highlight w:val="none"/>
          <w:u w:val="single"/>
          <w:lang w:val="en-US" w:eastAsia="zh-CN"/>
        </w:rPr>
      </w:pPr>
    </w:p>
    <w:p>
      <w:pPr>
        <w:pStyle w:val="12"/>
        <w:rPr>
          <w:rFonts w:hint="default" w:ascii="Times New Roman" w:hAnsi="Times New Roman" w:eastAsia="宋体" w:cs="Times New Roman"/>
          <w:color w:val="auto"/>
          <w:sz w:val="24"/>
          <w:szCs w:val="24"/>
          <w:highlight w:val="none"/>
          <w:u w:val="single"/>
          <w:lang w:val="en-US" w:eastAsia="zh-CN"/>
        </w:rPr>
      </w:pPr>
    </w:p>
    <w:p>
      <w:pPr>
        <w:pStyle w:val="9"/>
        <w:bidi w:val="0"/>
        <w:rPr>
          <w:rFonts w:hint="default"/>
          <w:color w:val="auto"/>
          <w:highlight w:val="none"/>
          <w:u w:val="single"/>
          <w:lang w:val="en-US" w:eastAsia="zh-CN"/>
        </w:rPr>
      </w:pPr>
      <w:r>
        <w:rPr>
          <w:rFonts w:hint="eastAsia"/>
          <w:color w:val="auto"/>
          <w:highlight w:val="none"/>
          <w:u w:val="single"/>
          <w:lang w:val="en-US" w:eastAsia="zh-CN"/>
        </w:rPr>
        <w:t xml:space="preserve"> </w:t>
      </w:r>
      <w:r>
        <w:rPr>
          <w:color w:val="auto"/>
          <w:highlight w:val="none"/>
          <w:u w:val="single"/>
        </w:rPr>
        <w:t xml:space="preserve">图 </w:t>
      </w:r>
      <w:r>
        <w:rPr>
          <w:color w:val="auto"/>
          <w:highlight w:val="none"/>
          <w:u w:val="single"/>
        </w:rPr>
        <w:fldChar w:fldCharType="begin"/>
      </w:r>
      <w:r>
        <w:rPr>
          <w:color w:val="auto"/>
          <w:highlight w:val="none"/>
          <w:u w:val="single"/>
        </w:rPr>
        <w:instrText xml:space="preserve"> STYLEREF 2 \s </w:instrText>
      </w:r>
      <w:r>
        <w:rPr>
          <w:color w:val="auto"/>
          <w:highlight w:val="none"/>
          <w:u w:val="single"/>
        </w:rPr>
        <w:fldChar w:fldCharType="separate"/>
      </w:r>
      <w:r>
        <w:rPr>
          <w:color w:val="auto"/>
          <w:highlight w:val="none"/>
          <w:u w:val="single"/>
        </w:rPr>
        <w:t>8.2</w:t>
      </w:r>
      <w:r>
        <w:rPr>
          <w:color w:val="auto"/>
          <w:highlight w:val="none"/>
          <w:u w:val="single"/>
        </w:rPr>
        <w:fldChar w:fldCharType="end"/>
      </w:r>
      <w:r>
        <w:rPr>
          <w:rFonts w:hint="eastAsia"/>
          <w:color w:val="auto"/>
          <w:highlight w:val="none"/>
          <w:u w:val="single"/>
          <w:lang w:eastAsia="zh-CN"/>
        </w:rPr>
        <w:t>-</w:t>
      </w:r>
      <w:r>
        <w:rPr>
          <w:color w:val="auto"/>
          <w:highlight w:val="none"/>
          <w:u w:val="single"/>
        </w:rPr>
        <w:fldChar w:fldCharType="begin"/>
      </w:r>
      <w:r>
        <w:rPr>
          <w:color w:val="auto"/>
          <w:highlight w:val="none"/>
          <w:u w:val="single"/>
        </w:rPr>
        <w:instrText xml:space="preserve"> SEQ 图 \* ARABIC \s 2 </w:instrText>
      </w:r>
      <w:r>
        <w:rPr>
          <w:color w:val="auto"/>
          <w:highlight w:val="none"/>
          <w:u w:val="single"/>
        </w:rPr>
        <w:fldChar w:fldCharType="separate"/>
      </w:r>
      <w:r>
        <w:rPr>
          <w:color w:val="auto"/>
          <w:highlight w:val="none"/>
          <w:u w:val="single"/>
        </w:rPr>
        <w:t>5</w:t>
      </w:r>
      <w:r>
        <w:rPr>
          <w:color w:val="auto"/>
          <w:highlight w:val="none"/>
          <w:u w:val="single"/>
        </w:rPr>
        <w:fldChar w:fldCharType="end"/>
      </w:r>
      <w:r>
        <w:rPr>
          <w:rFonts w:hint="default"/>
          <w:color w:val="auto"/>
          <w:highlight w:val="none"/>
          <w:u w:val="single"/>
          <w:lang w:val="en-US" w:eastAsia="zh-CN"/>
        </w:rPr>
        <w:t xml:space="preserve">    VOCs 治理技术适用范围（浓度）</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p>
    <w:p>
      <w:pPr>
        <w:pStyle w:val="11"/>
        <w:rPr>
          <w:rFonts w:hint="default" w:ascii="Times New Roman" w:hAnsi="Times New Roman" w:eastAsia="宋体" w:cs="Times New Roman"/>
          <w:color w:val="auto"/>
          <w:sz w:val="24"/>
          <w:szCs w:val="24"/>
          <w:highlight w:val="none"/>
          <w:u w:val="single"/>
          <w:lang w:val="en-US" w:eastAsia="zh-CN"/>
        </w:rPr>
      </w:pPr>
    </w:p>
    <w:p>
      <w:pPr>
        <w:rPr>
          <w:rFonts w:hint="default" w:ascii="Times New Roman" w:hAnsi="Times New Roman" w:eastAsia="宋体" w:cs="Times New Roman"/>
          <w:color w:val="auto"/>
          <w:sz w:val="24"/>
          <w:szCs w:val="24"/>
          <w:highlight w:val="none"/>
          <w:u w:val="single"/>
          <w:lang w:val="en-US" w:eastAsia="zh-CN"/>
        </w:rPr>
      </w:pPr>
    </w:p>
    <w:p>
      <w:pPr>
        <w:pStyle w:val="11"/>
        <w:rPr>
          <w:rFonts w:hint="default" w:ascii="Times New Roman" w:hAnsi="Times New Roman" w:eastAsia="宋体" w:cs="Times New Roman"/>
          <w:color w:val="auto"/>
          <w:sz w:val="24"/>
          <w:szCs w:val="24"/>
          <w:highlight w:val="none"/>
          <w:u w:val="single"/>
          <w:lang w:val="en-US" w:eastAsia="zh-CN"/>
        </w:rPr>
      </w:pPr>
    </w:p>
    <w:p>
      <w:pPr>
        <w:rPr>
          <w:rFonts w:hint="default" w:ascii="Times New Roman" w:hAnsi="Times New Roman" w:eastAsia="宋体" w:cs="Times New Roman"/>
          <w:color w:val="auto"/>
          <w:sz w:val="24"/>
          <w:szCs w:val="24"/>
          <w:highlight w:val="none"/>
          <w:u w:val="single"/>
          <w:lang w:val="en-US" w:eastAsia="zh-CN"/>
        </w:rPr>
      </w:pPr>
    </w:p>
    <w:p>
      <w:pPr>
        <w:pStyle w:val="11"/>
        <w:rPr>
          <w:rFonts w:hint="default"/>
          <w:color w:val="auto"/>
          <w:highlight w:val="none"/>
          <w:u w:val="single"/>
          <w:lang w:val="en-US" w:eastAsia="zh-CN"/>
        </w:rPr>
      </w:pP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cs="Times New Roman"/>
          <w:color w:val="auto"/>
          <w:highlight w:val="none"/>
          <w:u w:val="single"/>
        </w:rPr>
        <w:drawing>
          <wp:anchor distT="0" distB="0" distL="0" distR="0" simplePos="0" relativeHeight="251668480" behindDoc="0" locked="0" layoutInCell="1" allowOverlap="1">
            <wp:simplePos x="0" y="0"/>
            <wp:positionH relativeFrom="column">
              <wp:posOffset>-88900</wp:posOffset>
            </wp:positionH>
            <wp:positionV relativeFrom="paragraph">
              <wp:posOffset>226060</wp:posOffset>
            </wp:positionV>
            <wp:extent cx="5274310" cy="3361690"/>
            <wp:effectExtent l="0" t="0" r="0" b="0"/>
            <wp:wrapNone/>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24"/>
                    <a:stretch>
                      <a:fillRect/>
                    </a:stretch>
                  </pic:blipFill>
                  <pic:spPr>
                    <a:xfrm>
                      <a:off x="0" y="0"/>
                      <a:ext cx="5274563" cy="3361944"/>
                    </a:xfrm>
                    <a:prstGeom prst="rect">
                      <a:avLst/>
                    </a:prstGeom>
                  </pic:spPr>
                </pic:pic>
              </a:graphicData>
            </a:graphic>
          </wp:anchor>
        </w:drawing>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p>
    <w:p>
      <w:pPr>
        <w:pStyle w:val="9"/>
        <w:bidi w:val="0"/>
        <w:rPr>
          <w:rFonts w:hint="default"/>
          <w:color w:val="auto"/>
          <w:highlight w:val="none"/>
          <w:u w:val="single"/>
          <w:lang w:val="en-US" w:eastAsia="zh-CN"/>
        </w:rPr>
      </w:pPr>
      <w:r>
        <w:rPr>
          <w:rFonts w:hint="eastAsia"/>
          <w:color w:val="auto"/>
          <w:highlight w:val="none"/>
          <w:u w:val="single"/>
          <w:lang w:val="en-US" w:eastAsia="zh-CN"/>
        </w:rPr>
        <w:t xml:space="preserve"> </w:t>
      </w:r>
      <w:r>
        <w:rPr>
          <w:color w:val="auto"/>
          <w:highlight w:val="none"/>
          <w:u w:val="single"/>
        </w:rPr>
        <w:t xml:space="preserve">图 </w:t>
      </w:r>
      <w:r>
        <w:rPr>
          <w:color w:val="auto"/>
          <w:highlight w:val="none"/>
          <w:u w:val="single"/>
        </w:rPr>
        <w:fldChar w:fldCharType="begin"/>
      </w:r>
      <w:r>
        <w:rPr>
          <w:color w:val="auto"/>
          <w:highlight w:val="none"/>
          <w:u w:val="single"/>
        </w:rPr>
        <w:instrText xml:space="preserve"> STYLEREF 2 \s </w:instrText>
      </w:r>
      <w:r>
        <w:rPr>
          <w:color w:val="auto"/>
          <w:highlight w:val="none"/>
          <w:u w:val="single"/>
        </w:rPr>
        <w:fldChar w:fldCharType="separate"/>
      </w:r>
      <w:r>
        <w:rPr>
          <w:color w:val="auto"/>
          <w:highlight w:val="none"/>
          <w:u w:val="single"/>
        </w:rPr>
        <w:t>8.2</w:t>
      </w:r>
      <w:r>
        <w:rPr>
          <w:color w:val="auto"/>
          <w:highlight w:val="none"/>
          <w:u w:val="single"/>
        </w:rPr>
        <w:fldChar w:fldCharType="end"/>
      </w:r>
      <w:r>
        <w:rPr>
          <w:rFonts w:hint="eastAsia"/>
          <w:color w:val="auto"/>
          <w:highlight w:val="none"/>
          <w:u w:val="single"/>
          <w:lang w:eastAsia="zh-CN"/>
        </w:rPr>
        <w:t>-</w:t>
      </w:r>
      <w:r>
        <w:rPr>
          <w:color w:val="auto"/>
          <w:highlight w:val="none"/>
          <w:u w:val="single"/>
        </w:rPr>
        <w:fldChar w:fldCharType="begin"/>
      </w:r>
      <w:r>
        <w:rPr>
          <w:color w:val="auto"/>
          <w:highlight w:val="none"/>
          <w:u w:val="single"/>
        </w:rPr>
        <w:instrText xml:space="preserve"> SEQ 图 \* ARABIC \s 2 </w:instrText>
      </w:r>
      <w:r>
        <w:rPr>
          <w:color w:val="auto"/>
          <w:highlight w:val="none"/>
          <w:u w:val="single"/>
        </w:rPr>
        <w:fldChar w:fldCharType="separate"/>
      </w:r>
      <w:r>
        <w:rPr>
          <w:color w:val="auto"/>
          <w:highlight w:val="none"/>
          <w:u w:val="single"/>
        </w:rPr>
        <w:t>6</w:t>
      </w:r>
      <w:r>
        <w:rPr>
          <w:color w:val="auto"/>
          <w:highlight w:val="none"/>
          <w:u w:val="single"/>
        </w:rPr>
        <w:fldChar w:fldCharType="end"/>
      </w:r>
      <w:r>
        <w:rPr>
          <w:rFonts w:hint="default"/>
          <w:color w:val="auto"/>
          <w:highlight w:val="none"/>
          <w:u w:val="single"/>
          <w:lang w:val="en-US" w:eastAsia="zh-CN"/>
        </w:rPr>
        <w:t xml:space="preserve">   VOCs治理技术适用范围（浓度、风量）</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上图直观地给出了不同单元治理技术所适用的有机物浓度和废气流量的大致范围。对于废气流量，图中给出的是单套处理设备最大处理能力和比较经济的流量范围。当废气流量较大时，可以采用多套设备分开进行处理。由图可知，吸附浓缩+脱附排气高温焚烧/催化燃烧组合技术适用于大风量低浓度VOCs废气的治理；生物法适用于中等风量较低浓度VOCs废气的治理；吸附法（更换活性炭）适用于小风量低浓度VOCs废气的治理；活性炭/活性炭纤维吸附溶剂回收适用于中大风量中低浓度VOCs废气的治理；催化燃烧法、高温燃烧治理技术适用于中小风量中高浓度VOCs废气的治理；冷凝回收法适用于中低风量高浓度VOCs废气的治理。高浓度的VOCs废气一般都不能只靠单一的技术来进行治理，一般都是利用组合技术来进行一个有效的治理，如采用冷凝回收+活性炭纤维吸附回收技术等。</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废气温度也是考虑的因素之一，吸附法要求气体温度一般低于40℃，如果废气温度比较高时，吸附效果会显著降低，因此应该首先对废气进行降温处理或不采用此技术。燃烧法中当气体温度比较高，接近或达到催化剂的起燃温度时，由于不再需要对废气进行加热，即使有机物浓度较低，采用催化燃烧技术是最为经济的（当废气温度达到或超过催化剂的起燃温度时，可以采用直接催化燃烧技术进行治理，如漆包线生产尾气的治理等）。</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废气的湿度对某些技术的治理效果的影响非常大，如吸附回收技术，活性炭、沸石和活性炭纤维在高湿度条件下（如高于70%）对有机物的吸附效果会明显降低，因此应该首先对废气进行除湿处理或不采用此技术。</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本次</w:t>
      </w:r>
      <w:r>
        <w:rPr>
          <w:rFonts w:hint="eastAsia" w:eastAsia="宋体" w:cs="Times New Roman"/>
          <w:color w:val="auto"/>
          <w:sz w:val="24"/>
          <w:szCs w:val="24"/>
          <w:highlight w:val="none"/>
          <w:u w:val="single"/>
          <w:lang w:val="en-US" w:eastAsia="zh-CN"/>
        </w:rPr>
        <w:t>改建</w:t>
      </w:r>
      <w:r>
        <w:rPr>
          <w:rFonts w:hint="default" w:ascii="Times New Roman" w:hAnsi="Times New Roman" w:eastAsia="宋体" w:cs="Times New Roman"/>
          <w:color w:val="auto"/>
          <w:sz w:val="24"/>
          <w:szCs w:val="24"/>
          <w:highlight w:val="none"/>
          <w:u w:val="single"/>
          <w:lang w:val="en-US" w:eastAsia="zh-CN"/>
        </w:rPr>
        <w:t>项目溶剂类有机废气产生浓度高、成分相对单一，拟首先采用冷凝法（二氯甲烷使用-15℃冷盐水进行深冷、其他溶剂使用-5℃冷盐水冷凝）回收部分溶剂，然后使用降膜吸收+碱液洗涤法去除大部分酸性废气与易溶于</w:t>
      </w:r>
      <w:r>
        <w:rPr>
          <w:rFonts w:hint="eastAsia" w:eastAsia="宋体" w:cs="Times New Roman"/>
          <w:color w:val="auto"/>
          <w:sz w:val="24"/>
          <w:szCs w:val="24"/>
          <w:highlight w:val="none"/>
          <w:u w:val="single"/>
          <w:lang w:val="en-US" w:eastAsia="zh-CN"/>
        </w:rPr>
        <w:t>水</w:t>
      </w:r>
      <w:r>
        <w:rPr>
          <w:rFonts w:hint="default" w:ascii="Times New Roman" w:hAnsi="Times New Roman" w:eastAsia="宋体" w:cs="Times New Roman"/>
          <w:color w:val="auto"/>
          <w:sz w:val="24"/>
          <w:szCs w:val="24"/>
          <w:highlight w:val="none"/>
          <w:u w:val="single"/>
          <w:lang w:val="en-US" w:eastAsia="zh-CN"/>
        </w:rPr>
        <w:t>的溶剂。经冷凝+吸收预处理后的混合废气中VOCs浓度</w:t>
      </w:r>
      <w:r>
        <w:rPr>
          <w:rFonts w:hint="eastAsia" w:eastAsia="宋体" w:cs="Times New Roman"/>
          <w:color w:val="auto"/>
          <w:sz w:val="24"/>
          <w:szCs w:val="24"/>
          <w:highlight w:val="none"/>
          <w:u w:val="single"/>
          <w:lang w:val="en-US" w:eastAsia="zh-CN"/>
        </w:rPr>
        <w:t>2481</w:t>
      </w:r>
      <w:r>
        <w:rPr>
          <w:rFonts w:hint="default" w:ascii="Times New Roman" w:hAnsi="Times New Roman" w:eastAsia="宋体" w:cs="Times New Roman"/>
          <w:color w:val="auto"/>
          <w:sz w:val="24"/>
          <w:szCs w:val="24"/>
          <w:highlight w:val="none"/>
          <w:u w:val="single"/>
          <w:lang w:val="en-US" w:eastAsia="zh-CN"/>
        </w:rPr>
        <w:t>mg/m</w:t>
      </w:r>
      <w:r>
        <w:rPr>
          <w:rFonts w:hint="default" w:ascii="Times New Roman" w:hAnsi="Times New Roman" w:eastAsia="宋体" w:cs="Times New Roman"/>
          <w:color w:val="auto"/>
          <w:sz w:val="24"/>
          <w:szCs w:val="24"/>
          <w:highlight w:val="none"/>
          <w:u w:val="single"/>
          <w:vertAlign w:val="superscript"/>
          <w:lang w:val="en-US" w:eastAsia="zh-CN"/>
        </w:rPr>
        <w:t>3</w:t>
      </w:r>
      <w:r>
        <w:rPr>
          <w:rFonts w:hint="default" w:ascii="Times New Roman" w:hAnsi="Times New Roman" w:eastAsia="宋体" w:cs="Times New Roman"/>
          <w:color w:val="auto"/>
          <w:sz w:val="24"/>
          <w:szCs w:val="24"/>
          <w:highlight w:val="none"/>
          <w:u w:val="single"/>
          <w:lang w:val="en-US" w:eastAsia="zh-CN"/>
        </w:rPr>
        <w:t>，废气湿度大，回收利用价值低，湿度大、废气风量大（44000m</w:t>
      </w:r>
      <w:r>
        <w:rPr>
          <w:rFonts w:hint="default" w:ascii="Times New Roman" w:hAnsi="Times New Roman" w:eastAsia="宋体" w:cs="Times New Roman"/>
          <w:color w:val="auto"/>
          <w:sz w:val="24"/>
          <w:szCs w:val="24"/>
          <w:highlight w:val="none"/>
          <w:u w:val="single"/>
          <w:vertAlign w:val="superscript"/>
          <w:lang w:val="en-US" w:eastAsia="zh-CN"/>
        </w:rPr>
        <w:t>3</w:t>
      </w:r>
      <w:r>
        <w:rPr>
          <w:rFonts w:hint="default" w:ascii="Times New Roman" w:hAnsi="Times New Roman" w:eastAsia="宋体" w:cs="Times New Roman"/>
          <w:color w:val="auto"/>
          <w:sz w:val="24"/>
          <w:szCs w:val="24"/>
          <w:highlight w:val="none"/>
          <w:u w:val="single"/>
          <w:lang w:val="en-US" w:eastAsia="zh-CN"/>
        </w:rPr>
        <w:t>/h），对比各类废气处理技术的优缺点，适用于热力焚烧方式进行处理。</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single"/>
          <w:lang w:val="en-US" w:eastAsia="zh-CN"/>
        </w:rPr>
        <w:t>根据工程分析，上述废气经处理后，</w:t>
      </w:r>
      <w:r>
        <w:rPr>
          <w:rFonts w:hint="eastAsia" w:eastAsia="宋体" w:cs="Times New Roman"/>
          <w:color w:val="auto"/>
          <w:sz w:val="24"/>
          <w:szCs w:val="24"/>
          <w:highlight w:val="none"/>
          <w:u w:val="single"/>
          <w:lang w:val="en-US" w:eastAsia="zh-CN"/>
        </w:rPr>
        <w:t>最不利情景下</w:t>
      </w:r>
      <w:r>
        <w:rPr>
          <w:rFonts w:hint="default" w:ascii="Times New Roman" w:hAnsi="Times New Roman" w:eastAsia="宋体" w:cs="Times New Roman"/>
          <w:color w:val="auto"/>
          <w:sz w:val="24"/>
          <w:szCs w:val="24"/>
          <w:highlight w:val="none"/>
          <w:u w:val="single"/>
          <w:lang w:val="en-US" w:eastAsia="zh-CN"/>
        </w:rPr>
        <w:t>非甲烷总烃排放浓度24.8  mg/m</w:t>
      </w:r>
      <w:r>
        <w:rPr>
          <w:rFonts w:hint="default" w:ascii="Times New Roman" w:hAnsi="Times New Roman" w:eastAsia="宋体" w:cs="Times New Roman"/>
          <w:color w:val="auto"/>
          <w:sz w:val="24"/>
          <w:szCs w:val="24"/>
          <w:highlight w:val="none"/>
          <w:u w:val="single"/>
          <w:vertAlign w:val="superscript"/>
          <w:lang w:val="en-US" w:eastAsia="zh-CN"/>
        </w:rPr>
        <w:t>3</w:t>
      </w:r>
      <w:r>
        <w:rPr>
          <w:rFonts w:hint="default" w:ascii="Times New Roman" w:hAnsi="Times New Roman" w:eastAsia="宋体" w:cs="Times New Roman"/>
          <w:color w:val="auto"/>
          <w:sz w:val="24"/>
          <w:szCs w:val="24"/>
          <w:highlight w:val="none"/>
          <w:u w:val="single"/>
          <w:lang w:val="en-US" w:eastAsia="zh-CN"/>
        </w:rPr>
        <w:t>，去除效率高于90%，可满足《制药工业大气污染物排放标准》（GB37823-2019）表</w:t>
      </w:r>
      <w:r>
        <w:rPr>
          <w:rFonts w:hint="eastAsia" w:eastAsia="宋体" w:cs="Times New Roman"/>
          <w:color w:val="auto"/>
          <w:sz w:val="24"/>
          <w:szCs w:val="24"/>
          <w:highlight w:val="none"/>
          <w:u w:val="single"/>
          <w:lang w:val="en-US" w:eastAsia="zh-CN"/>
        </w:rPr>
        <w:t>2</w:t>
      </w:r>
      <w:r>
        <w:rPr>
          <w:rFonts w:hint="default" w:ascii="Times New Roman" w:hAnsi="Times New Roman" w:eastAsia="宋体" w:cs="Times New Roman"/>
          <w:color w:val="auto"/>
          <w:sz w:val="24"/>
          <w:szCs w:val="24"/>
          <w:highlight w:val="none"/>
          <w:u w:val="single"/>
          <w:lang w:val="en-US" w:eastAsia="zh-CN"/>
        </w:rPr>
        <w:t>大气污染物</w:t>
      </w:r>
      <w:r>
        <w:rPr>
          <w:rFonts w:hint="eastAsia" w:eastAsia="宋体" w:cs="Times New Roman"/>
          <w:color w:val="auto"/>
          <w:sz w:val="24"/>
          <w:szCs w:val="24"/>
          <w:highlight w:val="none"/>
          <w:u w:val="single"/>
          <w:lang w:val="en-US" w:eastAsia="zh-CN"/>
        </w:rPr>
        <w:t>特别</w:t>
      </w:r>
      <w:r>
        <w:rPr>
          <w:rFonts w:hint="default" w:ascii="Times New Roman" w:hAnsi="Times New Roman" w:eastAsia="宋体" w:cs="Times New Roman"/>
          <w:color w:val="auto"/>
          <w:sz w:val="24"/>
          <w:szCs w:val="24"/>
          <w:highlight w:val="none"/>
          <w:u w:val="single"/>
          <w:lang w:val="en-US" w:eastAsia="zh-CN"/>
        </w:rPr>
        <w:t>排放限值及表3燃烧装置大气污染物排放限值，还可满足《关于全省开展工业企业挥发性有机物专项治理工作中排放建议值的通知》（豫环攻坚办[2017]162号）附件1医药制造工业相关要求。</w:t>
      </w:r>
    </w:p>
    <w:p>
      <w:pPr>
        <w:pStyle w:val="6"/>
        <w:bidi w:val="0"/>
        <w:rPr>
          <w:rFonts w:hint="default"/>
          <w:color w:val="auto"/>
          <w:highlight w:val="none"/>
          <w:u w:val="none"/>
          <w:lang w:val="en-US" w:eastAsia="zh-CN"/>
        </w:rPr>
      </w:pPr>
      <w:bookmarkStart w:id="18" w:name="_Toc23235"/>
      <w:r>
        <w:rPr>
          <w:rFonts w:hint="default"/>
          <w:color w:val="auto"/>
          <w:highlight w:val="none"/>
          <w:u w:val="none"/>
          <w:lang w:val="en-US" w:eastAsia="zh-CN"/>
        </w:rPr>
        <w:t>项目拟采用的RTO装置介绍</w:t>
      </w:r>
    </w:p>
    <w:p>
      <w:pPr>
        <w:pStyle w:val="19"/>
        <w:keepNext w:val="0"/>
        <w:keepLines w:val="0"/>
        <w:pageBreakBefore w:val="0"/>
        <w:widowControl w:val="0"/>
        <w:kinsoku/>
        <w:wordWrap/>
        <w:overflowPunct/>
        <w:topLinePunct w:val="0"/>
        <w:autoSpaceDE w:val="0"/>
        <w:autoSpaceDN w:val="0"/>
        <w:bidi w:val="0"/>
        <w:adjustRightInd w:val="0"/>
        <w:snapToGrid/>
        <w:spacing w:line="480" w:lineRule="exact"/>
        <w:ind w:firstLine="482"/>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default" w:ascii="Times New Roman" w:hAnsi="Times New Roman" w:cs="Times New Roman"/>
          <w:color w:val="auto"/>
          <w:kern w:val="2"/>
          <w:sz w:val="24"/>
          <w:szCs w:val="24"/>
          <w:highlight w:val="none"/>
          <w:u w:val="none"/>
          <w:lang w:val="en-US" w:eastAsia="zh-CN" w:bidi="ar-SA"/>
        </w:rPr>
        <w:t>项目RTO工作原理：</w:t>
      </w:r>
      <w:r>
        <w:rPr>
          <w:rFonts w:hint="default" w:ascii="Times New Roman" w:hAnsi="Times New Roman" w:eastAsia="宋体" w:cs="Times New Roman"/>
          <w:color w:val="auto"/>
          <w:kern w:val="2"/>
          <w:sz w:val="24"/>
          <w:szCs w:val="24"/>
          <w:highlight w:val="none"/>
          <w:u w:val="none"/>
          <w:lang w:val="en-US" w:eastAsia="zh-CN" w:bidi="ar-SA"/>
        </w:rPr>
        <w:t>把有机废气预热至800℃左右，在燃烧室加热升温至900℃以上，使废气中的 VOC 氧化分解成为无害的 CO</w:t>
      </w:r>
      <w:r>
        <w:rPr>
          <w:rFonts w:hint="default" w:ascii="Times New Roman" w:hAnsi="Times New Roman" w:eastAsia="宋体" w:cs="Times New Roman"/>
          <w:color w:val="auto"/>
          <w:kern w:val="2"/>
          <w:sz w:val="24"/>
          <w:szCs w:val="24"/>
          <w:highlight w:val="none"/>
          <w:u w:val="none"/>
          <w:vertAlign w:val="subscript"/>
          <w:lang w:val="en-US" w:eastAsia="zh-CN" w:bidi="ar-SA"/>
        </w:rPr>
        <w:t>2</w:t>
      </w:r>
      <w:r>
        <w:rPr>
          <w:rFonts w:hint="default" w:ascii="Times New Roman" w:hAnsi="Times New Roman" w:eastAsia="宋体" w:cs="Times New Roman"/>
          <w:color w:val="auto"/>
          <w:kern w:val="2"/>
          <w:sz w:val="24"/>
          <w:szCs w:val="24"/>
          <w:highlight w:val="none"/>
          <w:u w:val="none"/>
          <w:lang w:val="en-US" w:eastAsia="zh-CN" w:bidi="ar-SA"/>
        </w:rPr>
        <w:t>和 H</w:t>
      </w:r>
      <w:r>
        <w:rPr>
          <w:rFonts w:hint="default" w:ascii="Times New Roman" w:hAnsi="Times New Roman" w:eastAsia="宋体" w:cs="Times New Roman"/>
          <w:color w:val="auto"/>
          <w:kern w:val="2"/>
          <w:sz w:val="24"/>
          <w:szCs w:val="24"/>
          <w:highlight w:val="none"/>
          <w:u w:val="none"/>
          <w:vertAlign w:val="subscript"/>
          <w:lang w:val="en-US" w:eastAsia="zh-CN" w:bidi="ar-SA"/>
        </w:rPr>
        <w:t>2</w:t>
      </w:r>
      <w:r>
        <w:rPr>
          <w:rFonts w:hint="default" w:ascii="Times New Roman" w:hAnsi="Times New Roman" w:eastAsia="宋体" w:cs="Times New Roman"/>
          <w:color w:val="auto"/>
          <w:kern w:val="2"/>
          <w:sz w:val="24"/>
          <w:szCs w:val="24"/>
          <w:highlight w:val="none"/>
          <w:u w:val="none"/>
          <w:lang w:val="en-US" w:eastAsia="zh-CN" w:bidi="ar-SA"/>
        </w:rPr>
        <w:t>O；氧化时的高温气体的热量被蓄热体“贮存”起来，用于预热新进入的有机废气，从而节省升温所需要的燃料消耗，降低运行成本。</w:t>
      </w:r>
    </w:p>
    <w:p>
      <w:pPr>
        <w:pStyle w:val="12"/>
        <w:rPr>
          <w:rFonts w:hint="default" w:ascii="Times New Roman" w:hAnsi="Times New Roman" w:eastAsia="宋体" w:cs="Times New Roman"/>
          <w:color w:val="auto"/>
          <w:kern w:val="2"/>
          <w:sz w:val="24"/>
          <w:szCs w:val="24"/>
          <w:highlight w:val="none"/>
          <w:u w:val="none"/>
          <w:lang w:val="en-US" w:eastAsia="zh-CN" w:bidi="ar-SA"/>
        </w:rPr>
      </w:pPr>
    </w:p>
    <w:p>
      <w:pPr>
        <w:pStyle w:val="12"/>
        <w:rPr>
          <w:rFonts w:hint="default" w:ascii="Times New Roman" w:hAnsi="Times New Roman" w:eastAsia="宋体" w:cs="Times New Roman"/>
          <w:color w:val="auto"/>
          <w:kern w:val="2"/>
          <w:sz w:val="24"/>
          <w:szCs w:val="24"/>
          <w:highlight w:val="none"/>
          <w:u w:val="none"/>
          <w:lang w:val="en-US" w:eastAsia="zh-CN" w:bidi="ar-SA"/>
        </w:rPr>
      </w:pPr>
      <w:r>
        <w:rPr>
          <w:rFonts w:hint="default" w:ascii="Times New Roman" w:hAnsi="Times New Roman" w:cs="Times New Roman"/>
          <w:color w:val="auto"/>
          <w:highlight w:val="none"/>
          <w:u w:val="none"/>
        </w:rPr>
        <w:drawing>
          <wp:inline distT="0" distB="0" distL="114300" distR="114300">
            <wp:extent cx="5429885" cy="3773170"/>
            <wp:effectExtent l="0" t="0" r="1079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5429885" cy="3773170"/>
                    </a:xfrm>
                    <a:prstGeom prst="rect">
                      <a:avLst/>
                    </a:prstGeom>
                    <a:noFill/>
                    <a:ln>
                      <a:noFill/>
                    </a:ln>
                  </pic:spPr>
                </pic:pic>
              </a:graphicData>
            </a:graphic>
          </wp:inline>
        </w:drawing>
      </w:r>
    </w:p>
    <w:p>
      <w:pPr>
        <w:pStyle w:val="9"/>
        <w:bidi w:val="0"/>
        <w:rPr>
          <w:rFonts w:hint="default"/>
          <w:color w:val="auto"/>
          <w:highlight w:val="none"/>
          <w:u w:val="none"/>
          <w:lang w:val="en-US" w:eastAsia="zh-CN"/>
        </w:rPr>
      </w:pPr>
      <w:r>
        <w:rPr>
          <w:rFonts w:hint="eastAsia"/>
          <w:color w:val="auto"/>
          <w:highlight w:val="none"/>
          <w:u w:val="none"/>
          <w:lang w:val="en-US" w:eastAsia="zh-CN"/>
        </w:rPr>
        <w:t xml:space="preserve"> </w:t>
      </w:r>
      <w:r>
        <w:rPr>
          <w:color w:val="auto"/>
          <w:highlight w:val="none"/>
          <w:u w:val="none"/>
        </w:rPr>
        <w:t xml:space="preserve">图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8.2</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图 \* ARABIC \s 2 </w:instrText>
      </w:r>
      <w:r>
        <w:rPr>
          <w:color w:val="auto"/>
          <w:highlight w:val="none"/>
          <w:u w:val="none"/>
        </w:rPr>
        <w:fldChar w:fldCharType="separate"/>
      </w:r>
      <w:r>
        <w:rPr>
          <w:color w:val="auto"/>
          <w:highlight w:val="none"/>
          <w:u w:val="none"/>
        </w:rPr>
        <w:t>7</w:t>
      </w:r>
      <w:r>
        <w:rPr>
          <w:color w:val="auto"/>
          <w:highlight w:val="none"/>
          <w:u w:val="none"/>
        </w:rPr>
        <w:fldChar w:fldCharType="end"/>
      </w:r>
      <w:r>
        <w:rPr>
          <w:rFonts w:hint="default"/>
          <w:color w:val="auto"/>
          <w:highlight w:val="none"/>
          <w:u w:val="none"/>
          <w:lang w:val="en-US" w:eastAsia="zh-CN"/>
        </w:rPr>
        <w:t xml:space="preserve">  项目RTO工作原理示意图</w:t>
      </w:r>
    </w:p>
    <w:p>
      <w:pPr>
        <w:bidi w:val="0"/>
        <w:rPr>
          <w:rFonts w:hint="default" w:ascii="Times New Roman" w:hAnsi="Times New Roman" w:cs="Times New Roman"/>
          <w:color w:val="auto"/>
          <w:highlight w:val="none"/>
          <w:u w:val="none"/>
          <w:lang w:val="en-US" w:eastAsia="zh-CN"/>
        </w:rPr>
      </w:pPr>
      <w:r>
        <w:rPr>
          <w:rFonts w:hint="default" w:ascii="Times New Roman" w:hAnsi="Times New Roman" w:eastAsia="宋体" w:cs="Times New Roman"/>
          <w:color w:val="auto"/>
          <w:kern w:val="2"/>
          <w:sz w:val="24"/>
          <w:szCs w:val="24"/>
          <w:highlight w:val="none"/>
          <w:u w:val="none"/>
          <w:lang w:val="en-US" w:eastAsia="zh-CN" w:bidi="ar-SA"/>
        </w:rPr>
        <w:t>本系统采用PLC自动控制，设置有集中控制和就地控制，系统负责对废物处理设施各动力设备实施供电和自动控制。对氧化处理设备中关键设备的运行状态、关键点的温度和压力加以监测。为保证废气处理系统的正常运行，本设计通过采集与传输温度、压力的参数变化信号来达到自控氧化与自控联锁的安全保护功能。项目RTO处理流程如下所述：</w:t>
      </w:r>
    </w:p>
    <w:p>
      <w:pPr>
        <w:bidi w:val="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（1）前处理</w:t>
      </w:r>
    </w:p>
    <w:p>
      <w:pPr>
        <w:bidi w:val="0"/>
        <w:ind w:firstLine="60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废气在进入RTO之前先进行过滤。由于废气中含大量酸性气体以及氨气，两者结合容易产生铵盐，如果直接进入RTO容易堵塞蓄热体，因此在进入RTO前先设置过滤箱，箱体内填装散堆陶瓷鞍环填料，在废气进入RTO之前对其先进行过滤处理。过滤箱设置在废气风机前，由于风机前端为负压，可以保证设备可以在线清洗，填料层采用抽屉式，在需要清理时直接更换备件，保证设备可以持续稳定的运行。</w:t>
      </w:r>
    </w:p>
    <w:p>
      <w:pPr>
        <w:bidi w:val="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废气在主界区使用碱洗洗作为预处理，预处理后的废气会夹带一定量的水雾，因此设置除雾塔，除雾塔内部设置脱水填料，内部采用旋风式分离结构，有效的提高水雾的去除效率，保证进入焚烧炉时水分不影响设备的正常运行，减少燃料消耗。</w:t>
      </w:r>
    </w:p>
    <w:p>
      <w:pPr>
        <w:bidi w:val="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（2）氧化分解</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废气首先进入蓄热室①预热废气，陶瓷释放热量，温度降低，而有机废气吸收热量，温度升高，废气离开蓄热室①后以较高的温度进入氧化室氧化分解，在氧化室中，有机废气再由燃烧器补燃，加热升温至设定的氧化温度。使其中的有机物被分解成二氧化碳和水。由于废气已在蓄热室①内预热，燃烧器的燃料用量大为减少。氧化室有两个作用：一是保证废气能达到设定的氧化温度，二是保证有足够的停留时间使废气中的VOC充分氧化，成为净化的高温气体后离开氧化室，进入进入另一个蓄热室②放热，降温后排出，而蓄热室②吸收大量热量后升温（用于下一个循环加热废气）。处理后气体离开蓄热室②，经烟囱排入大气。一般情况下排气温度比进气温度高约50℃左右。此时蓄热室③正处于净化状态。三组蓄热室的阀门交替运行。</w:t>
      </w:r>
    </w:p>
    <w:p>
      <w:pPr>
        <w:pStyle w:val="12"/>
        <w:keepNext w:val="0"/>
        <w:keepLines w:val="0"/>
        <w:pageBreakBefore w:val="0"/>
        <w:widowControl w:val="0"/>
        <w:kinsoku/>
        <w:wordWrap/>
        <w:overflowPunct/>
        <w:topLinePunct w:val="0"/>
        <w:autoSpaceDE/>
        <w:autoSpaceDN/>
        <w:bidi w:val="0"/>
        <w:adjustRightInd/>
        <w:snapToGrid w:val="0"/>
        <w:spacing w:line="520" w:lineRule="exact"/>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default" w:ascii="Times New Roman" w:hAnsi="Times New Roman" w:eastAsia="宋体" w:cs="Times New Roman"/>
          <w:color w:val="auto"/>
          <w:kern w:val="2"/>
          <w:sz w:val="24"/>
          <w:szCs w:val="24"/>
          <w:highlight w:val="none"/>
          <w:u w:val="none"/>
          <w:lang w:val="en-US" w:eastAsia="zh-CN" w:bidi="ar-SA"/>
        </w:rPr>
        <w:t>（3）后处理</w:t>
      </w:r>
    </w:p>
    <w:p>
      <w:pPr>
        <w:pStyle w:val="12"/>
        <w:keepNext w:val="0"/>
        <w:keepLines w:val="0"/>
        <w:pageBreakBefore w:val="0"/>
        <w:widowControl w:val="0"/>
        <w:kinsoku/>
        <w:wordWrap/>
        <w:overflowPunct/>
        <w:topLinePunct w:val="0"/>
        <w:autoSpaceDE/>
        <w:autoSpaceDN/>
        <w:bidi w:val="0"/>
        <w:adjustRightInd/>
        <w:snapToGrid w:val="0"/>
        <w:spacing w:line="520" w:lineRule="exact"/>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default" w:ascii="Times New Roman" w:hAnsi="Times New Roman" w:eastAsia="宋体" w:cs="Times New Roman"/>
          <w:color w:val="auto"/>
          <w:kern w:val="2"/>
          <w:sz w:val="24"/>
          <w:szCs w:val="24"/>
          <w:highlight w:val="none"/>
          <w:u w:val="none"/>
          <w:lang w:val="en-US" w:eastAsia="zh-CN" w:bidi="ar-SA"/>
        </w:rPr>
        <w:t>为抑制烟气中二噁英的重新生成去除氧化分解生成的酸性气体，RTO燃烧装置出来的烟气依次经过急冷塔和喷淋碱洗塔。喷淋碱洗塔也称为喷雾塔，其由自下而上的釜塔、烟气进口、喷淋层、除雾层、烟气出口组成。碱液过循环泵送至塔内喷淋系统，通过螺旋喷头大水量碱液循环雾化喷淋，使烟气与水雾充分接触为1-3mm液滴，全面覆盖整个塔体截面（覆盖率200%），形成良好的雾化区域，并与自下而上的烟气逆向对流充分接触，来完成传质过程，达到吸收净化烟气中酸性气体目的。</w:t>
      </w:r>
    </w:p>
    <w:p>
      <w:pPr>
        <w:pStyle w:val="4"/>
        <w:bidi w:val="0"/>
        <w:rPr>
          <w:rFonts w:hint="default"/>
          <w:color w:val="auto"/>
          <w:highlight w:val="none"/>
          <w:u w:val="none"/>
          <w:lang w:val="en-US" w:eastAsia="zh-CN"/>
        </w:rPr>
      </w:pPr>
      <w:r>
        <w:rPr>
          <w:rFonts w:hint="default"/>
          <w:color w:val="auto"/>
          <w:highlight w:val="none"/>
          <w:u w:val="none"/>
          <w:lang w:val="en-US" w:eastAsia="zh-CN"/>
        </w:rPr>
        <w:t>危废焚烧炉废气防治措施</w:t>
      </w:r>
    </w:p>
    <w:p>
      <w:pPr>
        <w:bidi w:val="0"/>
        <w:spacing w:line="480" w:lineRule="exact"/>
        <w:ind w:firstLine="602"/>
        <w:rPr>
          <w:rFonts w:hint="default" w:ascii="Times New Roman" w:hAnsi="Times New Roman" w:eastAsia="宋体" w:cs="Times New Roman"/>
          <w:color w:val="auto"/>
          <w:szCs w:val="20"/>
          <w:highlight w:val="none"/>
          <w:u w:val="none"/>
          <w:lang w:val="en-US" w:eastAsia="zh-CN"/>
        </w:rPr>
      </w:pPr>
      <w:r>
        <w:rPr>
          <w:rFonts w:hint="default" w:ascii="Times New Roman" w:hAnsi="Times New Roman" w:cs="Times New Roman"/>
          <w:color w:val="auto"/>
          <w:highlight w:val="none"/>
          <w:u w:val="none"/>
          <w:lang w:val="en-US" w:eastAsia="zh-CN"/>
        </w:rPr>
        <w:t>本次</w:t>
      </w:r>
      <w:r>
        <w:rPr>
          <w:rFonts w:hint="eastAsia" w:cs="Times New Roman"/>
          <w:color w:val="auto"/>
          <w:highlight w:val="none"/>
          <w:u w:val="none"/>
          <w:lang w:val="en-US" w:eastAsia="zh-CN"/>
        </w:rPr>
        <w:t>改建</w:t>
      </w:r>
      <w:r>
        <w:rPr>
          <w:rFonts w:hint="default" w:ascii="Times New Roman" w:hAnsi="Times New Roman" w:cs="Times New Roman"/>
          <w:color w:val="auto"/>
          <w:highlight w:val="none"/>
          <w:u w:val="none"/>
          <w:lang w:val="en-US" w:eastAsia="zh-CN"/>
        </w:rPr>
        <w:t>工程依托现有工程的危废焚烧炉进行危废焚烧处置。</w:t>
      </w:r>
      <w:r>
        <w:rPr>
          <w:rFonts w:hint="default" w:ascii="Times New Roman" w:hAnsi="Times New Roman" w:eastAsia="宋体" w:cs="Times New Roman"/>
          <w:color w:val="auto"/>
          <w:szCs w:val="20"/>
          <w:highlight w:val="none"/>
          <w:u w:val="none"/>
          <w:lang w:val="en-US" w:eastAsia="zh-CN"/>
        </w:rPr>
        <w:t>危废焚烧炉工艺流程为：回转窑+二次燃烧室+SNCR 脱硝+余热锅炉+半干急冷塔+干式吸收+布袋除尘器+引风机+2级碱喷淋+35m烟囱。项目需焚烧的危废含氯化物、溴化物等，尾气中的污染物成分包括烟尘、NOx、SO</w:t>
      </w:r>
      <w:r>
        <w:rPr>
          <w:rFonts w:hint="default" w:ascii="Times New Roman" w:hAnsi="Times New Roman" w:eastAsia="宋体" w:cs="Times New Roman"/>
          <w:color w:val="auto"/>
          <w:szCs w:val="20"/>
          <w:highlight w:val="none"/>
          <w:u w:val="none"/>
          <w:vertAlign w:val="subscript"/>
          <w:lang w:val="en-US" w:eastAsia="zh-CN"/>
        </w:rPr>
        <w:t>2</w:t>
      </w:r>
      <w:r>
        <w:rPr>
          <w:rFonts w:hint="default" w:ascii="Times New Roman" w:hAnsi="Times New Roman" w:eastAsia="宋体" w:cs="Times New Roman"/>
          <w:color w:val="auto"/>
          <w:szCs w:val="20"/>
          <w:highlight w:val="none"/>
          <w:u w:val="none"/>
          <w:lang w:val="en-US" w:eastAsia="zh-CN"/>
        </w:rPr>
        <w:t>、HCl以及少量二噁英类等（</w:t>
      </w:r>
      <w:r>
        <w:rPr>
          <w:rFonts w:hint="eastAsia" w:eastAsia="宋体" w:cs="Times New Roman"/>
          <w:color w:val="auto"/>
          <w:szCs w:val="20"/>
          <w:highlight w:val="none"/>
          <w:u w:val="none"/>
          <w:lang w:val="en-US" w:eastAsia="zh-CN"/>
        </w:rPr>
        <w:t>改建</w:t>
      </w:r>
      <w:r>
        <w:rPr>
          <w:rFonts w:hint="default" w:ascii="Times New Roman" w:hAnsi="Times New Roman" w:eastAsia="宋体" w:cs="Times New Roman"/>
          <w:color w:val="auto"/>
          <w:szCs w:val="20"/>
          <w:highlight w:val="none"/>
          <w:u w:val="none"/>
          <w:lang w:val="en-US" w:eastAsia="zh-CN"/>
        </w:rPr>
        <w:t>后现有工程氰基联苯不再生产，不再产生铜及其化合物）。</w:t>
      </w:r>
    </w:p>
    <w:p>
      <w:pPr>
        <w:bidi w:val="0"/>
        <w:spacing w:line="480" w:lineRule="exact"/>
        <w:ind w:firstLine="602"/>
        <w:rPr>
          <w:rFonts w:hint="default" w:ascii="Times New Roman" w:hAnsi="Times New Roman" w:eastAsia="宋体" w:cs="Times New Roman"/>
          <w:color w:val="auto"/>
          <w:szCs w:val="20"/>
          <w:highlight w:val="none"/>
          <w:u w:val="none"/>
          <w:lang w:val="en-US" w:eastAsia="zh-CN"/>
        </w:rPr>
      </w:pPr>
      <w:r>
        <w:rPr>
          <w:rFonts w:hint="default" w:ascii="Times New Roman" w:hAnsi="Times New Roman" w:eastAsia="宋体" w:cs="Times New Roman"/>
          <w:color w:val="auto"/>
          <w:szCs w:val="20"/>
          <w:highlight w:val="none"/>
          <w:u w:val="none"/>
          <w:lang w:val="en-US" w:eastAsia="zh-CN"/>
        </w:rPr>
        <w:t>危废焚烧炉废气在余热锅炉900~1000℃的“温度窗口”喷入15%氨水溶液进行高温SNCR脱硝，脱硝效率可达50~60%；在半干急冷塔喷入碱水（1~2%碱性反应液，可中和烟气中酸性气体），将烟气温度在一秒内由550℃降至200℃，达到脱酸以及控制烟气入布袋除尘器前的温度的目的；在干式反应器喷入消石灰及活性炭吸收烟气中的酸性物质、水分、二噁英类物质以及重金属类物质；在布袋除尘器高效收集烟气中的细微粉尘，除尘效率可达99.5%以上；在喷淋吸收塔进行湿式脱酸，脱酸效率可达96%以上。除酸、除尘工艺前文已进行介绍，不再赘述。</w:t>
      </w:r>
    </w:p>
    <w:p>
      <w:pPr>
        <w:pStyle w:val="6"/>
        <w:bidi w:val="0"/>
        <w:rPr>
          <w:rFonts w:hint="default"/>
          <w:color w:val="auto"/>
          <w:highlight w:val="none"/>
          <w:u w:val="none"/>
          <w:lang w:val="en-US" w:eastAsia="zh-CN"/>
        </w:rPr>
      </w:pPr>
      <w:r>
        <w:rPr>
          <w:rFonts w:hint="default"/>
          <w:color w:val="auto"/>
          <w:highlight w:val="none"/>
          <w:u w:val="none"/>
          <w:lang w:val="en-US" w:eastAsia="zh-CN"/>
        </w:rPr>
        <w:t>二噁英的抑制</w:t>
      </w:r>
    </w:p>
    <w:p>
      <w:pPr>
        <w:bidi w:val="0"/>
        <w:spacing w:line="480" w:lineRule="exact"/>
        <w:ind w:firstLine="602"/>
        <w:rPr>
          <w:rFonts w:hint="default" w:ascii="Times New Roman" w:hAnsi="Times New Roman" w:eastAsia="宋体" w:cs="Times New Roman"/>
          <w:color w:val="auto"/>
          <w:szCs w:val="20"/>
          <w:highlight w:val="none"/>
          <w:u w:val="none"/>
          <w:lang w:val="en-US" w:eastAsia="zh-CN"/>
        </w:rPr>
      </w:pPr>
      <w:r>
        <w:rPr>
          <w:rFonts w:hint="default" w:ascii="Times New Roman" w:hAnsi="Times New Roman" w:eastAsia="宋体" w:cs="Times New Roman"/>
          <w:color w:val="auto"/>
          <w:szCs w:val="20"/>
          <w:highlight w:val="none"/>
          <w:u w:val="none"/>
          <w:lang w:val="en-US" w:eastAsia="zh-CN"/>
        </w:rPr>
        <w:t>二噁英在850℃以上会很快分解，但在250℃-350℃温度下，在铜等作催化剂和CO浓度较高的还原条件下很容易合成（本次</w:t>
      </w:r>
      <w:r>
        <w:rPr>
          <w:rFonts w:hint="eastAsia" w:eastAsia="宋体" w:cs="Times New Roman"/>
          <w:color w:val="auto"/>
          <w:szCs w:val="20"/>
          <w:highlight w:val="none"/>
          <w:u w:val="none"/>
          <w:lang w:val="en-US" w:eastAsia="zh-CN"/>
        </w:rPr>
        <w:t>改建</w:t>
      </w:r>
      <w:r>
        <w:rPr>
          <w:rFonts w:hint="default" w:ascii="Times New Roman" w:hAnsi="Times New Roman" w:eastAsia="宋体" w:cs="Times New Roman"/>
          <w:color w:val="auto"/>
          <w:szCs w:val="20"/>
          <w:highlight w:val="none"/>
          <w:u w:val="none"/>
          <w:lang w:val="en-US" w:eastAsia="zh-CN"/>
        </w:rPr>
        <w:t>工程实施后不再生产氰基联苯，拟焚烧的废物中不再含有重金属）。尽管项目危废焚烧严格遵循“3T”控制，但难免会有二恶英再在低温阶段重新合成，因此避免二噁英重新合成的主要方法是控制CO的浓度和烟气冷却时要尽可能快速通过250℃-350℃温度区（急冷措施）。为了使得二噁英等有害物质充分焚毁，1100℃温度以上需保证充足的停留时间，而又为了使得有机物充分燃烧以及避免产生较多CO，又需充入足够空气，在如此高温条件以及燃烧条件下，NOx的产生主要来源于高温下氮气和氧气的反应，由废物本身产生的NOx在总的NOx中比重不大。一般情况下，焚烧炉排气中NOx浓度多在200-310mg/m</w:t>
      </w:r>
      <w:r>
        <w:rPr>
          <w:rFonts w:hint="default" w:ascii="Times New Roman" w:hAnsi="Times New Roman" w:eastAsia="宋体" w:cs="Times New Roman"/>
          <w:color w:val="auto"/>
          <w:szCs w:val="20"/>
          <w:highlight w:val="none"/>
          <w:u w:val="none"/>
          <w:vertAlign w:val="superscript"/>
          <w:lang w:val="en-US" w:eastAsia="zh-CN"/>
        </w:rPr>
        <w:t>3</w:t>
      </w:r>
      <w:r>
        <w:rPr>
          <w:rFonts w:hint="default" w:ascii="Times New Roman" w:hAnsi="Times New Roman" w:eastAsia="宋体" w:cs="Times New Roman"/>
          <w:color w:val="auto"/>
          <w:szCs w:val="20"/>
          <w:highlight w:val="none"/>
          <w:u w:val="none"/>
          <w:lang w:val="en-US" w:eastAsia="zh-CN"/>
        </w:rPr>
        <w:t>。综上，项目危废焚烧炉采取以下措施控制二噁英的排放：</w:t>
      </w:r>
    </w:p>
    <w:p>
      <w:pPr>
        <w:bidi w:val="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前段处置采用高温直接焚烧工艺，燃烧过程遵循“3T+E”原则，具体就是保证足够的燃烧温度，又保证烟气在燃烧室内停留足够的时间（至少2S)，以及燃烧过程中较大的湍流，E就是要有效控制过剩的空气量（Ex-cessoxygen）。燃烧的完全程度高，可以有效的彻底分解二噁英等有害物质（二恶英在800℃以上即完全分解）；</w:t>
      </w:r>
    </w:p>
    <w:p>
      <w:pPr>
        <w:bidi w:val="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（2）烟气采用半干急冷短时间内实现500-200℃，快速跨过烟气中的二噁英主要生成段；</w:t>
      </w:r>
    </w:p>
    <w:p>
      <w:pPr>
        <w:bidi w:val="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（3）采用干法活性碳吸附+布袋吸收收集二噁英等有害物质；</w:t>
      </w:r>
    </w:p>
    <w:p>
      <w:pPr>
        <w:bidi w:val="0"/>
        <w:rPr>
          <w:rFonts w:hint="default" w:ascii="Times New Roman" w:hAnsi="Times New Roman" w:eastAsia="宋体" w:cs="Times New Roman"/>
          <w:b/>
          <w:bCs/>
          <w:color w:val="auto"/>
          <w:kern w:val="2"/>
          <w:szCs w:val="32"/>
          <w:highlight w:val="none"/>
          <w:u w:val="none"/>
          <w:lang w:val="en-US" w:eastAsia="zh-CN" w:bidi="ar-SA"/>
        </w:rPr>
      </w:pPr>
      <w:r>
        <w:rPr>
          <w:rFonts w:hint="default" w:ascii="Times New Roman" w:hAnsi="Times New Roman" w:cs="Times New Roman"/>
          <w:color w:val="auto"/>
          <w:highlight w:val="none"/>
          <w:u w:val="none"/>
          <w:lang w:val="en-US" w:eastAsia="zh-CN"/>
        </w:rPr>
        <w:t>（4）采用湿法洗涤再次补捉二噁英等有害物质。</w:t>
      </w:r>
    </w:p>
    <w:p>
      <w:pPr>
        <w:pStyle w:val="6"/>
        <w:bidi w:val="0"/>
        <w:rPr>
          <w:rFonts w:hint="default"/>
          <w:color w:val="auto"/>
          <w:highlight w:val="none"/>
          <w:u w:val="none"/>
          <w:lang w:val="en-US" w:eastAsia="zh-CN"/>
        </w:rPr>
      </w:pPr>
      <w:r>
        <w:rPr>
          <w:rFonts w:hint="default"/>
          <w:color w:val="auto"/>
          <w:highlight w:val="none"/>
          <w:u w:val="none"/>
          <w:lang w:val="en-US" w:eastAsia="zh-CN"/>
        </w:rPr>
        <w:t>脱硝措施</w:t>
      </w:r>
    </w:p>
    <w:p>
      <w:pPr>
        <w:bidi w:val="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常用的脱硝措施包括稀硝酸吸收法、碱液吸收法、选择性催化还原法（SCR）、选择性非催化还原法（SNCR），项目危废焚烧炉废气成分复杂，不宜选用硝酸吸收法回收硝酸，焚烧炉废气成分复杂，易造成催化剂失活，故现有工程选用的脱硝工艺为非催化还原法（SNCR），并在尾气进行两级碱洗进进一步进行脱酸。</w:t>
      </w:r>
    </w:p>
    <w:p>
      <w:pPr>
        <w:bidi w:val="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选择性非催化还原是指无催化剂的作用下，在适合脱硝反应的“温度窗口（850℃~1050℃）”内喷入还原剂将烟气中的氮氧化物还原为无害的氮气和水。该技术一般采用炉内喷尿素或氨水作为还原剂还原NOx。还原剂只和烟气中的NOx反应，一般不与氧反应，该技术不采用催化剂，所以这种方法被称为选择性非催化还原法（SNCR）。由于该工艺不用催化剂，因此必须在高温区加入还原剂。还原剂喷入炉膛温度为850℃～1050℃的区域，与烟气中的NOx反应生成N</w:t>
      </w:r>
      <w:r>
        <w:rPr>
          <w:rFonts w:hint="default" w:ascii="Times New Roman" w:hAnsi="Times New Roman" w:cs="Times New Roman"/>
          <w:color w:val="auto"/>
          <w:highlight w:val="none"/>
          <w:u w:val="none"/>
          <w:vertAlign w:val="subscript"/>
          <w:lang w:val="en-US" w:eastAsia="zh-CN"/>
        </w:rPr>
        <w:t>2</w:t>
      </w:r>
      <w:r>
        <w:rPr>
          <w:rFonts w:hint="default" w:ascii="Times New Roman" w:hAnsi="Times New Roman" w:cs="Times New Roman"/>
          <w:color w:val="auto"/>
          <w:highlight w:val="none"/>
          <w:u w:val="none"/>
          <w:lang w:val="en-US" w:eastAsia="zh-CN"/>
        </w:rPr>
        <w:t>和水。</w:t>
      </w:r>
    </w:p>
    <w:p>
      <w:pPr>
        <w:bidi w:val="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本次</w:t>
      </w:r>
      <w:r>
        <w:rPr>
          <w:rFonts w:hint="eastAsia" w:cs="Times New Roman"/>
          <w:color w:val="auto"/>
          <w:highlight w:val="none"/>
          <w:u w:val="none"/>
          <w:lang w:val="en-US" w:eastAsia="zh-CN"/>
        </w:rPr>
        <w:t>改建</w:t>
      </w:r>
      <w:r>
        <w:rPr>
          <w:rFonts w:hint="default" w:ascii="Times New Roman" w:hAnsi="Times New Roman" w:cs="Times New Roman"/>
          <w:color w:val="auto"/>
          <w:highlight w:val="none"/>
          <w:u w:val="none"/>
          <w:lang w:val="en-US" w:eastAsia="zh-CN"/>
        </w:rPr>
        <w:t>工程依托现有工程的危废焚烧炉进行危废焚烧处置，现有工程焚烧炉已通过环保验收。根据验收</w:t>
      </w:r>
      <w:r>
        <w:rPr>
          <w:rFonts w:hint="eastAsia" w:cs="Times New Roman"/>
          <w:color w:val="auto"/>
          <w:highlight w:val="none"/>
          <w:u w:val="none"/>
          <w:lang w:val="en-US" w:eastAsia="zh-CN"/>
        </w:rPr>
        <w:t>及例行监测</w:t>
      </w:r>
      <w:r>
        <w:rPr>
          <w:rFonts w:hint="default" w:ascii="Times New Roman" w:hAnsi="Times New Roman" w:cs="Times New Roman"/>
          <w:color w:val="auto"/>
          <w:highlight w:val="none"/>
          <w:u w:val="none"/>
          <w:lang w:val="en-US" w:eastAsia="zh-CN"/>
        </w:rPr>
        <w:t>结果，各项污染物可满足《危险废物焚烧污染控制标准》（GB 18484-2020）表3污染物排放限值要求，上述处理措施可行。</w:t>
      </w:r>
    </w:p>
    <w:bookmarkEnd w:id="18"/>
    <w:p>
      <w:pPr>
        <w:pStyle w:val="4"/>
        <w:bidi w:val="0"/>
        <w:rPr>
          <w:rFonts w:hint="default"/>
          <w:color w:val="auto"/>
          <w:highlight w:val="none"/>
          <w:u w:val="none"/>
          <w:lang w:val="en-US" w:eastAsia="zh-CN"/>
        </w:rPr>
      </w:pPr>
      <w:bookmarkStart w:id="19" w:name="_Toc5699"/>
      <w:bookmarkStart w:id="20" w:name="_Toc11547"/>
      <w:r>
        <w:rPr>
          <w:rFonts w:hint="default"/>
          <w:color w:val="auto"/>
          <w:highlight w:val="none"/>
          <w:u w:val="none"/>
          <w:lang w:val="en-US" w:eastAsia="zh-CN"/>
        </w:rPr>
        <w:t>物料存储、转运过程废气污染防治措施</w:t>
      </w:r>
    </w:p>
    <w:p>
      <w:pPr>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1）项目反应、萃取、结晶、离心、干燥、过滤等均在密闭设备内进行，包装在密闭车间内进行，进料置换废气、挥发废气、萃取废气、反应尾气、结晶废气、离心废气、干燥废气经密闭管道引至预处理装置预处理后，进入RTO焚烧处置，密闭包装间负压抽风废气进入袋式除尘器处理后排放；</w:t>
      </w:r>
    </w:p>
    <w:p>
      <w:pPr>
        <w:pStyle w:val="5"/>
        <w:rPr>
          <w:rFonts w:hint="default"/>
          <w:color w:val="auto"/>
          <w:highlight w:val="none"/>
          <w:u w:val="single"/>
          <w:lang w:val="en-US" w:eastAsia="zh-CN"/>
        </w:rPr>
      </w:pPr>
      <w:r>
        <w:rPr>
          <w:rFonts w:hint="default" w:ascii="Times New Roman" w:hAnsi="Times New Roman" w:cs="Times New Roman"/>
          <w:color w:val="auto"/>
          <w:highlight w:val="none"/>
          <w:u w:val="single"/>
          <w:lang w:val="en-US" w:eastAsia="zh-CN"/>
        </w:rPr>
        <w:t>（2）各生产设备的进料口、出料口、检修口、搅拌口、观察孔等开口(孔) 在不操作时全部保持密闭，并在上述进料口、观察口上方设置集气罩，进一步</w:t>
      </w:r>
      <w:r>
        <w:rPr>
          <w:rFonts w:hint="eastAsia" w:ascii="Times New Roman" w:hAnsi="Times New Roman" w:cs="Times New Roman"/>
          <w:color w:val="auto"/>
          <w:highlight w:val="none"/>
          <w:u w:val="single"/>
          <w:lang w:val="en-US" w:eastAsia="zh-CN"/>
        </w:rPr>
        <w:t>收集</w:t>
      </w:r>
      <w:r>
        <w:rPr>
          <w:rFonts w:hint="default" w:ascii="Times New Roman" w:hAnsi="Times New Roman" w:cs="Times New Roman"/>
          <w:color w:val="auto"/>
          <w:highlight w:val="none"/>
          <w:u w:val="single"/>
          <w:lang w:val="en-US" w:eastAsia="zh-CN"/>
        </w:rPr>
        <w:t>操作过程中逸散的废气，有效地控制反应过程中 VOCs 的无组织排放。</w:t>
      </w:r>
    </w:p>
    <w:p>
      <w:pPr>
        <w:bidi w:val="0"/>
        <w:rPr>
          <w:rFonts w:hint="default"/>
          <w:color w:val="auto"/>
          <w:highlight w:val="none"/>
          <w:u w:val="single"/>
          <w:lang w:val="en-US" w:eastAsia="zh-CN"/>
        </w:rPr>
      </w:pPr>
      <w:r>
        <w:rPr>
          <w:rFonts w:hint="eastAsia"/>
          <w:color w:val="auto"/>
          <w:highlight w:val="none"/>
          <w:u w:val="single"/>
          <w:lang w:val="en-US" w:eastAsia="zh-CN"/>
        </w:rPr>
        <w:t>（3）项目所有有机溶剂均使用密闭储罐、中间罐储存与中转，各类储罐、中转罐、回收罐、高位槽（滴加罐）呼吸阀呼出废气均导入废气收集处理系统进行处理，有机溶剂均采用密闭管道由中转罐上料，其他桶装的液态原料均采用桶泵方式上料；</w:t>
      </w:r>
    </w:p>
    <w:p>
      <w:pPr>
        <w:bidi w:val="0"/>
        <w:rPr>
          <w:rFonts w:hint="default"/>
          <w:color w:val="auto"/>
          <w:highlight w:val="none"/>
          <w:u w:val="single"/>
          <w:lang w:val="en-US" w:eastAsia="zh-CN"/>
        </w:rPr>
      </w:pPr>
      <w:r>
        <w:rPr>
          <w:rFonts w:hint="eastAsia"/>
          <w:color w:val="auto"/>
          <w:highlight w:val="none"/>
          <w:u w:val="single"/>
          <w:lang w:val="en-US" w:eastAsia="zh-CN"/>
        </w:rPr>
        <w:t>（4）项目拟采用全自动密闭离心机进行离心，全密闭板式压滤机或全密闭压滤罐进行过滤（部分生产线利用现有设备时，应将现有的平板离心机、非密闭式压滤机升级为前文所述先进设备）。</w:t>
      </w:r>
    </w:p>
    <w:p>
      <w:pPr>
        <w:bidi w:val="0"/>
        <w:rPr>
          <w:rFonts w:hint="default"/>
          <w:color w:val="auto"/>
          <w:highlight w:val="none"/>
          <w:u w:val="single"/>
          <w:lang w:val="en-US" w:eastAsia="zh-CN"/>
        </w:rPr>
      </w:pPr>
      <w:r>
        <w:rPr>
          <w:rFonts w:hint="eastAsia"/>
          <w:color w:val="auto"/>
          <w:highlight w:val="none"/>
          <w:u w:val="single"/>
          <w:lang w:val="en-US" w:eastAsia="zh-CN"/>
        </w:rPr>
        <w:t>（5）项目所使用的水环真空泵、水喷射真空泵的循环水箱均密闭，真空排气、循环槽（罐）排气经收集后进入RTO装置焚烧处置。</w:t>
      </w:r>
    </w:p>
    <w:p>
      <w:pPr>
        <w:bidi w:val="0"/>
        <w:rPr>
          <w:rFonts w:hint="eastAsia"/>
          <w:color w:val="auto"/>
          <w:highlight w:val="none"/>
          <w:u w:val="single"/>
          <w:lang w:val="en-US" w:eastAsia="zh-CN"/>
        </w:rPr>
      </w:pPr>
      <w:r>
        <w:rPr>
          <w:rFonts w:hint="eastAsia"/>
          <w:color w:val="auto"/>
          <w:highlight w:val="none"/>
          <w:u w:val="single"/>
          <w:lang w:val="en-US" w:eastAsia="zh-CN"/>
        </w:rPr>
        <w:t>（6）废水预处理设施为密闭的预处理罐，废水收集管线均为密闭管道，污水站全密闭构筑物均负压收集进入废气处理系统；</w:t>
      </w:r>
    </w:p>
    <w:p>
      <w:pPr>
        <w:bidi w:val="0"/>
        <w:rPr>
          <w:rFonts w:hint="default"/>
          <w:color w:val="auto"/>
          <w:highlight w:val="none"/>
          <w:u w:val="single"/>
          <w:lang w:val="en-US" w:eastAsia="zh-CN"/>
        </w:rPr>
      </w:pPr>
      <w:r>
        <w:rPr>
          <w:rFonts w:hint="eastAsia"/>
          <w:color w:val="auto"/>
          <w:highlight w:val="none"/>
          <w:u w:val="single"/>
          <w:lang w:val="en-US" w:eastAsia="zh-CN"/>
        </w:rPr>
        <w:t>（7）涉VOCs的固废在转运、储存过程均加盖密闭存放，危废间、原料库1还采取负压收集措施，将废气导入RTO装置焚烧处置。</w:t>
      </w:r>
    </w:p>
    <w:p>
      <w:pPr>
        <w:bidi w:val="0"/>
        <w:rPr>
          <w:rFonts w:hint="default"/>
          <w:color w:val="auto"/>
          <w:highlight w:val="none"/>
          <w:u w:val="single"/>
          <w:lang w:val="en-US" w:eastAsia="zh-CN"/>
        </w:rPr>
      </w:pPr>
      <w:r>
        <w:rPr>
          <w:rFonts w:hint="eastAsia"/>
          <w:color w:val="auto"/>
          <w:highlight w:val="none"/>
          <w:u w:val="single"/>
          <w:lang w:val="en-US" w:eastAsia="zh-CN"/>
        </w:rPr>
        <w:t>（8）实验室通风橱废气收集后导入RTO装置焚烧处置，液体化学品库、危废间负压抽风，废气导入新建RTO焚烧处置。</w:t>
      </w:r>
    </w:p>
    <w:p>
      <w:pPr>
        <w:bidi w:val="0"/>
        <w:rPr>
          <w:rFonts w:hint="eastAsia"/>
          <w:color w:val="auto"/>
          <w:highlight w:val="none"/>
          <w:u w:val="single"/>
          <w:lang w:val="en-US" w:eastAsia="zh-CN"/>
        </w:rPr>
      </w:pPr>
      <w:r>
        <w:rPr>
          <w:rFonts w:hint="eastAsia"/>
          <w:color w:val="auto"/>
          <w:highlight w:val="none"/>
          <w:u w:val="single"/>
          <w:lang w:val="en-US" w:eastAsia="zh-CN"/>
        </w:rPr>
        <w:t>（9）</w:t>
      </w:r>
      <w:r>
        <w:rPr>
          <w:rFonts w:hint="default"/>
          <w:color w:val="auto"/>
          <w:highlight w:val="none"/>
          <w:u w:val="single"/>
          <w:lang w:val="en-US" w:eastAsia="zh-CN"/>
        </w:rPr>
        <w:t>评价要求企业建立台账，记录VOCs原辅材料名称、使用量、回收量、废弃量、去向以及VOCs含量等信息，台账保存期限不少于3年</w:t>
      </w:r>
      <w:r>
        <w:rPr>
          <w:rFonts w:hint="eastAsia"/>
          <w:color w:val="auto"/>
          <w:highlight w:val="none"/>
          <w:u w:val="single"/>
          <w:lang w:val="en-US" w:eastAsia="zh-CN"/>
        </w:rPr>
        <w:t>。</w:t>
      </w:r>
    </w:p>
    <w:p>
      <w:pPr>
        <w:pStyle w:val="4"/>
        <w:bidi w:val="0"/>
        <w:rPr>
          <w:rFonts w:hint="default"/>
          <w:color w:val="auto"/>
          <w:highlight w:val="none"/>
          <w:u w:val="single"/>
          <w:lang w:val="en-US" w:eastAsia="zh-CN"/>
        </w:rPr>
      </w:pPr>
      <w:r>
        <w:rPr>
          <w:rFonts w:hint="default"/>
          <w:color w:val="auto"/>
          <w:highlight w:val="none"/>
          <w:u w:val="single"/>
          <w:lang w:val="en-US" w:eastAsia="zh-CN"/>
        </w:rPr>
        <w:t>动静密封点泄露废气</w:t>
      </w:r>
    </w:p>
    <w:p>
      <w:pPr>
        <w:spacing w:line="480" w:lineRule="exact"/>
        <w:ind w:firstLine="480"/>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u w:val="single"/>
        </w:rPr>
        <w:t>本项目装置区无组织废气主要来自法兰、阀门、泵、接口、罐口等连接处的“跑冒滴漏”。跑冒滴漏一般与工厂的管理水平以及设备、管道管件的材质、耐压等级和设备的运行状况有关，在正常工况下，明显的跑冒滴漏现象不会发生，但随着运行时间的增加，设备零部件的老化、损耗增加，要完全消除泄漏是不可能的。因为，发生泄漏的随机性较大。泄漏的发生又决定于生产流程中设备和管道管件的密封程度，以及操作介质和操作工艺条件等。</w:t>
      </w:r>
    </w:p>
    <w:p>
      <w:pPr>
        <w:spacing w:line="500" w:lineRule="exact"/>
        <w:ind w:firstLine="480"/>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u w:val="single"/>
        </w:rPr>
        <w:t>设备的泄漏情况虽然不能杜绝，但控制静密封泄漏率，可将泄漏降到最低程度。</w:t>
      </w:r>
      <w:r>
        <w:rPr>
          <w:rFonts w:ascii="Times New Roman" w:hAnsi="Times New Roman" w:eastAsia="宋体" w:cs="Times New Roman"/>
          <w:color w:val="auto"/>
          <w:kern w:val="0"/>
          <w:highlight w:val="none"/>
          <w:u w:val="single"/>
        </w:rPr>
        <w:t>项目装置区将</w:t>
      </w:r>
      <w:r>
        <w:rPr>
          <w:rFonts w:ascii="Times New Roman" w:hAnsi="Times New Roman" w:eastAsia="宋体" w:cs="Times New Roman"/>
          <w:color w:val="auto"/>
          <w:highlight w:val="none"/>
          <w:u w:val="single"/>
        </w:rPr>
        <w:t>推行“泄漏检测与修复（LDAR）”技术，从而降低密封点泄露概率。</w:t>
      </w:r>
    </w:p>
    <w:p>
      <w:pPr>
        <w:spacing w:line="480" w:lineRule="exact"/>
        <w:ind w:firstLine="480"/>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u w:val="single"/>
        </w:rPr>
        <w:t>设备与管阀件泄漏检测与维修时对识别出的泄漏设备进行检测和修复的一套结构性方法。其目的是识别出泄漏较大的设备或部件，以保证通过修复有效减少泄漏量。泄漏控制包括以下内容：检测设备与管阀件泄漏、修复泄漏、跟踪设备与管阀件。防止泄漏：设计防泄漏设备与管阀件，测试其可靠性，逐步更新为防泄漏设备与管阀件等。LDAR宜应用于能在线修复的设备类型，以便迅速的减少泄漏，或者应用于不适宜改造的设备类型。LDAR最适合与阀门和泵类，也可适用于连接件。本次项目完成后，建议企业新增LDAR检漏设备进行检测和维修，采取此项措施后，装置区无组织排放量可显著减小。</w:t>
      </w:r>
    </w:p>
    <w:p>
      <w:pPr>
        <w:spacing w:line="480" w:lineRule="exact"/>
        <w:ind w:firstLine="480"/>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u w:val="single"/>
        </w:rPr>
        <w:t>企业应按照《工业企业挥发性有机物泄漏检测与修复技术指南》（HJ 1230—2021），进行LDAR检测与修复工作，具体工作流程如下：</w:t>
      </w:r>
    </w:p>
    <w:p>
      <w:pPr>
        <w:spacing w:line="480" w:lineRule="exact"/>
        <w:ind w:firstLine="480"/>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u w:val="single"/>
        </w:rPr>
        <w:t>首次开展 LDAR工作包括但不限于项目建立、现场检测和泄漏修复3个步骤。本企业非首次开展LDAR工作，工作程序包括但不限于现场检测和泄漏修复2个步骤。企业应基于现场检测和泄露修复工作结果至少编制首轮报告和年度报告，各个步骤应符合相应的质量保证与控制要求。若企业因开停工、检维修以及改扩建等原因发生密封点变更的，应重新对变更部分进行建档信息修订，并开展现场检测和泄漏修复工作。LDAR工作步骤见</w:t>
      </w:r>
      <w:r>
        <w:rPr>
          <w:rFonts w:hint="eastAsia" w:ascii="Times New Roman" w:hAnsi="Times New Roman" w:eastAsia="宋体" w:cs="Times New Roman"/>
          <w:color w:val="auto"/>
          <w:highlight w:val="none"/>
          <w:u w:val="single"/>
          <w:lang w:val="en-US" w:eastAsia="zh-CN"/>
        </w:rPr>
        <w:t>下图</w:t>
      </w:r>
      <w:r>
        <w:rPr>
          <w:rFonts w:ascii="Times New Roman" w:hAnsi="Times New Roman" w:eastAsia="宋体" w:cs="Times New Roman"/>
          <w:color w:val="auto"/>
          <w:highlight w:val="none"/>
          <w:u w:val="single"/>
        </w:rPr>
        <w:t>。</w:t>
      </w:r>
    </w:p>
    <w:p>
      <w:pPr>
        <w:widowControl w:val="0"/>
        <w:autoSpaceDE w:val="0"/>
        <w:autoSpaceDN w:val="0"/>
        <w:adjustRightInd w:val="0"/>
        <w:spacing w:line="480" w:lineRule="exact"/>
        <w:ind w:firstLine="0" w:firstLineChars="0"/>
        <w:jc w:val="both"/>
        <w:rPr>
          <w:rFonts w:ascii="Times New Roman" w:hAnsi="Times New Roman" w:eastAsia="宋体" w:cs="Times New Roman"/>
          <w:color w:val="auto"/>
          <w:kern w:val="2"/>
          <w:sz w:val="24"/>
          <w:szCs w:val="24"/>
          <w:highlight w:val="none"/>
          <w:u w:val="single"/>
          <w:lang w:val="en-US" w:eastAsia="zh-CN" w:bidi="ar-SA"/>
        </w:rPr>
      </w:pPr>
      <w:r>
        <w:rPr>
          <w:rFonts w:ascii="Times New Roman" w:hAnsi="Times New Roman" w:eastAsia="宋体" w:cs="Times New Roman"/>
          <w:color w:val="auto"/>
          <w:kern w:val="2"/>
          <w:sz w:val="24"/>
          <w:szCs w:val="24"/>
          <w:highlight w:val="none"/>
          <w:u w:val="single"/>
          <w:lang w:val="en-US" w:eastAsia="zh-CN" w:bidi="ar-SA"/>
        </w:rPr>
        <w:drawing>
          <wp:anchor distT="0" distB="0" distL="114300" distR="114300" simplePos="0" relativeHeight="251674624" behindDoc="0" locked="0" layoutInCell="1" allowOverlap="1">
            <wp:simplePos x="0" y="0"/>
            <wp:positionH relativeFrom="column">
              <wp:posOffset>259080</wp:posOffset>
            </wp:positionH>
            <wp:positionV relativeFrom="paragraph">
              <wp:posOffset>272415</wp:posOffset>
            </wp:positionV>
            <wp:extent cx="5269865" cy="2374265"/>
            <wp:effectExtent l="0" t="0" r="3175" b="3175"/>
            <wp:wrapNone/>
            <wp:docPr id="74"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6"/>
                    <pic:cNvPicPr>
                      <a:picLocks noChangeAspect="1"/>
                    </pic:cNvPicPr>
                  </pic:nvPicPr>
                  <pic:blipFill>
                    <a:blip r:embed="rId26"/>
                    <a:stretch>
                      <a:fillRect/>
                    </a:stretch>
                  </pic:blipFill>
                  <pic:spPr>
                    <a:xfrm>
                      <a:off x="0" y="0"/>
                      <a:ext cx="5269865" cy="2374265"/>
                    </a:xfrm>
                    <a:prstGeom prst="rect">
                      <a:avLst/>
                    </a:prstGeom>
                    <a:noFill/>
                    <a:ln>
                      <a:noFill/>
                    </a:ln>
                  </pic:spPr>
                </pic:pic>
              </a:graphicData>
            </a:graphic>
          </wp:anchor>
        </w:drawing>
      </w:r>
    </w:p>
    <w:p>
      <w:pPr>
        <w:widowControl w:val="0"/>
        <w:autoSpaceDE w:val="0"/>
        <w:autoSpaceDN w:val="0"/>
        <w:adjustRightInd w:val="0"/>
        <w:spacing w:line="480" w:lineRule="exact"/>
        <w:ind w:firstLine="480" w:firstLineChars="200"/>
        <w:jc w:val="both"/>
        <w:rPr>
          <w:rFonts w:ascii="Times New Roman" w:hAnsi="Times New Roman" w:eastAsia="宋体" w:cs="Times New Roman"/>
          <w:color w:val="auto"/>
          <w:kern w:val="2"/>
          <w:sz w:val="24"/>
          <w:szCs w:val="24"/>
          <w:highlight w:val="none"/>
          <w:u w:val="single"/>
          <w:lang w:val="en-US" w:eastAsia="zh-CN" w:bidi="ar-SA"/>
        </w:rPr>
      </w:pPr>
    </w:p>
    <w:p>
      <w:pPr>
        <w:spacing w:line="480" w:lineRule="exact"/>
        <w:ind w:firstLine="480"/>
        <w:rPr>
          <w:rFonts w:ascii="Times New Roman" w:hAnsi="Times New Roman" w:eastAsia="宋体" w:cs="Times New Roman"/>
          <w:color w:val="auto"/>
          <w:highlight w:val="none"/>
          <w:u w:val="single"/>
        </w:rPr>
      </w:pPr>
    </w:p>
    <w:p>
      <w:pPr>
        <w:spacing w:line="480" w:lineRule="exact"/>
        <w:ind w:firstLine="480"/>
        <w:rPr>
          <w:rFonts w:ascii="Times New Roman" w:hAnsi="Times New Roman" w:eastAsia="宋体" w:cs="Times New Roman"/>
          <w:color w:val="auto"/>
          <w:highlight w:val="none"/>
          <w:u w:val="single"/>
        </w:rPr>
      </w:pPr>
    </w:p>
    <w:p>
      <w:pPr>
        <w:spacing w:line="480" w:lineRule="exact"/>
        <w:ind w:firstLine="480"/>
        <w:rPr>
          <w:rFonts w:ascii="Times New Roman" w:hAnsi="Times New Roman" w:eastAsia="宋体" w:cs="Times New Roman"/>
          <w:color w:val="auto"/>
          <w:highlight w:val="none"/>
          <w:u w:val="single"/>
        </w:rPr>
      </w:pPr>
    </w:p>
    <w:p>
      <w:pPr>
        <w:spacing w:line="480" w:lineRule="exact"/>
        <w:ind w:firstLine="480"/>
        <w:rPr>
          <w:rFonts w:ascii="Times New Roman" w:hAnsi="Times New Roman" w:eastAsia="宋体" w:cs="Times New Roman"/>
          <w:color w:val="auto"/>
          <w:highlight w:val="none"/>
          <w:u w:val="single"/>
        </w:rPr>
      </w:pPr>
    </w:p>
    <w:p>
      <w:pPr>
        <w:spacing w:line="480" w:lineRule="exact"/>
        <w:ind w:firstLine="480"/>
        <w:rPr>
          <w:rFonts w:ascii="Times New Roman" w:hAnsi="Times New Roman" w:eastAsia="宋体" w:cs="Times New Roman"/>
          <w:color w:val="auto"/>
          <w:highlight w:val="none"/>
          <w:u w:val="single"/>
        </w:rPr>
      </w:pPr>
    </w:p>
    <w:p>
      <w:pPr>
        <w:spacing w:line="480" w:lineRule="exact"/>
        <w:ind w:firstLine="480"/>
        <w:rPr>
          <w:rFonts w:ascii="Times New Roman" w:hAnsi="Times New Roman" w:eastAsia="宋体" w:cs="Times New Roman"/>
          <w:color w:val="auto"/>
          <w:highlight w:val="none"/>
          <w:u w:val="single"/>
        </w:rPr>
      </w:pPr>
    </w:p>
    <w:p>
      <w:pPr>
        <w:spacing w:line="480" w:lineRule="exact"/>
        <w:ind w:firstLine="480"/>
        <w:rPr>
          <w:rFonts w:ascii="Times New Roman" w:hAnsi="Times New Roman" w:eastAsia="宋体" w:cs="Times New Roman"/>
          <w:color w:val="auto"/>
          <w:highlight w:val="none"/>
          <w:u w:val="single"/>
        </w:rPr>
      </w:pPr>
    </w:p>
    <w:p>
      <w:pPr>
        <w:widowControl w:val="0"/>
        <w:spacing w:line="360" w:lineRule="exact"/>
        <w:ind w:firstLine="0" w:firstLineChars="0"/>
        <w:jc w:val="center"/>
        <w:rPr>
          <w:rFonts w:ascii="Times New Roman" w:hAnsi="Times New Roman" w:eastAsia="宋体" w:cs="Times New Roman"/>
          <w:b/>
          <w:color w:val="auto"/>
          <w:kern w:val="2"/>
          <w:sz w:val="21"/>
          <w:szCs w:val="23"/>
          <w:highlight w:val="none"/>
          <w:u w:val="single"/>
          <w:lang w:val="en-US" w:eastAsia="zh-CN" w:bidi="ar-SA"/>
        </w:rPr>
      </w:pPr>
      <w:r>
        <w:rPr>
          <w:rFonts w:ascii="Times New Roman" w:hAnsi="Times New Roman" w:eastAsia="宋体" w:cs="Times New Roman"/>
          <w:b/>
          <w:color w:val="auto"/>
          <w:kern w:val="2"/>
          <w:sz w:val="21"/>
          <w:szCs w:val="23"/>
          <w:highlight w:val="none"/>
          <w:u w:val="single"/>
          <w:lang w:val="en-US" w:eastAsia="zh-CN" w:bidi="ar-SA"/>
        </w:rPr>
        <w:t xml:space="preserve"> </w:t>
      </w:r>
      <w:r>
        <w:rPr>
          <w:rFonts w:ascii="Times New Roman" w:hAnsi="Times New Roman" w:eastAsia="宋体" w:cs="Times New Roman"/>
          <w:b/>
          <w:color w:val="auto"/>
          <w:kern w:val="2"/>
          <w:sz w:val="21"/>
          <w:szCs w:val="20"/>
          <w:highlight w:val="none"/>
          <w:u w:val="single"/>
          <w:lang w:val="en-US" w:eastAsia="zh-CN" w:bidi="ar-SA"/>
        </w:rPr>
        <w:t xml:space="preserve">图 </w:t>
      </w:r>
      <w:r>
        <w:rPr>
          <w:rFonts w:ascii="Times New Roman" w:hAnsi="Times New Roman" w:eastAsia="宋体" w:cs="Times New Roman"/>
          <w:b/>
          <w:color w:val="auto"/>
          <w:kern w:val="2"/>
          <w:sz w:val="21"/>
          <w:szCs w:val="20"/>
          <w:highlight w:val="none"/>
          <w:u w:val="single"/>
          <w:lang w:val="en-US" w:eastAsia="zh-CN" w:bidi="ar-SA"/>
        </w:rPr>
        <w:fldChar w:fldCharType="begin"/>
      </w:r>
      <w:r>
        <w:rPr>
          <w:rFonts w:ascii="Times New Roman" w:hAnsi="Times New Roman" w:eastAsia="宋体" w:cs="Times New Roman"/>
          <w:b/>
          <w:color w:val="auto"/>
          <w:kern w:val="2"/>
          <w:sz w:val="21"/>
          <w:szCs w:val="20"/>
          <w:highlight w:val="none"/>
          <w:u w:val="single"/>
          <w:lang w:val="en-US" w:eastAsia="zh-CN" w:bidi="ar-SA"/>
        </w:rPr>
        <w:instrText xml:space="preserve"> STYLEREF 2 \s </w:instrText>
      </w:r>
      <w:r>
        <w:rPr>
          <w:rFonts w:ascii="Times New Roman" w:hAnsi="Times New Roman" w:eastAsia="宋体" w:cs="Times New Roman"/>
          <w:b/>
          <w:color w:val="auto"/>
          <w:kern w:val="2"/>
          <w:sz w:val="21"/>
          <w:szCs w:val="20"/>
          <w:highlight w:val="none"/>
          <w:u w:val="single"/>
          <w:lang w:val="en-US" w:eastAsia="zh-CN" w:bidi="ar-SA"/>
        </w:rPr>
        <w:fldChar w:fldCharType="separate"/>
      </w:r>
      <w:r>
        <w:rPr>
          <w:rFonts w:ascii="Times New Roman" w:hAnsi="Times New Roman" w:eastAsia="宋体" w:cs="Times New Roman"/>
          <w:b/>
          <w:color w:val="auto"/>
          <w:kern w:val="2"/>
          <w:sz w:val="21"/>
          <w:szCs w:val="20"/>
          <w:highlight w:val="none"/>
          <w:u w:val="single"/>
          <w:lang w:val="en-US" w:eastAsia="zh-CN" w:bidi="ar-SA"/>
        </w:rPr>
        <w:t>8.2</w:t>
      </w:r>
      <w:r>
        <w:rPr>
          <w:rFonts w:ascii="Times New Roman" w:hAnsi="Times New Roman" w:eastAsia="宋体" w:cs="Times New Roman"/>
          <w:b/>
          <w:color w:val="auto"/>
          <w:kern w:val="2"/>
          <w:sz w:val="21"/>
          <w:szCs w:val="20"/>
          <w:highlight w:val="none"/>
          <w:u w:val="single"/>
          <w:lang w:val="en-US" w:eastAsia="zh-CN" w:bidi="ar-SA"/>
        </w:rPr>
        <w:fldChar w:fldCharType="end"/>
      </w:r>
      <w:r>
        <w:rPr>
          <w:rFonts w:ascii="Times New Roman" w:hAnsi="Times New Roman" w:eastAsia="宋体" w:cs="Times New Roman"/>
          <w:b/>
          <w:color w:val="auto"/>
          <w:kern w:val="2"/>
          <w:sz w:val="21"/>
          <w:szCs w:val="20"/>
          <w:highlight w:val="none"/>
          <w:u w:val="single"/>
          <w:lang w:val="en-US" w:eastAsia="zh-CN" w:bidi="ar-SA"/>
        </w:rPr>
        <w:t>-</w:t>
      </w:r>
      <w:r>
        <w:rPr>
          <w:rFonts w:ascii="Times New Roman" w:hAnsi="Times New Roman" w:eastAsia="宋体" w:cs="Times New Roman"/>
          <w:b/>
          <w:color w:val="auto"/>
          <w:kern w:val="2"/>
          <w:sz w:val="21"/>
          <w:szCs w:val="20"/>
          <w:highlight w:val="none"/>
          <w:u w:val="single"/>
          <w:lang w:val="en-US" w:eastAsia="zh-CN" w:bidi="ar-SA"/>
        </w:rPr>
        <w:fldChar w:fldCharType="begin"/>
      </w:r>
      <w:r>
        <w:rPr>
          <w:rFonts w:ascii="Times New Roman" w:hAnsi="Times New Roman" w:eastAsia="宋体" w:cs="Times New Roman"/>
          <w:b/>
          <w:color w:val="auto"/>
          <w:kern w:val="2"/>
          <w:sz w:val="21"/>
          <w:szCs w:val="20"/>
          <w:highlight w:val="none"/>
          <w:u w:val="single"/>
          <w:lang w:val="en-US" w:eastAsia="zh-CN" w:bidi="ar-SA"/>
        </w:rPr>
        <w:instrText xml:space="preserve"> SEQ 图 \* ARABIC \s 2 </w:instrText>
      </w:r>
      <w:r>
        <w:rPr>
          <w:rFonts w:ascii="Times New Roman" w:hAnsi="Times New Roman" w:eastAsia="宋体" w:cs="Times New Roman"/>
          <w:b/>
          <w:color w:val="auto"/>
          <w:kern w:val="2"/>
          <w:sz w:val="21"/>
          <w:szCs w:val="20"/>
          <w:highlight w:val="none"/>
          <w:u w:val="single"/>
          <w:lang w:val="en-US" w:eastAsia="zh-CN" w:bidi="ar-SA"/>
        </w:rPr>
        <w:fldChar w:fldCharType="separate"/>
      </w:r>
      <w:r>
        <w:rPr>
          <w:rFonts w:ascii="Times New Roman" w:hAnsi="Times New Roman" w:eastAsia="宋体" w:cs="Times New Roman"/>
          <w:b/>
          <w:color w:val="auto"/>
          <w:kern w:val="2"/>
          <w:sz w:val="21"/>
          <w:szCs w:val="20"/>
          <w:highlight w:val="none"/>
          <w:u w:val="single"/>
          <w:lang w:val="en-US" w:eastAsia="zh-CN" w:bidi="ar-SA"/>
        </w:rPr>
        <w:t>8</w:t>
      </w:r>
      <w:r>
        <w:rPr>
          <w:rFonts w:ascii="Times New Roman" w:hAnsi="Times New Roman" w:eastAsia="宋体" w:cs="Times New Roman"/>
          <w:b/>
          <w:color w:val="auto"/>
          <w:kern w:val="2"/>
          <w:sz w:val="21"/>
          <w:szCs w:val="20"/>
          <w:highlight w:val="none"/>
          <w:u w:val="single"/>
          <w:lang w:val="en-US" w:eastAsia="zh-CN" w:bidi="ar-SA"/>
        </w:rPr>
        <w:fldChar w:fldCharType="end"/>
      </w:r>
      <w:r>
        <w:rPr>
          <w:rFonts w:ascii="Times New Roman" w:hAnsi="Times New Roman" w:eastAsia="宋体" w:cs="Times New Roman"/>
          <w:b/>
          <w:color w:val="auto"/>
          <w:kern w:val="2"/>
          <w:sz w:val="21"/>
          <w:szCs w:val="23"/>
          <w:highlight w:val="none"/>
          <w:u w:val="single"/>
          <w:lang w:val="en-US" w:eastAsia="zh-CN" w:bidi="ar-SA"/>
        </w:rPr>
        <w:t xml:space="preserve">     LDAR 工作步骤</w:t>
      </w:r>
    </w:p>
    <w:p>
      <w:pPr>
        <w:spacing w:line="480" w:lineRule="exact"/>
        <w:ind w:firstLine="480"/>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u w:val="single"/>
        </w:rPr>
        <w:t>项目建立、现场检测和泄漏修复具体工作流程见《工业企业挥发性有机物泄漏检测与修复技术指南》（HJ 1230—2021）附录A。人员现场作业应符合企业相关作业制度或规定，穿戴符合GB/T11651及相关要求的个体防护装备，涉及特殊作业的应按照GB30871及企业制度要求，执行特殊作业管理程序。泄漏维修前应对人员、设备及工作过程等进行安全条件评估，符合安全条件时方可开展工作。</w:t>
      </w:r>
    </w:p>
    <w:p>
      <w:pP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u w:val="single"/>
        </w:rPr>
        <w:t>LDAR的工作程序为：</w:t>
      </w:r>
    </w:p>
    <w:p>
      <w:pPr>
        <w:numPr>
          <w:ilvl w:val="0"/>
          <w:numId w:val="4"/>
        </w:numP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u w:val="single"/>
        </w:rPr>
        <w:t>根据PID图确认含VOCs≥10%的所有物料流程和管线；</w:t>
      </w:r>
    </w:p>
    <w:p>
      <w:pPr>
        <w:numPr>
          <w:ilvl w:val="0"/>
          <w:numId w:val="4"/>
        </w:numPr>
        <w:ind w:left="0" w:leftChars="0" w:firstLine="480" w:firstLineChars="200"/>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u w:val="single"/>
        </w:rPr>
        <w:t>识别并现场定位上述流程和管线上的设备和管阀件，制作和安装带有编号的金属标牌；</w:t>
      </w:r>
    </w:p>
    <w:p>
      <w:pPr>
        <w:numPr>
          <w:ilvl w:val="0"/>
          <w:numId w:val="4"/>
        </w:numPr>
        <w:ind w:left="0" w:leftChars="0" w:firstLine="480" w:firstLineChars="200"/>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u w:val="single"/>
        </w:rPr>
        <w:t>记录设备与管阀件基本信息〔编号、位置、类型、亚类型、规格、生产厂、不易接近和检测的管阀件（DTM）、不易安全检测的管阀件（UTM）、经由物料理化性质及其它信息〕；</w:t>
      </w:r>
    </w:p>
    <w:p>
      <w:pPr>
        <w:numPr>
          <w:ilvl w:val="0"/>
          <w:numId w:val="4"/>
        </w:numPr>
        <w:ind w:left="0" w:leftChars="0" w:firstLine="480" w:firstLineChars="200"/>
        <w:rPr>
          <w:rFonts w:hint="default"/>
          <w:color w:val="auto"/>
          <w:highlight w:val="none"/>
          <w:u w:val="single"/>
          <w:lang w:val="en-US" w:eastAsia="zh-CN"/>
        </w:rPr>
      </w:pPr>
      <w:r>
        <w:rPr>
          <w:rFonts w:ascii="Times New Roman" w:hAnsi="Times New Roman" w:eastAsia="宋体" w:cs="Times New Roman"/>
          <w:color w:val="auto"/>
          <w:highlight w:val="none"/>
          <w:u w:val="single"/>
        </w:rPr>
        <w:t>用专业软件建立LDAR数据库；</w:t>
      </w:r>
    </w:p>
    <w:p>
      <w:pPr>
        <w:numPr>
          <w:ilvl w:val="0"/>
          <w:numId w:val="4"/>
        </w:numPr>
        <w:ind w:left="0" w:leftChars="0" w:firstLine="480" w:firstLineChars="200"/>
        <w:rPr>
          <w:rFonts w:hint="default"/>
          <w:color w:val="auto"/>
          <w:highlight w:val="none"/>
          <w:u w:val="single"/>
          <w:lang w:val="en-US" w:eastAsia="zh-CN"/>
        </w:rPr>
      </w:pPr>
      <w:r>
        <w:rPr>
          <w:rFonts w:ascii="Times New Roman" w:hAnsi="Times New Roman" w:eastAsia="宋体" w:cs="Times New Roman"/>
          <w:color w:val="auto"/>
          <w:highlight w:val="none"/>
          <w:u w:val="single"/>
        </w:rPr>
        <w:t>设计LDAR检测路径，实施常规LDAR（CWP）或SmartLDAR（AWP）检测，在发现泄漏的设备和管阀件上悬挂标识；</w:t>
      </w:r>
    </w:p>
    <w:p>
      <w:pPr>
        <w:numPr>
          <w:ilvl w:val="0"/>
          <w:numId w:val="4"/>
        </w:numPr>
        <w:ind w:left="0" w:leftChars="0" w:firstLine="480" w:firstLineChars="200"/>
        <w:rPr>
          <w:rFonts w:hint="default"/>
          <w:color w:val="auto"/>
          <w:highlight w:val="none"/>
          <w:u w:val="single"/>
          <w:lang w:val="en-US" w:eastAsia="zh-CN"/>
        </w:rPr>
      </w:pPr>
      <w:r>
        <w:rPr>
          <w:rFonts w:ascii="Times New Roman" w:hAnsi="Times New Roman" w:eastAsia="宋体" w:cs="Times New Roman"/>
          <w:color w:val="auto"/>
          <w:highlight w:val="none"/>
          <w:u w:val="single"/>
        </w:rPr>
        <w:t>常规LDAR检测方法参考EPA方法21或欧盟方法EN15446:2008，检测仪器为便携式有机气体分析仪（一般为ThermoTVA-1000），检测频次参考有关标准；</w:t>
      </w:r>
    </w:p>
    <w:p>
      <w:pPr>
        <w:numPr>
          <w:ilvl w:val="0"/>
          <w:numId w:val="4"/>
        </w:numPr>
        <w:ind w:left="0" w:leftChars="0" w:firstLine="480" w:firstLineChars="200"/>
        <w:rPr>
          <w:rFonts w:hint="default"/>
          <w:color w:val="auto"/>
          <w:highlight w:val="none"/>
          <w:u w:val="single"/>
          <w:lang w:val="en-US" w:eastAsia="zh-CN"/>
        </w:rPr>
      </w:pPr>
      <w:r>
        <w:rPr>
          <w:rFonts w:ascii="Times New Roman" w:hAnsi="Times New Roman" w:eastAsia="宋体" w:cs="Times New Roman"/>
          <w:color w:val="auto"/>
          <w:highlight w:val="none"/>
          <w:u w:val="single"/>
        </w:rPr>
        <w:t>SmartLDAR检测方法参考EPAAWP，检测仪器一般为红外气体相机（如FLIRGF320），泵、压缩机、阀、释压、法兰、接头、不易接近的密封点及管线等每两个月检测1次，发现的漏点应录像（记录泄漏的具体部位），用TVA-1000B定量检测泄漏浓度；</w:t>
      </w:r>
    </w:p>
    <w:p>
      <w:pPr>
        <w:numPr>
          <w:ilvl w:val="0"/>
          <w:numId w:val="4"/>
        </w:numPr>
        <w:ind w:left="0" w:leftChars="0" w:firstLine="480" w:firstLineChars="200"/>
        <w:rPr>
          <w:rFonts w:hint="default"/>
          <w:color w:val="auto"/>
          <w:highlight w:val="none"/>
          <w:u w:val="single"/>
          <w:lang w:val="en-US" w:eastAsia="zh-CN"/>
        </w:rPr>
      </w:pPr>
      <w:r>
        <w:rPr>
          <w:rFonts w:ascii="Times New Roman" w:hAnsi="Times New Roman" w:eastAsia="宋体" w:cs="Times New Roman"/>
          <w:color w:val="auto"/>
          <w:highlight w:val="none"/>
          <w:u w:val="single"/>
        </w:rPr>
        <w:t>在规定时间内维修泄漏，并复检，复检合格后，撤除泄漏标识，若必须停工才能修复的泄漏，做好记录，在装置停工检修时维修或更换。</w:t>
      </w:r>
    </w:p>
    <w:p>
      <w:pPr>
        <w:pStyle w:val="4"/>
        <w:bidi w:val="0"/>
        <w:rPr>
          <w:rFonts w:hint="default"/>
          <w:color w:val="auto"/>
          <w:highlight w:val="none"/>
          <w:u w:val="none"/>
          <w:lang w:val="en-US" w:eastAsia="zh-CN"/>
        </w:rPr>
      </w:pPr>
      <w:r>
        <w:rPr>
          <w:rFonts w:hint="default"/>
          <w:color w:val="auto"/>
          <w:highlight w:val="none"/>
          <w:u w:val="none"/>
          <w:lang w:val="en-US" w:eastAsia="zh-CN"/>
        </w:rPr>
        <w:t>与排污许可可行技术对比</w:t>
      </w:r>
    </w:p>
    <w:p>
      <w:pPr>
        <w:pStyle w:val="1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US" w:eastAsia="zh-CN"/>
        </w:rPr>
        <w:t>根据《排污许可证申请与核发技术规范制药工业</w:t>
      </w:r>
      <w:r>
        <w:rPr>
          <w:rFonts w:hint="eastAsia" w:ascii="Times New Roman" w:hAnsi="Times New Roman" w:cs="Times New Roman"/>
          <w:color w:val="auto"/>
          <w:highlight w:val="none"/>
          <w:u w:val="none"/>
          <w:lang w:val="en-US" w:eastAsia="zh-CN"/>
        </w:rPr>
        <w:t xml:space="preserve">  </w:t>
      </w:r>
      <w:r>
        <w:rPr>
          <w:rFonts w:hint="default" w:ascii="Times New Roman" w:hAnsi="Times New Roman" w:cs="Times New Roman"/>
          <w:color w:val="auto"/>
          <w:highlight w:val="none"/>
          <w:u w:val="none"/>
          <w:lang w:val="en-US" w:eastAsia="zh-CN"/>
        </w:rPr>
        <w:t>原料药制造》（HJ858.1</w:t>
      </w:r>
      <w:r>
        <w:rPr>
          <w:rFonts w:hint="eastAsia" w:ascii="Times New Roman" w:hAnsi="Times New Roman"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2017），</w:t>
      </w:r>
      <w:r>
        <w:rPr>
          <w:rFonts w:hint="default" w:ascii="Times New Roman" w:hAnsi="Times New Roman" w:cs="Times New Roman"/>
          <w:color w:val="auto"/>
          <w:highlight w:val="none"/>
          <w:u w:val="none"/>
        </w:rPr>
        <w:t>执行 GB 13271 的锅炉烟气和 GB 18484 的危险废物焚烧炉烟气治理可行技术见</w:t>
      </w:r>
      <w:r>
        <w:rPr>
          <w:rFonts w:hint="default" w:ascii="Times New Roman" w:hAnsi="Times New Roman" w:cs="Times New Roman"/>
          <w:color w:val="auto"/>
          <w:highlight w:val="none"/>
          <w:u w:val="none"/>
        </w:rPr>
        <w:fldChar w:fldCharType="begin"/>
      </w:r>
      <w:r>
        <w:rPr>
          <w:rFonts w:hint="default" w:ascii="Times New Roman" w:hAnsi="Times New Roman" w:cs="Times New Roman"/>
          <w:color w:val="auto"/>
          <w:highlight w:val="none"/>
          <w:u w:val="none"/>
        </w:rPr>
        <w:instrText xml:space="preserve"> REF _Ref24723 \h </w:instrText>
      </w:r>
      <w:r>
        <w:rPr>
          <w:rFonts w:hint="default" w:ascii="Times New Roman" w:hAnsi="Times New Roman" w:cs="Times New Roman"/>
          <w:color w:val="auto"/>
          <w:highlight w:val="none"/>
          <w:u w:val="none"/>
        </w:rPr>
        <w:fldChar w:fldCharType="separate"/>
      </w:r>
      <w:r>
        <w:rPr>
          <w:rFonts w:hint="default" w:ascii="Times New Roman" w:hAnsi="Times New Roman" w:cs="Times New Roman"/>
          <w:color w:val="auto"/>
          <w:highlight w:val="none"/>
          <w:u w:val="none"/>
        </w:rPr>
        <w:t xml:space="preserve">表 </w:t>
      </w:r>
      <w:r>
        <w:rPr>
          <w:rFonts w:hint="default" w:ascii="Times New Roman" w:hAnsi="Times New Roman" w:cs="Times New Roman"/>
          <w:color w:val="auto"/>
          <w:highlight w:val="none"/>
          <w:u w:val="none"/>
        </w:rPr>
        <w:fldChar w:fldCharType="begin"/>
      </w:r>
      <w:r>
        <w:rPr>
          <w:rFonts w:hint="default" w:ascii="Times New Roman" w:hAnsi="Times New Roman" w:cs="Times New Roman"/>
          <w:color w:val="auto"/>
          <w:highlight w:val="none"/>
          <w:u w:val="none"/>
        </w:rPr>
        <w:instrText xml:space="preserve"> STYLEREF 2 \s </w:instrText>
      </w:r>
      <w:r>
        <w:rPr>
          <w:rFonts w:hint="default" w:ascii="Times New Roman" w:hAnsi="Times New Roman" w:cs="Times New Roman"/>
          <w:color w:val="auto"/>
          <w:highlight w:val="none"/>
          <w:u w:val="none"/>
        </w:rPr>
        <w:fldChar w:fldCharType="separate"/>
      </w:r>
      <w:r>
        <w:rPr>
          <w:rFonts w:hint="default" w:ascii="Times New Roman" w:hAnsi="Times New Roman" w:cs="Times New Roman"/>
          <w:color w:val="auto"/>
          <w:highlight w:val="none"/>
          <w:u w:val="none"/>
        </w:rPr>
        <w:t>8.2</w:t>
      </w:r>
      <w:r>
        <w:rPr>
          <w:rFonts w:hint="default" w:ascii="Times New Roman" w:hAnsi="Times New Roman" w:cs="Times New Roman"/>
          <w:color w:val="auto"/>
          <w:highlight w:val="none"/>
          <w:u w:val="none"/>
        </w:rPr>
        <w:fldChar w:fldCharType="end"/>
      </w:r>
      <w:r>
        <w:rPr>
          <w:rFonts w:hint="default" w:ascii="Times New Roman" w:hAnsi="Times New Roman" w:eastAsia="宋体" w:cs="Times New Roman"/>
          <w:color w:val="auto"/>
          <w:highlight w:val="none"/>
          <w:u w:val="none"/>
          <w:lang w:eastAsia="zh-CN"/>
        </w:rPr>
        <w:t>-</w:t>
      </w:r>
      <w:r>
        <w:rPr>
          <w:rFonts w:hint="default" w:ascii="Times New Roman" w:hAnsi="Times New Roman" w:cs="Times New Roman"/>
          <w:color w:val="auto"/>
          <w:highlight w:val="none"/>
          <w:u w:val="none"/>
        </w:rPr>
        <w:t>3</w:t>
      </w:r>
      <w:r>
        <w:rPr>
          <w:rFonts w:hint="default" w:ascii="Times New Roman" w:hAnsi="Times New Roman" w:cs="Times New Roman"/>
          <w:color w:val="auto"/>
          <w:highlight w:val="none"/>
          <w:u w:val="none"/>
        </w:rPr>
        <w:fldChar w:fldCharType="end"/>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生产过程废气治理可行技术参照</w:t>
      </w:r>
      <w:r>
        <w:rPr>
          <w:rFonts w:hint="default" w:ascii="Times New Roman" w:hAnsi="Times New Roman" w:cs="Times New Roman"/>
          <w:color w:val="auto"/>
          <w:highlight w:val="none"/>
          <w:u w:val="none"/>
        </w:rPr>
        <w:fldChar w:fldCharType="begin"/>
      </w:r>
      <w:r>
        <w:rPr>
          <w:rFonts w:hint="default" w:ascii="Times New Roman" w:hAnsi="Times New Roman" w:cs="Times New Roman"/>
          <w:color w:val="auto"/>
          <w:highlight w:val="none"/>
          <w:u w:val="none"/>
        </w:rPr>
        <w:instrText xml:space="preserve"> REF _Ref24746 \h </w:instrText>
      </w:r>
      <w:r>
        <w:rPr>
          <w:rFonts w:hint="default" w:ascii="Times New Roman" w:hAnsi="Times New Roman" w:cs="Times New Roman"/>
          <w:color w:val="auto"/>
          <w:highlight w:val="none"/>
          <w:u w:val="none"/>
        </w:rPr>
        <w:fldChar w:fldCharType="separate"/>
      </w:r>
      <w:r>
        <w:rPr>
          <w:rFonts w:hint="default" w:ascii="Times New Roman" w:hAnsi="Times New Roman" w:cs="Times New Roman"/>
          <w:color w:val="auto"/>
          <w:highlight w:val="none"/>
          <w:u w:val="none"/>
        </w:rPr>
        <w:t xml:space="preserve">表 </w:t>
      </w:r>
      <w:r>
        <w:rPr>
          <w:rFonts w:hint="default" w:ascii="Times New Roman" w:hAnsi="Times New Roman" w:cs="Times New Roman"/>
          <w:color w:val="auto"/>
          <w:highlight w:val="none"/>
          <w:u w:val="none"/>
        </w:rPr>
        <w:fldChar w:fldCharType="begin"/>
      </w:r>
      <w:r>
        <w:rPr>
          <w:rFonts w:hint="default" w:ascii="Times New Roman" w:hAnsi="Times New Roman" w:cs="Times New Roman"/>
          <w:color w:val="auto"/>
          <w:highlight w:val="none"/>
          <w:u w:val="none"/>
        </w:rPr>
        <w:instrText xml:space="preserve"> STYLEREF 2 \s </w:instrText>
      </w:r>
      <w:r>
        <w:rPr>
          <w:rFonts w:hint="default" w:ascii="Times New Roman" w:hAnsi="Times New Roman" w:cs="Times New Roman"/>
          <w:color w:val="auto"/>
          <w:highlight w:val="none"/>
          <w:u w:val="none"/>
        </w:rPr>
        <w:fldChar w:fldCharType="separate"/>
      </w:r>
      <w:r>
        <w:rPr>
          <w:rFonts w:hint="default" w:ascii="Times New Roman" w:hAnsi="Times New Roman" w:cs="Times New Roman"/>
          <w:color w:val="auto"/>
          <w:highlight w:val="none"/>
          <w:u w:val="none"/>
        </w:rPr>
        <w:t>8.2</w:t>
      </w:r>
      <w:r>
        <w:rPr>
          <w:rFonts w:hint="default" w:ascii="Times New Roman" w:hAnsi="Times New Roman" w:cs="Times New Roman"/>
          <w:color w:val="auto"/>
          <w:highlight w:val="none"/>
          <w:u w:val="none"/>
        </w:rPr>
        <w:fldChar w:fldCharType="end"/>
      </w:r>
      <w:r>
        <w:rPr>
          <w:rFonts w:hint="default" w:ascii="Times New Roman" w:hAnsi="Times New Roman" w:eastAsia="宋体" w:cs="Times New Roman"/>
          <w:color w:val="auto"/>
          <w:highlight w:val="none"/>
          <w:u w:val="none"/>
          <w:lang w:eastAsia="zh-CN"/>
        </w:rPr>
        <w:t>-</w:t>
      </w:r>
      <w:r>
        <w:rPr>
          <w:rFonts w:hint="default" w:ascii="Times New Roman" w:hAnsi="Times New Roman" w:cs="Times New Roman"/>
          <w:color w:val="auto"/>
          <w:highlight w:val="none"/>
          <w:u w:val="none"/>
        </w:rPr>
        <w:t>4</w:t>
      </w:r>
      <w:r>
        <w:rPr>
          <w:rFonts w:hint="default" w:ascii="Times New Roman" w:hAnsi="Times New Roman" w:cs="Times New Roman"/>
          <w:color w:val="auto"/>
          <w:highlight w:val="none"/>
          <w:u w:val="none"/>
        </w:rPr>
        <w:fldChar w:fldCharType="end"/>
      </w:r>
      <w:r>
        <w:rPr>
          <w:rFonts w:hint="default" w:ascii="Times New Roman" w:hAnsi="Times New Roman" w:cs="Times New Roman"/>
          <w:color w:val="auto"/>
          <w:highlight w:val="none"/>
          <w:u w:val="none"/>
        </w:rPr>
        <w:t xml:space="preserve">。 </w:t>
      </w:r>
    </w:p>
    <w:p>
      <w:pPr>
        <w:bidi w:val="0"/>
        <w:rPr>
          <w:rFonts w:hint="default" w:ascii="Times New Roman" w:hAnsi="Times New Roman" w:cs="Times New Roman"/>
          <w:color w:val="auto"/>
          <w:highlight w:val="none"/>
          <w:u w:val="none"/>
        </w:rPr>
        <w:sectPr>
          <w:headerReference r:id="rId9" w:type="default"/>
          <w:footerReference r:id="rId10" w:type="default"/>
          <w:footerReference r:id="rId11" w:type="even"/>
          <w:pgSz w:w="11905" w:h="16838"/>
          <w:pgMar w:top="1701" w:right="1587" w:bottom="1701" w:left="1587"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9"/>
        <w:bidi w:val="0"/>
        <w:rPr>
          <w:rFonts w:hint="default"/>
          <w:color w:val="auto"/>
          <w:highlight w:val="none"/>
          <w:u w:val="none"/>
        </w:rPr>
      </w:pPr>
      <w:r>
        <w:rPr>
          <w:rFonts w:hint="eastAsia" w:eastAsia="宋体"/>
          <w:color w:val="auto"/>
          <w:highlight w:val="none"/>
          <w:u w:val="none"/>
          <w:lang w:val="en-US" w:eastAsia="zh-CN"/>
        </w:rPr>
        <w:t xml:space="preserve"> </w:t>
      </w:r>
      <w:bookmarkStart w:id="21" w:name="_Ref24723"/>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8.2</w:t>
      </w:r>
      <w:r>
        <w:rPr>
          <w:color w:val="auto"/>
          <w:highlight w:val="none"/>
          <w:u w:val="none"/>
        </w:rPr>
        <w:fldChar w:fldCharType="end"/>
      </w:r>
      <w:r>
        <w:rPr>
          <w:rFonts w:hint="eastAsia" w:eastAsia="宋体"/>
          <w:color w:val="auto"/>
          <w:highlight w:val="none"/>
          <w:u w:val="none"/>
          <w:lang w:eastAsia="zh-CN"/>
        </w:rPr>
        <w:t>-</w:t>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3</w:t>
      </w:r>
      <w:r>
        <w:rPr>
          <w:color w:val="auto"/>
          <w:highlight w:val="none"/>
          <w:u w:val="none"/>
        </w:rPr>
        <w:fldChar w:fldCharType="end"/>
      </w:r>
      <w:bookmarkEnd w:id="21"/>
      <w:r>
        <w:rPr>
          <w:rFonts w:hint="default"/>
          <w:color w:val="auto"/>
          <w:highlight w:val="none"/>
          <w:u w:val="none"/>
        </w:rPr>
        <w:t xml:space="preserve">  烟气治理可行技术参照表</w:t>
      </w:r>
    </w:p>
    <w:p>
      <w:pPr>
        <w:spacing w:line="42" w:lineRule="exact"/>
        <w:rPr>
          <w:rFonts w:hint="default" w:ascii="Times New Roman" w:hAnsi="Times New Roman" w:cs="Times New Roman"/>
          <w:color w:val="auto"/>
          <w:highlight w:val="none"/>
          <w:u w:val="none"/>
        </w:rPr>
      </w:pPr>
    </w:p>
    <w:tbl>
      <w:tblPr>
        <w:tblStyle w:val="23"/>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68"/>
        <w:gridCol w:w="2873"/>
        <w:gridCol w:w="5813"/>
        <w:gridCol w:w="2115"/>
        <w:gridCol w:w="13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72"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排放源</w:t>
            </w:r>
          </w:p>
        </w:tc>
        <w:tc>
          <w:tcPr>
            <w:tcW w:w="1069"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污染物项目</w:t>
            </w:r>
          </w:p>
        </w:tc>
        <w:tc>
          <w:tcPr>
            <w:tcW w:w="2163" w:type="pct"/>
            <w:tcBorders>
              <w:right w:val="single" w:color="auto" w:sz="4" w:space="0"/>
            </w:tcBorders>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可行技术</w:t>
            </w:r>
          </w:p>
        </w:tc>
        <w:tc>
          <w:tcPr>
            <w:tcW w:w="787" w:type="pct"/>
            <w:tcBorders>
              <w:left w:val="single" w:color="auto" w:sz="4" w:space="0"/>
              <w:right w:val="single" w:color="auto" w:sz="4" w:space="0"/>
            </w:tcBorders>
            <w:vAlign w:val="center"/>
          </w:tcPr>
          <w:p>
            <w:pPr>
              <w:pStyle w:val="22"/>
              <w:bidi w:val="0"/>
              <w:jc w:val="center"/>
              <w:rPr>
                <w:rFonts w:hint="default" w:ascii="Times New Roman" w:hAnsi="Times New Roman" w:eastAsia="宋体"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本次</w:t>
            </w:r>
            <w:r>
              <w:rPr>
                <w:rFonts w:hint="eastAsia" w:cs="Times New Roman"/>
                <w:color w:val="auto"/>
                <w:highlight w:val="none"/>
                <w:u w:val="none"/>
                <w:lang w:val="en-US" w:eastAsia="zh-CN"/>
              </w:rPr>
              <w:t>改建</w:t>
            </w:r>
            <w:r>
              <w:rPr>
                <w:rFonts w:hint="eastAsia" w:ascii="Times New Roman" w:hAnsi="Times New Roman" w:cs="Times New Roman"/>
                <w:color w:val="auto"/>
                <w:highlight w:val="none"/>
                <w:u w:val="none"/>
                <w:lang w:val="en-US" w:eastAsia="zh-CN"/>
              </w:rPr>
              <w:t>工程</w:t>
            </w:r>
          </w:p>
        </w:tc>
        <w:tc>
          <w:tcPr>
            <w:tcW w:w="506" w:type="pct"/>
            <w:tcBorders>
              <w:left w:val="single" w:color="auto" w:sz="4" w:space="0"/>
            </w:tcBorders>
            <w:vAlign w:val="center"/>
          </w:tcPr>
          <w:p>
            <w:pPr>
              <w:pStyle w:val="22"/>
              <w:bidi w:val="0"/>
              <w:jc w:val="center"/>
              <w:rPr>
                <w:rFonts w:hint="default"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是否为</w:t>
            </w:r>
            <w:r>
              <w:rPr>
                <w:rFonts w:hint="default" w:ascii="Times New Roman" w:hAnsi="Times New Roman" w:cs="Times New Roman"/>
                <w:color w:val="auto"/>
                <w:highlight w:val="none"/>
                <w:u w:val="none"/>
                <w:lang w:val="en-US" w:eastAsia="zh-CN"/>
              </w:rPr>
              <w:t>HJ858.1</w:t>
            </w:r>
            <w:r>
              <w:rPr>
                <w:rFonts w:hint="eastAsia"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2017</w:t>
            </w:r>
            <w:r>
              <w:rPr>
                <w:rFonts w:hint="eastAsia" w:cs="Times New Roman"/>
                <w:color w:val="auto"/>
                <w:highlight w:val="none"/>
                <w:u w:val="none"/>
                <w:lang w:val="en-US" w:eastAsia="zh-CN"/>
              </w:rPr>
              <w:t>可行技术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472" w:type="pct"/>
            <w:vMerge w:val="restart"/>
            <w:tcBorders>
              <w:bottom w:val="nil"/>
            </w:tcBorders>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执行 GB 13271 的锅炉</w:t>
            </w:r>
          </w:p>
        </w:tc>
        <w:tc>
          <w:tcPr>
            <w:tcW w:w="1069"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颗粒物</w:t>
            </w:r>
          </w:p>
        </w:tc>
        <w:tc>
          <w:tcPr>
            <w:tcW w:w="2163" w:type="pct"/>
            <w:tcBorders>
              <w:right w:val="single" w:color="auto" w:sz="4" w:space="0"/>
            </w:tcBorders>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电除尘、袋式除尘、电袋除尘</w:t>
            </w:r>
          </w:p>
        </w:tc>
        <w:tc>
          <w:tcPr>
            <w:tcW w:w="1294" w:type="pct"/>
            <w:gridSpan w:val="2"/>
            <w:vMerge w:val="restart"/>
            <w:tcBorders>
              <w:left w:val="single" w:color="auto" w:sz="4" w:space="0"/>
            </w:tcBorders>
            <w:vAlign w:val="center"/>
          </w:tcPr>
          <w:p>
            <w:pPr>
              <w:pStyle w:val="22"/>
              <w:bidi w:val="0"/>
              <w:jc w:val="center"/>
              <w:rPr>
                <w:rFonts w:hint="default"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本次不使用燃煤锅炉，不适用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472" w:type="pct"/>
            <w:vMerge w:val="continue"/>
            <w:tcBorders>
              <w:top w:val="nil"/>
              <w:bottom w:val="nil"/>
            </w:tcBorders>
            <w:vAlign w:val="center"/>
          </w:tcPr>
          <w:p>
            <w:pPr>
              <w:pStyle w:val="22"/>
              <w:bidi w:val="0"/>
              <w:jc w:val="center"/>
              <w:rPr>
                <w:rFonts w:hint="default" w:ascii="Times New Roman" w:hAnsi="Times New Roman" w:cs="Times New Roman"/>
                <w:color w:val="auto"/>
                <w:highlight w:val="none"/>
                <w:u w:val="none"/>
              </w:rPr>
            </w:pPr>
          </w:p>
        </w:tc>
        <w:tc>
          <w:tcPr>
            <w:tcW w:w="1069"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二氧化硫</w:t>
            </w:r>
          </w:p>
        </w:tc>
        <w:tc>
          <w:tcPr>
            <w:tcW w:w="2163" w:type="pct"/>
            <w:tcBorders>
              <w:right w:val="single" w:color="auto" w:sz="4" w:space="0"/>
            </w:tcBorders>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湿法脱硫（石灰石/石灰-石膏、氨法）、喷雾干 燥法脱硫、循环流化床法脱硫</w:t>
            </w:r>
          </w:p>
        </w:tc>
        <w:tc>
          <w:tcPr>
            <w:tcW w:w="1294" w:type="pct"/>
            <w:gridSpan w:val="2"/>
            <w:vMerge w:val="continue"/>
            <w:tcBorders>
              <w:left w:val="single" w:color="auto" w:sz="4" w:space="0"/>
            </w:tcBorders>
            <w:vAlign w:val="center"/>
          </w:tcPr>
          <w:p>
            <w:pPr>
              <w:pStyle w:val="22"/>
              <w:bidi w:val="0"/>
              <w:jc w:val="center"/>
              <w:rPr>
                <w:rFonts w:hint="default" w:ascii="Times New Roman" w:hAnsi="Times New Roman" w:cs="Times New Roman"/>
                <w:color w:val="auto"/>
                <w:highlight w:val="none"/>
                <w:u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472" w:type="pct"/>
            <w:vMerge w:val="continue"/>
            <w:tcBorders>
              <w:top w:val="nil"/>
              <w:bottom w:val="nil"/>
            </w:tcBorders>
            <w:vAlign w:val="center"/>
          </w:tcPr>
          <w:p>
            <w:pPr>
              <w:pStyle w:val="22"/>
              <w:bidi w:val="0"/>
              <w:jc w:val="center"/>
              <w:rPr>
                <w:rFonts w:hint="default" w:ascii="Times New Roman" w:hAnsi="Times New Roman" w:cs="Times New Roman"/>
                <w:color w:val="auto"/>
                <w:highlight w:val="none"/>
                <w:u w:val="none"/>
              </w:rPr>
            </w:pPr>
          </w:p>
        </w:tc>
        <w:tc>
          <w:tcPr>
            <w:tcW w:w="1069"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氮氧化物</w:t>
            </w:r>
          </w:p>
        </w:tc>
        <w:tc>
          <w:tcPr>
            <w:tcW w:w="2163" w:type="pct"/>
            <w:tcBorders>
              <w:right w:val="single" w:color="auto" w:sz="4" w:space="0"/>
            </w:tcBorders>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低氮燃烧技术（低氮燃烧器、空气分级燃烧、燃料分级燃烧）、选择性催化还原法（SCR）、选择性非催化还原法（ SNCR）</w:t>
            </w:r>
          </w:p>
        </w:tc>
        <w:tc>
          <w:tcPr>
            <w:tcW w:w="1294" w:type="pct"/>
            <w:gridSpan w:val="2"/>
            <w:vMerge w:val="continue"/>
            <w:tcBorders>
              <w:left w:val="single" w:color="auto" w:sz="4" w:space="0"/>
            </w:tcBorders>
            <w:vAlign w:val="center"/>
          </w:tcPr>
          <w:p>
            <w:pPr>
              <w:pStyle w:val="22"/>
              <w:bidi w:val="0"/>
              <w:jc w:val="center"/>
              <w:rPr>
                <w:rFonts w:hint="default" w:ascii="Times New Roman" w:hAnsi="Times New Roman" w:cs="Times New Roman"/>
                <w:color w:val="auto"/>
                <w:highlight w:val="none"/>
                <w:u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472" w:type="pct"/>
            <w:vMerge w:val="continue"/>
            <w:tcBorders>
              <w:top w:val="nil"/>
            </w:tcBorders>
            <w:vAlign w:val="center"/>
          </w:tcPr>
          <w:p>
            <w:pPr>
              <w:pStyle w:val="22"/>
              <w:bidi w:val="0"/>
              <w:jc w:val="center"/>
              <w:rPr>
                <w:rFonts w:hint="default" w:ascii="Times New Roman" w:hAnsi="Times New Roman" w:cs="Times New Roman"/>
                <w:color w:val="auto"/>
                <w:highlight w:val="none"/>
                <w:u w:val="none"/>
              </w:rPr>
            </w:pPr>
          </w:p>
        </w:tc>
        <w:tc>
          <w:tcPr>
            <w:tcW w:w="1069"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汞及其化合物 a、烟气黑度</w:t>
            </w:r>
          </w:p>
        </w:tc>
        <w:tc>
          <w:tcPr>
            <w:tcW w:w="2163" w:type="pct"/>
            <w:tcBorders>
              <w:right w:val="single" w:color="auto" w:sz="4" w:space="0"/>
            </w:tcBorders>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协同处置</w:t>
            </w:r>
          </w:p>
        </w:tc>
        <w:tc>
          <w:tcPr>
            <w:tcW w:w="1294" w:type="pct"/>
            <w:gridSpan w:val="2"/>
            <w:vMerge w:val="continue"/>
            <w:tcBorders>
              <w:left w:val="single" w:color="auto" w:sz="4" w:space="0"/>
            </w:tcBorders>
            <w:vAlign w:val="center"/>
          </w:tcPr>
          <w:p>
            <w:pPr>
              <w:pStyle w:val="22"/>
              <w:bidi w:val="0"/>
              <w:jc w:val="center"/>
              <w:rPr>
                <w:rFonts w:hint="default" w:ascii="Times New Roman" w:hAnsi="Times New Roman" w:cs="Times New Roman"/>
                <w:color w:val="auto"/>
                <w:highlight w:val="none"/>
                <w:u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72" w:type="pct"/>
            <w:vMerge w:val="restart"/>
            <w:tcBorders>
              <w:bottom w:val="nil"/>
            </w:tcBorders>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执行 GB 18484 的危险废物焚烧炉</w:t>
            </w:r>
          </w:p>
        </w:tc>
        <w:tc>
          <w:tcPr>
            <w:tcW w:w="1069"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烟尘</w:t>
            </w:r>
          </w:p>
        </w:tc>
        <w:tc>
          <w:tcPr>
            <w:tcW w:w="2163" w:type="pct"/>
            <w:tcBorders>
              <w:right w:val="single" w:color="auto" w:sz="4" w:space="0"/>
            </w:tcBorders>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袋式除尘、电袋除尘</w:t>
            </w:r>
          </w:p>
        </w:tc>
        <w:tc>
          <w:tcPr>
            <w:tcW w:w="787" w:type="pct"/>
            <w:tcBorders>
              <w:left w:val="single" w:color="auto" w:sz="4" w:space="0"/>
              <w:right w:val="single" w:color="auto" w:sz="4" w:space="0"/>
            </w:tcBorders>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袋式除尘</w:t>
            </w:r>
          </w:p>
        </w:tc>
        <w:tc>
          <w:tcPr>
            <w:tcW w:w="506" w:type="pct"/>
            <w:tcBorders>
              <w:left w:val="single" w:color="auto" w:sz="4" w:space="0"/>
            </w:tcBorders>
            <w:vAlign w:val="center"/>
          </w:tcPr>
          <w:p>
            <w:pPr>
              <w:pStyle w:val="22"/>
              <w:bidi w:val="0"/>
              <w:jc w:val="center"/>
              <w:rPr>
                <w:rFonts w:hint="eastAsia" w:ascii="Times New Roman" w:hAnsi="Times New Roman" w:eastAsia="宋体" w:cs="Times New Roman"/>
                <w:color w:val="auto"/>
                <w:highlight w:val="none"/>
                <w:u w:val="none"/>
                <w:lang w:eastAsia="zh-CN"/>
              </w:rPr>
            </w:pPr>
            <w:r>
              <w:rPr>
                <w:rFonts w:hint="eastAsia" w:cs="Times New Roman"/>
                <w:color w:val="auto"/>
                <w:highlight w:val="none"/>
                <w:u w:val="none"/>
                <w:lang w:eastAsia="zh-CN"/>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472" w:type="pct"/>
            <w:vMerge w:val="continue"/>
            <w:tcBorders>
              <w:top w:val="nil"/>
              <w:bottom w:val="nil"/>
            </w:tcBorders>
            <w:vAlign w:val="center"/>
          </w:tcPr>
          <w:p>
            <w:pPr>
              <w:pStyle w:val="22"/>
              <w:bidi w:val="0"/>
              <w:jc w:val="center"/>
              <w:rPr>
                <w:rFonts w:hint="default" w:ascii="Times New Roman" w:hAnsi="Times New Roman" w:cs="Times New Roman"/>
                <w:color w:val="auto"/>
                <w:highlight w:val="none"/>
                <w:u w:val="none"/>
              </w:rPr>
            </w:pPr>
          </w:p>
        </w:tc>
        <w:tc>
          <w:tcPr>
            <w:tcW w:w="1069"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二氧化硫</w:t>
            </w:r>
          </w:p>
        </w:tc>
        <w:tc>
          <w:tcPr>
            <w:tcW w:w="2163" w:type="pct"/>
            <w:tcBorders>
              <w:right w:val="single" w:color="auto" w:sz="4" w:space="0"/>
            </w:tcBorders>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湿法脱硫（石灰石/石灰-石膏、氨法）、喷雾干燥法脱硫、循环流化床法脱硫</w:t>
            </w:r>
          </w:p>
        </w:tc>
        <w:tc>
          <w:tcPr>
            <w:tcW w:w="1294" w:type="pct"/>
            <w:gridSpan w:val="2"/>
            <w:tcBorders>
              <w:left w:val="single" w:color="auto" w:sz="4" w:space="0"/>
            </w:tcBorders>
            <w:vAlign w:val="center"/>
          </w:tcPr>
          <w:p>
            <w:pPr>
              <w:pStyle w:val="22"/>
              <w:bidi w:val="0"/>
              <w:jc w:val="center"/>
              <w:rPr>
                <w:rFonts w:hint="default" w:ascii="Times New Roman" w:hAnsi="Times New Roman" w:eastAsia="宋体"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焚烧的固废不含硫元素，本次采用碱洗脱酸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472" w:type="pct"/>
            <w:vMerge w:val="continue"/>
            <w:tcBorders>
              <w:top w:val="nil"/>
              <w:bottom w:val="nil"/>
            </w:tcBorders>
            <w:vAlign w:val="center"/>
          </w:tcPr>
          <w:p>
            <w:pPr>
              <w:pStyle w:val="22"/>
              <w:bidi w:val="0"/>
              <w:jc w:val="center"/>
              <w:rPr>
                <w:rFonts w:hint="default" w:ascii="Times New Roman" w:hAnsi="Times New Roman" w:cs="Times New Roman"/>
                <w:color w:val="auto"/>
                <w:highlight w:val="none"/>
                <w:u w:val="none"/>
              </w:rPr>
            </w:pPr>
          </w:p>
        </w:tc>
        <w:tc>
          <w:tcPr>
            <w:tcW w:w="1069"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氮氧化物</w:t>
            </w:r>
          </w:p>
        </w:tc>
        <w:tc>
          <w:tcPr>
            <w:tcW w:w="2163" w:type="pct"/>
            <w:tcBorders>
              <w:right w:val="single" w:color="auto" w:sz="4" w:space="0"/>
            </w:tcBorders>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低氮燃烧技术（低氮燃烧器、空气分级燃烧、燃料分级燃烧）、选择性催化还原法（SCR）、选择性非催化还原法（ SNCR）</w:t>
            </w:r>
          </w:p>
        </w:tc>
        <w:tc>
          <w:tcPr>
            <w:tcW w:w="787" w:type="pct"/>
            <w:tcBorders>
              <w:left w:val="single" w:color="auto" w:sz="4" w:space="0"/>
              <w:right w:val="single" w:color="auto" w:sz="4" w:space="0"/>
            </w:tcBorders>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选择性非催化还原法（SNCR）</w:t>
            </w:r>
          </w:p>
        </w:tc>
        <w:tc>
          <w:tcPr>
            <w:tcW w:w="506" w:type="pct"/>
            <w:tcBorders>
              <w:left w:val="single" w:color="auto" w:sz="4" w:space="0"/>
            </w:tcBorders>
            <w:vAlign w:val="center"/>
          </w:tcPr>
          <w:p>
            <w:pPr>
              <w:pStyle w:val="22"/>
              <w:bidi w:val="0"/>
              <w:jc w:val="center"/>
              <w:rPr>
                <w:rFonts w:hint="default" w:ascii="Times New Roman" w:hAnsi="Times New Roman" w:cs="Times New Roman"/>
                <w:color w:val="auto"/>
                <w:highlight w:val="none"/>
                <w:u w:val="none"/>
              </w:rPr>
            </w:pPr>
            <w:r>
              <w:rPr>
                <w:rFonts w:hint="eastAsia" w:cs="Times New Roman"/>
                <w:color w:val="auto"/>
                <w:highlight w:val="none"/>
                <w:u w:val="none"/>
                <w:lang w:eastAsia="zh-CN"/>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472" w:type="pct"/>
            <w:vMerge w:val="continue"/>
            <w:tcBorders>
              <w:top w:val="nil"/>
              <w:bottom w:val="nil"/>
            </w:tcBorders>
            <w:vAlign w:val="center"/>
          </w:tcPr>
          <w:p>
            <w:pPr>
              <w:pStyle w:val="22"/>
              <w:bidi w:val="0"/>
              <w:jc w:val="center"/>
              <w:rPr>
                <w:rFonts w:hint="default" w:ascii="Times New Roman" w:hAnsi="Times New Roman" w:cs="Times New Roman"/>
                <w:color w:val="auto"/>
                <w:highlight w:val="none"/>
                <w:u w:val="none"/>
              </w:rPr>
            </w:pPr>
          </w:p>
        </w:tc>
        <w:tc>
          <w:tcPr>
            <w:tcW w:w="1069"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二噁英</w:t>
            </w:r>
          </w:p>
        </w:tc>
        <w:tc>
          <w:tcPr>
            <w:tcW w:w="2163" w:type="pct"/>
            <w:tcBorders>
              <w:right w:val="single" w:color="auto" w:sz="4" w:space="0"/>
            </w:tcBorders>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急冷、活性炭/焦吸附、烟道喷入活性炭/焦</w:t>
            </w:r>
          </w:p>
        </w:tc>
        <w:tc>
          <w:tcPr>
            <w:tcW w:w="787" w:type="pct"/>
            <w:tcBorders>
              <w:left w:val="single" w:color="auto" w:sz="4" w:space="0"/>
              <w:right w:val="single" w:color="auto" w:sz="4" w:space="0"/>
            </w:tcBorders>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US" w:eastAsia="zh-CN"/>
              </w:rPr>
              <w:t>“3T”控制+急冷+</w:t>
            </w:r>
            <w:r>
              <w:rPr>
                <w:rFonts w:hint="eastAsia" w:cs="Times New Roman"/>
                <w:color w:val="auto"/>
                <w:highlight w:val="none"/>
                <w:u w:val="none"/>
                <w:lang w:val="en-US" w:eastAsia="zh-CN"/>
              </w:rPr>
              <w:t>活性炭</w:t>
            </w:r>
            <w:r>
              <w:rPr>
                <w:rFonts w:hint="default" w:ascii="Times New Roman" w:hAnsi="Times New Roman" w:cs="Times New Roman"/>
                <w:color w:val="auto"/>
                <w:highlight w:val="none"/>
                <w:u w:val="none"/>
                <w:lang w:val="en-US" w:eastAsia="zh-CN"/>
              </w:rPr>
              <w:t>吸收+布袋除尘器</w:t>
            </w:r>
          </w:p>
        </w:tc>
        <w:tc>
          <w:tcPr>
            <w:tcW w:w="506" w:type="pct"/>
            <w:tcBorders>
              <w:left w:val="single" w:color="auto" w:sz="4" w:space="0"/>
            </w:tcBorders>
            <w:vAlign w:val="center"/>
          </w:tcPr>
          <w:p>
            <w:pPr>
              <w:pStyle w:val="22"/>
              <w:bidi w:val="0"/>
              <w:jc w:val="center"/>
              <w:rPr>
                <w:rFonts w:hint="default" w:ascii="Times New Roman" w:hAnsi="Times New Roman" w:cs="Times New Roman"/>
                <w:color w:val="auto"/>
                <w:highlight w:val="none"/>
                <w:u w:val="none"/>
              </w:rPr>
            </w:pPr>
            <w:r>
              <w:rPr>
                <w:rFonts w:hint="eastAsia" w:cs="Times New Roman"/>
                <w:color w:val="auto"/>
                <w:highlight w:val="none"/>
                <w:u w:val="none"/>
                <w:lang w:eastAsia="zh-CN"/>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72" w:type="pct"/>
            <w:vMerge w:val="continue"/>
            <w:tcBorders>
              <w:top w:val="nil"/>
            </w:tcBorders>
            <w:vAlign w:val="center"/>
          </w:tcPr>
          <w:p>
            <w:pPr>
              <w:pStyle w:val="22"/>
              <w:bidi w:val="0"/>
              <w:jc w:val="center"/>
              <w:rPr>
                <w:rFonts w:hint="default" w:ascii="Times New Roman" w:hAnsi="Times New Roman" w:cs="Times New Roman"/>
                <w:color w:val="auto"/>
                <w:highlight w:val="none"/>
                <w:u w:val="none"/>
              </w:rPr>
            </w:pPr>
          </w:p>
        </w:tc>
        <w:tc>
          <w:tcPr>
            <w:tcW w:w="1069"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汞及其化合物、烟气黑度</w:t>
            </w:r>
          </w:p>
        </w:tc>
        <w:tc>
          <w:tcPr>
            <w:tcW w:w="2163" w:type="pct"/>
            <w:tcBorders>
              <w:right w:val="single" w:color="auto" w:sz="4" w:space="0"/>
            </w:tcBorders>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协同处置</w:t>
            </w:r>
          </w:p>
        </w:tc>
        <w:tc>
          <w:tcPr>
            <w:tcW w:w="1294" w:type="pct"/>
            <w:gridSpan w:val="2"/>
            <w:tcBorders>
              <w:left w:val="single" w:color="auto" w:sz="4" w:space="0"/>
            </w:tcBorders>
            <w:vAlign w:val="center"/>
          </w:tcPr>
          <w:p>
            <w:pPr>
              <w:pStyle w:val="22"/>
              <w:bidi w:val="0"/>
              <w:jc w:val="center"/>
              <w:rPr>
                <w:rFonts w:hint="default" w:ascii="Times New Roman" w:hAnsi="Times New Roman" w:eastAsia="宋体"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本次不涉及重金属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000" w:type="pct"/>
            <w:gridSpan w:val="5"/>
            <w:vAlign w:val="center"/>
          </w:tcPr>
          <w:p>
            <w:pPr>
              <w:pStyle w:val="22"/>
              <w:bidi w:val="0"/>
              <w:jc w:val="left"/>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a 仅适用于燃煤锅炉</w:t>
            </w:r>
          </w:p>
        </w:tc>
      </w:tr>
    </w:tbl>
    <w:p>
      <w:pPr>
        <w:bidi w:val="0"/>
        <w:rPr>
          <w:rFonts w:hint="default" w:ascii="Times New Roman" w:hAnsi="Times New Roman" w:eastAsia="宋体" w:cs="Times New Roman"/>
          <w:color w:val="auto"/>
          <w:szCs w:val="21"/>
          <w:highlight w:val="none"/>
          <w:u w:val="none"/>
        </w:rPr>
      </w:pPr>
      <w:r>
        <w:rPr>
          <w:rFonts w:hint="default"/>
          <w:color w:val="auto"/>
          <w:highlight w:val="none"/>
          <w:u w:val="none"/>
        </w:rPr>
        <w:t>排污单位生产过程废气治理可行技术参照</w:t>
      </w:r>
      <w:r>
        <w:rPr>
          <w:rFonts w:hint="default"/>
          <w:color w:val="auto"/>
          <w:highlight w:val="none"/>
          <w:u w:val="none"/>
        </w:rPr>
        <w:fldChar w:fldCharType="begin"/>
      </w:r>
      <w:r>
        <w:rPr>
          <w:rFonts w:hint="default"/>
          <w:color w:val="auto"/>
          <w:highlight w:val="none"/>
          <w:u w:val="none"/>
        </w:rPr>
        <w:instrText xml:space="preserve"> REF _Ref24880 \h </w:instrText>
      </w:r>
      <w:r>
        <w:rPr>
          <w:rFonts w:hint="default"/>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8.3</w:t>
      </w:r>
      <w:r>
        <w:rPr>
          <w:color w:val="auto"/>
          <w:highlight w:val="none"/>
          <w:u w:val="none"/>
        </w:rPr>
        <w:fldChar w:fldCharType="end"/>
      </w:r>
      <w:r>
        <w:rPr>
          <w:rFonts w:hint="eastAsia"/>
          <w:color w:val="auto"/>
          <w:highlight w:val="none"/>
          <w:u w:val="none"/>
          <w:lang w:eastAsia="zh-CN"/>
        </w:rPr>
        <w:t>-</w:t>
      </w:r>
      <w:r>
        <w:rPr>
          <w:color w:val="auto"/>
          <w:highlight w:val="none"/>
          <w:u w:val="none"/>
        </w:rPr>
        <w:t>4</w:t>
      </w:r>
      <w:r>
        <w:rPr>
          <w:rFonts w:hint="default"/>
          <w:color w:val="auto"/>
          <w:highlight w:val="none"/>
          <w:u w:val="none"/>
        </w:rPr>
        <w:fldChar w:fldCharType="end"/>
      </w:r>
      <w:r>
        <w:rPr>
          <w:rFonts w:hint="default"/>
          <w:color w:val="auto"/>
          <w:highlight w:val="none"/>
          <w:u w:val="none"/>
        </w:rPr>
        <w:t>。</w:t>
      </w:r>
    </w:p>
    <w:p>
      <w:pPr>
        <w:spacing w:before="149" w:line="186" w:lineRule="auto"/>
        <w:ind w:firstLine="618" w:firstLineChars="300"/>
        <w:rPr>
          <w:rFonts w:hint="default" w:ascii="Times New Roman" w:hAnsi="Times New Roman" w:eastAsia="黑体" w:cs="Times New Roman"/>
          <w:color w:val="auto"/>
          <w:spacing w:val="-2"/>
          <w:sz w:val="21"/>
          <w:szCs w:val="21"/>
          <w:highlight w:val="none"/>
          <w:u w:val="none"/>
        </w:rPr>
      </w:pPr>
    </w:p>
    <w:p>
      <w:pPr>
        <w:pStyle w:val="9"/>
        <w:bidi w:val="0"/>
        <w:rPr>
          <w:rFonts w:hint="default" w:ascii="Times New Roman" w:hAnsi="Times New Roman" w:eastAsia="黑体" w:cs="Times New Roman"/>
          <w:color w:val="auto"/>
          <w:szCs w:val="21"/>
          <w:highlight w:val="none"/>
          <w:u w:val="none"/>
        </w:rPr>
      </w:pPr>
      <w:r>
        <w:rPr>
          <w:rFonts w:hint="eastAsia" w:eastAsia="宋体"/>
          <w:color w:val="auto"/>
          <w:highlight w:val="none"/>
          <w:u w:val="none"/>
          <w:lang w:val="en-US" w:eastAsia="zh-CN"/>
        </w:rPr>
        <w:t xml:space="preserve"> </w:t>
      </w:r>
      <w:bookmarkStart w:id="22" w:name="_Ref24746"/>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8.2</w:t>
      </w:r>
      <w:r>
        <w:rPr>
          <w:color w:val="auto"/>
          <w:highlight w:val="none"/>
          <w:u w:val="none"/>
        </w:rPr>
        <w:fldChar w:fldCharType="end"/>
      </w:r>
      <w:r>
        <w:rPr>
          <w:rFonts w:hint="eastAsia" w:eastAsia="宋体"/>
          <w:color w:val="auto"/>
          <w:highlight w:val="none"/>
          <w:u w:val="none"/>
          <w:lang w:eastAsia="zh-CN"/>
        </w:rPr>
        <w:t>-</w:t>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4</w:t>
      </w:r>
      <w:r>
        <w:rPr>
          <w:color w:val="auto"/>
          <w:highlight w:val="none"/>
          <w:u w:val="none"/>
        </w:rPr>
        <w:fldChar w:fldCharType="end"/>
      </w:r>
      <w:bookmarkEnd w:id="22"/>
      <w:r>
        <w:rPr>
          <w:rFonts w:hint="eastAsia"/>
          <w:color w:val="auto"/>
          <w:highlight w:val="none"/>
          <w:u w:val="none"/>
          <w:lang w:val="en-US" w:eastAsia="zh-CN"/>
        </w:rPr>
        <w:t xml:space="preserve"> </w:t>
      </w:r>
      <w:r>
        <w:rPr>
          <w:rFonts w:hint="default"/>
          <w:color w:val="auto"/>
          <w:highlight w:val="none"/>
          <w:u w:val="none"/>
        </w:rPr>
        <w:t xml:space="preserve"> 生产过程废气治理可行技术参照表</w:t>
      </w:r>
    </w:p>
    <w:p>
      <w:pPr>
        <w:spacing w:line="43" w:lineRule="exact"/>
        <w:rPr>
          <w:rFonts w:hint="default" w:ascii="Times New Roman" w:hAnsi="Times New Roman" w:cs="Times New Roman"/>
          <w:color w:val="auto"/>
          <w:highlight w:val="none"/>
          <w:u w:val="none"/>
        </w:rPr>
      </w:pPr>
    </w:p>
    <w:tbl>
      <w:tblPr>
        <w:tblStyle w:val="23"/>
        <w:tblW w:w="502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53"/>
        <w:gridCol w:w="3058"/>
        <w:gridCol w:w="4212"/>
        <w:gridCol w:w="2610"/>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538"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废气种类</w:t>
            </w:r>
          </w:p>
        </w:tc>
        <w:tc>
          <w:tcPr>
            <w:tcW w:w="1132"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适用情况</w:t>
            </w:r>
          </w:p>
        </w:tc>
        <w:tc>
          <w:tcPr>
            <w:tcW w:w="1559"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可行技术</w:t>
            </w:r>
          </w:p>
        </w:tc>
        <w:tc>
          <w:tcPr>
            <w:tcW w:w="966" w:type="pct"/>
            <w:vAlign w:val="center"/>
          </w:tcPr>
          <w:p>
            <w:pPr>
              <w:pStyle w:val="22"/>
              <w:bidi w:val="0"/>
              <w:jc w:val="center"/>
              <w:rPr>
                <w:rFonts w:hint="eastAsia"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本次</w:t>
            </w:r>
            <w:r>
              <w:rPr>
                <w:rFonts w:hint="eastAsia" w:cs="Times New Roman"/>
                <w:color w:val="auto"/>
                <w:highlight w:val="none"/>
                <w:u w:val="none"/>
                <w:lang w:val="en-US" w:eastAsia="zh-CN"/>
              </w:rPr>
              <w:t>改建</w:t>
            </w:r>
            <w:r>
              <w:rPr>
                <w:rFonts w:hint="eastAsia" w:ascii="Times New Roman" w:hAnsi="Times New Roman" w:cs="Times New Roman"/>
                <w:color w:val="auto"/>
                <w:highlight w:val="none"/>
                <w:u w:val="none"/>
                <w:lang w:val="en-US" w:eastAsia="zh-CN"/>
              </w:rPr>
              <w:t>工程</w:t>
            </w:r>
          </w:p>
        </w:tc>
        <w:tc>
          <w:tcPr>
            <w:tcW w:w="802" w:type="pct"/>
            <w:vAlign w:val="center"/>
          </w:tcPr>
          <w:p>
            <w:pPr>
              <w:pStyle w:val="22"/>
              <w:bidi w:val="0"/>
              <w:jc w:val="center"/>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val="en-US" w:eastAsia="zh-CN"/>
              </w:rPr>
              <w:t>是否为</w:t>
            </w:r>
            <w:r>
              <w:rPr>
                <w:rFonts w:hint="default" w:ascii="Times New Roman" w:hAnsi="Times New Roman" w:cs="Times New Roman"/>
                <w:color w:val="auto"/>
                <w:highlight w:val="none"/>
                <w:u w:val="none"/>
                <w:lang w:val="en-US" w:eastAsia="zh-CN"/>
              </w:rPr>
              <w:t>HJ858.1</w:t>
            </w:r>
            <w:r>
              <w:rPr>
                <w:rFonts w:hint="eastAsia"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2017</w:t>
            </w:r>
            <w:r>
              <w:rPr>
                <w:rFonts w:hint="eastAsia" w:cs="Times New Roman"/>
                <w:color w:val="auto"/>
                <w:highlight w:val="none"/>
                <w:u w:val="none"/>
                <w:lang w:val="en-US" w:eastAsia="zh-CN"/>
              </w:rPr>
              <w:t>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9" w:hRule="atLeast"/>
        </w:trPr>
        <w:tc>
          <w:tcPr>
            <w:tcW w:w="538" w:type="pct"/>
            <w:vMerge w:val="restar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工艺含尘废气</w:t>
            </w:r>
          </w:p>
        </w:tc>
        <w:tc>
          <w:tcPr>
            <w:tcW w:w="1132"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特殊原料药（β</w:t>
            </w:r>
            <w:r>
              <w:rPr>
                <w:rFonts w:hint="eastAsia" w:cs="Times New Roman"/>
                <w:color w:val="auto"/>
                <w:highlight w:val="none"/>
                <w:u w:val="none"/>
                <w:lang w:val="en-US" w:eastAsia="zh-CN"/>
              </w:rPr>
              <w:t>-</w:t>
            </w:r>
            <w:r>
              <w:rPr>
                <w:rFonts w:hint="default" w:ascii="Times New Roman" w:hAnsi="Times New Roman" w:cs="Times New Roman"/>
                <w:color w:val="auto"/>
                <w:highlight w:val="none"/>
                <w:u w:val="none"/>
              </w:rPr>
              <w:t>内酰胺类抗生素、避孕药、激素类药、抗肿瘤药）生产产生的颗粒物</w:t>
            </w:r>
          </w:p>
        </w:tc>
        <w:tc>
          <w:tcPr>
            <w:tcW w:w="1559"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多级过滤技术</w:t>
            </w:r>
          </w:p>
        </w:tc>
        <w:tc>
          <w:tcPr>
            <w:tcW w:w="966" w:type="pct"/>
            <w:vAlign w:val="center"/>
          </w:tcPr>
          <w:p>
            <w:pPr>
              <w:pStyle w:val="22"/>
              <w:bidi w:val="0"/>
              <w:jc w:val="center"/>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w:t>
            </w:r>
          </w:p>
        </w:tc>
        <w:tc>
          <w:tcPr>
            <w:tcW w:w="802" w:type="pct"/>
            <w:vAlign w:val="center"/>
          </w:tcPr>
          <w:p>
            <w:pPr>
              <w:pStyle w:val="22"/>
              <w:bidi w:val="0"/>
              <w:jc w:val="center"/>
              <w:rPr>
                <w:rFonts w:hint="eastAsia" w:ascii="Times New Roman" w:hAnsi="Times New Roman" w:eastAsia="宋体"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rPr>
        <w:tc>
          <w:tcPr>
            <w:tcW w:w="538" w:type="pct"/>
            <w:vMerge w:val="continue"/>
            <w:vAlign w:val="center"/>
          </w:tcPr>
          <w:p>
            <w:pPr>
              <w:pStyle w:val="22"/>
              <w:bidi w:val="0"/>
              <w:jc w:val="center"/>
              <w:rPr>
                <w:rFonts w:hint="default" w:ascii="Times New Roman" w:hAnsi="Times New Roman" w:cs="Times New Roman"/>
                <w:color w:val="auto"/>
                <w:highlight w:val="none"/>
                <w:u w:val="none"/>
              </w:rPr>
            </w:pPr>
          </w:p>
        </w:tc>
        <w:tc>
          <w:tcPr>
            <w:tcW w:w="1132"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其他药品生产产生的颗粒物</w:t>
            </w:r>
          </w:p>
        </w:tc>
        <w:tc>
          <w:tcPr>
            <w:tcW w:w="1559"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袋式除尘技术</w:t>
            </w:r>
          </w:p>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旋风除尘+袋式除尘技术</w:t>
            </w:r>
          </w:p>
        </w:tc>
        <w:tc>
          <w:tcPr>
            <w:tcW w:w="966"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袋式除尘技术</w:t>
            </w:r>
          </w:p>
        </w:tc>
        <w:tc>
          <w:tcPr>
            <w:tcW w:w="802" w:type="pct"/>
            <w:vAlign w:val="center"/>
          </w:tcPr>
          <w:p>
            <w:pPr>
              <w:pStyle w:val="22"/>
              <w:bidi w:val="0"/>
              <w:jc w:val="center"/>
              <w:rPr>
                <w:rFonts w:hint="eastAsia" w:ascii="Times New Roman" w:hAnsi="Times New Roman" w:eastAsia="宋体" w:cs="Times New Roman"/>
                <w:color w:val="auto"/>
                <w:highlight w:val="none"/>
                <w:u w:val="none"/>
                <w:lang w:eastAsia="zh-CN"/>
              </w:rPr>
            </w:pPr>
            <w:r>
              <w:rPr>
                <w:rFonts w:hint="eastAsia" w:ascii="Times New Roman" w:hAnsi="Times New Roman" w:cs="Times New Roman"/>
                <w:color w:val="auto"/>
                <w:highlight w:val="none"/>
                <w:u w:val="no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trPr>
        <w:tc>
          <w:tcPr>
            <w:tcW w:w="538" w:type="pct"/>
            <w:vMerge w:val="restar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工艺有机废气</w:t>
            </w:r>
          </w:p>
        </w:tc>
        <w:tc>
          <w:tcPr>
            <w:tcW w:w="1132"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VOCs 浓度＞2000mg/m</w:t>
            </w:r>
            <w:r>
              <w:rPr>
                <w:rFonts w:hint="default" w:ascii="Times New Roman" w:hAnsi="Times New Roman" w:cs="Times New Roman"/>
                <w:color w:val="auto"/>
                <w:highlight w:val="none"/>
                <w:u w:val="none"/>
                <w:vertAlign w:val="superscript"/>
              </w:rPr>
              <w:t>3</w:t>
            </w:r>
          </w:p>
        </w:tc>
        <w:tc>
          <w:tcPr>
            <w:tcW w:w="1559"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冷凝回收+吸附再生技术</w:t>
            </w:r>
          </w:p>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燃烧处理技术</w:t>
            </w:r>
          </w:p>
        </w:tc>
        <w:tc>
          <w:tcPr>
            <w:tcW w:w="966" w:type="pct"/>
            <w:vAlign w:val="center"/>
          </w:tcPr>
          <w:p>
            <w:pPr>
              <w:pStyle w:val="22"/>
              <w:bidi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rPr>
              <w:t>冷凝回收+</w:t>
            </w:r>
            <w:r>
              <w:rPr>
                <w:rFonts w:hint="eastAsia" w:cs="Times New Roman"/>
                <w:color w:val="auto"/>
                <w:highlight w:val="none"/>
                <w:u w:val="none"/>
                <w:lang w:val="en-US" w:eastAsia="zh-CN"/>
              </w:rPr>
              <w:t>吸收+燃烧处理技术</w:t>
            </w:r>
          </w:p>
        </w:tc>
        <w:tc>
          <w:tcPr>
            <w:tcW w:w="802" w:type="pct"/>
            <w:vAlign w:val="center"/>
          </w:tcPr>
          <w:p>
            <w:pPr>
              <w:pStyle w:val="22"/>
              <w:bidi w:val="0"/>
              <w:jc w:val="center"/>
              <w:rPr>
                <w:rFonts w:hint="eastAsia" w:ascii="Times New Roman" w:hAnsi="Times New Roman" w:eastAsia="宋体"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9" w:hRule="atLeast"/>
        </w:trPr>
        <w:tc>
          <w:tcPr>
            <w:tcW w:w="538" w:type="pct"/>
            <w:vMerge w:val="continue"/>
            <w:vAlign w:val="center"/>
          </w:tcPr>
          <w:p>
            <w:pPr>
              <w:pStyle w:val="22"/>
              <w:bidi w:val="0"/>
              <w:jc w:val="center"/>
              <w:rPr>
                <w:rFonts w:hint="default" w:ascii="Times New Roman" w:hAnsi="Times New Roman" w:cs="Times New Roman"/>
                <w:color w:val="auto"/>
                <w:highlight w:val="none"/>
                <w:u w:val="none"/>
              </w:rPr>
            </w:pPr>
          </w:p>
        </w:tc>
        <w:tc>
          <w:tcPr>
            <w:tcW w:w="1132"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1000mg/m</w:t>
            </w:r>
            <w:r>
              <w:rPr>
                <w:rFonts w:hint="default" w:ascii="Times New Roman" w:hAnsi="Times New Roman" w:cs="Times New Roman"/>
                <w:color w:val="auto"/>
                <w:highlight w:val="none"/>
                <w:u w:val="none"/>
                <w:vertAlign w:val="superscript"/>
              </w:rPr>
              <w:t>3</w:t>
            </w:r>
            <w:r>
              <w:rPr>
                <w:rFonts w:hint="default" w:ascii="Times New Roman" w:hAnsi="Times New Roman" w:cs="Times New Roman"/>
                <w:color w:val="auto"/>
                <w:highlight w:val="none"/>
                <w:u w:val="none"/>
              </w:rPr>
              <w:t>&lt;VOCs 浓度&lt; 2000mg/m</w:t>
            </w:r>
            <w:r>
              <w:rPr>
                <w:rFonts w:hint="default" w:ascii="Times New Roman" w:hAnsi="Times New Roman" w:cs="Times New Roman"/>
                <w:color w:val="auto"/>
                <w:highlight w:val="none"/>
                <w:u w:val="none"/>
                <w:vertAlign w:val="superscript"/>
              </w:rPr>
              <w:t>3</w:t>
            </w:r>
          </w:p>
        </w:tc>
        <w:tc>
          <w:tcPr>
            <w:tcW w:w="1559"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吸附+冷凝回收技术</w:t>
            </w:r>
          </w:p>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吸收+回收技术</w:t>
            </w:r>
          </w:p>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燃烧处理技术</w:t>
            </w:r>
          </w:p>
        </w:tc>
        <w:tc>
          <w:tcPr>
            <w:tcW w:w="966" w:type="pct"/>
            <w:vAlign w:val="center"/>
          </w:tcPr>
          <w:p>
            <w:pPr>
              <w:pStyle w:val="22"/>
              <w:bidi w:val="0"/>
              <w:jc w:val="center"/>
              <w:rPr>
                <w:rFonts w:hint="eastAsia"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w:t>
            </w:r>
          </w:p>
        </w:tc>
        <w:tc>
          <w:tcPr>
            <w:tcW w:w="802" w:type="pct"/>
            <w:vAlign w:val="center"/>
          </w:tcPr>
          <w:p>
            <w:pPr>
              <w:pStyle w:val="22"/>
              <w:bidi w:val="0"/>
              <w:jc w:val="center"/>
              <w:rPr>
                <w:rFonts w:hint="eastAsia" w:ascii="Times New Roman" w:hAnsi="Times New Roman" w:eastAsia="宋体"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7" w:hRule="atLeast"/>
        </w:trPr>
        <w:tc>
          <w:tcPr>
            <w:tcW w:w="538" w:type="pct"/>
            <w:vMerge w:val="continue"/>
            <w:vAlign w:val="center"/>
          </w:tcPr>
          <w:p>
            <w:pPr>
              <w:pStyle w:val="22"/>
              <w:bidi w:val="0"/>
              <w:jc w:val="center"/>
              <w:rPr>
                <w:rFonts w:hint="default" w:ascii="Times New Roman" w:hAnsi="Times New Roman" w:cs="Times New Roman"/>
                <w:color w:val="auto"/>
                <w:highlight w:val="none"/>
                <w:u w:val="none"/>
              </w:rPr>
            </w:pPr>
          </w:p>
        </w:tc>
        <w:tc>
          <w:tcPr>
            <w:tcW w:w="1132"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VOCs 浓度&lt;1000mg/m</w:t>
            </w:r>
            <w:r>
              <w:rPr>
                <w:rFonts w:hint="default" w:ascii="Times New Roman" w:hAnsi="Times New Roman" w:cs="Times New Roman"/>
                <w:color w:val="auto"/>
                <w:highlight w:val="none"/>
                <w:u w:val="none"/>
                <w:vertAlign w:val="superscript"/>
              </w:rPr>
              <w:t>3</w:t>
            </w:r>
          </w:p>
        </w:tc>
        <w:tc>
          <w:tcPr>
            <w:tcW w:w="1559"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吸附浓缩+燃烧处理技术</w:t>
            </w:r>
          </w:p>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洗涤+生物净化技术</w:t>
            </w:r>
          </w:p>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氧化技术</w:t>
            </w:r>
          </w:p>
        </w:tc>
        <w:tc>
          <w:tcPr>
            <w:tcW w:w="966" w:type="pct"/>
            <w:vAlign w:val="center"/>
          </w:tcPr>
          <w:p>
            <w:pPr>
              <w:pStyle w:val="22"/>
              <w:bidi w:val="0"/>
              <w:jc w:val="center"/>
              <w:rPr>
                <w:rFonts w:hint="eastAsia"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w:t>
            </w:r>
          </w:p>
        </w:tc>
        <w:tc>
          <w:tcPr>
            <w:tcW w:w="802" w:type="pct"/>
            <w:vAlign w:val="center"/>
          </w:tcPr>
          <w:p>
            <w:pPr>
              <w:pStyle w:val="22"/>
              <w:bidi w:val="0"/>
              <w:jc w:val="center"/>
              <w:rPr>
                <w:rFonts w:hint="eastAsia" w:ascii="Times New Roman" w:hAnsi="Times New Roman" w:eastAsia="宋体"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trPr>
        <w:tc>
          <w:tcPr>
            <w:tcW w:w="538"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发酵废气</w:t>
            </w:r>
          </w:p>
        </w:tc>
        <w:tc>
          <w:tcPr>
            <w:tcW w:w="1132"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抗生素类、维生素类、氨基酸类发酵废气</w:t>
            </w:r>
          </w:p>
        </w:tc>
        <w:tc>
          <w:tcPr>
            <w:tcW w:w="1559"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碱洗+氧化+水洗处理技术</w:t>
            </w:r>
          </w:p>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吸附浓缩+燃烧处理技术</w:t>
            </w:r>
          </w:p>
        </w:tc>
        <w:tc>
          <w:tcPr>
            <w:tcW w:w="966" w:type="pct"/>
            <w:vAlign w:val="center"/>
          </w:tcPr>
          <w:p>
            <w:pPr>
              <w:pStyle w:val="22"/>
              <w:bidi w:val="0"/>
              <w:ind w:firstLine="0" w:firstLineChars="0"/>
              <w:jc w:val="center"/>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val="en-US" w:eastAsia="zh-CN"/>
              </w:rPr>
              <w:t>/</w:t>
            </w:r>
          </w:p>
        </w:tc>
        <w:tc>
          <w:tcPr>
            <w:tcW w:w="802" w:type="pct"/>
            <w:vAlign w:val="center"/>
          </w:tcPr>
          <w:p>
            <w:pPr>
              <w:pStyle w:val="22"/>
              <w:bidi w:val="0"/>
              <w:ind w:firstLine="0" w:firstLineChars="0"/>
              <w:jc w:val="center"/>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trPr>
        <w:tc>
          <w:tcPr>
            <w:tcW w:w="538" w:type="pct"/>
            <w:vMerge w:val="restar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工艺酸碱废气</w:t>
            </w:r>
          </w:p>
        </w:tc>
        <w:tc>
          <w:tcPr>
            <w:tcW w:w="1132"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酸性废气</w:t>
            </w:r>
          </w:p>
        </w:tc>
        <w:tc>
          <w:tcPr>
            <w:tcW w:w="1559"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水或碱吸收处理技术</w:t>
            </w:r>
          </w:p>
        </w:tc>
        <w:tc>
          <w:tcPr>
            <w:tcW w:w="966"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碱吸收处理技术</w:t>
            </w:r>
          </w:p>
        </w:tc>
        <w:tc>
          <w:tcPr>
            <w:tcW w:w="802" w:type="pct"/>
            <w:vAlign w:val="center"/>
          </w:tcPr>
          <w:p>
            <w:pPr>
              <w:pStyle w:val="22"/>
              <w:bidi w:val="0"/>
              <w:jc w:val="center"/>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538" w:type="pct"/>
            <w:vMerge w:val="continue"/>
            <w:vAlign w:val="center"/>
          </w:tcPr>
          <w:p>
            <w:pPr>
              <w:pStyle w:val="22"/>
              <w:bidi w:val="0"/>
              <w:jc w:val="center"/>
              <w:rPr>
                <w:rFonts w:hint="default" w:ascii="Times New Roman" w:hAnsi="Times New Roman" w:cs="Times New Roman"/>
                <w:color w:val="auto"/>
                <w:highlight w:val="none"/>
                <w:u w:val="none"/>
              </w:rPr>
            </w:pPr>
          </w:p>
        </w:tc>
        <w:tc>
          <w:tcPr>
            <w:tcW w:w="1132"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碱性废气</w:t>
            </w:r>
          </w:p>
        </w:tc>
        <w:tc>
          <w:tcPr>
            <w:tcW w:w="1559"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水或酸吸收处理技术</w:t>
            </w:r>
          </w:p>
        </w:tc>
        <w:tc>
          <w:tcPr>
            <w:tcW w:w="966" w:type="pct"/>
            <w:vAlign w:val="center"/>
          </w:tcPr>
          <w:p>
            <w:pPr>
              <w:pStyle w:val="22"/>
              <w:bidi w:val="0"/>
              <w:ind w:firstLine="0" w:firstLineChars="0"/>
              <w:jc w:val="center"/>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val="en-US" w:eastAsia="zh-CN"/>
              </w:rPr>
              <w:t>/</w:t>
            </w:r>
          </w:p>
        </w:tc>
        <w:tc>
          <w:tcPr>
            <w:tcW w:w="802" w:type="pct"/>
            <w:vAlign w:val="center"/>
          </w:tcPr>
          <w:p>
            <w:pPr>
              <w:pStyle w:val="22"/>
              <w:bidi w:val="0"/>
              <w:ind w:firstLine="0" w:firstLineChars="0"/>
              <w:jc w:val="center"/>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trPr>
        <w:tc>
          <w:tcPr>
            <w:tcW w:w="538" w:type="pct"/>
            <w:vMerge w:val="restar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废水处理站废气、危废暂存废气</w:t>
            </w:r>
          </w:p>
        </w:tc>
        <w:tc>
          <w:tcPr>
            <w:tcW w:w="1132"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臭气浓度&gt; 20000（无量纲）</w:t>
            </w:r>
          </w:p>
        </w:tc>
        <w:tc>
          <w:tcPr>
            <w:tcW w:w="1559"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化学吸收+生物净化+氧化+水洗技术</w:t>
            </w:r>
          </w:p>
        </w:tc>
        <w:tc>
          <w:tcPr>
            <w:tcW w:w="966" w:type="pct"/>
            <w:vAlign w:val="center"/>
          </w:tcPr>
          <w:p>
            <w:pPr>
              <w:pStyle w:val="22"/>
              <w:bidi w:val="0"/>
              <w:ind w:firstLine="0" w:firstLineChars="0"/>
              <w:jc w:val="center"/>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val="en-US" w:eastAsia="zh-CN"/>
              </w:rPr>
              <w:t>/</w:t>
            </w:r>
          </w:p>
        </w:tc>
        <w:tc>
          <w:tcPr>
            <w:tcW w:w="802" w:type="pct"/>
            <w:vAlign w:val="center"/>
          </w:tcPr>
          <w:p>
            <w:pPr>
              <w:pStyle w:val="22"/>
              <w:bidi w:val="0"/>
              <w:ind w:firstLine="0" w:firstLineChars="0"/>
              <w:jc w:val="center"/>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trPr>
        <w:tc>
          <w:tcPr>
            <w:tcW w:w="538" w:type="pct"/>
            <w:vMerge w:val="continue"/>
            <w:vAlign w:val="center"/>
          </w:tcPr>
          <w:p>
            <w:pPr>
              <w:pStyle w:val="22"/>
              <w:bidi w:val="0"/>
              <w:jc w:val="center"/>
              <w:rPr>
                <w:rFonts w:hint="default" w:ascii="Times New Roman" w:hAnsi="Times New Roman" w:cs="Times New Roman"/>
                <w:color w:val="auto"/>
                <w:highlight w:val="none"/>
                <w:u w:val="none"/>
              </w:rPr>
            </w:pPr>
          </w:p>
        </w:tc>
        <w:tc>
          <w:tcPr>
            <w:tcW w:w="1132"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10000&lt;臭气浓度&lt;20000 （无量纲）</w:t>
            </w:r>
          </w:p>
        </w:tc>
        <w:tc>
          <w:tcPr>
            <w:tcW w:w="1559"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化学吸收+水洗技术+生物净化 氧化技术</w:t>
            </w:r>
          </w:p>
        </w:tc>
        <w:tc>
          <w:tcPr>
            <w:tcW w:w="966" w:type="pct"/>
            <w:vAlign w:val="center"/>
          </w:tcPr>
          <w:p>
            <w:pPr>
              <w:pStyle w:val="22"/>
              <w:bidi w:val="0"/>
              <w:ind w:firstLine="0" w:firstLineChars="0"/>
              <w:jc w:val="center"/>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val="en-US" w:eastAsia="zh-CN"/>
              </w:rPr>
              <w:t>/</w:t>
            </w:r>
          </w:p>
        </w:tc>
        <w:tc>
          <w:tcPr>
            <w:tcW w:w="802" w:type="pct"/>
            <w:vAlign w:val="center"/>
          </w:tcPr>
          <w:p>
            <w:pPr>
              <w:pStyle w:val="22"/>
              <w:bidi w:val="0"/>
              <w:ind w:firstLine="0" w:firstLineChars="0"/>
              <w:jc w:val="center"/>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rPr>
        <w:tc>
          <w:tcPr>
            <w:tcW w:w="538" w:type="pct"/>
            <w:vMerge w:val="continue"/>
            <w:vAlign w:val="center"/>
          </w:tcPr>
          <w:p>
            <w:pPr>
              <w:pStyle w:val="22"/>
              <w:bidi w:val="0"/>
              <w:jc w:val="center"/>
              <w:rPr>
                <w:rFonts w:hint="default" w:ascii="Times New Roman" w:hAnsi="Times New Roman" w:cs="Times New Roman"/>
                <w:color w:val="auto"/>
                <w:highlight w:val="none"/>
                <w:u w:val="none"/>
              </w:rPr>
            </w:pPr>
          </w:p>
        </w:tc>
        <w:tc>
          <w:tcPr>
            <w:tcW w:w="1132"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臭气浓度&lt;10000（无量纲）</w:t>
            </w:r>
          </w:p>
        </w:tc>
        <w:tc>
          <w:tcPr>
            <w:tcW w:w="1559" w:type="pct"/>
            <w:vAlign w:val="center"/>
          </w:tcPr>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水洗+生物净化技术</w:t>
            </w:r>
          </w:p>
          <w:p>
            <w:pPr>
              <w:pStyle w:val="22"/>
              <w:bidi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氧化技术</w:t>
            </w:r>
          </w:p>
        </w:tc>
        <w:tc>
          <w:tcPr>
            <w:tcW w:w="966" w:type="pct"/>
            <w:vAlign w:val="center"/>
          </w:tcPr>
          <w:p>
            <w:pPr>
              <w:pStyle w:val="22"/>
              <w:bidi w:val="0"/>
              <w:jc w:val="center"/>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水洗+</w:t>
            </w:r>
            <w:r>
              <w:rPr>
                <w:rFonts w:hint="default" w:ascii="Times New Roman" w:hAnsi="Times New Roman" w:cs="Times New Roman"/>
                <w:color w:val="auto"/>
                <w:highlight w:val="none"/>
                <w:u w:val="none"/>
              </w:rPr>
              <w:t>氧化技术</w:t>
            </w:r>
          </w:p>
        </w:tc>
        <w:tc>
          <w:tcPr>
            <w:tcW w:w="802" w:type="pct"/>
            <w:vAlign w:val="center"/>
          </w:tcPr>
          <w:p>
            <w:pPr>
              <w:pStyle w:val="22"/>
              <w:bidi w:val="0"/>
              <w:jc w:val="center"/>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val="en-US" w:eastAsia="zh-CN"/>
              </w:rPr>
              <w:t>是</w:t>
            </w:r>
          </w:p>
        </w:tc>
      </w:tr>
    </w:tbl>
    <w:p>
      <w:pPr>
        <w:pStyle w:val="12"/>
        <w:rPr>
          <w:rFonts w:hint="default" w:ascii="Times New Roman" w:hAnsi="Times New Roman" w:cs="Times New Roman"/>
          <w:color w:val="auto"/>
          <w:highlight w:val="none"/>
          <w:u w:val="none"/>
          <w:lang w:val="en-US" w:eastAsia="zh-CN"/>
        </w:rPr>
        <w:sectPr>
          <w:pgSz w:w="16838" w:h="11905" w:orient="landscape"/>
          <w:pgMar w:top="1587" w:right="1701" w:bottom="1587" w:left="1701"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3"/>
        <w:bidi w:val="0"/>
        <w:rPr>
          <w:rFonts w:hint="default"/>
          <w:color w:val="auto"/>
          <w:highlight w:val="none"/>
          <w:u w:val="none"/>
          <w:lang w:val="en-US" w:eastAsia="zh-CN"/>
        </w:rPr>
      </w:pPr>
      <w:bookmarkStart w:id="23" w:name="_Toc18187"/>
      <w:bookmarkStart w:id="24" w:name="_Toc6088"/>
      <w:bookmarkStart w:id="25" w:name="_Toc11765"/>
      <w:r>
        <w:rPr>
          <w:rFonts w:hint="default"/>
          <w:color w:val="auto"/>
          <w:highlight w:val="none"/>
          <w:u w:val="none"/>
          <w:lang w:val="en-US" w:eastAsia="zh-CN"/>
        </w:rPr>
        <w:t>运营期废水污染防治措施</w:t>
      </w:r>
      <w:bookmarkEnd w:id="13"/>
      <w:bookmarkEnd w:id="14"/>
      <w:bookmarkEnd w:id="19"/>
      <w:bookmarkEnd w:id="20"/>
      <w:bookmarkEnd w:id="23"/>
      <w:bookmarkEnd w:id="24"/>
      <w:bookmarkEnd w:id="25"/>
    </w:p>
    <w:p>
      <w:pPr>
        <w:bidi w:val="0"/>
        <w:rPr>
          <w:rFonts w:hint="default"/>
          <w:color w:val="auto"/>
          <w:highlight w:val="none"/>
          <w:u w:val="none"/>
          <w:lang w:val="en-US" w:eastAsia="zh-CN"/>
        </w:rPr>
      </w:pPr>
      <w:bookmarkStart w:id="26" w:name="_Toc23797"/>
      <w:r>
        <w:rPr>
          <w:rFonts w:hint="eastAsia"/>
          <w:color w:val="auto"/>
          <w:highlight w:val="none"/>
          <w:u w:val="none"/>
          <w:lang w:val="en-US" w:eastAsia="zh-CN"/>
        </w:rPr>
        <w:t>本次改建工程新增废水经预处理设施预处理后，依托现有工程已建的污水站进行处理后，再经污水管网排入柘城县第二污水处理厂进一步处理。</w:t>
      </w:r>
    </w:p>
    <w:p>
      <w:pPr>
        <w:pStyle w:val="4"/>
        <w:bidi w:val="0"/>
        <w:rPr>
          <w:rFonts w:hint="default"/>
          <w:color w:val="auto"/>
          <w:highlight w:val="none"/>
          <w:u w:val="none"/>
          <w:lang w:val="en-US" w:eastAsia="zh-CN"/>
        </w:rPr>
      </w:pPr>
      <w:r>
        <w:rPr>
          <w:rFonts w:hint="eastAsia"/>
          <w:color w:val="auto"/>
          <w:highlight w:val="none"/>
          <w:u w:val="none"/>
          <w:lang w:val="en-US" w:eastAsia="zh-CN"/>
        </w:rPr>
        <w:t>各项</w:t>
      </w:r>
      <w:r>
        <w:rPr>
          <w:rFonts w:hint="default"/>
          <w:color w:val="auto"/>
          <w:highlight w:val="none"/>
          <w:u w:val="none"/>
          <w:lang w:val="en-US" w:eastAsia="zh-CN"/>
        </w:rPr>
        <w:t>废水</w:t>
      </w:r>
      <w:bookmarkEnd w:id="26"/>
      <w:r>
        <w:rPr>
          <w:rFonts w:hint="eastAsia"/>
          <w:color w:val="auto"/>
          <w:highlight w:val="none"/>
          <w:u w:val="none"/>
          <w:lang w:val="en-US" w:eastAsia="zh-CN"/>
        </w:rPr>
        <w:t>预处理措施</w:t>
      </w:r>
    </w:p>
    <w:p>
      <w:pPr>
        <w:pStyle w:val="19"/>
        <w:rPr>
          <w:rFonts w:hint="default"/>
          <w:color w:val="auto"/>
          <w:highlight w:val="none"/>
          <w:u w:val="single"/>
          <w:lang w:val="en-US" w:eastAsia="zh-CN"/>
        </w:rPr>
      </w:pPr>
      <w:r>
        <w:rPr>
          <w:rFonts w:hint="default"/>
          <w:color w:val="auto"/>
          <w:highlight w:val="none"/>
          <w:u w:val="single"/>
          <w:lang w:val="en-US" w:eastAsia="zh-CN"/>
        </w:rPr>
        <w:t>医药化工废水排放具有水质不稳定、排放间歇性、浓度高、有毒有害物质多等特点，为此废水进生化之前均需作一定程度的预处理以确保后序生化处理的处理效率和稳定性。</w:t>
      </w:r>
      <w:r>
        <w:rPr>
          <w:rFonts w:hint="eastAsia"/>
          <w:color w:val="auto"/>
          <w:highlight w:val="none"/>
          <w:u w:val="single"/>
          <w:lang w:val="en-US" w:eastAsia="zh-CN"/>
        </w:rPr>
        <w:t>废水</w:t>
      </w:r>
      <w:r>
        <w:rPr>
          <w:rFonts w:hint="default"/>
          <w:color w:val="auto"/>
          <w:highlight w:val="none"/>
          <w:u w:val="single"/>
          <w:lang w:val="en-US" w:eastAsia="zh-CN"/>
        </w:rPr>
        <w:t>预处理</w:t>
      </w:r>
      <w:r>
        <w:rPr>
          <w:rFonts w:hint="eastAsia"/>
          <w:color w:val="auto"/>
          <w:highlight w:val="none"/>
          <w:u w:val="single"/>
          <w:lang w:val="en-US" w:eastAsia="zh-CN"/>
        </w:rPr>
        <w:t>遵循“分类、分质”原则</w:t>
      </w:r>
      <w:r>
        <w:rPr>
          <w:rFonts w:hint="default"/>
          <w:color w:val="auto"/>
          <w:highlight w:val="none"/>
          <w:u w:val="single"/>
          <w:lang w:val="en-US" w:eastAsia="zh-CN"/>
        </w:rPr>
        <w:t>：针对部分工艺废水高COD、高盐、含AOX、含较多副产等特点，针对性进行分质预处理，使工艺废水和其他废水混和后的废水在盐度、毒性等方面不对后续生化产生抑制，从而保证废水得到有效处理。</w:t>
      </w:r>
    </w:p>
    <w:p>
      <w:pPr>
        <w:bidi w:val="0"/>
        <w:rPr>
          <w:rFonts w:hint="eastAsia"/>
          <w:color w:val="auto"/>
          <w:highlight w:val="none"/>
          <w:u w:val="single"/>
          <w:lang w:val="en-US" w:eastAsia="zh-CN"/>
        </w:rPr>
      </w:pPr>
      <w:r>
        <w:rPr>
          <w:rFonts w:hint="eastAsia"/>
          <w:color w:val="auto"/>
          <w:highlight w:val="none"/>
          <w:u w:val="single"/>
          <w:lang w:val="en-US" w:eastAsia="zh-CN"/>
        </w:rPr>
        <w:t>（1）高含盐工艺废水</w:t>
      </w:r>
    </w:p>
    <w:p>
      <w:pPr>
        <w:bidi w:val="0"/>
        <w:ind w:firstLine="600"/>
        <w:rPr>
          <w:rFonts w:hint="default" w:ascii="Times New Roman" w:hAnsi="Times New Roman"/>
          <w:color w:val="auto"/>
          <w:highlight w:val="none"/>
          <w:u w:val="single"/>
          <w:lang w:val="en-US" w:eastAsia="zh-CN"/>
        </w:rPr>
      </w:pPr>
      <w:r>
        <w:rPr>
          <w:rFonts w:hint="eastAsia" w:ascii="Times New Roman" w:hAnsi="Times New Roman"/>
          <w:color w:val="auto"/>
          <w:highlight w:val="none"/>
          <w:u w:val="single"/>
          <w:lang w:val="en-US" w:eastAsia="zh-CN"/>
        </w:rPr>
        <w:t>本次项目部分工段本身反应生产较多盐类，部分工段使用较多的无机酸碱，工艺废水中含盐量较高，因此需对同时含盐和含较多副产的工艺废水与废气喷淋塔排水进行蒸发脱盐预处理（MVR），为减轻运行成本，在控制废水总盐度0.6%（废水站设计要求）的前提下，尽量减少单纯含盐的工艺废水预处理。</w:t>
      </w:r>
    </w:p>
    <w:p>
      <w:pPr>
        <w:bidi w:val="0"/>
        <w:ind w:firstLine="600"/>
        <w:rPr>
          <w:rFonts w:hint="eastAsia" w:ascii="Times New Roman" w:hAnsi="Times New Roman"/>
          <w:color w:val="auto"/>
          <w:highlight w:val="none"/>
          <w:u w:val="single"/>
          <w:lang w:val="en-US" w:eastAsia="zh-CN"/>
        </w:rPr>
      </w:pPr>
      <w:r>
        <w:rPr>
          <w:rFonts w:hint="eastAsia" w:ascii="Times New Roman" w:hAnsi="Times New Roman"/>
          <w:color w:val="auto"/>
          <w:highlight w:val="none"/>
          <w:u w:val="single"/>
          <w:lang w:val="en-US" w:eastAsia="zh-CN"/>
        </w:rPr>
        <w:t>MVR是重新利用它自身产生的二次蒸汽的能量，从而减少对外界能源的需求的一项技术。早在60年代，德国和法国已经成功的将该技术应用于化工、制药、造纸、污水处理、海水淡化等行业。其工作过程是低温位的蒸汽经压缩机压缩，温度、压力提高，热焓增加，然后进入换热器冷凝，以充分利用蒸汽的潜热。除开车启动外，整个蒸发过程中无需生蒸汽。溶液在一个降膜蒸发器里，通过物料循环泵在加热管内循环。初始蒸汽用新鲜蒸汽在管外给热，将溶液加热沸腾产生二次汽，产生的二次汽由涡轮增压风机吸入，经增压后，二次汽温度提高，作为加热热源进入加热室循环蒸发。正常启动后，涡轮压缩机将二次蒸汽吸入，经增压后变为加热蒸汽，就这样源源不断进行循环蒸发。蒸发出的水分最终变成冷凝水排出多效蒸发过程中，蒸发器某一效的二次蒸汽不能直接作为本效热源，只能作为次效或次几效的热源。如作为本效热源必须额外给其能量，使其温度(压力)提高。蒸汽喷射泵只能压缩部分二次蒸汽，而MVR蒸发器则可压缩蒸发器中所有的二次蒸汽从蒸发器出来的二次蒸汽，经压缩机压缩，压力、温度升高，热焓增加，然后送到蒸发器的加热室当作加热蒸汽使用，使料液维持沸腾状态，而加热蒸汽本身则冷凝成水。这样，原来要废弃的蒸汽就得到了充分的利用，回收了潜热，又提高了热效率，生蒸汽的经济性相当于多效蒸发的三效。</w:t>
      </w:r>
    </w:p>
    <w:p>
      <w:pPr>
        <w:bidi w:val="0"/>
        <w:ind w:firstLine="600"/>
        <w:rPr>
          <w:rFonts w:hint="eastAsia" w:ascii="Times New Roman" w:hAnsi="Times New Roman"/>
          <w:color w:val="auto"/>
          <w:highlight w:val="none"/>
          <w:u w:val="single"/>
          <w:lang w:val="en-US" w:eastAsia="zh-CN"/>
        </w:rPr>
      </w:pPr>
      <w:r>
        <w:rPr>
          <w:rFonts w:hint="eastAsia" w:ascii="Times New Roman" w:hAnsi="Times New Roman"/>
          <w:color w:val="auto"/>
          <w:highlight w:val="none"/>
          <w:u w:val="single"/>
          <w:lang w:val="en-US" w:eastAsia="zh-CN"/>
        </w:rPr>
        <w:t>（2）高AOX工艺废水</w:t>
      </w:r>
    </w:p>
    <w:p>
      <w:pPr>
        <w:bidi w:val="0"/>
        <w:ind w:firstLine="600"/>
        <w:rPr>
          <w:rFonts w:hint="eastAsia" w:ascii="Times New Roman" w:hAnsi="Times New Roman"/>
          <w:color w:val="auto"/>
          <w:highlight w:val="none"/>
          <w:u w:val="single"/>
          <w:lang w:val="en-US" w:eastAsia="zh-CN"/>
        </w:rPr>
      </w:pPr>
      <w:r>
        <w:rPr>
          <w:rFonts w:hint="eastAsia" w:ascii="Times New Roman" w:hAnsi="Times New Roman"/>
          <w:color w:val="auto"/>
          <w:highlight w:val="none"/>
          <w:u w:val="single"/>
          <w:lang w:val="en-US" w:eastAsia="zh-CN"/>
        </w:rPr>
        <w:t>本次项目使用的原料涉及二氯甲烷，部分进入废水后造成废水的AOX较高，由于生化处理对AOX的去除能力有限，必须考虑对高AOX的废水强化预处理。对含二氯甲烷的废水可采用蒸发驱离预处理。二氯甲烷沸点39.8℃，对工艺废水预加热质40℃可驱离大部分二氯甲烷，驱离的二氯甲烷去精馏塔进行溶剂回收。</w:t>
      </w:r>
    </w:p>
    <w:p>
      <w:pPr>
        <w:numPr>
          <w:ilvl w:val="0"/>
          <w:numId w:val="0"/>
        </w:numPr>
        <w:bidi w:val="0"/>
        <w:ind w:left="0" w:leftChars="0" w:firstLine="480" w:firstLineChars="200"/>
        <w:rPr>
          <w:rFonts w:hint="eastAsia" w:ascii="Times New Roman" w:hAnsi="Times New Roman"/>
          <w:color w:val="auto"/>
          <w:highlight w:val="none"/>
          <w:u w:val="single"/>
          <w:lang w:val="en-US" w:eastAsia="zh-CN"/>
        </w:rPr>
      </w:pPr>
      <w:r>
        <w:rPr>
          <w:rFonts w:hint="eastAsia" w:ascii="Times New Roman" w:hAnsi="Times New Roman"/>
          <w:color w:val="auto"/>
          <w:highlight w:val="none"/>
          <w:u w:val="single"/>
          <w:lang w:val="en-US" w:eastAsia="zh-CN"/>
        </w:rPr>
        <w:t>（3）高COD难降解废水</w:t>
      </w:r>
    </w:p>
    <w:p>
      <w:pPr>
        <w:bidi w:val="0"/>
        <w:rPr>
          <w:rFonts w:hint="default"/>
          <w:color w:val="auto"/>
          <w:highlight w:val="none"/>
          <w:u w:val="single"/>
          <w:lang w:val="en-US" w:eastAsia="zh-CN"/>
        </w:rPr>
      </w:pPr>
      <w:r>
        <w:rPr>
          <w:rFonts w:hint="eastAsia"/>
          <w:color w:val="auto"/>
          <w:highlight w:val="none"/>
          <w:u w:val="single"/>
          <w:lang w:val="en-US" w:eastAsia="zh-CN"/>
        </w:rPr>
        <w:t>项目</w:t>
      </w:r>
      <w:r>
        <w:rPr>
          <w:rFonts w:hint="eastAsia" w:ascii="Times New Roman" w:hAnsi="Times New Roman"/>
          <w:color w:val="auto"/>
          <w:highlight w:val="none"/>
          <w:u w:val="single"/>
          <w:lang w:val="en-US" w:eastAsia="zh-CN"/>
        </w:rPr>
        <w:t>COD浓度较高，且含有过量原辅材料及反应生产的产物、副产物，废水可生化性较差，不利于污水站生化处理。高COD难降解废水首先进入现有工程铁碳微电解系统预处理后，最终与其他废水一同进入废水综合处理站进行生化处理。铁碳微电解预处理系</w:t>
      </w:r>
      <w:r>
        <w:rPr>
          <w:rFonts w:hint="eastAsia"/>
          <w:color w:val="auto"/>
          <w:highlight w:val="none"/>
          <w:u w:val="single"/>
          <w:lang w:val="en-US" w:eastAsia="zh-CN"/>
        </w:rPr>
        <w:t>统依托现有工程。</w:t>
      </w:r>
    </w:p>
    <w:p>
      <w:pPr>
        <w:bidi w:val="0"/>
        <w:rPr>
          <w:rFonts w:hint="default"/>
          <w:color w:val="auto"/>
          <w:highlight w:val="none"/>
          <w:u w:val="none"/>
          <w:lang w:val="en-US" w:eastAsia="zh-CN"/>
        </w:rPr>
      </w:pPr>
      <w:r>
        <w:rPr>
          <w:rFonts w:hint="default"/>
          <w:color w:val="auto"/>
          <w:highlight w:val="none"/>
          <w:u w:val="single"/>
          <w:lang w:val="en-US" w:eastAsia="zh-CN"/>
        </w:rPr>
        <w:t>铁炭微电解是基于电化学中的原电池反应，工作原理是铁屑对絮体的电附集和对反应的催化作用、电池反应产物的混凝、新生絮体的吸附和床层的过滤等作用的综合效应的结果。其中主要作用是氧化还原和电附集，废铁屑的主要成分是铁和碳，当将其浸入电解质溶液中时，由于Fe和C之间存在1.2V的电极电位差因而会形成无数的微电池系统，在其作用空间构成一个电场，阳极反应生成大量的Fe</w:t>
      </w:r>
      <w:r>
        <w:rPr>
          <w:rFonts w:hint="default"/>
          <w:color w:val="auto"/>
          <w:highlight w:val="none"/>
          <w:u w:val="single"/>
          <w:vertAlign w:val="superscript"/>
          <w:lang w:val="en-US" w:eastAsia="zh-CN"/>
        </w:rPr>
        <w:t>2+</w:t>
      </w:r>
      <w:r>
        <w:rPr>
          <w:rFonts w:hint="default"/>
          <w:color w:val="auto"/>
          <w:highlight w:val="none"/>
          <w:u w:val="single"/>
          <w:lang w:val="en-US" w:eastAsia="zh-CN"/>
        </w:rPr>
        <w:t>进入废水，进而氧化成Fe</w:t>
      </w:r>
      <w:r>
        <w:rPr>
          <w:rFonts w:hint="default"/>
          <w:color w:val="auto"/>
          <w:highlight w:val="none"/>
          <w:u w:val="single"/>
          <w:vertAlign w:val="superscript"/>
          <w:lang w:val="en-US" w:eastAsia="zh-CN"/>
        </w:rPr>
        <w:t>3+</w:t>
      </w:r>
      <w:r>
        <w:rPr>
          <w:rFonts w:hint="default"/>
          <w:color w:val="auto"/>
          <w:highlight w:val="none"/>
          <w:u w:val="single"/>
          <w:lang w:val="en-US" w:eastAsia="zh-CN"/>
        </w:rPr>
        <w:t>，形成具有较高吸附絮凝活性的絮凝剂。阴极反应产生大量新生态的[H]和[O]，在偏酸性的条件下，这些活性成分均能与废水中的许多组分发生氧化还原反应，能够破坏物质的结构，如偶氮基，</w:t>
      </w:r>
      <w:r>
        <w:rPr>
          <w:rFonts w:hint="eastAsia"/>
          <w:color w:val="auto"/>
          <w:highlight w:val="none"/>
          <w:u w:val="single"/>
          <w:lang w:val="en-US" w:eastAsia="zh-CN"/>
        </w:rPr>
        <w:t>使得</w:t>
      </w:r>
      <w:r>
        <w:rPr>
          <w:rFonts w:hint="default"/>
          <w:color w:val="auto"/>
          <w:highlight w:val="none"/>
          <w:u w:val="single"/>
          <w:lang w:val="en-US" w:eastAsia="zh-CN"/>
        </w:rPr>
        <w:t>有毒物质或者难分解物质的集团破裂，废水中的难降解物质（苯环类、大分子有机物）在原电池的作用下分解成小分子，增加污水的B/C 比，提高污水的可生化性。且阴极反应消耗了大量的H</w:t>
      </w:r>
      <w:r>
        <w:rPr>
          <w:rFonts w:hint="default"/>
          <w:color w:val="auto"/>
          <w:highlight w:val="none"/>
          <w:u w:val="single"/>
          <w:vertAlign w:val="superscript"/>
          <w:lang w:val="en-US" w:eastAsia="zh-CN"/>
        </w:rPr>
        <w:t>+</w:t>
      </w:r>
      <w:r>
        <w:rPr>
          <w:rFonts w:hint="default"/>
          <w:color w:val="auto"/>
          <w:highlight w:val="none"/>
          <w:u w:val="single"/>
          <w:lang w:val="en-US" w:eastAsia="zh-CN"/>
        </w:rPr>
        <w:t>生成了大量的OH</w:t>
      </w:r>
      <w:r>
        <w:rPr>
          <w:rFonts w:hint="default"/>
          <w:color w:val="auto"/>
          <w:highlight w:val="none"/>
          <w:u w:val="single"/>
          <w:vertAlign w:val="superscript"/>
          <w:lang w:val="en-US" w:eastAsia="zh-CN"/>
        </w:rPr>
        <w:t>-</w:t>
      </w:r>
      <w:r>
        <w:rPr>
          <w:rFonts w:hint="default"/>
          <w:color w:val="auto"/>
          <w:highlight w:val="none"/>
          <w:u w:val="single"/>
          <w:lang w:val="en-US" w:eastAsia="zh-CN"/>
        </w:rPr>
        <w:t>，这使得废水的pH值也有所提高。</w:t>
      </w:r>
    </w:p>
    <w:p>
      <w:pPr>
        <w:pStyle w:val="5"/>
        <w:rPr>
          <w:rFonts w:hint="default"/>
          <w:color w:val="auto"/>
          <w:highlight w:val="none"/>
          <w:u w:val="none"/>
          <w:lang w:val="en-US" w:eastAsia="zh-CN"/>
        </w:rPr>
      </w:pPr>
    </w:p>
    <w:p>
      <w:pPr>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br w:type="page"/>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sectPr>
          <w:pgSz w:w="11905" w:h="16838"/>
          <w:pgMar w:top="1701" w:right="1587" w:bottom="1701" w:left="1587"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eastAsia="zh-CN"/>
        </w:rPr>
        <w:drawing>
          <wp:anchor distT="0" distB="0" distL="114300" distR="114300" simplePos="0" relativeHeight="251669504" behindDoc="0" locked="0" layoutInCell="1" allowOverlap="1">
            <wp:simplePos x="0" y="0"/>
            <wp:positionH relativeFrom="column">
              <wp:posOffset>-223520</wp:posOffset>
            </wp:positionH>
            <wp:positionV relativeFrom="paragraph">
              <wp:posOffset>-128905</wp:posOffset>
            </wp:positionV>
            <wp:extent cx="5828030" cy="7375525"/>
            <wp:effectExtent l="0" t="0" r="0" b="0"/>
            <wp:wrapNone/>
            <wp:docPr id="4" name="ECB019B1-382A-4266-B25C-5B523AA43C14-2" descr="C:/Users/Administrator/AppData/Local/Temp/wps.korCo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2" descr="C:/Users/Administrator/AppData/Local/Temp/wps.korCoqwps"/>
                    <pic:cNvPicPr>
                      <a:picLocks noChangeAspect="1"/>
                    </pic:cNvPicPr>
                  </pic:nvPicPr>
                  <pic:blipFill>
                    <a:blip r:embed="rId27"/>
                    <a:stretch>
                      <a:fillRect/>
                    </a:stretch>
                  </pic:blipFill>
                  <pic:spPr>
                    <a:xfrm>
                      <a:off x="0" y="0"/>
                      <a:ext cx="5828030" cy="7375525"/>
                    </a:xfrm>
                    <a:prstGeom prst="rect">
                      <a:avLst/>
                    </a:prstGeom>
                  </pic:spPr>
                </pic:pic>
              </a:graphicData>
            </a:graphic>
          </wp:anchor>
        </w:drawing>
      </w:r>
    </w:p>
    <w:p>
      <w:p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p>
    <w:p>
      <w:p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p>
    <w:p>
      <w:p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p>
    <w:p>
      <w:p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p>
    <w:p>
      <w:p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p>
    <w:p>
      <w:p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p>
    <w:p>
      <w:p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p>
    <w:p>
      <w:p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p>
    <w:p>
      <w:p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p>
    <w:p>
      <w:p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p>
    <w:p>
      <w:p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p>
    <w:p>
      <w:p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p>
    <w:p>
      <w:p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p>
    <w:p>
      <w:p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p>
    <w:p>
      <w:p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p>
    <w:p>
      <w:p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p>
    <w:p>
      <w:p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p>
    <w:p>
      <w:p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p>
    <w:p>
      <w:p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p>
    <w:p>
      <w:p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p>
    <w:p>
      <w:pPr>
        <w:pStyle w:val="7"/>
        <w:bidi w:val="0"/>
        <w:rPr>
          <w:rFonts w:hint="eastAsia"/>
          <w:color w:val="auto"/>
          <w:highlight w:val="none"/>
          <w:u w:val="none"/>
          <w:lang w:val="en-US" w:eastAsia="zh-CN"/>
        </w:rPr>
      </w:pPr>
    </w:p>
    <w:p>
      <w:pPr>
        <w:pStyle w:val="9"/>
        <w:bidi w:val="0"/>
        <w:rPr>
          <w:rFonts w:hint="eastAsia"/>
          <w:color w:val="auto"/>
          <w:highlight w:val="none"/>
          <w:u w:val="none"/>
          <w:lang w:val="en-US" w:eastAsia="zh-CN"/>
        </w:rPr>
      </w:pPr>
    </w:p>
    <w:p>
      <w:pPr>
        <w:pStyle w:val="9"/>
        <w:bidi w:val="0"/>
        <w:rPr>
          <w:rFonts w:hint="eastAsia"/>
          <w:color w:val="auto"/>
          <w:highlight w:val="none"/>
          <w:u w:val="none"/>
          <w:lang w:val="en-US" w:eastAsia="zh-CN"/>
        </w:rPr>
      </w:pPr>
    </w:p>
    <w:p>
      <w:pPr>
        <w:pStyle w:val="9"/>
        <w:bidi w:val="0"/>
        <w:rPr>
          <w:rFonts w:hint="eastAsia"/>
          <w:color w:val="auto"/>
          <w:highlight w:val="none"/>
          <w:u w:val="none"/>
          <w:lang w:eastAsia="zh-CN"/>
        </w:rPr>
        <w:sectPr>
          <w:pgSz w:w="11905" w:h="16838"/>
          <w:pgMar w:top="1701" w:right="1587" w:bottom="1701" w:left="1587"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color w:val="auto"/>
          <w:highlight w:val="none"/>
          <w:u w:val="none"/>
          <w:lang w:val="en-US" w:eastAsia="zh-CN"/>
        </w:rPr>
        <w:t xml:space="preserve"> </w:t>
      </w:r>
      <w:r>
        <w:rPr>
          <w:color w:val="auto"/>
          <w:highlight w:val="none"/>
          <w:u w:val="none"/>
        </w:rPr>
        <w:t xml:space="preserve">图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8.3</w:t>
      </w:r>
      <w:r>
        <w:rPr>
          <w:color w:val="auto"/>
          <w:highlight w:val="none"/>
          <w:u w:val="none"/>
        </w:rPr>
        <w:fldChar w:fldCharType="end"/>
      </w:r>
      <w:r>
        <w:rPr>
          <w:rFonts w:hint="eastAsia" w:eastAsia="宋体"/>
          <w:color w:val="auto"/>
          <w:highlight w:val="none"/>
          <w:u w:val="none"/>
          <w:lang w:eastAsia="zh-CN"/>
        </w:rPr>
        <w:t>-</w:t>
      </w:r>
      <w:r>
        <w:rPr>
          <w:color w:val="auto"/>
          <w:highlight w:val="none"/>
          <w:u w:val="none"/>
        </w:rPr>
        <w:fldChar w:fldCharType="begin"/>
      </w:r>
      <w:r>
        <w:rPr>
          <w:color w:val="auto"/>
          <w:highlight w:val="none"/>
          <w:u w:val="none"/>
        </w:rPr>
        <w:instrText xml:space="preserve"> SEQ 图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r>
        <w:rPr>
          <w:rFonts w:hint="eastAsia"/>
          <w:color w:val="auto"/>
          <w:highlight w:val="none"/>
          <w:u w:val="none"/>
          <w:lang w:eastAsia="zh-CN"/>
        </w:rPr>
        <w:t xml:space="preserve"> </w:t>
      </w:r>
      <w:r>
        <w:rPr>
          <w:rFonts w:hint="eastAsia"/>
          <w:color w:val="auto"/>
          <w:highlight w:val="none"/>
          <w:u w:val="none"/>
          <w:lang w:val="en-US" w:eastAsia="zh-CN"/>
        </w:rPr>
        <w:t xml:space="preserve"> </w:t>
      </w:r>
      <w:r>
        <w:rPr>
          <w:rFonts w:hint="eastAsia"/>
          <w:color w:val="auto"/>
          <w:highlight w:val="none"/>
          <w:u w:val="none"/>
          <w:lang w:eastAsia="zh-CN"/>
        </w:rPr>
        <w:t>全厂</w:t>
      </w:r>
      <w:r>
        <w:rPr>
          <w:rFonts w:hint="eastAsia"/>
          <w:color w:val="auto"/>
          <w:highlight w:val="none"/>
          <w:u w:val="none"/>
          <w:lang w:val="en-US" w:eastAsia="zh-CN"/>
        </w:rPr>
        <w:t>各项</w:t>
      </w:r>
      <w:r>
        <w:rPr>
          <w:rFonts w:hint="eastAsia"/>
          <w:color w:val="auto"/>
          <w:highlight w:val="none"/>
          <w:u w:val="none"/>
          <w:lang w:eastAsia="zh-CN"/>
        </w:rPr>
        <w:t>废水处理措施</w:t>
      </w:r>
      <w:r>
        <w:rPr>
          <w:rFonts w:hint="eastAsia"/>
          <w:color w:val="auto"/>
          <w:highlight w:val="none"/>
          <w:u w:val="none"/>
          <w:lang w:val="en-US" w:eastAsia="zh-CN"/>
        </w:rPr>
        <w:t>示意图</w:t>
      </w:r>
    </w:p>
    <w:p>
      <w:pPr>
        <w:pStyle w:val="4"/>
        <w:bidi w:val="0"/>
        <w:ind w:left="0" w:leftChars="0" w:firstLine="0" w:firstLineChars="0"/>
        <w:rPr>
          <w:rFonts w:hint="default" w:ascii="Times New Roman" w:hAnsi="Times New Roman" w:eastAsia="宋体" w:cs="Times New Roman"/>
          <w:b/>
          <w:bCs/>
          <w:color w:val="auto"/>
          <w:kern w:val="2"/>
          <w:sz w:val="24"/>
          <w:szCs w:val="32"/>
          <w:highlight w:val="none"/>
          <w:u w:val="none"/>
          <w:lang w:val="en-US" w:eastAsia="zh-CN" w:bidi="ar-SA"/>
        </w:rPr>
      </w:pPr>
      <w:r>
        <w:rPr>
          <w:rFonts w:hint="eastAsia" w:ascii="Times New Roman" w:hAnsi="Times New Roman" w:eastAsia="宋体" w:cs="Times New Roman"/>
          <w:b/>
          <w:bCs/>
          <w:color w:val="auto"/>
          <w:kern w:val="2"/>
          <w:sz w:val="24"/>
          <w:szCs w:val="32"/>
          <w:highlight w:val="none"/>
          <w:u w:val="none"/>
          <w:lang w:val="en-US" w:eastAsia="zh-CN" w:bidi="ar-SA"/>
        </w:rPr>
        <w:t>废水生化处理措施</w:t>
      </w:r>
    </w:p>
    <w:p>
      <w:pPr>
        <w:pStyle w:val="6"/>
        <w:bidi w:val="0"/>
        <w:rPr>
          <w:rFonts w:hint="default"/>
          <w:color w:val="auto"/>
          <w:lang w:val="en-US" w:eastAsia="zh-CN"/>
        </w:rPr>
      </w:pPr>
      <w:r>
        <w:rPr>
          <w:rFonts w:hint="eastAsia"/>
          <w:color w:val="auto"/>
          <w:lang w:val="en-US" w:eastAsia="zh-CN"/>
        </w:rPr>
        <w:t>现有污水站处理工艺</w:t>
      </w:r>
    </w:p>
    <w:p>
      <w:pPr>
        <w:numPr>
          <w:ilvl w:val="0"/>
          <w:numId w:val="0"/>
        </w:numPr>
        <w:bidi w:val="0"/>
        <w:adjustRightInd w:val="0"/>
        <w:snapToGrid w:val="0"/>
        <w:spacing w:line="480" w:lineRule="exact"/>
        <w:ind w:firstLine="480" w:firstLineChars="200"/>
        <w:rPr>
          <w:rFonts w:hint="default" w:eastAsia="宋体" w:cs="Times New Roman"/>
          <w:color w:val="auto"/>
          <w:sz w:val="24"/>
          <w:szCs w:val="24"/>
          <w:highlight w:val="none"/>
          <w:u w:val="none"/>
          <w:lang w:val="en-US" w:eastAsia="zh-CN"/>
        </w:rPr>
      </w:pPr>
      <w:r>
        <w:rPr>
          <w:rFonts w:hint="eastAsia" w:eastAsia="宋体" w:cs="Times New Roman"/>
          <w:color w:val="auto"/>
          <w:sz w:val="24"/>
          <w:szCs w:val="24"/>
          <w:highlight w:val="none"/>
          <w:u w:val="none"/>
          <w:lang w:val="en-US" w:eastAsia="zh-CN"/>
        </w:rPr>
        <w:t>现有污水站生化段流程为水解酸化—UASB—三级AO—高级氧化。</w:t>
      </w:r>
    </w:p>
    <w:p>
      <w:pPr>
        <w:numPr>
          <w:ilvl w:val="0"/>
          <w:numId w:val="0"/>
        </w:num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r>
        <w:rPr>
          <w:rFonts w:hint="eastAsia" w:eastAsia="宋体" w:cs="Times New Roman"/>
          <w:color w:val="auto"/>
          <w:sz w:val="24"/>
          <w:szCs w:val="24"/>
          <w:highlight w:val="none"/>
          <w:u w:val="none"/>
          <w:lang w:val="en-US" w:eastAsia="zh-CN"/>
        </w:rPr>
        <w:t>（1）水解酸化</w:t>
      </w:r>
    </w:p>
    <w:p>
      <w:pPr>
        <w:numPr>
          <w:ilvl w:val="0"/>
          <w:numId w:val="0"/>
        </w:numPr>
        <w:bidi w:val="0"/>
        <w:adjustRightInd w:val="0"/>
        <w:snapToGrid w:val="0"/>
        <w:spacing w:line="480" w:lineRule="exact"/>
        <w:ind w:left="0" w:leftChars="0" w:firstLine="480" w:firstLineChars="200"/>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水解处理方法是一种介于好氧和厌氧处理法之间的方法，是指有机物进入微生物细胞前、在胞外进行的生物化学反应，和其它工艺组合可以降低处理成本提高处理效率。其原理是通过水解菌、产酸菌释放的酶促使水中难以生物降解的大分子物质发生生物催化反应，具体表现为断链和水溶，微生物则利用水溶性底物完成胞内生化反应，同时排出各种有机酸。水解酸化过程能将废水中的非溶解态有机物截留并逐步转变为溶解态有机物，一些难于生物降解大分子物质被转化为易于降解的小分子物质如有机酸等，从而使废水的可生化性和降解速度大幅度提高，以利于后续好氧生物处理。</w:t>
      </w:r>
    </w:p>
    <w:p>
      <w:pPr>
        <w:adjustRightInd w:val="0"/>
        <w:snapToGrid w:val="0"/>
        <w:spacing w:line="480" w:lineRule="exact"/>
        <w:ind w:firstLine="480" w:firstLineChars="200"/>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rPr>
        <w:t>（2）</w:t>
      </w:r>
      <w:r>
        <w:rPr>
          <w:rFonts w:hint="default" w:ascii="Times New Roman" w:hAnsi="Times New Roman" w:eastAsia="宋体" w:cs="Times New Roman"/>
          <w:color w:val="auto"/>
          <w:kern w:val="0"/>
          <w:sz w:val="24"/>
          <w:szCs w:val="24"/>
          <w:highlight w:val="none"/>
          <w:u w:val="none"/>
          <w:lang w:val="en-US" w:eastAsia="zh-CN"/>
        </w:rPr>
        <w:t>UASB</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全名上流式厌氧污泥床反应器，简称UASB，是一种处理污水的厌氧生物方法，污水自下而上通过UASB。UASB反应器中的厌氧反应过程与其他厌氧生物处理工艺一样，包括水解，酸化，产乙酸和产甲烷等。在厌氧消化反应过程中参与反应的厌氧微生物主要有以下几种：①水解—发酵</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酸化</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细菌，它们将复杂结构的底物水解发酵成各种有机酸，乙醇，糖类，氢和二氧化碳；②乙酸化细菌，它们将第一步水解发酵的产物转化为氢、乙酸和二氧化碳；③产甲烷菌，它们将简单的底物如乙酸、甲醇和二氧化碳、氢等转化为甲烷。反应器底部有一个高浓度、高活性的污泥床，污水中的大部分有机污染物在此间经过厌氧发酵降解为甲烷和二氧化碳。反应器上部有设有三相分离器，用以分离消化气、消化液和污泥颗粒。消化气自反应器顶部导出；污泥颗粒自动滑落沉降至反应器底部的污泥床；消化液从澄清区出水。UASB负荷能力很大，适用于高浓度有机废水的处理。运行良好的UASB有很高的有机污染物去除率，不需要搅拌，能适应较大幅度的负荷冲击、温度和pH变化。</w:t>
      </w:r>
    </w:p>
    <w:p>
      <w:pPr>
        <w:bidi w:val="0"/>
        <w:adjustRightInd w:val="0"/>
        <w:snapToGrid w:val="0"/>
        <w:spacing w:line="480" w:lineRule="exact"/>
        <w:ind w:firstLine="480" w:firstLineChars="200"/>
        <w:rPr>
          <w:rFonts w:hint="default" w:ascii="Times New Roman" w:hAnsi="Times New Roman" w:eastAsia="宋体" w:cs="Times New Roman"/>
          <w:color w:val="auto"/>
          <w:kern w:val="0"/>
          <w:sz w:val="24"/>
          <w:szCs w:val="24"/>
          <w:highlight w:val="none"/>
          <w:u w:val="none"/>
          <w:lang w:val="en-US"/>
        </w:rPr>
      </w:pPr>
      <w:r>
        <w:rPr>
          <w:rFonts w:hint="default" w:ascii="Times New Roman" w:hAnsi="Times New Roman" w:eastAsia="宋体" w:cs="Times New Roman"/>
          <w:color w:val="auto"/>
          <w:sz w:val="24"/>
          <w:szCs w:val="24"/>
          <w:highlight w:val="none"/>
          <w:u w:val="none"/>
          <w:lang w:val="en-US" w:eastAsia="zh-CN"/>
        </w:rPr>
        <w:t>UASB对各类废水均有较好的适应性，容积负荷率高，废水在反应器内的水力停留时间较短，因此所需池容大大缩小。设备简单，运行方便，勿需设沉淀池和污泥回流装置，不需要充填填料，也不需在反应区内设机械搅拌装置，造价相对较低，便于管理，且不存在堵塞问题。通过UASB预处理可降低污水有机负荷，将废水中难降解的聚合物与不溶解的颗粒分解为可溶于水的小分子有机物，利于后续生化处理。但UASB不能去除废水中的氮和磷，将废水中有机氮分解为氨氮，导致氨氮浓度升高。</w:t>
      </w:r>
    </w:p>
    <w:p>
      <w:pPr>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（3）</w:t>
      </w:r>
      <w:r>
        <w:rPr>
          <w:rFonts w:hint="eastAsia" w:eastAsia="宋体" w:cs="Times New Roman"/>
          <w:color w:val="auto"/>
          <w:sz w:val="24"/>
          <w:szCs w:val="24"/>
          <w:highlight w:val="none"/>
          <w:u w:val="none"/>
          <w:lang w:val="en-US" w:eastAsia="zh-CN"/>
        </w:rPr>
        <w:t>三级</w:t>
      </w:r>
      <w:r>
        <w:rPr>
          <w:rFonts w:hint="default" w:ascii="Times New Roman" w:hAnsi="Times New Roman" w:eastAsia="宋体" w:cs="Times New Roman"/>
          <w:color w:val="auto"/>
          <w:sz w:val="24"/>
          <w:szCs w:val="24"/>
          <w:highlight w:val="none"/>
          <w:u w:val="none"/>
          <w:lang w:val="en-US" w:eastAsia="zh-CN"/>
        </w:rPr>
        <w:t>AO</w:t>
      </w:r>
    </w:p>
    <w:p>
      <w:pPr>
        <w:ind w:firstLine="480"/>
        <w:rPr>
          <w:color w:val="auto"/>
          <w:highlight w:val="none"/>
          <w:u w:val="none"/>
        </w:rPr>
      </w:pPr>
      <w:r>
        <w:rPr>
          <w:color w:val="auto"/>
          <w:highlight w:val="none"/>
          <w:u w:val="none"/>
        </w:rPr>
        <w:t>A/O是由厌氧和好氧两部分组成的污水处理系统，主要作用为去除COD、氨氮等，并具有一定的脱磷作用。本项目采用三级A/O系统。A/O池工艺基本原理如下：废水经过前期的预处理后，首先进入缺氧池，通过反硝化菌作用将废水中的硝态氮转化为氮气（即反硝化反应），再进入好氧池，通过硝化菌和亚硝化菌的作用进行硝化反应，将水中的氨氮转化为硝酸盐，达到去除氨氮的目的。该工艺中缺氧段的DO（溶解氧）不大于0.5mg/L，保证反硝化反应的正常进行；好氧段的DO在2～4mg/L范围内，过程中使用鼓风管道曝气。在缺氧段中异养菌可以将废水中的大分子有机物、不溶性的有机物分解为小分子有机物和可溶性有机物，提高废水的可生化性，当废水进入好氧段时好养污泥可以充分利用污水中的有机物，因此提高反应器的处理效果也提高了氧的利用率。在出水过程中为了保证反硝化反应的有效进行，会将混合液回流补充在缺氧阶段所消耗的氨化菌，保证后续硝化反应的有效运行。</w:t>
      </w:r>
    </w:p>
    <w:p>
      <w:pPr>
        <w:numPr>
          <w:ilvl w:val="0"/>
          <w:numId w:val="0"/>
        </w:numPr>
        <w:bidi w:val="0"/>
        <w:ind w:left="0" w:leftChars="0" w:firstLine="480" w:firstLineChars="200"/>
        <w:rPr>
          <w:rFonts w:hint="eastAsia"/>
          <w:color w:val="auto"/>
          <w:highlight w:val="none"/>
          <w:u w:val="none"/>
          <w:lang w:val="en-US" w:eastAsia="zh-CN"/>
        </w:rPr>
      </w:pPr>
      <w:bookmarkStart w:id="27" w:name="_Toc24530"/>
      <w:r>
        <w:rPr>
          <w:rFonts w:hint="eastAsia"/>
          <w:color w:val="auto"/>
          <w:highlight w:val="none"/>
          <w:u w:val="none"/>
          <w:lang w:val="en-US" w:eastAsia="zh-CN"/>
        </w:rPr>
        <w:t>（4）高级氧化</w:t>
      </w:r>
    </w:p>
    <w:p>
      <w:pPr>
        <w:bidi w:val="0"/>
        <w:rPr>
          <w:rFonts w:hint="default"/>
          <w:color w:val="auto"/>
          <w:highlight w:val="none"/>
          <w:u w:val="none"/>
          <w:lang w:val="en-US" w:eastAsia="zh-CN"/>
        </w:rPr>
      </w:pPr>
      <w:r>
        <w:rPr>
          <w:rFonts w:hint="eastAsia"/>
          <w:color w:val="auto"/>
          <w:highlight w:val="none"/>
          <w:u w:val="none"/>
          <w:lang w:val="en-US" w:eastAsia="zh-CN"/>
        </w:rPr>
        <w:t>项目污水厂采用臭氧氧化进一步对废水进行消毒。</w:t>
      </w:r>
      <w:r>
        <w:rPr>
          <w:rFonts w:hint="default"/>
          <w:color w:val="auto"/>
          <w:highlight w:val="none"/>
          <w:u w:val="none"/>
          <w:lang w:val="en-US" w:eastAsia="zh-CN"/>
        </w:rPr>
        <w:t>臭氧被认为是一种有效的氧化剂和消毒剂，具有很强的氧化能力，采用臭氧氧化技术处理有机废水，具有反应速度快、无二次污染等优点。在臭氧的氧化反应过程中，臭氧的氧化分解反应是一种自由基反应，其中O</w:t>
      </w:r>
      <w:r>
        <w:rPr>
          <w:rFonts w:hint="default"/>
          <w:color w:val="auto"/>
          <w:highlight w:val="none"/>
          <w:u w:val="none"/>
          <w:vertAlign w:val="subscript"/>
          <w:lang w:val="en-US" w:eastAsia="zh-CN"/>
        </w:rPr>
        <w:t>3</w:t>
      </w:r>
      <w:r>
        <w:rPr>
          <w:rFonts w:hint="default"/>
          <w:color w:val="auto"/>
          <w:highlight w:val="none"/>
          <w:u w:val="none"/>
          <w:lang w:val="en-US" w:eastAsia="zh-CN"/>
        </w:rPr>
        <w:t>与OH</w:t>
      </w:r>
      <w:r>
        <w:rPr>
          <w:rFonts w:hint="default"/>
          <w:color w:val="auto"/>
          <w:highlight w:val="none"/>
          <w:u w:val="none"/>
          <w:vertAlign w:val="superscript"/>
          <w:lang w:val="en-US" w:eastAsia="zh-CN"/>
        </w:rPr>
        <w:t>-</w:t>
      </w:r>
      <w:r>
        <w:rPr>
          <w:rFonts w:hint="default"/>
          <w:color w:val="auto"/>
          <w:highlight w:val="none"/>
          <w:u w:val="none"/>
          <w:lang w:val="en-US" w:eastAsia="zh-CN"/>
        </w:rPr>
        <w:t>经过一连串反应生成O</w:t>
      </w:r>
      <w:r>
        <w:rPr>
          <w:rFonts w:hint="default"/>
          <w:color w:val="auto"/>
          <w:highlight w:val="none"/>
          <w:u w:val="none"/>
          <w:vertAlign w:val="subscript"/>
          <w:lang w:val="en-US" w:eastAsia="zh-CN"/>
        </w:rPr>
        <w:t>2</w:t>
      </w:r>
      <w:r>
        <w:rPr>
          <w:rFonts w:hint="default"/>
          <w:color w:val="auto"/>
          <w:highlight w:val="none"/>
          <w:u w:val="none"/>
          <w:lang w:val="en-US" w:eastAsia="zh-CN"/>
        </w:rPr>
        <w:t>和自由基·OH，而·OH比O</w:t>
      </w:r>
      <w:r>
        <w:rPr>
          <w:rFonts w:hint="default"/>
          <w:color w:val="auto"/>
          <w:highlight w:val="none"/>
          <w:u w:val="none"/>
          <w:vertAlign w:val="subscript"/>
          <w:lang w:val="en-US" w:eastAsia="zh-CN"/>
        </w:rPr>
        <w:t>3</w:t>
      </w:r>
      <w:r>
        <w:rPr>
          <w:rFonts w:hint="default"/>
          <w:color w:val="auto"/>
          <w:highlight w:val="none"/>
          <w:u w:val="none"/>
          <w:lang w:val="en-US" w:eastAsia="zh-CN"/>
        </w:rPr>
        <w:t>的氧化能力更强，能氧化分解更多的有机物。</w:t>
      </w:r>
    </w:p>
    <w:p>
      <w:pPr>
        <w:bidi w:val="0"/>
        <w:rPr>
          <w:rFonts w:hint="default"/>
          <w:color w:val="auto"/>
          <w:lang w:val="en-US" w:eastAsia="zh-CN"/>
        </w:rPr>
      </w:pPr>
    </w:p>
    <w:p>
      <w:pPr>
        <w:pStyle w:val="6"/>
        <w:bidi w:val="0"/>
        <w:rPr>
          <w:rFonts w:hint="default"/>
          <w:color w:val="auto"/>
          <w:lang w:val="en-US" w:eastAsia="zh-CN"/>
        </w:rPr>
      </w:pPr>
      <w:r>
        <w:rPr>
          <w:rFonts w:hint="eastAsia"/>
          <w:color w:val="auto"/>
          <w:lang w:val="en-US" w:eastAsia="zh-CN"/>
        </w:rPr>
        <w:t>依托现有污水站的可行性</w:t>
      </w:r>
    </w:p>
    <w:p>
      <w:pPr>
        <w:bidi w:val="0"/>
        <w:rPr>
          <w:rFonts w:hint="eastAsia" w:eastAsia="宋体" w:cs="Times New Roman"/>
          <w:color w:val="auto"/>
          <w:sz w:val="24"/>
          <w:szCs w:val="24"/>
          <w:highlight w:val="none"/>
          <w:u w:val="single"/>
          <w:lang w:val="en-US" w:eastAsia="zh-CN"/>
        </w:rPr>
      </w:pPr>
      <w:r>
        <w:rPr>
          <w:rFonts w:hint="eastAsia" w:eastAsia="宋体" w:cs="Times New Roman"/>
          <w:color w:val="auto"/>
          <w:sz w:val="24"/>
          <w:szCs w:val="24"/>
          <w:highlight w:val="none"/>
          <w:u w:val="single"/>
          <w:lang w:val="en-US" w:eastAsia="zh-CN"/>
        </w:rPr>
        <w:t>本次工程依托现有已建的综合废水处理站进行废水的生化处理。现有工程废水生化处理能力1500m</w:t>
      </w:r>
      <w:r>
        <w:rPr>
          <w:rFonts w:hint="eastAsia" w:eastAsia="宋体" w:cs="Times New Roman"/>
          <w:color w:val="auto"/>
          <w:sz w:val="24"/>
          <w:szCs w:val="24"/>
          <w:highlight w:val="none"/>
          <w:u w:val="single"/>
          <w:vertAlign w:val="superscript"/>
          <w:lang w:val="en-US" w:eastAsia="zh-CN"/>
        </w:rPr>
        <w:t>3</w:t>
      </w:r>
      <w:r>
        <w:rPr>
          <w:rFonts w:hint="eastAsia" w:eastAsia="宋体" w:cs="Times New Roman"/>
          <w:color w:val="auto"/>
          <w:sz w:val="24"/>
          <w:szCs w:val="24"/>
          <w:highlight w:val="none"/>
          <w:u w:val="single"/>
          <w:lang w:val="en-US" w:eastAsia="zh-CN"/>
        </w:rPr>
        <w:t>/d，现有工程需进行生化处理的最大废水量为</w:t>
      </w:r>
      <w:r>
        <w:rPr>
          <w:rFonts w:hint="eastAsia" w:eastAsia="宋体"/>
          <w:color w:val="auto"/>
          <w:highlight w:val="none"/>
          <w:u w:val="single"/>
          <w:lang w:val="en-US" w:eastAsia="zh-CN"/>
        </w:rPr>
        <w:t>796</w:t>
      </w:r>
      <w:r>
        <w:rPr>
          <w:rFonts w:hint="eastAsia" w:eastAsia="宋体" w:cs="Times New Roman"/>
          <w:color w:val="auto"/>
          <w:sz w:val="24"/>
          <w:szCs w:val="24"/>
          <w:highlight w:val="none"/>
          <w:u w:val="single"/>
          <w:lang w:val="en-US" w:eastAsia="zh-CN"/>
        </w:rPr>
        <w:t>m</w:t>
      </w:r>
      <w:r>
        <w:rPr>
          <w:rFonts w:hint="eastAsia" w:eastAsia="宋体" w:cs="Times New Roman"/>
          <w:color w:val="auto"/>
          <w:sz w:val="24"/>
          <w:szCs w:val="24"/>
          <w:highlight w:val="none"/>
          <w:u w:val="single"/>
          <w:vertAlign w:val="superscript"/>
          <w:lang w:val="en-US" w:eastAsia="zh-CN"/>
        </w:rPr>
        <w:t>3</w:t>
      </w:r>
      <w:r>
        <w:rPr>
          <w:rFonts w:hint="eastAsia" w:eastAsia="宋体" w:cs="Times New Roman"/>
          <w:color w:val="auto"/>
          <w:sz w:val="24"/>
          <w:szCs w:val="24"/>
          <w:highlight w:val="none"/>
          <w:u w:val="single"/>
          <w:lang w:val="en-US" w:eastAsia="zh-CN"/>
        </w:rPr>
        <w:t>/d，改建后全厂需进行生化处理的废水量为1143m</w:t>
      </w:r>
      <w:r>
        <w:rPr>
          <w:rFonts w:hint="eastAsia" w:eastAsia="宋体" w:cs="Times New Roman"/>
          <w:color w:val="auto"/>
          <w:sz w:val="24"/>
          <w:szCs w:val="24"/>
          <w:highlight w:val="none"/>
          <w:u w:val="single"/>
          <w:vertAlign w:val="superscript"/>
          <w:lang w:val="en-US" w:eastAsia="zh-CN"/>
        </w:rPr>
        <w:t>3</w:t>
      </w:r>
      <w:r>
        <w:rPr>
          <w:rFonts w:hint="eastAsia" w:eastAsia="宋体" w:cs="Times New Roman"/>
          <w:color w:val="auto"/>
          <w:sz w:val="24"/>
          <w:szCs w:val="24"/>
          <w:highlight w:val="none"/>
          <w:u w:val="single"/>
          <w:lang w:val="en-US" w:eastAsia="zh-CN"/>
        </w:rPr>
        <w:t>/d。现有污水站的水解酸化有2个，UASB池有4个，A/O池利用风机的变频调节风量，从而调节好氧池含氧量，污泥回流是每天定时回流2h。水解酸化停留时间在2天，UASB停留时间5天，A/O停留时间4天。若水量增大则逐步加大污水池的负荷，根据水量开启全部水解酸化池与UASB池，调节风机变频增加风量。通过调节污水站运行参数可使得污水站在较佳的工况下运行。</w:t>
      </w:r>
    </w:p>
    <w:p>
      <w:pPr>
        <w:bidi w:val="0"/>
        <w:rPr>
          <w:rFonts w:hint="default"/>
          <w:color w:val="auto"/>
          <w:lang w:val="en-US" w:eastAsia="zh-CN"/>
        </w:rPr>
      </w:pPr>
      <w:r>
        <w:rPr>
          <w:rFonts w:hint="eastAsia"/>
          <w:color w:val="auto"/>
          <w:u w:val="single"/>
          <w:lang w:val="en-US" w:eastAsia="zh-CN"/>
        </w:rPr>
        <w:t>改建工程与现有工程虽然产品种类不同，</w:t>
      </w:r>
      <w:r>
        <w:rPr>
          <w:rFonts w:hint="default"/>
          <w:color w:val="auto"/>
          <w:u w:val="single"/>
          <w:lang w:val="en-US" w:eastAsia="zh-CN"/>
        </w:rPr>
        <w:t>但其工艺原理与工艺过程相似，工艺过程主要包括化学合成、萃取提纯、产品分离、溶剂回收等；其废水性质类似，工艺废水通常为高盐、高AOX、高浓度有机废水，通过蒸发除盐预处理后，可去除大部分盐类、</w:t>
      </w:r>
      <w:r>
        <w:rPr>
          <w:rFonts w:hint="eastAsia"/>
          <w:color w:val="auto"/>
          <w:u w:val="single"/>
          <w:lang w:val="en-US" w:eastAsia="zh-CN"/>
        </w:rPr>
        <w:t>高沸点溶剂、</w:t>
      </w:r>
      <w:r>
        <w:rPr>
          <w:rFonts w:hint="default"/>
          <w:color w:val="auto"/>
          <w:u w:val="single"/>
          <w:lang w:val="en-US" w:eastAsia="zh-CN"/>
        </w:rPr>
        <w:t>大分子有机化合物与残留的药物成分，再经铁碳微电解等措施预处理后可进一步将大分子化合物裂解，进入综合处理站生化段的废水污染物主要为溶于废水中的各类溶剂。本次改建工程所用溶剂包括甲醇、乙醇、EA、甲苯、二氯甲烷、叔丁醇、乙腈、丙酮，</w:t>
      </w:r>
      <w:r>
        <w:rPr>
          <w:rFonts w:hint="eastAsia"/>
          <w:color w:val="auto"/>
          <w:u w:val="single"/>
          <w:lang w:val="en-US" w:eastAsia="zh-CN"/>
        </w:rPr>
        <w:t>现有工程所用溶剂为氯仿、EA（乙酸乙酯）、氨水、乙醇、二甲苯、二氯甲烷、叔丁醇、乙腈、甲醇、四氢呋喃、DMF，废水特征类似。根据预测结果，改工程废水COD浓度（9009mg/L）与现有工程（8815mg/L）接近，现有工程废水可稳定达标排放，因此改建工程依托现有污水站可行。</w:t>
      </w:r>
    </w:p>
    <w:p>
      <w:pPr>
        <w:pStyle w:val="4"/>
        <w:bidi w:val="0"/>
        <w:rPr>
          <w:rFonts w:hint="default"/>
          <w:color w:val="auto"/>
          <w:highlight w:val="none"/>
          <w:u w:val="none"/>
          <w:lang w:val="en-US" w:eastAsia="zh-CN"/>
        </w:rPr>
      </w:pPr>
      <w:r>
        <w:rPr>
          <w:rFonts w:hint="default"/>
          <w:color w:val="auto"/>
          <w:highlight w:val="none"/>
          <w:u w:val="none"/>
          <w:lang w:val="en-US" w:eastAsia="zh-CN"/>
        </w:rPr>
        <w:t>废水处理效果</w:t>
      </w:r>
      <w:bookmarkEnd w:id="27"/>
    </w:p>
    <w:p>
      <w:pPr>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项目生产废水与生活污水经污水站处理后，与清净下水一同经总排口排放，各处理单元处理效果及总排口排放情况见下表：</w:t>
      </w:r>
    </w:p>
    <w:p>
      <w:pPr>
        <w:keepNext/>
        <w:keepLines/>
        <w:widowControl w:val="0"/>
        <w:bidi w:val="0"/>
        <w:adjustRightInd w:val="0"/>
        <w:snapToGrid w:val="0"/>
        <w:spacing w:line="480" w:lineRule="exact"/>
        <w:ind w:firstLine="482" w:firstLineChars="200"/>
        <w:jc w:val="both"/>
        <w:outlineLvl w:val="9"/>
        <w:rPr>
          <w:rFonts w:hint="default" w:ascii="Times New Roman" w:hAnsi="Times New Roman" w:eastAsia="宋体" w:cs="Times New Roman"/>
          <w:b/>
          <w:bCs/>
          <w:color w:val="auto"/>
          <w:kern w:val="2"/>
          <w:sz w:val="24"/>
          <w:szCs w:val="24"/>
          <w:highlight w:val="none"/>
          <w:u w:val="none"/>
          <w:lang w:val="en-US" w:eastAsia="zh-CN" w:bidi="ar-SA"/>
        </w:rPr>
        <w:sectPr>
          <w:pgSz w:w="11905" w:h="16838"/>
          <w:pgMar w:top="1701" w:right="1587" w:bottom="1701" w:left="2067"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9"/>
        <w:bidi w:val="0"/>
        <w:rPr>
          <w:rFonts w:hint="default" w:ascii="Times New Roman" w:hAnsi="Times New Roman" w:eastAsia="宋体" w:cs="Times New Roman"/>
          <w:b/>
          <w:bCs/>
          <w:color w:val="auto"/>
          <w:kern w:val="2"/>
          <w:sz w:val="24"/>
          <w:szCs w:val="24"/>
          <w:highlight w:val="none"/>
          <w:u w:val="single"/>
          <w:lang w:val="en-US" w:eastAsia="zh-CN" w:bidi="ar-SA"/>
        </w:rPr>
      </w:pPr>
      <w:r>
        <w:rPr>
          <w:rFonts w:hint="eastAsia" w:eastAsia="宋体" w:cs="Times New Roman"/>
          <w:b/>
          <w:bCs/>
          <w:color w:val="auto"/>
          <w:kern w:val="2"/>
          <w:sz w:val="24"/>
          <w:szCs w:val="24"/>
          <w:highlight w:val="none"/>
          <w:u w:val="single"/>
          <w:lang w:val="en-US" w:eastAsia="zh-CN" w:bidi="ar-SA"/>
        </w:rPr>
        <w:t xml:space="preserve"> </w:t>
      </w:r>
      <w:r>
        <w:rPr>
          <w:color w:val="auto"/>
          <w:highlight w:val="none"/>
          <w:u w:val="single"/>
        </w:rPr>
        <w:t xml:space="preserve">表 </w:t>
      </w:r>
      <w:r>
        <w:rPr>
          <w:color w:val="auto"/>
          <w:highlight w:val="none"/>
          <w:u w:val="single"/>
        </w:rPr>
        <w:fldChar w:fldCharType="begin"/>
      </w:r>
      <w:r>
        <w:rPr>
          <w:color w:val="auto"/>
          <w:highlight w:val="none"/>
          <w:u w:val="single"/>
        </w:rPr>
        <w:instrText xml:space="preserve"> STYLEREF 2 \s </w:instrText>
      </w:r>
      <w:r>
        <w:rPr>
          <w:color w:val="auto"/>
          <w:highlight w:val="none"/>
          <w:u w:val="single"/>
        </w:rPr>
        <w:fldChar w:fldCharType="separate"/>
      </w:r>
      <w:r>
        <w:rPr>
          <w:color w:val="auto"/>
          <w:highlight w:val="none"/>
          <w:u w:val="single"/>
        </w:rPr>
        <w:t>8.3</w:t>
      </w:r>
      <w:r>
        <w:rPr>
          <w:color w:val="auto"/>
          <w:highlight w:val="none"/>
          <w:u w:val="single"/>
        </w:rPr>
        <w:fldChar w:fldCharType="end"/>
      </w:r>
      <w:r>
        <w:rPr>
          <w:rFonts w:hint="eastAsia"/>
          <w:color w:val="auto"/>
          <w:highlight w:val="none"/>
          <w:u w:val="single"/>
          <w:lang w:eastAsia="zh-CN"/>
        </w:rPr>
        <w:t>-</w:t>
      </w:r>
      <w:r>
        <w:rPr>
          <w:color w:val="auto"/>
          <w:highlight w:val="none"/>
          <w:u w:val="single"/>
        </w:rPr>
        <w:fldChar w:fldCharType="begin"/>
      </w:r>
      <w:r>
        <w:rPr>
          <w:color w:val="auto"/>
          <w:highlight w:val="none"/>
          <w:u w:val="single"/>
        </w:rPr>
        <w:instrText xml:space="preserve"> SEQ 表 \* ARABIC \s 2 </w:instrText>
      </w:r>
      <w:r>
        <w:rPr>
          <w:color w:val="auto"/>
          <w:highlight w:val="none"/>
          <w:u w:val="single"/>
        </w:rPr>
        <w:fldChar w:fldCharType="separate"/>
      </w:r>
      <w:r>
        <w:rPr>
          <w:color w:val="auto"/>
          <w:highlight w:val="none"/>
          <w:u w:val="single"/>
        </w:rPr>
        <w:t>6</w:t>
      </w:r>
      <w:r>
        <w:rPr>
          <w:color w:val="auto"/>
          <w:highlight w:val="none"/>
          <w:u w:val="single"/>
        </w:rPr>
        <w:fldChar w:fldCharType="end"/>
      </w:r>
      <w:r>
        <w:rPr>
          <w:rFonts w:hint="eastAsia" w:eastAsia="宋体" w:cs="Times New Roman"/>
          <w:b/>
          <w:bCs/>
          <w:color w:val="auto"/>
          <w:kern w:val="2"/>
          <w:sz w:val="24"/>
          <w:szCs w:val="24"/>
          <w:highlight w:val="none"/>
          <w:u w:val="single"/>
          <w:lang w:val="en-US" w:eastAsia="zh-CN" w:bidi="ar-SA"/>
        </w:rPr>
        <w:t xml:space="preserve">  </w:t>
      </w:r>
      <w:r>
        <w:rPr>
          <w:rFonts w:hint="default" w:ascii="Times New Roman" w:hAnsi="Times New Roman" w:eastAsia="宋体" w:cs="Times New Roman"/>
          <w:b/>
          <w:bCs/>
          <w:color w:val="auto"/>
          <w:kern w:val="2"/>
          <w:sz w:val="24"/>
          <w:szCs w:val="24"/>
          <w:highlight w:val="none"/>
          <w:u w:val="single"/>
          <w:lang w:val="en-US" w:eastAsia="zh-CN" w:bidi="ar-SA"/>
        </w:rPr>
        <w:t>项目污水站各处理单元处理效果及总排口排放情况一览表</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1777"/>
        <w:gridCol w:w="844"/>
        <w:gridCol w:w="720"/>
        <w:gridCol w:w="1151"/>
        <w:gridCol w:w="1170"/>
        <w:gridCol w:w="1197"/>
        <w:gridCol w:w="858"/>
        <w:gridCol w:w="734"/>
        <w:gridCol w:w="842"/>
        <w:gridCol w:w="980"/>
        <w:gridCol w:w="777"/>
        <w:gridCol w:w="831"/>
        <w:gridCol w:w="777"/>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5" w:hRule="atLeast"/>
        </w:trPr>
        <w:tc>
          <w:tcPr>
            <w:tcW w:w="66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项目</w:t>
            </w:r>
          </w:p>
        </w:tc>
        <w:tc>
          <w:tcPr>
            <w:tcW w:w="30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废水量m</w:t>
            </w:r>
            <w:r>
              <w:rPr>
                <w:rFonts w:hint="default" w:ascii="Times New Roman" w:hAnsi="Times New Roman" w:eastAsia="宋体" w:cs="Times New Roman"/>
                <w:color w:val="auto"/>
                <w:kern w:val="2"/>
                <w:sz w:val="21"/>
                <w:szCs w:val="20"/>
                <w:highlight w:val="none"/>
                <w:u w:val="single"/>
                <w:vertAlign w:val="superscript"/>
                <w:lang w:val="en-US" w:eastAsia="zh-CN" w:bidi="ar-SA"/>
              </w:rPr>
              <w:t>3</w:t>
            </w:r>
            <w:r>
              <w:rPr>
                <w:rFonts w:hint="default" w:ascii="Times New Roman" w:hAnsi="Times New Roman" w:eastAsia="宋体" w:cs="Times New Roman"/>
                <w:color w:val="auto"/>
                <w:kern w:val="2"/>
                <w:sz w:val="21"/>
                <w:szCs w:val="20"/>
                <w:highlight w:val="none"/>
                <w:u w:val="single"/>
                <w:lang w:val="en-US" w:eastAsia="zh-CN" w:bidi="ar-SA"/>
              </w:rPr>
              <w:t>/a</w:t>
            </w:r>
          </w:p>
        </w:tc>
        <w:tc>
          <w:tcPr>
            <w:tcW w:w="26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pH(无量纲)</w:t>
            </w:r>
          </w:p>
        </w:tc>
        <w:tc>
          <w:tcPr>
            <w:tcW w:w="42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色度</w:t>
            </w:r>
          </w:p>
        </w:tc>
        <w:tc>
          <w:tcPr>
            <w:tcW w:w="43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化学需氧量</w:t>
            </w:r>
          </w:p>
        </w:tc>
        <w:tc>
          <w:tcPr>
            <w:tcW w:w="44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五日生化需氧量</w:t>
            </w:r>
          </w:p>
        </w:tc>
        <w:tc>
          <w:tcPr>
            <w:tcW w:w="31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氨氮</w:t>
            </w:r>
          </w:p>
        </w:tc>
        <w:tc>
          <w:tcPr>
            <w:tcW w:w="27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总氮</w:t>
            </w:r>
          </w:p>
        </w:tc>
        <w:tc>
          <w:tcPr>
            <w:tcW w:w="31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悬浮物</w:t>
            </w:r>
          </w:p>
        </w:tc>
        <w:tc>
          <w:tcPr>
            <w:tcW w:w="364"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二氯甲烷</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苯胺类</w:t>
            </w:r>
          </w:p>
        </w:tc>
        <w:tc>
          <w:tcPr>
            <w:tcW w:w="30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硝基苯类</w:t>
            </w:r>
          </w:p>
        </w:tc>
        <w:tc>
          <w:tcPr>
            <w:tcW w:w="289"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氰化物</w:t>
            </w:r>
          </w:p>
        </w:tc>
        <w:tc>
          <w:tcPr>
            <w:tcW w:w="30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TOC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8" w:hRule="atLeast"/>
        </w:trPr>
        <w:tc>
          <w:tcPr>
            <w:tcW w:w="66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污水处理系统</w:t>
            </w:r>
            <w:r>
              <w:rPr>
                <w:rFonts w:hint="default" w:ascii="Times New Roman" w:hAnsi="Times New Roman" w:eastAsia="宋体" w:cs="Times New Roman"/>
                <w:color w:val="auto"/>
                <w:kern w:val="2"/>
                <w:sz w:val="21"/>
                <w:szCs w:val="20"/>
                <w:highlight w:val="none"/>
                <w:u w:val="single"/>
                <w:lang w:val="en-US" w:eastAsia="zh-CN" w:bidi="ar-SA"/>
              </w:rPr>
              <w:t>进口</w:t>
            </w:r>
          </w:p>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w:t>
            </w:r>
            <w:r>
              <w:rPr>
                <w:rFonts w:hint="eastAsia" w:ascii="Times New Roman" w:hAnsi="Times New Roman" w:eastAsia="宋体" w:cs="Times New Roman"/>
                <w:color w:val="auto"/>
                <w:kern w:val="2"/>
                <w:sz w:val="21"/>
                <w:szCs w:val="20"/>
                <w:highlight w:val="none"/>
                <w:u w:val="single"/>
                <w:lang w:val="en-US" w:eastAsia="zh-CN" w:bidi="ar-SA"/>
              </w:rPr>
              <w:t>改建</w:t>
            </w:r>
            <w:r>
              <w:rPr>
                <w:rFonts w:hint="default" w:ascii="Times New Roman" w:hAnsi="Times New Roman" w:eastAsia="宋体" w:cs="Times New Roman"/>
                <w:color w:val="auto"/>
                <w:kern w:val="2"/>
                <w:sz w:val="21"/>
                <w:szCs w:val="20"/>
                <w:highlight w:val="none"/>
                <w:u w:val="single"/>
                <w:lang w:val="en-US" w:eastAsia="zh-CN" w:bidi="ar-SA"/>
              </w:rPr>
              <w:t>+现有</w:t>
            </w:r>
            <w:r>
              <w:rPr>
                <w:rFonts w:hint="default" w:ascii="Times New Roman" w:hAnsi="Times New Roman" w:eastAsia="宋体" w:cs="Times New Roman"/>
                <w:color w:val="auto"/>
                <w:kern w:val="2"/>
                <w:sz w:val="21"/>
                <w:szCs w:val="20"/>
                <w:highlight w:val="none"/>
                <w:u w:val="single"/>
                <w:vertAlign w:val="superscript"/>
                <w:lang w:val="en-US" w:eastAsia="zh-CN" w:bidi="ar-SA"/>
              </w:rPr>
              <w:t>1</w:t>
            </w:r>
            <w:r>
              <w:rPr>
                <w:rFonts w:hint="default" w:ascii="Times New Roman" w:hAnsi="Times New Roman" w:eastAsia="宋体" w:cs="Times New Roman"/>
                <w:color w:val="auto"/>
                <w:kern w:val="2"/>
                <w:sz w:val="21"/>
                <w:szCs w:val="20"/>
                <w:highlight w:val="none"/>
                <w:u w:val="single"/>
                <w:lang w:val="en-US" w:eastAsia="zh-CN" w:bidi="ar-SA"/>
              </w:rPr>
              <w:t>）</w:t>
            </w:r>
          </w:p>
        </w:tc>
        <w:tc>
          <w:tcPr>
            <w:tcW w:w="30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377175.5</w:t>
            </w:r>
          </w:p>
        </w:tc>
        <w:tc>
          <w:tcPr>
            <w:tcW w:w="26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6</w:t>
            </w:r>
            <w:r>
              <w:rPr>
                <w:rFonts w:hint="eastAsia" w:ascii="Times New Roman" w:hAnsi="Times New Roman" w:eastAsia="宋体" w:cs="Times New Roman"/>
                <w:color w:val="auto"/>
                <w:kern w:val="2"/>
                <w:sz w:val="21"/>
                <w:szCs w:val="20"/>
                <w:highlight w:val="none"/>
                <w:u w:val="single"/>
                <w:lang w:val="en-US" w:eastAsia="zh-CN" w:bidi="ar-SA"/>
              </w:rPr>
              <w:t>-</w:t>
            </w:r>
            <w:r>
              <w:rPr>
                <w:rFonts w:hint="default" w:ascii="Times New Roman" w:hAnsi="Times New Roman" w:eastAsia="宋体" w:cs="Times New Roman"/>
                <w:color w:val="auto"/>
                <w:kern w:val="2"/>
                <w:sz w:val="21"/>
                <w:szCs w:val="20"/>
                <w:highlight w:val="none"/>
                <w:u w:val="single"/>
                <w:lang w:val="en-US" w:eastAsia="zh-CN" w:bidi="ar-SA"/>
              </w:rPr>
              <w:t>9</w:t>
            </w:r>
          </w:p>
        </w:tc>
        <w:tc>
          <w:tcPr>
            <w:tcW w:w="42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2250</w:t>
            </w:r>
          </w:p>
        </w:tc>
        <w:tc>
          <w:tcPr>
            <w:tcW w:w="43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8967</w:t>
            </w:r>
          </w:p>
        </w:tc>
        <w:tc>
          <w:tcPr>
            <w:tcW w:w="44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3208</w:t>
            </w:r>
          </w:p>
        </w:tc>
        <w:tc>
          <w:tcPr>
            <w:tcW w:w="31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eastAsia="宋体" w:cs="Times New Roman"/>
                <w:color w:val="auto"/>
                <w:kern w:val="2"/>
                <w:sz w:val="21"/>
                <w:szCs w:val="20"/>
                <w:highlight w:val="none"/>
                <w:u w:val="single"/>
                <w:lang w:val="en-US" w:eastAsia="zh-CN" w:bidi="ar-SA"/>
              </w:rPr>
              <w:t>202</w:t>
            </w:r>
          </w:p>
        </w:tc>
        <w:tc>
          <w:tcPr>
            <w:tcW w:w="27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320</w:t>
            </w:r>
          </w:p>
        </w:tc>
        <w:tc>
          <w:tcPr>
            <w:tcW w:w="31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76</w:t>
            </w:r>
          </w:p>
        </w:tc>
        <w:tc>
          <w:tcPr>
            <w:tcW w:w="364"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0.77</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0.68</w:t>
            </w:r>
          </w:p>
        </w:tc>
        <w:tc>
          <w:tcPr>
            <w:tcW w:w="30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0.0402</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0.0085</w:t>
            </w:r>
          </w:p>
        </w:tc>
        <w:tc>
          <w:tcPr>
            <w:tcW w:w="30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2690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66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处理措施</w:t>
            </w:r>
          </w:p>
        </w:tc>
        <w:tc>
          <w:tcPr>
            <w:tcW w:w="4339" w:type="pct"/>
            <w:gridSpan w:val="13"/>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调节池+铁碳微电解池+沉淀池+调节池+水解酸化池+沉淀池+UASB+三级A/O+臭氧氧化+沉淀池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66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去除效率</w:t>
            </w:r>
          </w:p>
        </w:tc>
        <w:tc>
          <w:tcPr>
            <w:tcW w:w="30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w:t>
            </w:r>
          </w:p>
        </w:tc>
        <w:tc>
          <w:tcPr>
            <w:tcW w:w="26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w:t>
            </w:r>
          </w:p>
        </w:tc>
        <w:tc>
          <w:tcPr>
            <w:tcW w:w="42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99.00%</w:t>
            </w:r>
          </w:p>
        </w:tc>
        <w:tc>
          <w:tcPr>
            <w:tcW w:w="43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98.</w:t>
            </w:r>
            <w:r>
              <w:rPr>
                <w:rFonts w:hint="eastAsia" w:eastAsia="宋体" w:cs="Times New Roman"/>
                <w:color w:val="auto"/>
                <w:kern w:val="2"/>
                <w:sz w:val="21"/>
                <w:szCs w:val="20"/>
                <w:highlight w:val="none"/>
                <w:u w:val="single"/>
                <w:lang w:val="en-US" w:eastAsia="zh-CN" w:bidi="ar-SA"/>
              </w:rPr>
              <w:t>79</w:t>
            </w:r>
            <w:r>
              <w:rPr>
                <w:rFonts w:hint="default" w:ascii="Times New Roman" w:hAnsi="Times New Roman" w:eastAsia="宋体" w:cs="Times New Roman"/>
                <w:color w:val="auto"/>
                <w:kern w:val="2"/>
                <w:sz w:val="21"/>
                <w:szCs w:val="20"/>
                <w:highlight w:val="none"/>
                <w:u w:val="single"/>
                <w:lang w:val="en-US" w:eastAsia="zh-CN" w:bidi="ar-SA"/>
              </w:rPr>
              <w:t>%</w:t>
            </w:r>
          </w:p>
        </w:tc>
        <w:tc>
          <w:tcPr>
            <w:tcW w:w="44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99.00%</w:t>
            </w:r>
          </w:p>
        </w:tc>
        <w:tc>
          <w:tcPr>
            <w:tcW w:w="31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96.64%</w:t>
            </w:r>
          </w:p>
        </w:tc>
        <w:tc>
          <w:tcPr>
            <w:tcW w:w="27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97%</w:t>
            </w:r>
          </w:p>
        </w:tc>
        <w:tc>
          <w:tcPr>
            <w:tcW w:w="31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60%</w:t>
            </w:r>
          </w:p>
        </w:tc>
        <w:tc>
          <w:tcPr>
            <w:tcW w:w="364"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99.00%</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45%</w:t>
            </w:r>
          </w:p>
        </w:tc>
        <w:tc>
          <w:tcPr>
            <w:tcW w:w="30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82%</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88%</w:t>
            </w:r>
          </w:p>
        </w:tc>
        <w:tc>
          <w:tcPr>
            <w:tcW w:w="30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98.8</w:t>
            </w:r>
            <w:r>
              <w:rPr>
                <w:rFonts w:hint="default" w:ascii="Times New Roman" w:hAnsi="Times New Roman" w:eastAsia="宋体" w:cs="Times New Roman"/>
                <w:color w:val="auto"/>
                <w:kern w:val="2"/>
                <w:sz w:val="21"/>
                <w:szCs w:val="20"/>
                <w:highlight w:val="none"/>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5" w:hRule="atLeast"/>
        </w:trPr>
        <w:tc>
          <w:tcPr>
            <w:tcW w:w="66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综合污水处理</w:t>
            </w:r>
            <w:r>
              <w:rPr>
                <w:rFonts w:hint="eastAsia" w:ascii="Times New Roman" w:hAnsi="Times New Roman" w:eastAsia="宋体" w:cs="Times New Roman"/>
                <w:color w:val="auto"/>
                <w:kern w:val="2"/>
                <w:sz w:val="21"/>
                <w:szCs w:val="20"/>
                <w:highlight w:val="none"/>
                <w:u w:val="single"/>
                <w:lang w:val="en-US" w:eastAsia="zh-CN" w:bidi="ar-SA"/>
              </w:rPr>
              <w:t>系统</w:t>
            </w:r>
            <w:r>
              <w:rPr>
                <w:rFonts w:hint="default" w:ascii="Times New Roman" w:hAnsi="Times New Roman" w:eastAsia="宋体" w:cs="Times New Roman"/>
                <w:color w:val="auto"/>
                <w:kern w:val="2"/>
                <w:sz w:val="21"/>
                <w:szCs w:val="20"/>
                <w:highlight w:val="none"/>
                <w:u w:val="single"/>
                <w:lang w:val="en-US" w:eastAsia="zh-CN" w:bidi="ar-SA"/>
              </w:rPr>
              <w:t>出口</w:t>
            </w:r>
          </w:p>
        </w:tc>
        <w:tc>
          <w:tcPr>
            <w:tcW w:w="30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377175.5</w:t>
            </w:r>
          </w:p>
        </w:tc>
        <w:tc>
          <w:tcPr>
            <w:tcW w:w="26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6-9</w:t>
            </w:r>
          </w:p>
        </w:tc>
        <w:tc>
          <w:tcPr>
            <w:tcW w:w="42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22.5</w:t>
            </w:r>
          </w:p>
        </w:tc>
        <w:tc>
          <w:tcPr>
            <w:tcW w:w="43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108.</w:t>
            </w:r>
            <w:r>
              <w:rPr>
                <w:rFonts w:hint="eastAsia" w:eastAsia="宋体" w:cs="Times New Roman"/>
                <w:color w:val="auto"/>
                <w:kern w:val="2"/>
                <w:sz w:val="21"/>
                <w:szCs w:val="20"/>
                <w:highlight w:val="none"/>
                <w:u w:val="single"/>
                <w:lang w:val="en-US" w:eastAsia="zh-CN" w:bidi="ar-SA"/>
              </w:rPr>
              <w:t>5</w:t>
            </w:r>
          </w:p>
        </w:tc>
        <w:tc>
          <w:tcPr>
            <w:tcW w:w="44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32.08</w:t>
            </w:r>
          </w:p>
        </w:tc>
        <w:tc>
          <w:tcPr>
            <w:tcW w:w="31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6.</w:t>
            </w:r>
            <w:r>
              <w:rPr>
                <w:rFonts w:hint="eastAsia" w:eastAsia="宋体" w:cs="Times New Roman"/>
                <w:color w:val="auto"/>
                <w:kern w:val="2"/>
                <w:sz w:val="21"/>
                <w:szCs w:val="20"/>
                <w:highlight w:val="none"/>
                <w:u w:val="single"/>
                <w:lang w:val="en-US" w:eastAsia="zh-CN" w:bidi="ar-SA"/>
              </w:rPr>
              <w:t>8</w:t>
            </w:r>
          </w:p>
        </w:tc>
        <w:tc>
          <w:tcPr>
            <w:tcW w:w="27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9.6</w:t>
            </w:r>
          </w:p>
        </w:tc>
        <w:tc>
          <w:tcPr>
            <w:tcW w:w="31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30.4</w:t>
            </w:r>
          </w:p>
        </w:tc>
        <w:tc>
          <w:tcPr>
            <w:tcW w:w="364"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0.0077</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 xml:space="preserve">0.37 </w:t>
            </w:r>
          </w:p>
        </w:tc>
        <w:tc>
          <w:tcPr>
            <w:tcW w:w="309"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0.0072</w:t>
            </w:r>
          </w:p>
        </w:tc>
        <w:tc>
          <w:tcPr>
            <w:tcW w:w="289"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0.001</w:t>
            </w:r>
          </w:p>
        </w:tc>
        <w:tc>
          <w:tcPr>
            <w:tcW w:w="30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32.61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5" w:hRule="atLeast"/>
        </w:trPr>
        <w:tc>
          <w:tcPr>
            <w:tcW w:w="66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改建</w:t>
            </w:r>
            <w:r>
              <w:rPr>
                <w:rFonts w:hint="default" w:ascii="Times New Roman" w:hAnsi="Times New Roman" w:eastAsia="宋体" w:cs="Times New Roman"/>
                <w:color w:val="auto"/>
                <w:kern w:val="2"/>
                <w:sz w:val="21"/>
                <w:szCs w:val="20"/>
                <w:highlight w:val="none"/>
                <w:u w:val="single"/>
                <w:lang w:val="en-US" w:eastAsia="zh-CN" w:bidi="ar-SA"/>
              </w:rPr>
              <w:t>工程清净下水</w:t>
            </w:r>
          </w:p>
        </w:tc>
        <w:tc>
          <w:tcPr>
            <w:tcW w:w="30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10298</w:t>
            </w:r>
          </w:p>
        </w:tc>
        <w:tc>
          <w:tcPr>
            <w:tcW w:w="26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6</w:t>
            </w:r>
            <w:r>
              <w:rPr>
                <w:rFonts w:hint="eastAsia" w:ascii="Times New Roman" w:hAnsi="Times New Roman" w:eastAsia="宋体" w:cs="Times New Roman"/>
                <w:color w:val="auto"/>
                <w:kern w:val="2"/>
                <w:sz w:val="21"/>
                <w:szCs w:val="20"/>
                <w:highlight w:val="none"/>
                <w:u w:val="single"/>
                <w:lang w:val="en-US" w:eastAsia="zh-CN" w:bidi="ar-SA"/>
              </w:rPr>
              <w:t>-</w:t>
            </w:r>
            <w:r>
              <w:rPr>
                <w:rFonts w:hint="default" w:ascii="Times New Roman" w:hAnsi="Times New Roman" w:eastAsia="宋体" w:cs="Times New Roman"/>
                <w:color w:val="auto"/>
                <w:kern w:val="2"/>
                <w:sz w:val="21"/>
                <w:szCs w:val="20"/>
                <w:highlight w:val="none"/>
                <w:u w:val="single"/>
                <w:lang w:val="en-US" w:eastAsia="zh-CN" w:bidi="ar-SA"/>
              </w:rPr>
              <w:t>9</w:t>
            </w:r>
          </w:p>
        </w:tc>
        <w:tc>
          <w:tcPr>
            <w:tcW w:w="42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15</w:t>
            </w:r>
          </w:p>
        </w:tc>
        <w:tc>
          <w:tcPr>
            <w:tcW w:w="43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50</w:t>
            </w:r>
          </w:p>
        </w:tc>
        <w:tc>
          <w:tcPr>
            <w:tcW w:w="44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15</w:t>
            </w:r>
          </w:p>
        </w:tc>
        <w:tc>
          <w:tcPr>
            <w:tcW w:w="31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3</w:t>
            </w:r>
          </w:p>
        </w:tc>
        <w:tc>
          <w:tcPr>
            <w:tcW w:w="27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3</w:t>
            </w:r>
          </w:p>
        </w:tc>
        <w:tc>
          <w:tcPr>
            <w:tcW w:w="31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15</w:t>
            </w:r>
          </w:p>
        </w:tc>
        <w:tc>
          <w:tcPr>
            <w:tcW w:w="364"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0</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0</w:t>
            </w:r>
          </w:p>
        </w:tc>
        <w:tc>
          <w:tcPr>
            <w:tcW w:w="30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0</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0</w:t>
            </w:r>
          </w:p>
        </w:tc>
        <w:tc>
          <w:tcPr>
            <w:tcW w:w="30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5" w:hRule="atLeast"/>
        </w:trPr>
        <w:tc>
          <w:tcPr>
            <w:tcW w:w="66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现有工程清净下水</w:t>
            </w:r>
          </w:p>
        </w:tc>
        <w:tc>
          <w:tcPr>
            <w:tcW w:w="30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1155</w:t>
            </w:r>
          </w:p>
        </w:tc>
        <w:tc>
          <w:tcPr>
            <w:tcW w:w="26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6</w:t>
            </w:r>
            <w:r>
              <w:rPr>
                <w:rFonts w:hint="eastAsia" w:ascii="Times New Roman" w:hAnsi="Times New Roman" w:eastAsia="宋体" w:cs="Times New Roman"/>
                <w:color w:val="auto"/>
                <w:kern w:val="2"/>
                <w:sz w:val="21"/>
                <w:szCs w:val="20"/>
                <w:highlight w:val="none"/>
                <w:u w:val="single"/>
                <w:lang w:val="en-US" w:eastAsia="zh-CN" w:bidi="ar-SA"/>
              </w:rPr>
              <w:t>-</w:t>
            </w:r>
            <w:r>
              <w:rPr>
                <w:rFonts w:hint="default" w:ascii="Times New Roman" w:hAnsi="Times New Roman" w:eastAsia="宋体" w:cs="Times New Roman"/>
                <w:color w:val="auto"/>
                <w:kern w:val="2"/>
                <w:sz w:val="21"/>
                <w:szCs w:val="20"/>
                <w:highlight w:val="none"/>
                <w:u w:val="single"/>
                <w:lang w:val="en-US" w:eastAsia="zh-CN" w:bidi="ar-SA"/>
              </w:rPr>
              <w:t>9</w:t>
            </w:r>
          </w:p>
        </w:tc>
        <w:tc>
          <w:tcPr>
            <w:tcW w:w="42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15</w:t>
            </w:r>
          </w:p>
        </w:tc>
        <w:tc>
          <w:tcPr>
            <w:tcW w:w="43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50</w:t>
            </w:r>
          </w:p>
        </w:tc>
        <w:tc>
          <w:tcPr>
            <w:tcW w:w="44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15</w:t>
            </w:r>
          </w:p>
        </w:tc>
        <w:tc>
          <w:tcPr>
            <w:tcW w:w="31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3</w:t>
            </w:r>
          </w:p>
        </w:tc>
        <w:tc>
          <w:tcPr>
            <w:tcW w:w="27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3</w:t>
            </w:r>
          </w:p>
        </w:tc>
        <w:tc>
          <w:tcPr>
            <w:tcW w:w="31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15</w:t>
            </w:r>
          </w:p>
        </w:tc>
        <w:tc>
          <w:tcPr>
            <w:tcW w:w="364"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0</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0</w:t>
            </w:r>
          </w:p>
        </w:tc>
        <w:tc>
          <w:tcPr>
            <w:tcW w:w="30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0</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0</w:t>
            </w:r>
          </w:p>
        </w:tc>
        <w:tc>
          <w:tcPr>
            <w:tcW w:w="30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5" w:hRule="atLeast"/>
        </w:trPr>
        <w:tc>
          <w:tcPr>
            <w:tcW w:w="66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总排口</w:t>
            </w:r>
          </w:p>
        </w:tc>
        <w:tc>
          <w:tcPr>
            <w:tcW w:w="30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388628.5</w:t>
            </w:r>
          </w:p>
        </w:tc>
        <w:tc>
          <w:tcPr>
            <w:tcW w:w="26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6</w:t>
            </w:r>
            <w:r>
              <w:rPr>
                <w:rFonts w:hint="eastAsia" w:ascii="Times New Roman" w:hAnsi="Times New Roman" w:eastAsia="宋体" w:cs="Times New Roman"/>
                <w:color w:val="auto"/>
                <w:kern w:val="2"/>
                <w:sz w:val="21"/>
                <w:szCs w:val="20"/>
                <w:highlight w:val="none"/>
                <w:u w:val="single"/>
                <w:lang w:val="en-US" w:eastAsia="zh-CN" w:bidi="ar-SA"/>
              </w:rPr>
              <w:t>-</w:t>
            </w:r>
            <w:r>
              <w:rPr>
                <w:rFonts w:hint="default" w:ascii="Times New Roman" w:hAnsi="Times New Roman" w:eastAsia="宋体" w:cs="Times New Roman"/>
                <w:color w:val="auto"/>
                <w:kern w:val="2"/>
                <w:sz w:val="21"/>
                <w:szCs w:val="20"/>
                <w:highlight w:val="none"/>
                <w:u w:val="single"/>
                <w:lang w:val="en-US" w:eastAsia="zh-CN" w:bidi="ar-SA"/>
              </w:rPr>
              <w:t>9</w:t>
            </w:r>
          </w:p>
        </w:tc>
        <w:tc>
          <w:tcPr>
            <w:tcW w:w="42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 xml:space="preserve">22 </w:t>
            </w:r>
          </w:p>
        </w:tc>
        <w:tc>
          <w:tcPr>
            <w:tcW w:w="43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 xml:space="preserve">107.0 </w:t>
            </w:r>
          </w:p>
        </w:tc>
        <w:tc>
          <w:tcPr>
            <w:tcW w:w="44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 xml:space="preserve">31.6 </w:t>
            </w:r>
          </w:p>
        </w:tc>
        <w:tc>
          <w:tcPr>
            <w:tcW w:w="31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 xml:space="preserve">6.7 </w:t>
            </w:r>
          </w:p>
        </w:tc>
        <w:tc>
          <w:tcPr>
            <w:tcW w:w="27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 xml:space="preserve">9.4 </w:t>
            </w:r>
          </w:p>
        </w:tc>
        <w:tc>
          <w:tcPr>
            <w:tcW w:w="31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 xml:space="preserve">29.9 </w:t>
            </w:r>
          </w:p>
        </w:tc>
        <w:tc>
          <w:tcPr>
            <w:tcW w:w="364"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 xml:space="preserve">0.0075 </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 xml:space="preserve">0.36 </w:t>
            </w:r>
          </w:p>
        </w:tc>
        <w:tc>
          <w:tcPr>
            <w:tcW w:w="30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 xml:space="preserve">0.007 </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0.001</w:t>
            </w:r>
          </w:p>
        </w:tc>
        <w:tc>
          <w:tcPr>
            <w:tcW w:w="30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 xml:space="preserve">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5" w:hRule="atLeast"/>
        </w:trPr>
        <w:tc>
          <w:tcPr>
            <w:tcW w:w="66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《化学合成类制药工业水污染物间接排放标准》（DB 41/756-2012）</w:t>
            </w:r>
          </w:p>
        </w:tc>
        <w:tc>
          <w:tcPr>
            <w:tcW w:w="30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240m</w:t>
            </w:r>
            <w:r>
              <w:rPr>
                <w:rFonts w:hint="default" w:ascii="Times New Roman" w:hAnsi="Times New Roman" w:eastAsia="宋体" w:cs="Times New Roman"/>
                <w:color w:val="auto"/>
                <w:kern w:val="2"/>
                <w:sz w:val="21"/>
                <w:szCs w:val="20"/>
                <w:highlight w:val="none"/>
                <w:u w:val="single"/>
                <w:vertAlign w:val="superscript"/>
                <w:lang w:val="en-US" w:eastAsia="zh-CN" w:bidi="ar-SA"/>
              </w:rPr>
              <w:t>3</w:t>
            </w:r>
            <w:r>
              <w:rPr>
                <w:rFonts w:hint="default" w:ascii="Times New Roman" w:hAnsi="Times New Roman" w:eastAsia="宋体" w:cs="Times New Roman"/>
                <w:color w:val="auto"/>
                <w:kern w:val="2"/>
                <w:sz w:val="21"/>
                <w:szCs w:val="20"/>
                <w:highlight w:val="none"/>
                <w:u w:val="single"/>
                <w:lang w:val="en-US" w:eastAsia="zh-CN" w:bidi="ar-SA"/>
              </w:rPr>
              <w:t>/t</w:t>
            </w:r>
          </w:p>
        </w:tc>
        <w:tc>
          <w:tcPr>
            <w:tcW w:w="26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6</w:t>
            </w:r>
            <w:r>
              <w:rPr>
                <w:rFonts w:hint="eastAsia" w:ascii="Times New Roman" w:hAnsi="Times New Roman" w:eastAsia="宋体" w:cs="Times New Roman"/>
                <w:color w:val="auto"/>
                <w:kern w:val="2"/>
                <w:sz w:val="21"/>
                <w:szCs w:val="20"/>
                <w:highlight w:val="none"/>
                <w:u w:val="single"/>
                <w:lang w:val="en-US" w:eastAsia="zh-CN" w:bidi="ar-SA"/>
              </w:rPr>
              <w:t>-</w:t>
            </w:r>
            <w:r>
              <w:rPr>
                <w:rFonts w:hint="default" w:ascii="Times New Roman" w:hAnsi="Times New Roman" w:eastAsia="宋体" w:cs="Times New Roman"/>
                <w:color w:val="auto"/>
                <w:kern w:val="2"/>
                <w:sz w:val="21"/>
                <w:szCs w:val="20"/>
                <w:highlight w:val="none"/>
                <w:u w:val="single"/>
                <w:lang w:val="en-US" w:eastAsia="zh-CN" w:bidi="ar-SA"/>
              </w:rPr>
              <w:t>9</w:t>
            </w:r>
          </w:p>
        </w:tc>
        <w:tc>
          <w:tcPr>
            <w:tcW w:w="42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50</w:t>
            </w:r>
          </w:p>
        </w:tc>
        <w:tc>
          <w:tcPr>
            <w:tcW w:w="43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220</w:t>
            </w:r>
          </w:p>
        </w:tc>
        <w:tc>
          <w:tcPr>
            <w:tcW w:w="44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40</w:t>
            </w:r>
          </w:p>
        </w:tc>
        <w:tc>
          <w:tcPr>
            <w:tcW w:w="31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35</w:t>
            </w:r>
          </w:p>
        </w:tc>
        <w:tc>
          <w:tcPr>
            <w:tcW w:w="27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50</w:t>
            </w:r>
          </w:p>
        </w:tc>
        <w:tc>
          <w:tcPr>
            <w:tcW w:w="31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100</w:t>
            </w:r>
          </w:p>
        </w:tc>
        <w:tc>
          <w:tcPr>
            <w:tcW w:w="364"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0.3</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2</w:t>
            </w:r>
          </w:p>
        </w:tc>
        <w:tc>
          <w:tcPr>
            <w:tcW w:w="30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2</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0.5</w:t>
            </w:r>
          </w:p>
        </w:tc>
        <w:tc>
          <w:tcPr>
            <w:tcW w:w="30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5" w:hRule="atLeast"/>
        </w:trPr>
        <w:tc>
          <w:tcPr>
            <w:tcW w:w="66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柘城县第二污水处理厂设计收水指标</w:t>
            </w:r>
          </w:p>
        </w:tc>
        <w:tc>
          <w:tcPr>
            <w:tcW w:w="30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w:t>
            </w:r>
          </w:p>
        </w:tc>
        <w:tc>
          <w:tcPr>
            <w:tcW w:w="26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6</w:t>
            </w:r>
            <w:r>
              <w:rPr>
                <w:rFonts w:hint="eastAsia" w:ascii="Times New Roman" w:hAnsi="Times New Roman" w:eastAsia="宋体" w:cs="Times New Roman"/>
                <w:color w:val="auto"/>
                <w:kern w:val="2"/>
                <w:sz w:val="21"/>
                <w:szCs w:val="20"/>
                <w:highlight w:val="none"/>
                <w:u w:val="single"/>
                <w:lang w:val="en-US" w:eastAsia="zh-CN" w:bidi="ar-SA"/>
              </w:rPr>
              <w:t>-</w:t>
            </w:r>
            <w:r>
              <w:rPr>
                <w:rFonts w:hint="default" w:ascii="Times New Roman" w:hAnsi="Times New Roman" w:eastAsia="宋体" w:cs="Times New Roman"/>
                <w:color w:val="auto"/>
                <w:kern w:val="2"/>
                <w:sz w:val="21"/>
                <w:szCs w:val="20"/>
                <w:highlight w:val="none"/>
                <w:u w:val="single"/>
                <w:lang w:val="en-US" w:eastAsia="zh-CN" w:bidi="ar-SA"/>
              </w:rPr>
              <w:t>9</w:t>
            </w:r>
          </w:p>
        </w:tc>
        <w:tc>
          <w:tcPr>
            <w:tcW w:w="42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w:t>
            </w:r>
          </w:p>
        </w:tc>
        <w:tc>
          <w:tcPr>
            <w:tcW w:w="43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500</w:t>
            </w:r>
          </w:p>
        </w:tc>
        <w:tc>
          <w:tcPr>
            <w:tcW w:w="44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220</w:t>
            </w:r>
          </w:p>
        </w:tc>
        <w:tc>
          <w:tcPr>
            <w:tcW w:w="31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50</w:t>
            </w:r>
          </w:p>
        </w:tc>
        <w:tc>
          <w:tcPr>
            <w:tcW w:w="27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w:t>
            </w:r>
          </w:p>
        </w:tc>
        <w:tc>
          <w:tcPr>
            <w:tcW w:w="31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400</w:t>
            </w:r>
          </w:p>
        </w:tc>
        <w:tc>
          <w:tcPr>
            <w:tcW w:w="364"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w:t>
            </w:r>
          </w:p>
        </w:tc>
        <w:tc>
          <w:tcPr>
            <w:tcW w:w="30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eastAsia" w:ascii="Times New Roman" w:hAnsi="Times New Roman" w:eastAsia="宋体" w:cs="Times New Roman"/>
                <w:color w:val="auto"/>
                <w:kern w:val="2"/>
                <w:sz w:val="21"/>
                <w:szCs w:val="20"/>
                <w:highlight w:val="none"/>
                <w:u w:val="single"/>
                <w:lang w:val="en-US" w:eastAsia="zh-CN" w:bidi="ar-SA"/>
              </w:rPr>
              <w:t>/</w:t>
            </w:r>
          </w:p>
        </w:tc>
        <w:tc>
          <w:tcPr>
            <w:tcW w:w="30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5" w:hRule="atLeast"/>
        </w:trPr>
        <w:tc>
          <w:tcPr>
            <w:tcW w:w="5000" w:type="pct"/>
            <w:gridSpan w:val="14"/>
            <w:shd w:val="clear" w:color="auto" w:fill="auto"/>
            <w:vAlign w:val="center"/>
          </w:tcPr>
          <w:p>
            <w:pPr>
              <w:widowControl w:val="0"/>
              <w:spacing w:line="240" w:lineRule="auto"/>
              <w:ind w:firstLine="0" w:firstLineChars="0"/>
              <w:jc w:val="left"/>
              <w:rPr>
                <w:rFonts w:hint="default" w:ascii="Times New Roman" w:hAnsi="Times New Roman" w:eastAsia="宋体" w:cs="Times New Roman"/>
                <w:color w:val="auto"/>
                <w:kern w:val="2"/>
                <w:sz w:val="21"/>
                <w:szCs w:val="20"/>
                <w:highlight w:val="none"/>
                <w:u w:val="single"/>
                <w:lang w:val="en-US" w:eastAsia="zh-CN" w:bidi="ar-SA"/>
              </w:rPr>
            </w:pPr>
            <w:r>
              <w:rPr>
                <w:rFonts w:hint="default" w:ascii="Times New Roman" w:hAnsi="Times New Roman" w:eastAsia="宋体" w:cs="Times New Roman"/>
                <w:color w:val="auto"/>
                <w:kern w:val="2"/>
                <w:sz w:val="21"/>
                <w:szCs w:val="20"/>
                <w:highlight w:val="none"/>
                <w:u w:val="single"/>
                <w:lang w:val="en-US" w:eastAsia="zh-CN" w:bidi="ar-SA"/>
              </w:rPr>
              <w:t>注：1.现有工程是指</w:t>
            </w:r>
            <w:r>
              <w:rPr>
                <w:rFonts w:hint="eastAsia" w:ascii="Times New Roman" w:hAnsi="Times New Roman" w:eastAsia="宋体" w:cs="Times New Roman"/>
                <w:color w:val="auto"/>
                <w:kern w:val="2"/>
                <w:sz w:val="21"/>
                <w:szCs w:val="20"/>
                <w:highlight w:val="none"/>
                <w:u w:val="single"/>
                <w:lang w:val="en-US" w:eastAsia="zh-CN" w:bidi="ar-SA"/>
              </w:rPr>
              <w:t>改建</w:t>
            </w:r>
            <w:r>
              <w:rPr>
                <w:rFonts w:hint="default" w:ascii="Times New Roman" w:hAnsi="Times New Roman" w:eastAsia="宋体" w:cs="Times New Roman"/>
                <w:color w:val="auto"/>
                <w:kern w:val="2"/>
                <w:sz w:val="21"/>
                <w:szCs w:val="20"/>
                <w:highlight w:val="none"/>
                <w:u w:val="single"/>
                <w:lang w:val="en-US" w:eastAsia="zh-CN" w:bidi="ar-SA"/>
              </w:rPr>
              <w:t>后仍运营的现有工程；2废水综合处理站盐类浓度2650mg/L，不影响后续生化处理。</w:t>
            </w:r>
          </w:p>
        </w:tc>
      </w:tr>
    </w:tbl>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sectPr>
          <w:pgSz w:w="16838" w:h="11905" w:orient="landscape"/>
          <w:pgMar w:top="2067" w:right="1701" w:bottom="1587" w:left="1701"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由上表可知，项目污水站出水及总排口废水均可满足《化学合成类制药工业水污染物间接排放标准》（DB 41/756</w:t>
      </w:r>
      <w:r>
        <w:rPr>
          <w:rFonts w:hint="eastAsia" w:eastAsia="宋体"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2012）与柘城县第二污水处理厂设计收水指标要求。</w:t>
      </w:r>
    </w:p>
    <w:p>
      <w:pPr>
        <w:pStyle w:val="4"/>
        <w:bidi w:val="0"/>
        <w:rPr>
          <w:rFonts w:hint="default"/>
          <w:color w:val="auto"/>
          <w:highlight w:val="none"/>
          <w:u w:val="none"/>
          <w:lang w:val="en-US" w:eastAsia="zh-CN"/>
        </w:rPr>
      </w:pPr>
      <w:bookmarkStart w:id="28" w:name="_Toc5599"/>
      <w:r>
        <w:rPr>
          <w:rFonts w:hint="default"/>
          <w:color w:val="auto"/>
          <w:highlight w:val="none"/>
          <w:u w:val="none"/>
          <w:lang w:val="en-US" w:eastAsia="zh-CN"/>
        </w:rPr>
        <w:t>与排污许可可行技术对比</w:t>
      </w:r>
    </w:p>
    <w:p>
      <w:pPr>
        <w:bidi w:val="0"/>
        <w:rPr>
          <w:rFonts w:hint="default"/>
          <w:color w:val="auto"/>
          <w:highlight w:val="none"/>
          <w:u w:val="none"/>
          <w:lang w:val="en-US" w:eastAsia="zh-CN"/>
        </w:rPr>
      </w:pPr>
      <w:r>
        <w:rPr>
          <w:rFonts w:hint="default"/>
          <w:color w:val="auto"/>
          <w:highlight w:val="none"/>
          <w:u w:val="none"/>
          <w:lang w:val="en-US" w:eastAsia="zh-CN"/>
        </w:rPr>
        <w:t>本项目废水分类分质处理，项目具体的废水治理措施及其与《排污许可证申请与核发技术规范制药工业—原料药制造》（HJ858.1</w:t>
      </w:r>
      <w:r>
        <w:rPr>
          <w:rFonts w:hint="eastAsia"/>
          <w:color w:val="auto"/>
          <w:highlight w:val="none"/>
          <w:u w:val="none"/>
          <w:lang w:val="en-US" w:eastAsia="zh-CN"/>
        </w:rPr>
        <w:t>-</w:t>
      </w:r>
      <w:r>
        <w:rPr>
          <w:rFonts w:hint="default"/>
          <w:color w:val="auto"/>
          <w:highlight w:val="none"/>
          <w:u w:val="none"/>
          <w:lang w:val="en-US" w:eastAsia="zh-CN"/>
        </w:rPr>
        <w:t>2017）中可行技术对比情况见下表：</w:t>
      </w:r>
    </w:p>
    <w:p>
      <w:pPr>
        <w:bidi w:val="0"/>
        <w:rPr>
          <w:rFonts w:hint="default"/>
          <w:color w:val="auto"/>
          <w:highlight w:val="none"/>
          <w:u w:val="none"/>
          <w:lang w:val="en-US" w:eastAsia="zh-CN"/>
        </w:rPr>
        <w:sectPr>
          <w:pgSz w:w="11905" w:h="16838"/>
          <w:pgMar w:top="1701" w:right="1587" w:bottom="1701" w:left="2067"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9"/>
        <w:bidi w:val="0"/>
        <w:rPr>
          <w:rFonts w:hint="default" w:ascii="Times New Roman" w:hAnsi="Times New Roman" w:eastAsia="宋体" w:cs="Times New Roman"/>
          <w:b/>
          <w:bCs/>
          <w:color w:val="auto"/>
          <w:kern w:val="2"/>
          <w:sz w:val="24"/>
          <w:szCs w:val="28"/>
          <w:highlight w:val="none"/>
          <w:u w:val="none"/>
          <w:lang w:val="en-US" w:eastAsia="zh-CN" w:bidi="ar-SA"/>
        </w:rPr>
      </w:pPr>
      <w:r>
        <w:rPr>
          <w:rFonts w:hint="eastAsia" w:eastAsia="宋体" w:cs="Times New Roman"/>
          <w:b/>
          <w:bCs/>
          <w:color w:val="auto"/>
          <w:kern w:val="2"/>
          <w:sz w:val="24"/>
          <w:szCs w:val="28"/>
          <w:highlight w:val="none"/>
          <w:u w:val="none"/>
          <w:lang w:val="en-US" w:eastAsia="zh-CN" w:bidi="ar-SA"/>
        </w:rPr>
        <w:t xml:space="preserve"> </w:t>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8.3</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7</w:t>
      </w:r>
      <w:r>
        <w:rPr>
          <w:color w:val="auto"/>
          <w:highlight w:val="none"/>
          <w:u w:val="none"/>
        </w:rPr>
        <w:fldChar w:fldCharType="end"/>
      </w:r>
      <w:r>
        <w:rPr>
          <w:rFonts w:hint="default" w:ascii="Times New Roman" w:hAnsi="Times New Roman" w:eastAsia="宋体" w:cs="Times New Roman"/>
          <w:b/>
          <w:bCs/>
          <w:color w:val="auto"/>
          <w:kern w:val="2"/>
          <w:sz w:val="24"/>
          <w:szCs w:val="28"/>
          <w:highlight w:val="none"/>
          <w:u w:val="none"/>
          <w:lang w:val="en-US" w:eastAsia="zh-CN" w:bidi="ar-SA"/>
        </w:rPr>
        <w:t xml:space="preserve">  </w:t>
      </w:r>
      <w:r>
        <w:rPr>
          <w:rFonts w:hint="eastAsia" w:ascii="Times New Roman" w:hAnsi="Times New Roman" w:eastAsia="宋体" w:cs="Times New Roman"/>
          <w:b/>
          <w:bCs/>
          <w:color w:val="auto"/>
          <w:kern w:val="2"/>
          <w:sz w:val="24"/>
          <w:szCs w:val="28"/>
          <w:highlight w:val="none"/>
          <w:u w:val="none"/>
          <w:lang w:val="en-US" w:eastAsia="zh-CN" w:bidi="ar-SA"/>
        </w:rPr>
        <w:t xml:space="preserve">  </w:t>
      </w:r>
      <w:r>
        <w:rPr>
          <w:rFonts w:hint="eastAsia" w:cs="Times New Roman"/>
          <w:b/>
          <w:bCs/>
          <w:color w:val="auto"/>
          <w:kern w:val="2"/>
          <w:sz w:val="24"/>
          <w:szCs w:val="28"/>
          <w:highlight w:val="none"/>
          <w:u w:val="none"/>
          <w:lang w:val="en-US" w:eastAsia="zh-CN" w:bidi="ar-SA"/>
        </w:rPr>
        <w:t>改建</w:t>
      </w:r>
      <w:r>
        <w:rPr>
          <w:rFonts w:hint="eastAsia" w:ascii="Times New Roman" w:hAnsi="Times New Roman" w:eastAsia="宋体" w:cs="Times New Roman"/>
          <w:b/>
          <w:bCs/>
          <w:color w:val="auto"/>
          <w:kern w:val="2"/>
          <w:sz w:val="24"/>
          <w:szCs w:val="28"/>
          <w:highlight w:val="none"/>
          <w:u w:val="none"/>
          <w:lang w:val="en-US" w:eastAsia="zh-CN" w:bidi="ar-SA"/>
        </w:rPr>
        <w:t>工程废水处理措施与可行措施对比情况一览表</w:t>
      </w:r>
    </w:p>
    <w:tbl>
      <w:tblPr>
        <w:tblStyle w:val="1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16"/>
        <w:gridCol w:w="508"/>
        <w:gridCol w:w="3159"/>
        <w:gridCol w:w="5100"/>
        <w:gridCol w:w="4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2" w:type="pct"/>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分类</w:t>
            </w:r>
          </w:p>
        </w:tc>
        <w:tc>
          <w:tcPr>
            <w:tcW w:w="1313" w:type="pct"/>
            <w:gridSpan w:val="2"/>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废水类别</w:t>
            </w:r>
          </w:p>
        </w:tc>
        <w:tc>
          <w:tcPr>
            <w:tcW w:w="1826" w:type="pct"/>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水污染物处理可行技术</w:t>
            </w:r>
          </w:p>
        </w:tc>
        <w:tc>
          <w:tcPr>
            <w:tcW w:w="1566" w:type="pct"/>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本项目废水治理措施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2" w:type="pct"/>
            <w:vMerge w:val="restart"/>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主生产过程排水预处理技术</w:t>
            </w:r>
          </w:p>
        </w:tc>
        <w:tc>
          <w:tcPr>
            <w:tcW w:w="1313" w:type="pct"/>
            <w:gridSpan w:val="2"/>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高含盐废水</w:t>
            </w:r>
          </w:p>
        </w:tc>
        <w:tc>
          <w:tcPr>
            <w:tcW w:w="1826" w:type="pct"/>
            <w:vAlign w:val="center"/>
          </w:tcPr>
          <w:p>
            <w:pPr>
              <w:widowControl w:val="0"/>
              <w:bidi w:val="0"/>
              <w:spacing w:line="240" w:lineRule="auto"/>
              <w:ind w:firstLine="0" w:firstLineChars="0"/>
              <w:jc w:val="left"/>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蒸发预处理后，冷凝液进入综合废水处理设施。</w:t>
            </w:r>
          </w:p>
        </w:tc>
        <w:tc>
          <w:tcPr>
            <w:tcW w:w="1566" w:type="pct"/>
            <w:vAlign w:val="center"/>
          </w:tcPr>
          <w:p>
            <w:pPr>
              <w:widowControl w:val="0"/>
              <w:bidi w:val="0"/>
              <w:spacing w:line="240" w:lineRule="auto"/>
              <w:ind w:firstLine="0" w:firstLineChars="0"/>
              <w:jc w:val="left"/>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蒸发预处理后，冷凝液进入综合废水处理站。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313" w:type="pct"/>
            <w:gridSpan w:val="2"/>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高氨氮废水</w:t>
            </w:r>
          </w:p>
        </w:tc>
        <w:tc>
          <w:tcPr>
            <w:tcW w:w="1826" w:type="pct"/>
            <w:vAlign w:val="center"/>
          </w:tcPr>
          <w:p>
            <w:pPr>
              <w:widowControl w:val="0"/>
              <w:bidi w:val="0"/>
              <w:spacing w:line="240" w:lineRule="auto"/>
              <w:ind w:firstLine="0" w:firstLineChars="0"/>
              <w:jc w:val="left"/>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蒸氨预处理后，进入综合废水处理设施。</w:t>
            </w:r>
          </w:p>
        </w:tc>
        <w:tc>
          <w:tcPr>
            <w:tcW w:w="1566" w:type="pct"/>
            <w:vAlign w:val="center"/>
          </w:tcPr>
          <w:p>
            <w:pPr>
              <w:widowControl w:val="0"/>
              <w:bidi w:val="0"/>
              <w:spacing w:line="240" w:lineRule="auto"/>
              <w:ind w:firstLine="0" w:firstLineChars="0"/>
              <w:jc w:val="left"/>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313" w:type="pct"/>
            <w:gridSpan w:val="2"/>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有生物毒性或难降解废水</w:t>
            </w:r>
          </w:p>
        </w:tc>
        <w:tc>
          <w:tcPr>
            <w:tcW w:w="1826" w:type="pct"/>
            <w:vAlign w:val="center"/>
          </w:tcPr>
          <w:p>
            <w:pPr>
              <w:widowControl w:val="0"/>
              <w:bidi w:val="0"/>
              <w:spacing w:line="240" w:lineRule="auto"/>
              <w:ind w:firstLine="0" w:firstLineChars="0"/>
              <w:jc w:val="left"/>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氧化或还原预处理后，进入综合废水处理设施。</w:t>
            </w:r>
          </w:p>
        </w:tc>
        <w:tc>
          <w:tcPr>
            <w:tcW w:w="1566" w:type="pct"/>
            <w:vAlign w:val="center"/>
          </w:tcPr>
          <w:p>
            <w:pPr>
              <w:widowControl w:val="0"/>
              <w:bidi w:val="0"/>
              <w:spacing w:line="240" w:lineRule="auto"/>
              <w:ind w:firstLine="0" w:firstLineChars="0"/>
              <w:jc w:val="left"/>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工艺废水通过蒸发驱除二氯甲烷进MVR蒸发除盐</w:t>
            </w:r>
            <w:r>
              <w:rPr>
                <w:rFonts w:hint="eastAsia" w:ascii="Times New Roman" w:hAnsi="Times New Roman" w:eastAsia="宋体" w:cs="Times New Roman"/>
                <w:color w:val="auto"/>
                <w:kern w:val="2"/>
                <w:sz w:val="21"/>
                <w:szCs w:val="20"/>
                <w:highlight w:val="none"/>
                <w:u w:val="none"/>
                <w:lang w:val="en-US" w:eastAsia="zh-CN" w:bidi="ar-SA"/>
              </w:rPr>
              <w:t>，然后与其他废水进入污水站铁碳微电解预处理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313" w:type="pct"/>
            <w:gridSpan w:val="2"/>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高悬浮物废水</w:t>
            </w:r>
          </w:p>
        </w:tc>
        <w:tc>
          <w:tcPr>
            <w:tcW w:w="1826" w:type="pct"/>
            <w:vAlign w:val="center"/>
          </w:tcPr>
          <w:p>
            <w:pPr>
              <w:widowControl w:val="0"/>
              <w:bidi w:val="0"/>
              <w:spacing w:line="240" w:lineRule="auto"/>
              <w:ind w:firstLine="0" w:firstLineChars="0"/>
              <w:jc w:val="left"/>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混凝沉淀或混凝气浮预处理后，进入综合废水处理设施。</w:t>
            </w:r>
          </w:p>
        </w:tc>
        <w:tc>
          <w:tcPr>
            <w:tcW w:w="1566" w:type="pct"/>
            <w:vAlign w:val="center"/>
          </w:tcPr>
          <w:p>
            <w:pPr>
              <w:widowControl w:val="0"/>
              <w:bidi w:val="0"/>
              <w:spacing w:line="240" w:lineRule="auto"/>
              <w:ind w:firstLine="0" w:firstLineChars="0"/>
              <w:jc w:val="left"/>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隔油、沉淀预处理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313" w:type="pct"/>
            <w:gridSpan w:val="2"/>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高动植物油废水</w:t>
            </w:r>
          </w:p>
        </w:tc>
        <w:tc>
          <w:tcPr>
            <w:tcW w:w="1826" w:type="pct"/>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破乳、混凝气浮预处理后，进入综合废水处理设施。</w:t>
            </w:r>
          </w:p>
        </w:tc>
        <w:tc>
          <w:tcPr>
            <w:tcW w:w="1566" w:type="pct"/>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292" w:type="pct"/>
            <w:vMerge w:val="restart"/>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达标排放或回用处理技术</w:t>
            </w:r>
          </w:p>
        </w:tc>
        <w:tc>
          <w:tcPr>
            <w:tcW w:w="182" w:type="pct"/>
            <w:vMerge w:val="restart"/>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综合废水</w:t>
            </w:r>
          </w:p>
        </w:tc>
        <w:tc>
          <w:tcPr>
            <w:tcW w:w="1131" w:type="pct"/>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主生产过程排水预处理后的废水</w:t>
            </w:r>
          </w:p>
        </w:tc>
        <w:tc>
          <w:tcPr>
            <w:tcW w:w="1826" w:type="pct"/>
            <w:vMerge w:val="restart"/>
            <w:vAlign w:val="center"/>
          </w:tcPr>
          <w:p>
            <w:pPr>
              <w:widowControl w:val="0"/>
              <w:bidi w:val="0"/>
              <w:spacing w:line="240" w:lineRule="auto"/>
              <w:ind w:firstLine="0" w:firstLineChars="0"/>
              <w:jc w:val="left"/>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收集输送至综合废水处理站；</w:t>
            </w:r>
          </w:p>
          <w:p>
            <w:pPr>
              <w:widowControl w:val="0"/>
              <w:bidi w:val="0"/>
              <w:spacing w:line="240" w:lineRule="auto"/>
              <w:ind w:firstLine="0" w:firstLineChars="0"/>
              <w:jc w:val="left"/>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预处理：隔油、混凝气浮、混凝沉淀、调节、中和、氧化、还原等；</w:t>
            </w:r>
          </w:p>
          <w:p>
            <w:pPr>
              <w:widowControl w:val="0"/>
              <w:bidi w:val="0"/>
              <w:spacing w:line="240" w:lineRule="auto"/>
              <w:ind w:firstLine="0" w:firstLineChars="0"/>
              <w:jc w:val="left"/>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生化处理：升流式厌氧污泥床（UASB）或厌氧颗粒污泥膨胀床（EGSB）、水解酸化、生物接触氧化法、缺氧/好氧工艺（A/O）、厌氧/缺氧/好氧工艺（A2/O）等；</w:t>
            </w:r>
          </w:p>
          <w:p>
            <w:pPr>
              <w:widowControl w:val="0"/>
              <w:bidi w:val="0"/>
              <w:spacing w:line="240" w:lineRule="auto"/>
              <w:ind w:firstLine="0" w:firstLineChars="0"/>
              <w:jc w:val="left"/>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深度处理：混凝、过滤、高级氧化等；</w:t>
            </w:r>
          </w:p>
          <w:p>
            <w:pPr>
              <w:widowControl w:val="0"/>
              <w:bidi w:val="0"/>
              <w:spacing w:line="240" w:lineRule="auto"/>
              <w:ind w:firstLine="0" w:firstLineChars="0"/>
              <w:jc w:val="left"/>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回用处理：砂滤、超滤（UF）、反渗透（RO）、脱盐、消毒等；</w:t>
            </w:r>
          </w:p>
          <w:p>
            <w:pPr>
              <w:widowControl w:val="0"/>
              <w:bidi w:val="0"/>
              <w:spacing w:line="240" w:lineRule="auto"/>
              <w:ind w:firstLine="0" w:firstLineChars="0"/>
              <w:jc w:val="left"/>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上述工艺串联组合处理后，回用或经总排口达标外排。</w:t>
            </w:r>
          </w:p>
        </w:tc>
        <w:tc>
          <w:tcPr>
            <w:tcW w:w="1566" w:type="pct"/>
            <w:vMerge w:val="restart"/>
            <w:vAlign w:val="center"/>
          </w:tcPr>
          <w:p>
            <w:pPr>
              <w:widowControl w:val="0"/>
              <w:bidi w:val="0"/>
              <w:spacing w:line="240" w:lineRule="auto"/>
              <w:ind w:firstLine="0" w:firstLineChars="0"/>
              <w:jc w:val="left"/>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预处理措施：经蒸发除盐后的工艺废水、废气喷淋废水与设备清洗废水、地面清洗废水、真空泵废水</w:t>
            </w:r>
            <w:r>
              <w:rPr>
                <w:rFonts w:hint="eastAsia" w:ascii="Times New Roman" w:hAnsi="Times New Roman" w:eastAsia="宋体" w:cs="Times New Roman"/>
                <w:color w:val="auto"/>
                <w:kern w:val="2"/>
                <w:sz w:val="21"/>
                <w:szCs w:val="20"/>
                <w:highlight w:val="none"/>
                <w:u w:val="none"/>
                <w:lang w:val="en-US" w:eastAsia="zh-CN" w:bidi="ar-SA"/>
              </w:rPr>
              <w:t>、</w:t>
            </w:r>
            <w:r>
              <w:rPr>
                <w:rFonts w:hint="default" w:ascii="Times New Roman" w:hAnsi="Times New Roman" w:eastAsia="宋体" w:cs="Times New Roman"/>
                <w:color w:val="auto"/>
                <w:kern w:val="2"/>
                <w:sz w:val="21"/>
                <w:szCs w:val="20"/>
                <w:highlight w:val="none"/>
                <w:u w:val="none"/>
                <w:lang w:val="en-US" w:eastAsia="zh-CN" w:bidi="ar-SA"/>
              </w:rPr>
              <w:t>储罐冷却水、生活污水、化验废水、循环冷却水排水进入铁碳微电解预处理，增加废水的可生化性。</w:t>
            </w:r>
          </w:p>
          <w:p>
            <w:pPr>
              <w:widowControl w:val="0"/>
              <w:bidi w:val="0"/>
              <w:spacing w:line="240" w:lineRule="auto"/>
              <w:ind w:firstLine="0" w:firstLineChars="0"/>
              <w:jc w:val="left"/>
              <w:rPr>
                <w:rFonts w:hint="default" w:ascii="Times New Roman" w:hAnsi="Times New Roman" w:eastAsia="宋体" w:cs="Times New Roman"/>
                <w:color w:val="auto"/>
                <w:kern w:val="2"/>
                <w:sz w:val="21"/>
                <w:szCs w:val="20"/>
                <w:highlight w:val="none"/>
                <w:u w:val="none"/>
                <w:lang w:val="en-US" w:eastAsia="zh-CN" w:bidi="ar-SA"/>
              </w:rPr>
            </w:pPr>
          </w:p>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生化处理措施：经预处理后的废水进入综合废水处理站进行生化处理，处理工艺为：调节池+水解酸化池+沉淀池+UASB+三级A/O+臭氧氧化+沉淀池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9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8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131" w:type="pct"/>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地面冲洗废水</w:t>
            </w:r>
          </w:p>
        </w:tc>
        <w:tc>
          <w:tcPr>
            <w:tcW w:w="1826"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566"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 w:hRule="atLeast"/>
        </w:trPr>
        <w:tc>
          <w:tcPr>
            <w:tcW w:w="29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8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131" w:type="pct"/>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储罐切水</w:t>
            </w:r>
          </w:p>
        </w:tc>
        <w:tc>
          <w:tcPr>
            <w:tcW w:w="1826"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566"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 w:hRule="atLeast"/>
        </w:trPr>
        <w:tc>
          <w:tcPr>
            <w:tcW w:w="29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8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131" w:type="pct"/>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水环真空设备排水</w:t>
            </w:r>
          </w:p>
        </w:tc>
        <w:tc>
          <w:tcPr>
            <w:tcW w:w="1826"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566"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 w:hRule="atLeast"/>
        </w:trPr>
        <w:tc>
          <w:tcPr>
            <w:tcW w:w="29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8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131" w:type="pct"/>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生活污水</w:t>
            </w:r>
          </w:p>
        </w:tc>
        <w:tc>
          <w:tcPr>
            <w:tcW w:w="1826"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566"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 w:hRule="atLeast"/>
        </w:trPr>
        <w:tc>
          <w:tcPr>
            <w:tcW w:w="29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8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131" w:type="pct"/>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废气处理设施废水</w:t>
            </w:r>
          </w:p>
        </w:tc>
        <w:tc>
          <w:tcPr>
            <w:tcW w:w="1826"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566"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 w:hRule="atLeast"/>
        </w:trPr>
        <w:tc>
          <w:tcPr>
            <w:tcW w:w="29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8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131" w:type="pct"/>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中水回用设施排水</w:t>
            </w:r>
          </w:p>
        </w:tc>
        <w:tc>
          <w:tcPr>
            <w:tcW w:w="1826"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566"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 w:hRule="atLeast"/>
        </w:trPr>
        <w:tc>
          <w:tcPr>
            <w:tcW w:w="29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8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131" w:type="pct"/>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初期雨水</w:t>
            </w:r>
          </w:p>
        </w:tc>
        <w:tc>
          <w:tcPr>
            <w:tcW w:w="1826"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566"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 w:hRule="atLeast"/>
        </w:trPr>
        <w:tc>
          <w:tcPr>
            <w:tcW w:w="29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8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131" w:type="pct"/>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消防废水</w:t>
            </w:r>
          </w:p>
        </w:tc>
        <w:tc>
          <w:tcPr>
            <w:tcW w:w="1826"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566"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 w:hRule="atLeast"/>
        </w:trPr>
        <w:tc>
          <w:tcPr>
            <w:tcW w:w="29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8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131" w:type="pct"/>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事故废水</w:t>
            </w:r>
          </w:p>
        </w:tc>
        <w:tc>
          <w:tcPr>
            <w:tcW w:w="1826"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566"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29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8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131" w:type="pct"/>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循环冷却水排污水</w:t>
            </w:r>
          </w:p>
        </w:tc>
        <w:tc>
          <w:tcPr>
            <w:tcW w:w="1826"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566"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29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313" w:type="pct"/>
            <w:gridSpan w:val="2"/>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余热锅炉排污水</w:t>
            </w:r>
          </w:p>
        </w:tc>
        <w:tc>
          <w:tcPr>
            <w:tcW w:w="1826" w:type="pct"/>
            <w:vMerge w:val="restart"/>
            <w:vAlign w:val="center"/>
          </w:tcPr>
          <w:p>
            <w:pPr>
              <w:widowControl w:val="0"/>
              <w:bidi w:val="0"/>
              <w:spacing w:line="240" w:lineRule="auto"/>
              <w:ind w:firstLine="0" w:firstLineChars="0"/>
              <w:jc w:val="left"/>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装置内降温后，回用。</w:t>
            </w:r>
          </w:p>
        </w:tc>
        <w:tc>
          <w:tcPr>
            <w:tcW w:w="1566" w:type="pct"/>
            <w:vMerge w:val="restart"/>
            <w:vAlign w:val="center"/>
          </w:tcPr>
          <w:p>
            <w:pPr>
              <w:widowControl w:val="0"/>
              <w:bidi w:val="0"/>
              <w:spacing w:line="240" w:lineRule="auto"/>
              <w:ind w:firstLine="0" w:firstLineChars="0"/>
              <w:jc w:val="left"/>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锅炉蒸气冷凝水回用于循环冷却水系统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29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313" w:type="pct"/>
            <w:gridSpan w:val="2"/>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蒸馏（加热）设备冷凝水</w:t>
            </w:r>
          </w:p>
        </w:tc>
        <w:tc>
          <w:tcPr>
            <w:tcW w:w="1826"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566"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292" w:type="pct"/>
            <w:vMerge w:val="continue"/>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1313" w:type="pct"/>
            <w:gridSpan w:val="2"/>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制水排污水</w:t>
            </w:r>
          </w:p>
        </w:tc>
        <w:tc>
          <w:tcPr>
            <w:tcW w:w="1826" w:type="pct"/>
            <w:vAlign w:val="center"/>
          </w:tcPr>
          <w:p>
            <w:pPr>
              <w:widowControl w:val="0"/>
              <w:bidi w:val="0"/>
              <w:spacing w:line="240" w:lineRule="auto"/>
              <w:ind w:firstLine="0" w:firstLineChars="0"/>
              <w:jc w:val="left"/>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中和后经总排口达标排放。</w:t>
            </w:r>
          </w:p>
        </w:tc>
        <w:tc>
          <w:tcPr>
            <w:tcW w:w="1566" w:type="pct"/>
            <w:vAlign w:val="center"/>
          </w:tcPr>
          <w:p>
            <w:pPr>
              <w:widowControl w:val="0"/>
              <w:bidi w:val="0"/>
              <w:spacing w:line="240" w:lineRule="auto"/>
              <w:ind w:firstLine="0" w:firstLineChars="0"/>
              <w:jc w:val="left"/>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纯水制备废水中和后经总排口达标排放。</w:t>
            </w:r>
          </w:p>
        </w:tc>
      </w:tr>
    </w:tbl>
    <w:p>
      <w:pPr>
        <w:keepNext/>
        <w:keepLines/>
        <w:widowControl w:val="0"/>
        <w:bidi w:val="0"/>
        <w:adjustRightInd w:val="0"/>
        <w:snapToGrid w:val="0"/>
        <w:spacing w:line="480" w:lineRule="exact"/>
        <w:ind w:firstLine="0" w:firstLineChars="0"/>
        <w:jc w:val="both"/>
        <w:outlineLvl w:val="9"/>
        <w:rPr>
          <w:rFonts w:hint="default" w:ascii="Times New Roman" w:hAnsi="Times New Roman" w:eastAsia="宋体" w:cs="Times New Roman"/>
          <w:b/>
          <w:bCs/>
          <w:color w:val="auto"/>
          <w:kern w:val="2"/>
          <w:sz w:val="24"/>
          <w:szCs w:val="32"/>
          <w:highlight w:val="none"/>
          <w:u w:val="none"/>
          <w:lang w:val="en-US" w:eastAsia="zh-CN" w:bidi="ar-SA"/>
        </w:rPr>
        <w:sectPr>
          <w:pgSz w:w="16838" w:h="11905" w:orient="landscape"/>
          <w:pgMar w:top="1803" w:right="1440" w:bottom="1803" w:left="1440"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4"/>
        <w:bidi w:val="0"/>
        <w:rPr>
          <w:rFonts w:hint="default"/>
          <w:color w:val="auto"/>
          <w:highlight w:val="none"/>
          <w:u w:val="none"/>
          <w:lang w:val="en-US" w:eastAsia="zh-CN"/>
        </w:rPr>
      </w:pPr>
      <w:r>
        <w:rPr>
          <w:rFonts w:hint="default"/>
          <w:color w:val="auto"/>
          <w:highlight w:val="none"/>
          <w:u w:val="none"/>
          <w:lang w:val="en-US" w:eastAsia="zh-CN"/>
        </w:rPr>
        <w:t>废水</w:t>
      </w:r>
      <w:r>
        <w:rPr>
          <w:rFonts w:hint="eastAsia"/>
          <w:color w:val="auto"/>
          <w:highlight w:val="none"/>
          <w:u w:val="none"/>
          <w:lang w:val="en-US" w:eastAsia="zh-CN"/>
        </w:rPr>
        <w:t>依托柘城县产业集聚区第二</w:t>
      </w:r>
      <w:r>
        <w:rPr>
          <w:rFonts w:hint="default"/>
          <w:color w:val="auto"/>
          <w:highlight w:val="none"/>
          <w:u w:val="none"/>
          <w:lang w:val="en-US" w:eastAsia="zh-CN"/>
        </w:rPr>
        <w:t>污水处理厂</w:t>
      </w:r>
      <w:r>
        <w:rPr>
          <w:rFonts w:hint="eastAsia"/>
          <w:color w:val="auto"/>
          <w:highlight w:val="none"/>
          <w:u w:val="none"/>
          <w:lang w:val="en-US" w:eastAsia="zh-CN"/>
        </w:rPr>
        <w:t>进一步处理</w:t>
      </w:r>
      <w:r>
        <w:rPr>
          <w:rFonts w:hint="default"/>
          <w:color w:val="auto"/>
          <w:highlight w:val="none"/>
          <w:u w:val="none"/>
          <w:lang w:val="en-US" w:eastAsia="zh-CN"/>
        </w:rPr>
        <w:t>可行性分析</w:t>
      </w:r>
      <w:bookmarkEnd w:id="28"/>
    </w:p>
    <w:p>
      <w:pPr>
        <w:bidi w:val="0"/>
        <w:adjustRightInd w:val="0"/>
        <w:snapToGrid w:val="0"/>
        <w:spacing w:line="480" w:lineRule="exact"/>
        <w:ind w:firstLine="640"/>
        <w:rPr>
          <w:rFonts w:hint="default" w:ascii="Times New Roman" w:hAnsi="Times New Roman" w:eastAsia="宋体" w:cs="Times New Roman"/>
          <w:bCs/>
          <w:color w:val="auto"/>
          <w:sz w:val="24"/>
          <w:szCs w:val="24"/>
          <w:highlight w:val="none"/>
          <w:u w:val="none"/>
          <w:lang w:val="en-US" w:eastAsia="zh-CN"/>
        </w:rPr>
      </w:pPr>
      <w:r>
        <w:rPr>
          <w:rFonts w:hint="default" w:ascii="Times New Roman" w:hAnsi="Times New Roman" w:eastAsia="宋体" w:cs="Times New Roman"/>
          <w:bCs/>
          <w:color w:val="auto"/>
          <w:sz w:val="24"/>
          <w:szCs w:val="24"/>
          <w:highlight w:val="none"/>
          <w:u w:val="none"/>
          <w:lang w:val="en-US" w:eastAsia="zh-CN"/>
        </w:rPr>
        <w:t>（1）柘城县第二污水处理厂运营情况</w:t>
      </w:r>
    </w:p>
    <w:p>
      <w:pPr>
        <w:bidi w:val="0"/>
        <w:adjustRightInd w:val="0"/>
        <w:snapToGrid w:val="0"/>
        <w:spacing w:line="480" w:lineRule="exact"/>
        <w:ind w:firstLine="640"/>
        <w:rPr>
          <w:rFonts w:hint="default" w:ascii="Times New Roman" w:hAnsi="Times New Roman" w:eastAsia="宋体" w:cs="Times New Roman"/>
          <w:bCs/>
          <w:color w:val="auto"/>
          <w:sz w:val="24"/>
          <w:szCs w:val="24"/>
          <w:highlight w:val="none"/>
          <w:u w:val="none"/>
          <w:lang w:val="en-US" w:eastAsia="zh-CN"/>
        </w:rPr>
      </w:pPr>
      <w:r>
        <w:rPr>
          <w:rFonts w:hint="eastAsia" w:ascii="Times New Roman" w:hAnsi="Times New Roman" w:eastAsia="宋体" w:cs="Times New Roman"/>
          <w:bCs/>
          <w:color w:val="auto"/>
          <w:kern w:val="0"/>
          <w:szCs w:val="21"/>
          <w:highlight w:val="none"/>
          <w:u w:val="none"/>
        </w:rPr>
        <w:t>柘</w:t>
      </w:r>
      <w:r>
        <w:rPr>
          <w:rFonts w:ascii="Times New Roman" w:hAnsi="Times New Roman" w:eastAsia="宋体" w:cs="Times New Roman"/>
          <w:bCs/>
          <w:color w:val="auto"/>
          <w:kern w:val="0"/>
          <w:szCs w:val="21"/>
          <w:highlight w:val="none"/>
          <w:u w:val="none"/>
        </w:rPr>
        <w:t>城县第二污水处理厂位于柘睢路与西外环交叉口东南角，设计处理能力为日处理污水2.00万立方米。服务范围为柘城县长江新城及西部产业集聚区2015年城镇规划区范围。主要建设内容包括厂区土建施工，工艺设备、工艺管道安装，电气、自控系统安装，照明，防雷接地，采暖，通风，厂区道路施工及绿化等。柘城第二污水处理厂自2013年8月正式投入运行以来，污水处理设备运转良好，</w:t>
      </w:r>
      <w:r>
        <w:rPr>
          <w:rFonts w:hint="eastAsia" w:ascii="Times New Roman" w:hAnsi="Times New Roman" w:eastAsia="宋体" w:cs="Times New Roman"/>
          <w:bCs/>
          <w:color w:val="auto"/>
          <w:kern w:val="0"/>
          <w:szCs w:val="21"/>
          <w:highlight w:val="none"/>
          <w:u w:val="none"/>
          <w:lang w:val="en-US" w:eastAsia="zh-CN"/>
        </w:rPr>
        <w:t>根据2021年柘城县第二污水处理厂自动监测结果，各项因子均可满足</w:t>
      </w:r>
      <w:r>
        <w:rPr>
          <w:rFonts w:hint="default" w:ascii="Times New Roman" w:hAnsi="Times New Roman" w:eastAsia="宋体" w:cs="Times New Roman"/>
          <w:bCs/>
          <w:color w:val="auto"/>
          <w:kern w:val="0"/>
          <w:szCs w:val="21"/>
          <w:highlight w:val="none"/>
          <w:u w:val="none"/>
        </w:rPr>
        <w:t>《城镇污水处理</w:t>
      </w:r>
      <w:r>
        <w:rPr>
          <w:rFonts w:hint="default" w:ascii="Times New Roman" w:hAnsi="Times New Roman" w:eastAsia="宋体" w:cs="Times New Roman"/>
          <w:bCs/>
          <w:color w:val="auto"/>
          <w:kern w:val="0"/>
          <w:szCs w:val="21"/>
          <w:highlight w:val="none"/>
          <w:u w:val="none"/>
          <w:lang w:val="en-US" w:eastAsia="zh-CN"/>
        </w:rPr>
        <w:t>厂</w:t>
      </w:r>
      <w:r>
        <w:rPr>
          <w:rFonts w:hint="default" w:ascii="Times New Roman" w:hAnsi="Times New Roman" w:eastAsia="宋体" w:cs="Times New Roman"/>
          <w:bCs/>
          <w:color w:val="auto"/>
          <w:kern w:val="0"/>
          <w:szCs w:val="21"/>
          <w:highlight w:val="none"/>
          <w:u w:val="none"/>
        </w:rPr>
        <w:t>污染物排放标准》一级A排放标准</w:t>
      </w:r>
      <w:r>
        <w:rPr>
          <w:rFonts w:hint="eastAsia" w:ascii="Times New Roman" w:hAnsi="Times New Roman" w:eastAsia="宋体" w:cs="Times New Roman"/>
          <w:bCs/>
          <w:color w:val="auto"/>
          <w:kern w:val="0"/>
          <w:szCs w:val="21"/>
          <w:highlight w:val="none"/>
          <w:u w:val="none"/>
          <w:lang w:val="en-US" w:eastAsia="zh-CN"/>
        </w:rPr>
        <w:t>。2021年该污水厂运行负荷平均为48.9%，</w:t>
      </w:r>
      <w:r>
        <w:rPr>
          <w:rFonts w:ascii="Times New Roman" w:hAnsi="Times New Roman" w:eastAsia="宋体" w:cs="Times New Roman"/>
          <w:bCs/>
          <w:color w:val="auto"/>
          <w:kern w:val="0"/>
          <w:szCs w:val="21"/>
          <w:highlight w:val="none"/>
          <w:u w:val="none"/>
        </w:rPr>
        <w:t>日平均处理污水量为0.9</w:t>
      </w:r>
      <w:r>
        <w:rPr>
          <w:rFonts w:hint="eastAsia" w:ascii="Times New Roman" w:hAnsi="Times New Roman" w:eastAsia="宋体" w:cs="Times New Roman"/>
          <w:bCs/>
          <w:color w:val="auto"/>
          <w:kern w:val="0"/>
          <w:szCs w:val="21"/>
          <w:highlight w:val="none"/>
          <w:u w:val="none"/>
          <w:lang w:val="en-US" w:eastAsia="zh-CN"/>
        </w:rPr>
        <w:t>8</w:t>
      </w:r>
      <w:r>
        <w:rPr>
          <w:rFonts w:ascii="Times New Roman" w:hAnsi="Times New Roman" w:eastAsia="宋体" w:cs="Times New Roman"/>
          <w:bCs/>
          <w:color w:val="auto"/>
          <w:kern w:val="0"/>
          <w:szCs w:val="21"/>
          <w:highlight w:val="none"/>
          <w:u w:val="none"/>
        </w:rPr>
        <w:t>万立方米。该项目采用先进的污水处理设备，厂区主体工艺采用氧化沟处理工艺，出水标准为一级A标准</w:t>
      </w:r>
      <w:r>
        <w:rPr>
          <w:rFonts w:hint="eastAsia" w:eastAsia="宋体" w:cs="Times New Roman"/>
          <w:bCs/>
          <w:color w:val="auto"/>
          <w:kern w:val="0"/>
          <w:szCs w:val="21"/>
          <w:highlight w:val="none"/>
          <w:u w:val="none"/>
          <w:lang w:eastAsia="zh-CN"/>
        </w:rPr>
        <w:t>（改造后实现出水COD≤30mg/L、氨氮≤1.5mg/L，预计2023年6月完成改造）</w:t>
      </w:r>
      <w:r>
        <w:rPr>
          <w:rFonts w:ascii="Times New Roman" w:hAnsi="Times New Roman" w:eastAsia="宋体" w:cs="Times New Roman"/>
          <w:bCs/>
          <w:color w:val="auto"/>
          <w:kern w:val="0"/>
          <w:szCs w:val="21"/>
          <w:highlight w:val="none"/>
          <w:u w:val="none"/>
        </w:rPr>
        <w:t>，尾水排入余河坡，最终汇入惠济河。</w:t>
      </w:r>
    </w:p>
    <w:p>
      <w:pPr>
        <w:bidi w:val="0"/>
        <w:adjustRightInd w:val="0"/>
        <w:snapToGrid w:val="0"/>
        <w:spacing w:line="480" w:lineRule="exact"/>
        <w:ind w:firstLine="640"/>
        <w:rPr>
          <w:rFonts w:hint="default" w:ascii="Times New Roman" w:hAnsi="Times New Roman" w:eastAsia="宋体" w:cs="Times New Roman"/>
          <w:color w:val="auto"/>
          <w:szCs w:val="24"/>
          <w:highlight w:val="none"/>
          <w:u w:val="none"/>
        </w:rPr>
      </w:pPr>
      <w:r>
        <w:rPr>
          <w:rFonts w:hint="eastAsia" w:ascii="Times New Roman" w:hAnsi="Times New Roman" w:eastAsia="宋体" w:cs="Times New Roman"/>
          <w:bCs/>
          <w:color w:val="auto"/>
          <w:sz w:val="24"/>
          <w:szCs w:val="24"/>
          <w:highlight w:val="none"/>
          <w:u w:val="none"/>
          <w:lang w:val="en-US" w:eastAsia="zh-CN"/>
        </w:rPr>
        <w:t>柘城县第二污水处理厂</w:t>
      </w:r>
      <w:r>
        <w:rPr>
          <w:rFonts w:hint="default" w:ascii="Times New Roman" w:hAnsi="Times New Roman" w:eastAsia="宋体" w:cs="Times New Roman"/>
          <w:color w:val="auto"/>
          <w:szCs w:val="24"/>
          <w:highlight w:val="none"/>
          <w:u w:val="none"/>
        </w:rPr>
        <w:t>设计进出水水质指标见</w:t>
      </w:r>
      <w:r>
        <w:rPr>
          <w:rFonts w:hint="default" w:ascii="Times New Roman" w:hAnsi="Times New Roman" w:eastAsia="宋体" w:cs="Times New Roman"/>
          <w:color w:val="auto"/>
          <w:szCs w:val="24"/>
          <w:highlight w:val="none"/>
          <w:u w:val="none"/>
        </w:rPr>
        <w:fldChar w:fldCharType="begin"/>
      </w:r>
      <w:r>
        <w:rPr>
          <w:rFonts w:hint="default" w:ascii="Times New Roman" w:hAnsi="Times New Roman" w:eastAsia="宋体" w:cs="Times New Roman"/>
          <w:color w:val="auto"/>
          <w:szCs w:val="24"/>
          <w:highlight w:val="none"/>
          <w:u w:val="none"/>
        </w:rPr>
        <w:instrText xml:space="preserve"> REF _Ref23009 \h </w:instrText>
      </w:r>
      <w:r>
        <w:rPr>
          <w:rFonts w:hint="default" w:ascii="Times New Roman" w:hAnsi="Times New Roman" w:eastAsia="宋体" w:cs="Times New Roman"/>
          <w:color w:val="auto"/>
          <w:szCs w:val="24"/>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8.3</w:t>
      </w:r>
      <w:r>
        <w:rPr>
          <w:color w:val="auto"/>
          <w:highlight w:val="none"/>
          <w:u w:val="none"/>
        </w:rPr>
        <w:fldChar w:fldCharType="end"/>
      </w:r>
      <w:r>
        <w:rPr>
          <w:rFonts w:hint="eastAsia"/>
          <w:color w:val="auto"/>
          <w:highlight w:val="none"/>
          <w:u w:val="none"/>
          <w:lang w:eastAsia="zh-CN"/>
        </w:rPr>
        <w:t>-</w:t>
      </w:r>
      <w:r>
        <w:rPr>
          <w:color w:val="auto"/>
          <w:highlight w:val="none"/>
          <w:u w:val="none"/>
        </w:rPr>
        <w:t>8</w:t>
      </w:r>
      <w:r>
        <w:rPr>
          <w:rFonts w:hint="default" w:ascii="Times New Roman" w:hAnsi="Times New Roman" w:eastAsia="宋体" w:cs="Times New Roman"/>
          <w:color w:val="auto"/>
          <w:szCs w:val="24"/>
          <w:highlight w:val="none"/>
          <w:u w:val="none"/>
        </w:rPr>
        <w:fldChar w:fldCharType="end"/>
      </w:r>
      <w:r>
        <w:rPr>
          <w:rFonts w:hint="default" w:ascii="Times New Roman" w:hAnsi="Times New Roman" w:eastAsia="宋体" w:cs="Times New Roman"/>
          <w:color w:val="auto"/>
          <w:szCs w:val="24"/>
          <w:highlight w:val="none"/>
          <w:u w:val="none"/>
        </w:rPr>
        <w:t>。</w:t>
      </w:r>
    </w:p>
    <w:p>
      <w:pPr>
        <w:pStyle w:val="9"/>
        <w:bidi w:val="0"/>
        <w:rPr>
          <w:rFonts w:hint="default" w:ascii="Times New Roman" w:hAnsi="Times New Roman" w:eastAsia="宋体" w:cs="Times New Roman"/>
          <w:color w:val="auto"/>
          <w:kern w:val="0"/>
          <w:szCs w:val="24"/>
          <w:highlight w:val="none"/>
          <w:u w:val="none"/>
          <w:lang w:bidi="ar"/>
        </w:rPr>
      </w:pPr>
      <w:r>
        <w:rPr>
          <w:rFonts w:hint="eastAsia" w:eastAsia="宋体" w:cs="Times New Roman"/>
          <w:b/>
          <w:bCs/>
          <w:color w:val="auto"/>
          <w:kern w:val="0"/>
          <w:szCs w:val="24"/>
          <w:highlight w:val="none"/>
          <w:u w:val="none"/>
          <w:lang w:val="en-US" w:eastAsia="zh-CN" w:bidi="ar"/>
        </w:rPr>
        <w:t xml:space="preserve"> </w:t>
      </w:r>
      <w:bookmarkStart w:id="29" w:name="_Ref23009"/>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8.3</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8</w:t>
      </w:r>
      <w:r>
        <w:rPr>
          <w:color w:val="auto"/>
          <w:highlight w:val="none"/>
          <w:u w:val="none"/>
        </w:rPr>
        <w:fldChar w:fldCharType="end"/>
      </w:r>
      <w:bookmarkEnd w:id="29"/>
      <w:r>
        <w:rPr>
          <w:rFonts w:hint="default" w:ascii="Times New Roman" w:hAnsi="Times New Roman" w:eastAsia="宋体" w:cs="Times New Roman"/>
          <w:b/>
          <w:bCs/>
          <w:color w:val="auto"/>
          <w:kern w:val="0"/>
          <w:szCs w:val="24"/>
          <w:highlight w:val="none"/>
          <w:u w:val="none"/>
          <w:lang w:bidi="ar"/>
        </w:rPr>
        <w:t xml:space="preserve">  </w:t>
      </w:r>
      <w:r>
        <w:rPr>
          <w:rFonts w:hint="default" w:ascii="Times New Roman" w:hAnsi="Times New Roman" w:eastAsia="宋体" w:cs="Times New Roman"/>
          <w:b/>
          <w:bCs/>
          <w:color w:val="auto"/>
          <w:kern w:val="0"/>
          <w:szCs w:val="24"/>
          <w:highlight w:val="none"/>
          <w:u w:val="none"/>
          <w:lang w:val="en-US" w:eastAsia="zh-CN" w:bidi="ar"/>
        </w:rPr>
        <w:t xml:space="preserve">   </w:t>
      </w:r>
      <w:r>
        <w:rPr>
          <w:rFonts w:hint="eastAsia" w:ascii="Times New Roman" w:hAnsi="Times New Roman" w:eastAsia="宋体" w:cs="Times New Roman"/>
          <w:b/>
          <w:bCs/>
          <w:color w:val="auto"/>
          <w:kern w:val="0"/>
          <w:szCs w:val="24"/>
          <w:highlight w:val="none"/>
          <w:u w:val="none"/>
          <w:lang w:eastAsia="zh-CN" w:bidi="ar"/>
        </w:rPr>
        <w:t>柘城县第二污水处理厂</w:t>
      </w:r>
      <w:r>
        <w:rPr>
          <w:rFonts w:hint="default" w:ascii="Times New Roman" w:hAnsi="Times New Roman" w:eastAsia="宋体" w:cs="Times New Roman"/>
          <w:b/>
          <w:bCs/>
          <w:color w:val="auto"/>
          <w:kern w:val="0"/>
          <w:szCs w:val="24"/>
          <w:highlight w:val="none"/>
          <w:u w:val="none"/>
          <w:lang w:bidi="ar"/>
        </w:rPr>
        <w:t>设计进出水水质指标   单位：mg/L</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5"/>
        <w:gridCol w:w="1517"/>
        <w:gridCol w:w="1641"/>
        <w:gridCol w:w="1423"/>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3" w:type="pct"/>
            <w:noWrap w:val="0"/>
            <w:vAlign w:val="center"/>
          </w:tcPr>
          <w:p>
            <w:pPr>
              <w:keepNext w:val="0"/>
              <w:keepLines/>
              <w:pageBreakBefore w:val="0"/>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Times New Roman" w:cs="Times New Roman"/>
                <w:b w:val="0"/>
                <w:bCs w:val="0"/>
                <w:color w:val="auto"/>
                <w:sz w:val="21"/>
                <w:szCs w:val="21"/>
                <w:highlight w:val="none"/>
                <w:u w:val="none"/>
              </w:rPr>
            </w:pPr>
            <w:bookmarkStart w:id="30" w:name="_Toc4631"/>
            <w:r>
              <w:rPr>
                <w:rFonts w:hint="default" w:ascii="Times New Roman" w:hAnsi="Times New Roman" w:eastAsia="Times New Roman" w:cs="Times New Roman"/>
                <w:b w:val="0"/>
                <w:bCs w:val="0"/>
                <w:color w:val="auto"/>
                <w:sz w:val="21"/>
                <w:szCs w:val="21"/>
                <w:highlight w:val="none"/>
                <w:u w:val="none"/>
              </w:rPr>
              <w:t>项目</w:t>
            </w:r>
            <w:bookmarkEnd w:id="30"/>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 New Roman" w:cs="Times New Roman"/>
                <w:b w:val="0"/>
                <w:bCs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COD（mg/L）</w:t>
            </w:r>
          </w:p>
        </w:tc>
        <w:tc>
          <w:tcPr>
            <w:tcW w:w="96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 New Roman" w:cs="Times New Roman"/>
                <w:b w:val="0"/>
                <w:bCs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BOD</w:t>
            </w:r>
            <w:r>
              <w:rPr>
                <w:rFonts w:hint="default" w:ascii="Times New Roman" w:hAnsi="Times New Roman" w:eastAsia="宋体" w:cs="Times New Roman"/>
                <w:i w:val="0"/>
                <w:color w:val="auto"/>
                <w:kern w:val="0"/>
                <w:sz w:val="21"/>
                <w:szCs w:val="21"/>
                <w:highlight w:val="none"/>
                <w:u w:val="none"/>
                <w:vertAlign w:val="subscript"/>
                <w:lang w:val="en-US" w:eastAsia="zh-CN" w:bidi="ar"/>
              </w:rPr>
              <w:t>5</w:t>
            </w:r>
            <w:r>
              <w:rPr>
                <w:rFonts w:hint="default" w:ascii="Times New Roman" w:hAnsi="Times New Roman" w:eastAsia="宋体" w:cs="Times New Roman"/>
                <w:i w:val="0"/>
                <w:color w:val="auto"/>
                <w:kern w:val="0"/>
                <w:sz w:val="21"/>
                <w:szCs w:val="21"/>
                <w:highlight w:val="none"/>
                <w:u w:val="none"/>
                <w:lang w:val="en-US" w:eastAsia="zh-CN" w:bidi="ar"/>
              </w:rPr>
              <w:t>（mg/L）</w:t>
            </w:r>
          </w:p>
        </w:tc>
        <w:tc>
          <w:tcPr>
            <w:tcW w:w="83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 New Roman" w:cs="Times New Roman"/>
                <w:b w:val="0"/>
                <w:bCs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SS（mg/L）</w:t>
            </w:r>
          </w:p>
        </w:tc>
        <w:tc>
          <w:tcPr>
            <w:tcW w:w="88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Times New Roman" w:cs="Times New Roman"/>
                <w:b w:val="0"/>
                <w:bCs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氨氮（mg/L）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3" w:type="pct"/>
            <w:noWrap w:val="0"/>
            <w:vAlign w:val="center"/>
          </w:tcPr>
          <w:p>
            <w:pPr>
              <w:keepNext w:val="0"/>
              <w:keepLines/>
              <w:pageBreakBefore w:val="0"/>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color w:val="auto"/>
                <w:sz w:val="21"/>
                <w:szCs w:val="21"/>
                <w:highlight w:val="none"/>
                <w:u w:val="none"/>
                <w:lang w:val="en-US" w:eastAsia="zh-CN"/>
              </w:rPr>
            </w:pPr>
            <w:bookmarkStart w:id="31" w:name="_Toc19461"/>
            <w:r>
              <w:rPr>
                <w:rFonts w:hint="default" w:ascii="Times New Roman" w:hAnsi="Times New Roman" w:eastAsia="Times New Roman" w:cs="Times New Roman"/>
                <w:b w:val="0"/>
                <w:color w:val="auto"/>
                <w:sz w:val="21"/>
                <w:szCs w:val="21"/>
                <w:highlight w:val="none"/>
                <w:u w:val="none"/>
              </w:rPr>
              <w:t>进水</w:t>
            </w:r>
            <w:bookmarkEnd w:id="31"/>
            <w:r>
              <w:rPr>
                <w:rFonts w:hint="default" w:ascii="Times New Roman" w:hAnsi="Times New Roman" w:eastAsia="宋体" w:cs="Times New Roman"/>
                <w:b w:val="0"/>
                <w:color w:val="auto"/>
                <w:sz w:val="21"/>
                <w:szCs w:val="21"/>
                <w:highlight w:val="none"/>
                <w:u w:val="none"/>
                <w:lang w:val="en-US" w:eastAsia="zh-CN"/>
              </w:rPr>
              <w:t>标准</w:t>
            </w:r>
          </w:p>
        </w:tc>
        <w:tc>
          <w:tcPr>
            <w:tcW w:w="890"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Times New Roman" w:cs="Times New Roman"/>
                <w:b w:val="0"/>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4"/>
                <w:highlight w:val="none"/>
                <w:u w:val="none"/>
                <w:lang w:val="en-US" w:eastAsia="zh-CN" w:bidi="ar-SA"/>
              </w:rPr>
              <w:t>5</w:t>
            </w:r>
            <w:r>
              <w:rPr>
                <w:rFonts w:hint="default" w:ascii="Times New Roman" w:hAnsi="Times New Roman" w:eastAsia="宋体" w:cs="Times New Roman"/>
                <w:color w:val="auto"/>
                <w:kern w:val="2"/>
                <w:sz w:val="21"/>
                <w:szCs w:val="24"/>
                <w:highlight w:val="none"/>
                <w:u w:val="none"/>
                <w:lang w:val="en-US" w:eastAsia="zh-CN" w:bidi="ar-SA"/>
              </w:rPr>
              <w:t>00</w:t>
            </w:r>
          </w:p>
        </w:tc>
        <w:tc>
          <w:tcPr>
            <w:tcW w:w="963"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Times New Roman" w:cs="Times New Roman"/>
                <w:b w:val="0"/>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220</w:t>
            </w:r>
          </w:p>
        </w:tc>
        <w:tc>
          <w:tcPr>
            <w:tcW w:w="835"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Times New Roman" w:cs="Times New Roman"/>
                <w:b w:val="0"/>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4"/>
                <w:highlight w:val="none"/>
                <w:u w:val="none"/>
                <w:lang w:val="en-US" w:eastAsia="zh-CN" w:bidi="ar-SA"/>
              </w:rPr>
              <w:t>4</w:t>
            </w:r>
            <w:r>
              <w:rPr>
                <w:rFonts w:hint="default" w:ascii="Times New Roman" w:hAnsi="Times New Roman" w:eastAsia="宋体" w:cs="Times New Roman"/>
                <w:color w:val="auto"/>
                <w:kern w:val="2"/>
                <w:sz w:val="21"/>
                <w:szCs w:val="24"/>
                <w:highlight w:val="none"/>
                <w:u w:val="none"/>
                <w:lang w:val="en-US" w:eastAsia="zh-CN" w:bidi="ar-SA"/>
              </w:rPr>
              <w:t>00</w:t>
            </w:r>
          </w:p>
        </w:tc>
        <w:tc>
          <w:tcPr>
            <w:tcW w:w="886"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Times New Roman" w:cs="Times New Roman"/>
                <w:b w:val="0"/>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4"/>
                <w:highlight w:val="none"/>
                <w:u w:val="no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3" w:type="pct"/>
            <w:noWrap w:val="0"/>
            <w:vAlign w:val="center"/>
          </w:tcPr>
          <w:p>
            <w:pPr>
              <w:keepNext w:val="0"/>
              <w:keepLines/>
              <w:pageBreakBefore w:val="0"/>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Times New Roman" w:cs="Times New Roman"/>
                <w:b w:val="0"/>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出水满足</w:t>
            </w:r>
            <w:r>
              <w:rPr>
                <w:rFonts w:hint="default" w:ascii="Times New Roman" w:hAnsi="Times New Roman" w:eastAsia="宋体" w:cs="Times New Roman"/>
                <w:color w:val="auto"/>
                <w:sz w:val="21"/>
                <w:szCs w:val="21"/>
                <w:highlight w:val="none"/>
                <w:u w:val="none"/>
              </w:rPr>
              <w:t>《城镇污水处理</w:t>
            </w:r>
            <w:r>
              <w:rPr>
                <w:rFonts w:hint="default" w:ascii="Times New Roman" w:hAnsi="Times New Roman" w:eastAsia="宋体" w:cs="Times New Roman"/>
                <w:color w:val="auto"/>
                <w:sz w:val="21"/>
                <w:szCs w:val="21"/>
                <w:highlight w:val="none"/>
                <w:u w:val="none"/>
                <w:lang w:val="en-US" w:eastAsia="zh-CN"/>
              </w:rPr>
              <w:t>厂</w:t>
            </w:r>
            <w:r>
              <w:rPr>
                <w:rFonts w:hint="default" w:ascii="Times New Roman" w:hAnsi="Times New Roman" w:eastAsia="宋体" w:cs="Times New Roman"/>
                <w:color w:val="auto"/>
                <w:sz w:val="21"/>
                <w:szCs w:val="21"/>
                <w:highlight w:val="none"/>
                <w:u w:val="none"/>
              </w:rPr>
              <w:t>污染物排放标准》一级A排放标准</w:t>
            </w:r>
          </w:p>
        </w:tc>
        <w:tc>
          <w:tcPr>
            <w:tcW w:w="890" w:type="pct"/>
            <w:noWrap w:val="0"/>
            <w:vAlign w:val="center"/>
          </w:tcPr>
          <w:p>
            <w:pPr>
              <w:keepNext w:val="0"/>
              <w:keepLines/>
              <w:pageBreakBefore w:val="0"/>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50</w:t>
            </w:r>
          </w:p>
        </w:tc>
        <w:tc>
          <w:tcPr>
            <w:tcW w:w="963" w:type="pct"/>
            <w:noWrap w:val="0"/>
            <w:vAlign w:val="center"/>
          </w:tcPr>
          <w:p>
            <w:pPr>
              <w:keepNext w:val="0"/>
              <w:keepLines/>
              <w:pageBreakBefore w:val="0"/>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10</w:t>
            </w:r>
          </w:p>
        </w:tc>
        <w:tc>
          <w:tcPr>
            <w:tcW w:w="835" w:type="pct"/>
            <w:noWrap w:val="0"/>
            <w:vAlign w:val="center"/>
          </w:tcPr>
          <w:p>
            <w:pPr>
              <w:keepNext w:val="0"/>
              <w:keepLines/>
              <w:pageBreakBefore w:val="0"/>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10</w:t>
            </w:r>
          </w:p>
        </w:tc>
        <w:tc>
          <w:tcPr>
            <w:tcW w:w="886" w:type="pct"/>
            <w:noWrap w:val="0"/>
            <w:vAlign w:val="center"/>
          </w:tcPr>
          <w:p>
            <w:pPr>
              <w:keepNext w:val="0"/>
              <w:keepLines w:val="0"/>
              <w:widowControl/>
              <w:suppressLineNumbers w:val="0"/>
              <w:adjustRightInd w:val="0"/>
              <w:snapToGrid w:val="0"/>
              <w:spacing w:line="480" w:lineRule="exact"/>
              <w:ind w:left="0" w:leftChars="0"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3" w:type="pct"/>
            <w:noWrap w:val="0"/>
            <w:vAlign w:val="center"/>
          </w:tcPr>
          <w:p>
            <w:pPr>
              <w:keepNext w:val="0"/>
              <w:keepLines/>
              <w:pageBreakBefore w:val="0"/>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“一河一策”专项方案</w:t>
            </w:r>
          </w:p>
        </w:tc>
        <w:tc>
          <w:tcPr>
            <w:tcW w:w="890" w:type="pct"/>
            <w:noWrap w:val="0"/>
            <w:vAlign w:val="center"/>
          </w:tcPr>
          <w:p>
            <w:pPr>
              <w:keepNext w:val="0"/>
              <w:keepLines/>
              <w:pageBreakBefore w:val="0"/>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30</w:t>
            </w:r>
          </w:p>
        </w:tc>
        <w:tc>
          <w:tcPr>
            <w:tcW w:w="963" w:type="pct"/>
            <w:noWrap w:val="0"/>
            <w:vAlign w:val="center"/>
          </w:tcPr>
          <w:p>
            <w:pPr>
              <w:keepNext w:val="0"/>
              <w:keepLines/>
              <w:pageBreakBefore w:val="0"/>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w:t>
            </w:r>
          </w:p>
        </w:tc>
        <w:tc>
          <w:tcPr>
            <w:tcW w:w="835" w:type="pct"/>
            <w:noWrap w:val="0"/>
            <w:vAlign w:val="center"/>
          </w:tcPr>
          <w:p>
            <w:pPr>
              <w:keepNext w:val="0"/>
              <w:keepLines/>
              <w:pageBreakBefore w:val="0"/>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w:t>
            </w:r>
          </w:p>
        </w:tc>
        <w:tc>
          <w:tcPr>
            <w:tcW w:w="886" w:type="pct"/>
            <w:noWrap w:val="0"/>
            <w:vAlign w:val="center"/>
          </w:tcPr>
          <w:p>
            <w:pPr>
              <w:keepNext w:val="0"/>
              <w:keepLines w:val="0"/>
              <w:widowControl/>
              <w:suppressLineNumbers w:val="0"/>
              <w:adjustRightInd w:val="0"/>
              <w:snapToGrid w:val="0"/>
              <w:spacing w:line="480" w:lineRule="exact"/>
              <w:ind w:left="0" w:leftChars="0"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1.5</w:t>
            </w:r>
          </w:p>
        </w:tc>
      </w:tr>
    </w:tbl>
    <w:p>
      <w:pPr>
        <w:bidi w:val="0"/>
        <w:adjustRightInd w:val="0"/>
        <w:snapToGrid w:val="0"/>
        <w:spacing w:line="480" w:lineRule="exact"/>
        <w:ind w:firstLine="640"/>
        <w:rPr>
          <w:rFonts w:hint="default" w:ascii="Times New Roman" w:hAnsi="Times New Roman" w:eastAsia="宋体" w:cs="Times New Roman"/>
          <w:bCs/>
          <w:color w:val="auto"/>
          <w:sz w:val="24"/>
          <w:szCs w:val="24"/>
          <w:highlight w:val="none"/>
          <w:u w:val="none"/>
          <w:lang w:val="en-US" w:eastAsia="zh-CN"/>
        </w:rPr>
        <w:sectPr>
          <w:pgSz w:w="11905" w:h="16838"/>
          <w:pgMar w:top="1440" w:right="1800" w:bottom="1440" w:left="1800"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9"/>
        <w:bidi w:val="0"/>
        <w:rPr>
          <w:rFonts w:hint="default" w:ascii="Times New Roman" w:hAnsi="Times New Roman" w:eastAsia="宋体" w:cs="Times New Roman"/>
          <w:b/>
          <w:color w:val="auto"/>
          <w:kern w:val="2"/>
          <w:sz w:val="24"/>
          <w:szCs w:val="32"/>
          <w:highlight w:val="none"/>
          <w:u w:val="none"/>
          <w:lang w:val="en-US" w:eastAsia="zh-CN" w:bidi="ar-SA"/>
        </w:rPr>
      </w:pPr>
      <w:r>
        <w:rPr>
          <w:rFonts w:hint="eastAsia" w:eastAsia="宋体" w:cs="Times New Roman"/>
          <w:b/>
          <w:color w:val="auto"/>
          <w:kern w:val="2"/>
          <w:sz w:val="24"/>
          <w:szCs w:val="32"/>
          <w:highlight w:val="none"/>
          <w:u w:val="none"/>
          <w:lang w:val="en-US" w:eastAsia="zh-CN" w:bidi="ar-SA"/>
        </w:rPr>
        <w:t xml:space="preserve"> </w:t>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8.3</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9</w:t>
      </w:r>
      <w:r>
        <w:rPr>
          <w:color w:val="auto"/>
          <w:highlight w:val="none"/>
          <w:u w:val="none"/>
        </w:rPr>
        <w:fldChar w:fldCharType="end"/>
      </w:r>
      <w:r>
        <w:rPr>
          <w:rFonts w:hint="eastAsia" w:ascii="Times New Roman" w:hAnsi="Times New Roman" w:eastAsia="宋体" w:cs="Times New Roman"/>
          <w:b/>
          <w:color w:val="auto"/>
          <w:kern w:val="2"/>
          <w:sz w:val="24"/>
          <w:szCs w:val="32"/>
          <w:highlight w:val="none"/>
          <w:u w:val="none"/>
          <w:lang w:val="en-US" w:eastAsia="zh-CN" w:bidi="ar-SA"/>
        </w:rPr>
        <w:t xml:space="preserve">  </w:t>
      </w:r>
      <w:r>
        <w:rPr>
          <w:rFonts w:hint="eastAsia" w:eastAsia="宋体" w:cs="Times New Roman"/>
          <w:b/>
          <w:color w:val="auto"/>
          <w:kern w:val="2"/>
          <w:sz w:val="24"/>
          <w:szCs w:val="32"/>
          <w:highlight w:val="none"/>
          <w:u w:val="none"/>
          <w:lang w:val="en-US" w:eastAsia="zh-CN" w:bidi="ar-SA"/>
        </w:rPr>
        <w:t xml:space="preserve">   </w:t>
      </w:r>
      <w:r>
        <w:rPr>
          <w:rFonts w:hint="eastAsia" w:ascii="Times New Roman" w:hAnsi="Times New Roman" w:eastAsia="宋体" w:cs="Times New Roman"/>
          <w:b/>
          <w:color w:val="auto"/>
          <w:kern w:val="2"/>
          <w:sz w:val="24"/>
          <w:szCs w:val="32"/>
          <w:highlight w:val="none"/>
          <w:u w:val="none"/>
          <w:lang w:val="en-US" w:eastAsia="zh-CN" w:bidi="ar-SA"/>
        </w:rPr>
        <w:t>2021年柘城县第二污水处理厂自动监测情况</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64"/>
        <w:gridCol w:w="740"/>
        <w:gridCol w:w="734"/>
        <w:gridCol w:w="629"/>
        <w:gridCol w:w="718"/>
        <w:gridCol w:w="548"/>
        <w:gridCol w:w="748"/>
        <w:gridCol w:w="683"/>
        <w:gridCol w:w="640"/>
        <w:gridCol w:w="710"/>
        <w:gridCol w:w="629"/>
        <w:gridCol w:w="613"/>
        <w:gridCol w:w="667"/>
        <w:gridCol w:w="634"/>
        <w:gridCol w:w="575"/>
        <w:gridCol w:w="610"/>
        <w:gridCol w:w="691"/>
        <w:gridCol w:w="648"/>
        <w:gridCol w:w="1039"/>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04" w:hRule="atLeast"/>
        </w:trPr>
        <w:tc>
          <w:tcPr>
            <w:tcW w:w="209" w:type="pct"/>
            <w:vMerge w:val="restar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时间</w:t>
            </w:r>
          </w:p>
        </w:tc>
        <w:tc>
          <w:tcPr>
            <w:tcW w:w="546" w:type="pct"/>
            <w:gridSpan w:val="2"/>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COD浓度月平均值（mg/L）</w:t>
            </w:r>
          </w:p>
        </w:tc>
        <w:tc>
          <w:tcPr>
            <w:tcW w:w="499" w:type="pct"/>
            <w:gridSpan w:val="2"/>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氨氮浓度月平均值（mg/L）</w:t>
            </w:r>
          </w:p>
        </w:tc>
        <w:tc>
          <w:tcPr>
            <w:tcW w:w="480" w:type="pct"/>
            <w:gridSpan w:val="2"/>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总氮浓度月平均值（mg/L）</w:t>
            </w:r>
          </w:p>
        </w:tc>
        <w:tc>
          <w:tcPr>
            <w:tcW w:w="490" w:type="pct"/>
            <w:gridSpan w:val="2"/>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总磷浓度月平均值（mg/L）</w:t>
            </w:r>
          </w:p>
        </w:tc>
        <w:tc>
          <w:tcPr>
            <w:tcW w:w="263" w:type="pct"/>
            <w:vMerge w:val="restar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日处理能力（万吨）</w:t>
            </w:r>
          </w:p>
        </w:tc>
        <w:tc>
          <w:tcPr>
            <w:tcW w:w="942" w:type="pct"/>
            <w:gridSpan w:val="4"/>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执行标准（mg/L）</w:t>
            </w:r>
          </w:p>
        </w:tc>
        <w:tc>
          <w:tcPr>
            <w:tcW w:w="935" w:type="pct"/>
            <w:gridSpan w:val="4"/>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达标率（%）</w:t>
            </w:r>
          </w:p>
        </w:tc>
        <w:tc>
          <w:tcPr>
            <w:tcW w:w="385"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hint="eastAsia" w:ascii="Times New Roman" w:hAnsi="Times New Roman" w:eastAsia="宋体" w:cs="??"/>
                <w:color w:val="auto"/>
                <w:kern w:val="2"/>
                <w:sz w:val="21"/>
                <w:szCs w:val="32"/>
                <w:highlight w:val="none"/>
                <w:u w:val="none"/>
                <w:lang w:val="en-US" w:eastAsia="zh-CN" w:bidi="ar-SA"/>
              </w:rPr>
              <w:t>月处理  水量(万吨)</w:t>
            </w:r>
          </w:p>
        </w:tc>
        <w:tc>
          <w:tcPr>
            <w:tcW w:w="246" w:type="pct"/>
            <w:vAlign w:val="center"/>
          </w:tcPr>
          <w:p>
            <w:pPr>
              <w:widowControl w:val="0"/>
              <w:spacing w:line="360" w:lineRule="exact"/>
              <w:ind w:firstLine="0" w:firstLineChars="0"/>
              <w:jc w:val="center"/>
              <w:rPr>
                <w:rFonts w:hint="eastAsia" w:ascii="Times New Roman" w:hAnsi="Times New Roman" w:eastAsia="宋体" w:cs="??"/>
                <w:color w:val="auto"/>
                <w:kern w:val="2"/>
                <w:sz w:val="21"/>
                <w:szCs w:val="32"/>
                <w:highlight w:val="none"/>
                <w:u w:val="none"/>
                <w:lang w:val="en-US" w:eastAsia="zh-CN" w:bidi="ar-SA"/>
              </w:rPr>
            </w:pPr>
            <w:r>
              <w:rPr>
                <w:rFonts w:hint="eastAsia" w:ascii="Times New Roman" w:hAnsi="Times New Roman" w:eastAsia="宋体" w:cs="??"/>
                <w:color w:val="auto"/>
                <w:kern w:val="2"/>
                <w:sz w:val="21"/>
                <w:szCs w:val="32"/>
                <w:highlight w:val="none"/>
                <w:u w:val="none"/>
                <w:lang w:val="en-US" w:eastAsia="zh-CN" w:bidi="ar-SA"/>
              </w:rPr>
              <w:t>本月</w:t>
            </w:r>
          </w:p>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hint="eastAsia" w:ascii="Times New Roman" w:hAnsi="Times New Roman" w:eastAsia="宋体" w:cs="??"/>
                <w:color w:val="auto"/>
                <w:kern w:val="2"/>
                <w:sz w:val="21"/>
                <w:szCs w:val="32"/>
                <w:highlight w:val="none"/>
                <w:u w:val="none"/>
                <w:lang w:val="en-US" w:eastAsia="zh-CN" w:bidi="ar-SA"/>
              </w:rPr>
              <w:t>负荷率（%)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09" w:type="pct"/>
            <w:vMerge w:val="continue"/>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p>
        </w:tc>
        <w:tc>
          <w:tcPr>
            <w:tcW w:w="274"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进口</w:t>
            </w:r>
          </w:p>
        </w:tc>
        <w:tc>
          <w:tcPr>
            <w:tcW w:w="272"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出口</w:t>
            </w:r>
          </w:p>
        </w:tc>
        <w:tc>
          <w:tcPr>
            <w:tcW w:w="233"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进口</w:t>
            </w:r>
          </w:p>
        </w:tc>
        <w:tc>
          <w:tcPr>
            <w:tcW w:w="266"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出口</w:t>
            </w:r>
          </w:p>
        </w:tc>
        <w:tc>
          <w:tcPr>
            <w:tcW w:w="203"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进口</w:t>
            </w:r>
          </w:p>
        </w:tc>
        <w:tc>
          <w:tcPr>
            <w:tcW w:w="277"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出口</w:t>
            </w:r>
          </w:p>
        </w:tc>
        <w:tc>
          <w:tcPr>
            <w:tcW w:w="253"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进口</w:t>
            </w:r>
          </w:p>
        </w:tc>
        <w:tc>
          <w:tcPr>
            <w:tcW w:w="237"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出口</w:t>
            </w:r>
          </w:p>
        </w:tc>
        <w:tc>
          <w:tcPr>
            <w:tcW w:w="263" w:type="pct"/>
            <w:vMerge w:val="continue"/>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p>
        </w:tc>
        <w:tc>
          <w:tcPr>
            <w:tcW w:w="233"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COD</w:t>
            </w:r>
          </w:p>
        </w:tc>
        <w:tc>
          <w:tcPr>
            <w:tcW w:w="227"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氨氮</w:t>
            </w:r>
          </w:p>
        </w:tc>
        <w:tc>
          <w:tcPr>
            <w:tcW w:w="247"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总氮</w:t>
            </w:r>
          </w:p>
        </w:tc>
        <w:tc>
          <w:tcPr>
            <w:tcW w:w="235"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总磷</w:t>
            </w:r>
          </w:p>
        </w:tc>
        <w:tc>
          <w:tcPr>
            <w:tcW w:w="213"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COD</w:t>
            </w:r>
          </w:p>
        </w:tc>
        <w:tc>
          <w:tcPr>
            <w:tcW w:w="226"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氨氮</w:t>
            </w:r>
          </w:p>
        </w:tc>
        <w:tc>
          <w:tcPr>
            <w:tcW w:w="256"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总氮</w:t>
            </w:r>
          </w:p>
        </w:tc>
        <w:tc>
          <w:tcPr>
            <w:tcW w:w="239"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总磷</w:t>
            </w:r>
          </w:p>
        </w:tc>
        <w:tc>
          <w:tcPr>
            <w:tcW w:w="385" w:type="pct"/>
            <w:vAlign w:val="center"/>
          </w:tcPr>
          <w:p>
            <w:pPr>
              <w:widowControl w:val="0"/>
              <w:spacing w:line="360" w:lineRule="exact"/>
              <w:ind w:firstLine="0" w:firstLineChars="0"/>
              <w:jc w:val="center"/>
              <w:rPr>
                <w:rFonts w:hint="default" w:ascii="Times New Roman" w:hAnsi="Times New Roman" w:eastAsia="宋体" w:cs="??"/>
                <w:color w:val="auto"/>
                <w:kern w:val="2"/>
                <w:sz w:val="21"/>
                <w:szCs w:val="32"/>
                <w:highlight w:val="none"/>
                <w:u w:val="none"/>
                <w:lang w:val="en-US" w:eastAsia="zh-CN" w:bidi="ar-SA"/>
              </w:rPr>
            </w:pPr>
            <w:r>
              <w:rPr>
                <w:rFonts w:hint="eastAsia" w:ascii="Times New Roman" w:hAnsi="Times New Roman" w:eastAsia="宋体" w:cs="??"/>
                <w:color w:val="auto"/>
                <w:kern w:val="2"/>
                <w:sz w:val="21"/>
                <w:szCs w:val="32"/>
                <w:highlight w:val="none"/>
                <w:u w:val="none"/>
                <w:lang w:val="en-US" w:eastAsia="zh-CN" w:bidi="ar-SA"/>
              </w:rPr>
              <w:t>/</w:t>
            </w:r>
          </w:p>
        </w:tc>
        <w:tc>
          <w:tcPr>
            <w:tcW w:w="246" w:type="pct"/>
            <w:vAlign w:val="center"/>
          </w:tcPr>
          <w:p>
            <w:pPr>
              <w:widowControl w:val="0"/>
              <w:spacing w:line="360" w:lineRule="exact"/>
              <w:ind w:firstLine="0" w:firstLineChars="0"/>
              <w:jc w:val="center"/>
              <w:rPr>
                <w:rFonts w:hint="default" w:ascii="Times New Roman" w:hAnsi="Times New Roman" w:eastAsia="宋体" w:cs="??"/>
                <w:color w:val="auto"/>
                <w:kern w:val="2"/>
                <w:sz w:val="21"/>
                <w:szCs w:val="32"/>
                <w:highlight w:val="none"/>
                <w:u w:val="none"/>
                <w:lang w:val="en-US" w:eastAsia="zh-CN" w:bidi="ar-SA"/>
              </w:rPr>
            </w:pPr>
            <w:r>
              <w:rPr>
                <w:rFonts w:hint="eastAsia" w:ascii="Times New Roman" w:hAnsi="Times New Roman" w:eastAsia="宋体" w:cs="??"/>
                <w:color w:val="auto"/>
                <w:kern w:val="2"/>
                <w:sz w:val="21"/>
                <w:szCs w:val="32"/>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09"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1月</w:t>
            </w:r>
          </w:p>
        </w:tc>
        <w:tc>
          <w:tcPr>
            <w:tcW w:w="274" w:type="pct"/>
            <w:vAlign w:val="center"/>
          </w:tcPr>
          <w:p>
            <w:pPr>
              <w:pStyle w:val="22"/>
              <w:bidi w:val="0"/>
              <w:rPr>
                <w:color w:val="auto"/>
                <w:highlight w:val="none"/>
                <w:u w:val="none"/>
                <w:lang w:val="en-US" w:eastAsia="zh-CN"/>
              </w:rPr>
            </w:pPr>
            <w:r>
              <w:rPr>
                <w:rFonts w:hint="eastAsia"/>
                <w:color w:val="auto"/>
                <w:highlight w:val="none"/>
                <w:u w:val="none"/>
                <w:lang w:val="en-US" w:eastAsia="zh-CN"/>
              </w:rPr>
              <w:t>167.34</w:t>
            </w:r>
          </w:p>
        </w:tc>
        <w:tc>
          <w:tcPr>
            <w:tcW w:w="272" w:type="pct"/>
            <w:vAlign w:val="center"/>
          </w:tcPr>
          <w:p>
            <w:pPr>
              <w:pStyle w:val="22"/>
              <w:bidi w:val="0"/>
              <w:rPr>
                <w:color w:val="auto"/>
                <w:highlight w:val="none"/>
                <w:u w:val="none"/>
                <w:lang w:val="en-US" w:eastAsia="zh-CN"/>
              </w:rPr>
            </w:pPr>
            <w:r>
              <w:rPr>
                <w:rFonts w:hint="eastAsia"/>
                <w:color w:val="auto"/>
                <w:highlight w:val="none"/>
                <w:u w:val="none"/>
                <w:lang w:val="en-US" w:eastAsia="zh-CN"/>
              </w:rPr>
              <w:t>18.79</w:t>
            </w:r>
          </w:p>
        </w:tc>
        <w:tc>
          <w:tcPr>
            <w:tcW w:w="233" w:type="pct"/>
            <w:vAlign w:val="center"/>
          </w:tcPr>
          <w:p>
            <w:pPr>
              <w:pStyle w:val="22"/>
              <w:bidi w:val="0"/>
              <w:rPr>
                <w:color w:val="auto"/>
                <w:highlight w:val="none"/>
                <w:u w:val="none"/>
                <w:lang w:val="en-US" w:eastAsia="zh-CN"/>
              </w:rPr>
            </w:pPr>
            <w:r>
              <w:rPr>
                <w:rFonts w:hint="eastAsia"/>
                <w:color w:val="auto"/>
                <w:highlight w:val="none"/>
                <w:u w:val="none"/>
                <w:lang w:val="en-US" w:eastAsia="zh-CN"/>
              </w:rPr>
              <w:t>25.24</w:t>
            </w:r>
          </w:p>
        </w:tc>
        <w:tc>
          <w:tcPr>
            <w:tcW w:w="266"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1.29</w:t>
            </w:r>
          </w:p>
        </w:tc>
        <w:tc>
          <w:tcPr>
            <w:tcW w:w="203" w:type="pct"/>
            <w:vAlign w:val="center"/>
          </w:tcPr>
          <w:p>
            <w:pPr>
              <w:pStyle w:val="22"/>
              <w:bidi w:val="0"/>
              <w:rPr>
                <w:color w:val="auto"/>
                <w:highlight w:val="none"/>
                <w:u w:val="none"/>
                <w:lang w:val="en-US" w:eastAsia="zh-CN"/>
              </w:rPr>
            </w:pPr>
            <w:r>
              <w:rPr>
                <w:rFonts w:hint="eastAsia"/>
                <w:color w:val="auto"/>
                <w:highlight w:val="none"/>
                <w:u w:val="none"/>
                <w:lang w:val="en-US" w:eastAsia="zh-CN"/>
              </w:rPr>
              <w:t>-</w:t>
            </w:r>
          </w:p>
        </w:tc>
        <w:tc>
          <w:tcPr>
            <w:tcW w:w="277" w:type="pct"/>
            <w:vAlign w:val="center"/>
          </w:tcPr>
          <w:p>
            <w:pPr>
              <w:pStyle w:val="22"/>
              <w:bidi w:val="0"/>
              <w:rPr>
                <w:color w:val="auto"/>
                <w:highlight w:val="none"/>
                <w:u w:val="none"/>
                <w:lang w:val="en-US" w:eastAsia="zh-CN"/>
              </w:rPr>
            </w:pPr>
            <w:r>
              <w:rPr>
                <w:rFonts w:hint="eastAsia"/>
                <w:color w:val="auto"/>
                <w:highlight w:val="none"/>
                <w:u w:val="none"/>
                <w:lang w:val="en-US" w:eastAsia="zh-CN"/>
              </w:rPr>
              <w:t>10.71</w:t>
            </w:r>
          </w:p>
        </w:tc>
        <w:tc>
          <w:tcPr>
            <w:tcW w:w="253" w:type="pct"/>
            <w:vAlign w:val="center"/>
          </w:tcPr>
          <w:p>
            <w:pPr>
              <w:pStyle w:val="22"/>
              <w:bidi w:val="0"/>
              <w:rPr>
                <w:color w:val="auto"/>
                <w:highlight w:val="none"/>
                <w:u w:val="none"/>
                <w:lang w:val="en-US" w:eastAsia="zh-CN"/>
              </w:rPr>
            </w:pPr>
            <w:r>
              <w:rPr>
                <w:rFonts w:hint="eastAsia"/>
                <w:color w:val="auto"/>
                <w:highlight w:val="none"/>
                <w:u w:val="none"/>
                <w:lang w:val="en-US" w:eastAsia="zh-CN"/>
              </w:rPr>
              <w:t>1.84</w:t>
            </w:r>
          </w:p>
        </w:tc>
        <w:tc>
          <w:tcPr>
            <w:tcW w:w="237" w:type="pct"/>
            <w:vAlign w:val="center"/>
          </w:tcPr>
          <w:p>
            <w:pPr>
              <w:pStyle w:val="22"/>
              <w:bidi w:val="0"/>
              <w:rPr>
                <w:color w:val="auto"/>
                <w:highlight w:val="none"/>
                <w:u w:val="none"/>
                <w:lang w:val="en-US" w:eastAsia="zh-CN"/>
              </w:rPr>
            </w:pPr>
            <w:r>
              <w:rPr>
                <w:rFonts w:hint="eastAsia"/>
                <w:color w:val="auto"/>
                <w:highlight w:val="none"/>
                <w:u w:val="none"/>
                <w:lang w:val="en-US" w:eastAsia="zh-CN"/>
              </w:rPr>
              <w:t>0.23</w:t>
            </w:r>
          </w:p>
        </w:tc>
        <w:tc>
          <w:tcPr>
            <w:tcW w:w="263" w:type="pct"/>
            <w:vAlign w:val="center"/>
          </w:tcPr>
          <w:p>
            <w:pPr>
              <w:pStyle w:val="22"/>
              <w:bidi w:val="0"/>
              <w:rPr>
                <w:rFonts w:hint="eastAsia"/>
                <w:color w:val="auto"/>
                <w:highlight w:val="none"/>
                <w:u w:val="none"/>
                <w:lang w:val="en-US" w:eastAsia="zh-CN"/>
              </w:rPr>
            </w:pPr>
            <w:r>
              <w:rPr>
                <w:rFonts w:hint="eastAsia"/>
                <w:color w:val="auto"/>
                <w:highlight w:val="none"/>
                <w:u w:val="none"/>
                <w:lang w:val="en-US" w:eastAsia="zh-CN"/>
              </w:rPr>
              <w:t>2</w:t>
            </w:r>
          </w:p>
        </w:tc>
        <w:tc>
          <w:tcPr>
            <w:tcW w:w="233" w:type="pct"/>
            <w:vAlign w:val="center"/>
          </w:tcPr>
          <w:p>
            <w:pPr>
              <w:pStyle w:val="22"/>
              <w:bidi w:val="0"/>
              <w:rPr>
                <w:color w:val="auto"/>
                <w:highlight w:val="none"/>
                <w:u w:val="none"/>
                <w:lang w:val="en-US" w:eastAsia="zh-CN"/>
              </w:rPr>
            </w:pPr>
            <w:r>
              <w:rPr>
                <w:rFonts w:hint="eastAsia"/>
                <w:color w:val="auto"/>
                <w:highlight w:val="none"/>
                <w:u w:val="none"/>
                <w:lang w:val="en-US" w:eastAsia="zh-CN"/>
              </w:rPr>
              <w:t>50</w:t>
            </w:r>
          </w:p>
        </w:tc>
        <w:tc>
          <w:tcPr>
            <w:tcW w:w="227" w:type="pct"/>
            <w:vAlign w:val="center"/>
          </w:tcPr>
          <w:p>
            <w:pPr>
              <w:pStyle w:val="22"/>
              <w:bidi w:val="0"/>
              <w:rPr>
                <w:color w:val="auto"/>
                <w:highlight w:val="none"/>
                <w:u w:val="none"/>
                <w:lang w:val="en-US" w:eastAsia="zh-CN"/>
              </w:rPr>
            </w:pPr>
            <w:r>
              <w:rPr>
                <w:rFonts w:hint="eastAsia"/>
                <w:color w:val="auto"/>
                <w:highlight w:val="none"/>
                <w:u w:val="none"/>
                <w:lang w:val="en-US" w:eastAsia="zh-CN"/>
              </w:rPr>
              <w:t>5</w:t>
            </w:r>
          </w:p>
        </w:tc>
        <w:tc>
          <w:tcPr>
            <w:tcW w:w="247" w:type="pct"/>
            <w:vAlign w:val="center"/>
          </w:tcPr>
          <w:p>
            <w:pPr>
              <w:pStyle w:val="22"/>
              <w:bidi w:val="0"/>
              <w:rPr>
                <w:color w:val="auto"/>
                <w:highlight w:val="none"/>
                <w:u w:val="none"/>
                <w:lang w:val="en-US" w:eastAsia="zh-CN"/>
              </w:rPr>
            </w:pPr>
            <w:r>
              <w:rPr>
                <w:rFonts w:hint="eastAsia"/>
                <w:color w:val="auto"/>
                <w:highlight w:val="none"/>
                <w:u w:val="none"/>
                <w:lang w:val="en-US" w:eastAsia="zh-CN"/>
              </w:rPr>
              <w:t>15</w:t>
            </w:r>
          </w:p>
        </w:tc>
        <w:tc>
          <w:tcPr>
            <w:tcW w:w="235" w:type="pct"/>
            <w:vAlign w:val="center"/>
          </w:tcPr>
          <w:p>
            <w:pPr>
              <w:pStyle w:val="22"/>
              <w:bidi w:val="0"/>
              <w:rPr>
                <w:color w:val="auto"/>
                <w:highlight w:val="none"/>
                <w:u w:val="none"/>
                <w:lang w:val="en-US" w:eastAsia="zh-CN"/>
              </w:rPr>
            </w:pPr>
            <w:r>
              <w:rPr>
                <w:rFonts w:hint="eastAsia"/>
                <w:color w:val="auto"/>
                <w:highlight w:val="none"/>
                <w:u w:val="none"/>
                <w:lang w:val="en-US" w:eastAsia="zh-CN"/>
              </w:rPr>
              <w:t>0.5</w:t>
            </w:r>
          </w:p>
        </w:tc>
        <w:tc>
          <w:tcPr>
            <w:tcW w:w="213"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226"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256"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239"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385" w:type="pct"/>
            <w:vAlign w:val="center"/>
          </w:tcPr>
          <w:p>
            <w:pPr>
              <w:pStyle w:val="22"/>
              <w:bidi w:val="0"/>
              <w:rPr>
                <w:color w:val="auto"/>
                <w:highlight w:val="none"/>
                <w:u w:val="none"/>
                <w:lang w:val="en-US" w:eastAsia="zh-CN"/>
              </w:rPr>
            </w:pPr>
            <w:r>
              <w:rPr>
                <w:rFonts w:hint="eastAsia"/>
                <w:color w:val="auto"/>
                <w:highlight w:val="none"/>
                <w:u w:val="none"/>
                <w:lang w:val="en-US" w:eastAsia="zh-CN"/>
              </w:rPr>
              <w:t>22.01</w:t>
            </w:r>
          </w:p>
        </w:tc>
        <w:tc>
          <w:tcPr>
            <w:tcW w:w="246" w:type="pct"/>
            <w:vAlign w:val="center"/>
          </w:tcPr>
          <w:p>
            <w:pPr>
              <w:pStyle w:val="22"/>
              <w:bidi w:val="0"/>
              <w:rPr>
                <w:color w:val="auto"/>
                <w:highlight w:val="none"/>
                <w:u w:val="none"/>
                <w:lang w:val="en-US" w:eastAsia="zh-CN"/>
              </w:rPr>
            </w:pPr>
            <w:r>
              <w:rPr>
                <w:rFonts w:hint="eastAsia"/>
                <w:color w:val="auto"/>
                <w:highlight w:val="none"/>
                <w:u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09"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2月</w:t>
            </w:r>
          </w:p>
        </w:tc>
        <w:tc>
          <w:tcPr>
            <w:tcW w:w="274"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128.13</w:t>
            </w:r>
          </w:p>
        </w:tc>
        <w:tc>
          <w:tcPr>
            <w:tcW w:w="272"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26.77</w:t>
            </w:r>
          </w:p>
        </w:tc>
        <w:tc>
          <w:tcPr>
            <w:tcW w:w="233"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21.6</w:t>
            </w:r>
          </w:p>
        </w:tc>
        <w:tc>
          <w:tcPr>
            <w:tcW w:w="266"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1.76</w:t>
            </w:r>
          </w:p>
        </w:tc>
        <w:tc>
          <w:tcPr>
            <w:tcW w:w="203" w:type="pct"/>
            <w:vAlign w:val="center"/>
          </w:tcPr>
          <w:p>
            <w:pPr>
              <w:pStyle w:val="22"/>
              <w:bidi w:val="0"/>
              <w:rPr>
                <w:color w:val="auto"/>
                <w:highlight w:val="none"/>
                <w:u w:val="none"/>
                <w:lang w:val="en-US" w:eastAsia="zh-CN"/>
              </w:rPr>
            </w:pPr>
            <w:r>
              <w:rPr>
                <w:rFonts w:hint="eastAsia"/>
                <w:color w:val="auto"/>
                <w:highlight w:val="none"/>
                <w:u w:val="none"/>
                <w:lang w:val="en-US" w:eastAsia="zh-CN"/>
              </w:rPr>
              <w:t>-</w:t>
            </w:r>
          </w:p>
        </w:tc>
        <w:tc>
          <w:tcPr>
            <w:tcW w:w="277" w:type="pct"/>
            <w:vAlign w:val="center"/>
          </w:tcPr>
          <w:p>
            <w:pPr>
              <w:pStyle w:val="22"/>
              <w:bidi w:val="0"/>
              <w:rPr>
                <w:color w:val="auto"/>
                <w:highlight w:val="none"/>
                <w:u w:val="none"/>
                <w:lang w:val="en-US" w:eastAsia="zh-CN"/>
              </w:rPr>
            </w:pPr>
            <w:r>
              <w:rPr>
                <w:rFonts w:hint="eastAsia"/>
                <w:color w:val="auto"/>
                <w:highlight w:val="none"/>
                <w:u w:val="none"/>
                <w:lang w:val="en-US" w:eastAsia="zh-CN"/>
              </w:rPr>
              <w:t>10.98</w:t>
            </w:r>
          </w:p>
        </w:tc>
        <w:tc>
          <w:tcPr>
            <w:tcW w:w="253" w:type="pct"/>
            <w:vAlign w:val="center"/>
          </w:tcPr>
          <w:p>
            <w:pPr>
              <w:pStyle w:val="22"/>
              <w:bidi w:val="0"/>
              <w:rPr>
                <w:color w:val="auto"/>
                <w:highlight w:val="none"/>
                <w:u w:val="none"/>
                <w:lang w:val="en-US" w:eastAsia="zh-CN"/>
              </w:rPr>
            </w:pPr>
            <w:r>
              <w:rPr>
                <w:rFonts w:hint="eastAsia"/>
                <w:color w:val="auto"/>
                <w:highlight w:val="none"/>
                <w:u w:val="none"/>
                <w:lang w:val="en-US" w:eastAsia="zh-CN"/>
              </w:rPr>
              <w:t>3.96</w:t>
            </w:r>
          </w:p>
        </w:tc>
        <w:tc>
          <w:tcPr>
            <w:tcW w:w="237" w:type="pct"/>
            <w:vAlign w:val="center"/>
          </w:tcPr>
          <w:p>
            <w:pPr>
              <w:pStyle w:val="22"/>
              <w:bidi w:val="0"/>
              <w:rPr>
                <w:color w:val="auto"/>
                <w:highlight w:val="none"/>
                <w:u w:val="none"/>
                <w:lang w:val="en-US" w:eastAsia="zh-CN"/>
              </w:rPr>
            </w:pPr>
            <w:r>
              <w:rPr>
                <w:rFonts w:hint="eastAsia"/>
                <w:color w:val="auto"/>
                <w:highlight w:val="none"/>
                <w:u w:val="none"/>
                <w:lang w:val="en-US" w:eastAsia="zh-CN"/>
              </w:rPr>
              <w:t>0.2</w:t>
            </w:r>
          </w:p>
        </w:tc>
        <w:tc>
          <w:tcPr>
            <w:tcW w:w="263" w:type="pct"/>
            <w:vAlign w:val="center"/>
          </w:tcPr>
          <w:p>
            <w:pPr>
              <w:pStyle w:val="22"/>
              <w:bidi w:val="0"/>
              <w:rPr>
                <w:color w:val="auto"/>
                <w:highlight w:val="none"/>
                <w:u w:val="none"/>
                <w:lang w:val="en-US" w:eastAsia="zh-CN"/>
              </w:rPr>
            </w:pPr>
            <w:r>
              <w:rPr>
                <w:rFonts w:hint="eastAsia"/>
                <w:color w:val="auto"/>
                <w:highlight w:val="none"/>
                <w:u w:val="none"/>
                <w:lang w:val="en-US" w:eastAsia="zh-CN"/>
              </w:rPr>
              <w:t>2</w:t>
            </w:r>
          </w:p>
        </w:tc>
        <w:tc>
          <w:tcPr>
            <w:tcW w:w="233" w:type="pct"/>
            <w:vAlign w:val="center"/>
          </w:tcPr>
          <w:p>
            <w:pPr>
              <w:pStyle w:val="22"/>
              <w:bidi w:val="0"/>
              <w:rPr>
                <w:color w:val="auto"/>
                <w:highlight w:val="none"/>
                <w:u w:val="none"/>
                <w:lang w:val="en-US" w:eastAsia="zh-CN"/>
              </w:rPr>
            </w:pPr>
            <w:r>
              <w:rPr>
                <w:rFonts w:hint="eastAsia"/>
                <w:color w:val="auto"/>
                <w:highlight w:val="none"/>
                <w:u w:val="none"/>
                <w:lang w:val="en-US" w:eastAsia="zh-CN"/>
              </w:rPr>
              <w:t>50</w:t>
            </w:r>
          </w:p>
        </w:tc>
        <w:tc>
          <w:tcPr>
            <w:tcW w:w="227" w:type="pct"/>
            <w:vAlign w:val="center"/>
          </w:tcPr>
          <w:p>
            <w:pPr>
              <w:pStyle w:val="22"/>
              <w:bidi w:val="0"/>
              <w:rPr>
                <w:color w:val="auto"/>
                <w:highlight w:val="none"/>
                <w:u w:val="none"/>
                <w:lang w:val="en-US" w:eastAsia="zh-CN"/>
              </w:rPr>
            </w:pPr>
            <w:r>
              <w:rPr>
                <w:rFonts w:hint="eastAsia"/>
                <w:color w:val="auto"/>
                <w:highlight w:val="none"/>
                <w:u w:val="none"/>
                <w:lang w:val="en-US" w:eastAsia="zh-CN"/>
              </w:rPr>
              <w:t>5</w:t>
            </w:r>
          </w:p>
        </w:tc>
        <w:tc>
          <w:tcPr>
            <w:tcW w:w="247" w:type="pct"/>
            <w:vAlign w:val="center"/>
          </w:tcPr>
          <w:p>
            <w:pPr>
              <w:pStyle w:val="22"/>
              <w:bidi w:val="0"/>
              <w:rPr>
                <w:color w:val="auto"/>
                <w:highlight w:val="none"/>
                <w:u w:val="none"/>
                <w:lang w:val="en-US" w:eastAsia="zh-CN"/>
              </w:rPr>
            </w:pPr>
            <w:r>
              <w:rPr>
                <w:rFonts w:hint="eastAsia"/>
                <w:color w:val="auto"/>
                <w:highlight w:val="none"/>
                <w:u w:val="none"/>
                <w:lang w:val="en-US" w:eastAsia="zh-CN"/>
              </w:rPr>
              <w:t>15</w:t>
            </w:r>
          </w:p>
        </w:tc>
        <w:tc>
          <w:tcPr>
            <w:tcW w:w="235" w:type="pct"/>
            <w:vAlign w:val="center"/>
          </w:tcPr>
          <w:p>
            <w:pPr>
              <w:pStyle w:val="22"/>
              <w:bidi w:val="0"/>
              <w:rPr>
                <w:color w:val="auto"/>
                <w:highlight w:val="none"/>
                <w:u w:val="none"/>
                <w:lang w:val="en-US" w:eastAsia="zh-CN"/>
              </w:rPr>
            </w:pPr>
            <w:r>
              <w:rPr>
                <w:rFonts w:hint="eastAsia"/>
                <w:color w:val="auto"/>
                <w:highlight w:val="none"/>
                <w:u w:val="none"/>
                <w:lang w:val="en-US" w:eastAsia="zh-CN"/>
              </w:rPr>
              <w:t>0.5</w:t>
            </w:r>
          </w:p>
        </w:tc>
        <w:tc>
          <w:tcPr>
            <w:tcW w:w="213"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226"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256"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239"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385" w:type="pct"/>
            <w:vAlign w:val="center"/>
          </w:tcPr>
          <w:p>
            <w:pPr>
              <w:pStyle w:val="22"/>
              <w:bidi w:val="0"/>
              <w:rPr>
                <w:color w:val="auto"/>
                <w:highlight w:val="none"/>
                <w:u w:val="none"/>
                <w:lang w:val="en-US" w:eastAsia="zh-CN"/>
              </w:rPr>
            </w:pPr>
            <w:r>
              <w:rPr>
                <w:rFonts w:hint="eastAsia"/>
                <w:color w:val="auto"/>
                <w:highlight w:val="none"/>
                <w:u w:val="none"/>
                <w:lang w:val="en-US" w:eastAsia="zh-CN"/>
              </w:rPr>
              <w:t>16.86</w:t>
            </w:r>
          </w:p>
        </w:tc>
        <w:tc>
          <w:tcPr>
            <w:tcW w:w="246" w:type="pct"/>
            <w:vAlign w:val="center"/>
          </w:tcPr>
          <w:p>
            <w:pPr>
              <w:pStyle w:val="22"/>
              <w:bidi w:val="0"/>
              <w:rPr>
                <w:color w:val="auto"/>
                <w:highlight w:val="none"/>
                <w:u w:val="none"/>
                <w:lang w:val="en-US" w:eastAsia="zh-CN"/>
              </w:rPr>
            </w:pPr>
            <w:r>
              <w:rPr>
                <w:rFonts w:hint="eastAsia"/>
                <w:color w:val="auto"/>
                <w:highlight w:val="none"/>
                <w:u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09"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3月</w:t>
            </w:r>
          </w:p>
        </w:tc>
        <w:tc>
          <w:tcPr>
            <w:tcW w:w="274"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718.23</w:t>
            </w:r>
          </w:p>
        </w:tc>
        <w:tc>
          <w:tcPr>
            <w:tcW w:w="272"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29.49</w:t>
            </w:r>
          </w:p>
        </w:tc>
        <w:tc>
          <w:tcPr>
            <w:tcW w:w="233"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24.93</w:t>
            </w:r>
          </w:p>
        </w:tc>
        <w:tc>
          <w:tcPr>
            <w:tcW w:w="266"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2.72</w:t>
            </w:r>
          </w:p>
        </w:tc>
        <w:tc>
          <w:tcPr>
            <w:tcW w:w="203" w:type="pct"/>
            <w:vAlign w:val="center"/>
          </w:tcPr>
          <w:p>
            <w:pPr>
              <w:pStyle w:val="22"/>
              <w:bidi w:val="0"/>
              <w:rPr>
                <w:color w:val="auto"/>
                <w:highlight w:val="none"/>
                <w:u w:val="none"/>
                <w:lang w:val="en-US" w:eastAsia="zh-CN"/>
              </w:rPr>
            </w:pPr>
            <w:r>
              <w:rPr>
                <w:rFonts w:hint="eastAsia"/>
                <w:color w:val="auto"/>
                <w:highlight w:val="none"/>
                <w:u w:val="none"/>
                <w:lang w:val="en-US" w:eastAsia="zh-CN"/>
              </w:rPr>
              <w:t>-</w:t>
            </w:r>
          </w:p>
        </w:tc>
        <w:tc>
          <w:tcPr>
            <w:tcW w:w="277" w:type="pct"/>
            <w:vAlign w:val="center"/>
          </w:tcPr>
          <w:p>
            <w:pPr>
              <w:pStyle w:val="22"/>
              <w:bidi w:val="0"/>
              <w:rPr>
                <w:color w:val="auto"/>
                <w:highlight w:val="none"/>
                <w:u w:val="none"/>
                <w:lang w:val="en-US" w:eastAsia="zh-CN"/>
              </w:rPr>
            </w:pPr>
            <w:r>
              <w:rPr>
                <w:rFonts w:hint="eastAsia"/>
                <w:color w:val="auto"/>
                <w:highlight w:val="none"/>
                <w:u w:val="none"/>
                <w:lang w:val="en-US" w:eastAsia="zh-CN"/>
              </w:rPr>
              <w:t>5.47</w:t>
            </w:r>
          </w:p>
        </w:tc>
        <w:tc>
          <w:tcPr>
            <w:tcW w:w="253" w:type="pct"/>
            <w:vAlign w:val="center"/>
          </w:tcPr>
          <w:p>
            <w:pPr>
              <w:pStyle w:val="22"/>
              <w:bidi w:val="0"/>
              <w:rPr>
                <w:color w:val="auto"/>
                <w:highlight w:val="none"/>
                <w:u w:val="none"/>
                <w:lang w:val="en-US" w:eastAsia="zh-CN"/>
              </w:rPr>
            </w:pPr>
            <w:r>
              <w:rPr>
                <w:rFonts w:hint="eastAsia"/>
                <w:color w:val="auto"/>
                <w:highlight w:val="none"/>
                <w:u w:val="none"/>
                <w:lang w:val="en-US" w:eastAsia="zh-CN"/>
              </w:rPr>
              <w:t>8.31</w:t>
            </w:r>
          </w:p>
        </w:tc>
        <w:tc>
          <w:tcPr>
            <w:tcW w:w="237" w:type="pct"/>
            <w:vAlign w:val="center"/>
          </w:tcPr>
          <w:p>
            <w:pPr>
              <w:pStyle w:val="22"/>
              <w:bidi w:val="0"/>
              <w:rPr>
                <w:color w:val="auto"/>
                <w:highlight w:val="none"/>
                <w:u w:val="none"/>
                <w:lang w:val="en-US" w:eastAsia="zh-CN"/>
              </w:rPr>
            </w:pPr>
            <w:r>
              <w:rPr>
                <w:rFonts w:hint="eastAsia"/>
                <w:color w:val="auto"/>
                <w:highlight w:val="none"/>
                <w:u w:val="none"/>
                <w:lang w:val="en-US" w:eastAsia="zh-CN"/>
              </w:rPr>
              <w:t>0.24</w:t>
            </w:r>
          </w:p>
        </w:tc>
        <w:tc>
          <w:tcPr>
            <w:tcW w:w="263" w:type="pct"/>
            <w:vAlign w:val="center"/>
          </w:tcPr>
          <w:p>
            <w:pPr>
              <w:pStyle w:val="22"/>
              <w:bidi w:val="0"/>
              <w:rPr>
                <w:color w:val="auto"/>
                <w:highlight w:val="none"/>
                <w:u w:val="none"/>
                <w:lang w:val="en-US" w:eastAsia="zh-CN"/>
              </w:rPr>
            </w:pPr>
            <w:r>
              <w:rPr>
                <w:rFonts w:hint="eastAsia"/>
                <w:color w:val="auto"/>
                <w:highlight w:val="none"/>
                <w:u w:val="none"/>
                <w:lang w:val="en-US" w:eastAsia="zh-CN"/>
              </w:rPr>
              <w:t>2</w:t>
            </w:r>
          </w:p>
        </w:tc>
        <w:tc>
          <w:tcPr>
            <w:tcW w:w="233" w:type="pct"/>
            <w:vAlign w:val="center"/>
          </w:tcPr>
          <w:p>
            <w:pPr>
              <w:pStyle w:val="22"/>
              <w:bidi w:val="0"/>
              <w:rPr>
                <w:color w:val="auto"/>
                <w:highlight w:val="none"/>
                <w:u w:val="none"/>
                <w:lang w:val="en-US" w:eastAsia="zh-CN"/>
              </w:rPr>
            </w:pPr>
            <w:r>
              <w:rPr>
                <w:rFonts w:hint="eastAsia"/>
                <w:color w:val="auto"/>
                <w:highlight w:val="none"/>
                <w:u w:val="none"/>
                <w:lang w:val="en-US" w:eastAsia="zh-CN"/>
              </w:rPr>
              <w:t>50</w:t>
            </w:r>
          </w:p>
        </w:tc>
        <w:tc>
          <w:tcPr>
            <w:tcW w:w="227" w:type="pct"/>
            <w:vAlign w:val="center"/>
          </w:tcPr>
          <w:p>
            <w:pPr>
              <w:pStyle w:val="22"/>
              <w:bidi w:val="0"/>
              <w:rPr>
                <w:color w:val="auto"/>
                <w:highlight w:val="none"/>
                <w:u w:val="none"/>
                <w:lang w:val="en-US" w:eastAsia="zh-CN"/>
              </w:rPr>
            </w:pPr>
            <w:r>
              <w:rPr>
                <w:rFonts w:hint="eastAsia"/>
                <w:color w:val="auto"/>
                <w:highlight w:val="none"/>
                <w:u w:val="none"/>
                <w:lang w:val="en-US" w:eastAsia="zh-CN"/>
              </w:rPr>
              <w:t>5</w:t>
            </w:r>
          </w:p>
        </w:tc>
        <w:tc>
          <w:tcPr>
            <w:tcW w:w="247" w:type="pct"/>
            <w:vAlign w:val="center"/>
          </w:tcPr>
          <w:p>
            <w:pPr>
              <w:pStyle w:val="22"/>
              <w:bidi w:val="0"/>
              <w:rPr>
                <w:color w:val="auto"/>
                <w:highlight w:val="none"/>
                <w:u w:val="none"/>
                <w:lang w:val="en-US" w:eastAsia="zh-CN"/>
              </w:rPr>
            </w:pPr>
            <w:r>
              <w:rPr>
                <w:rFonts w:hint="eastAsia"/>
                <w:color w:val="auto"/>
                <w:highlight w:val="none"/>
                <w:u w:val="none"/>
                <w:lang w:val="en-US" w:eastAsia="zh-CN"/>
              </w:rPr>
              <w:t>15</w:t>
            </w:r>
          </w:p>
        </w:tc>
        <w:tc>
          <w:tcPr>
            <w:tcW w:w="235" w:type="pct"/>
            <w:vAlign w:val="center"/>
          </w:tcPr>
          <w:p>
            <w:pPr>
              <w:pStyle w:val="22"/>
              <w:bidi w:val="0"/>
              <w:rPr>
                <w:color w:val="auto"/>
                <w:highlight w:val="none"/>
                <w:u w:val="none"/>
                <w:lang w:val="en-US" w:eastAsia="zh-CN"/>
              </w:rPr>
            </w:pPr>
            <w:r>
              <w:rPr>
                <w:rFonts w:hint="eastAsia"/>
                <w:color w:val="auto"/>
                <w:highlight w:val="none"/>
                <w:u w:val="none"/>
                <w:lang w:val="en-US" w:eastAsia="zh-CN"/>
              </w:rPr>
              <w:t>0.5</w:t>
            </w:r>
          </w:p>
        </w:tc>
        <w:tc>
          <w:tcPr>
            <w:tcW w:w="213"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226"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256"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239"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385" w:type="pct"/>
            <w:vAlign w:val="center"/>
          </w:tcPr>
          <w:p>
            <w:pPr>
              <w:pStyle w:val="22"/>
              <w:bidi w:val="0"/>
              <w:rPr>
                <w:color w:val="auto"/>
                <w:highlight w:val="none"/>
                <w:u w:val="none"/>
                <w:lang w:val="en-US" w:eastAsia="zh-CN"/>
              </w:rPr>
            </w:pPr>
            <w:r>
              <w:rPr>
                <w:rFonts w:hint="eastAsia"/>
                <w:color w:val="auto"/>
                <w:highlight w:val="none"/>
                <w:u w:val="none"/>
                <w:lang w:val="en-US" w:eastAsia="zh-CN"/>
              </w:rPr>
              <w:t>35.58</w:t>
            </w:r>
          </w:p>
        </w:tc>
        <w:tc>
          <w:tcPr>
            <w:tcW w:w="246" w:type="pct"/>
            <w:vAlign w:val="center"/>
          </w:tcPr>
          <w:p>
            <w:pPr>
              <w:pStyle w:val="22"/>
              <w:bidi w:val="0"/>
              <w:rPr>
                <w:color w:val="auto"/>
                <w:highlight w:val="none"/>
                <w:u w:val="none"/>
                <w:lang w:val="en-US" w:eastAsia="zh-CN"/>
              </w:rPr>
            </w:pPr>
            <w:r>
              <w:rPr>
                <w:rFonts w:hint="eastAsia"/>
                <w:color w:val="auto"/>
                <w:highlight w:val="none"/>
                <w:u w:val="none"/>
                <w:lang w:val="en-US" w:eastAsia="zh-C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09"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4月</w:t>
            </w:r>
          </w:p>
        </w:tc>
        <w:tc>
          <w:tcPr>
            <w:tcW w:w="274"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318.67</w:t>
            </w:r>
          </w:p>
        </w:tc>
        <w:tc>
          <w:tcPr>
            <w:tcW w:w="272"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26.14</w:t>
            </w:r>
          </w:p>
        </w:tc>
        <w:tc>
          <w:tcPr>
            <w:tcW w:w="233"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22</w:t>
            </w:r>
          </w:p>
        </w:tc>
        <w:tc>
          <w:tcPr>
            <w:tcW w:w="266"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2</w:t>
            </w:r>
          </w:p>
        </w:tc>
        <w:tc>
          <w:tcPr>
            <w:tcW w:w="203" w:type="pct"/>
            <w:vAlign w:val="center"/>
          </w:tcPr>
          <w:p>
            <w:pPr>
              <w:pStyle w:val="22"/>
              <w:bidi w:val="0"/>
              <w:rPr>
                <w:color w:val="auto"/>
                <w:highlight w:val="none"/>
                <w:u w:val="none"/>
                <w:lang w:val="en-US" w:eastAsia="zh-CN"/>
              </w:rPr>
            </w:pPr>
            <w:r>
              <w:rPr>
                <w:rFonts w:hint="eastAsia"/>
                <w:color w:val="auto"/>
                <w:highlight w:val="none"/>
                <w:u w:val="none"/>
                <w:lang w:val="en-US" w:eastAsia="zh-CN"/>
              </w:rPr>
              <w:t>-</w:t>
            </w:r>
          </w:p>
        </w:tc>
        <w:tc>
          <w:tcPr>
            <w:tcW w:w="277" w:type="pct"/>
            <w:vAlign w:val="center"/>
          </w:tcPr>
          <w:p>
            <w:pPr>
              <w:pStyle w:val="22"/>
              <w:bidi w:val="0"/>
              <w:rPr>
                <w:color w:val="auto"/>
                <w:highlight w:val="none"/>
                <w:u w:val="none"/>
                <w:lang w:val="en-US" w:eastAsia="zh-CN"/>
              </w:rPr>
            </w:pPr>
            <w:r>
              <w:rPr>
                <w:rFonts w:hint="eastAsia"/>
                <w:color w:val="auto"/>
                <w:highlight w:val="none"/>
                <w:u w:val="none"/>
                <w:lang w:val="en-US" w:eastAsia="zh-CN"/>
              </w:rPr>
              <w:t>8.65</w:t>
            </w:r>
          </w:p>
        </w:tc>
        <w:tc>
          <w:tcPr>
            <w:tcW w:w="253" w:type="pct"/>
            <w:vAlign w:val="center"/>
          </w:tcPr>
          <w:p>
            <w:pPr>
              <w:pStyle w:val="22"/>
              <w:bidi w:val="0"/>
              <w:rPr>
                <w:color w:val="auto"/>
                <w:highlight w:val="none"/>
                <w:u w:val="none"/>
                <w:lang w:val="en-US" w:eastAsia="zh-CN"/>
              </w:rPr>
            </w:pPr>
            <w:r>
              <w:rPr>
                <w:rFonts w:hint="eastAsia"/>
                <w:color w:val="auto"/>
                <w:highlight w:val="none"/>
                <w:u w:val="none"/>
                <w:lang w:val="en-US" w:eastAsia="zh-CN"/>
              </w:rPr>
              <w:t>6.47</w:t>
            </w:r>
          </w:p>
        </w:tc>
        <w:tc>
          <w:tcPr>
            <w:tcW w:w="237" w:type="pct"/>
            <w:vAlign w:val="center"/>
          </w:tcPr>
          <w:p>
            <w:pPr>
              <w:pStyle w:val="22"/>
              <w:bidi w:val="0"/>
              <w:rPr>
                <w:color w:val="auto"/>
                <w:highlight w:val="none"/>
                <w:u w:val="none"/>
                <w:lang w:val="en-US" w:eastAsia="zh-CN"/>
              </w:rPr>
            </w:pPr>
            <w:r>
              <w:rPr>
                <w:rFonts w:hint="eastAsia"/>
                <w:color w:val="auto"/>
                <w:highlight w:val="none"/>
                <w:u w:val="none"/>
                <w:lang w:val="en-US" w:eastAsia="zh-CN"/>
              </w:rPr>
              <w:t>0.21</w:t>
            </w:r>
          </w:p>
        </w:tc>
        <w:tc>
          <w:tcPr>
            <w:tcW w:w="263" w:type="pct"/>
            <w:vAlign w:val="center"/>
          </w:tcPr>
          <w:p>
            <w:pPr>
              <w:pStyle w:val="22"/>
              <w:bidi w:val="0"/>
              <w:rPr>
                <w:color w:val="auto"/>
                <w:highlight w:val="none"/>
                <w:u w:val="none"/>
                <w:lang w:val="en-US" w:eastAsia="zh-CN"/>
              </w:rPr>
            </w:pPr>
            <w:r>
              <w:rPr>
                <w:rFonts w:hint="eastAsia"/>
                <w:color w:val="auto"/>
                <w:highlight w:val="none"/>
                <w:u w:val="none"/>
                <w:lang w:val="en-US" w:eastAsia="zh-CN"/>
              </w:rPr>
              <w:t>2</w:t>
            </w:r>
          </w:p>
        </w:tc>
        <w:tc>
          <w:tcPr>
            <w:tcW w:w="233" w:type="pct"/>
            <w:vAlign w:val="center"/>
          </w:tcPr>
          <w:p>
            <w:pPr>
              <w:pStyle w:val="22"/>
              <w:bidi w:val="0"/>
              <w:rPr>
                <w:color w:val="auto"/>
                <w:highlight w:val="none"/>
                <w:u w:val="none"/>
                <w:lang w:val="en-US" w:eastAsia="zh-CN"/>
              </w:rPr>
            </w:pPr>
            <w:r>
              <w:rPr>
                <w:rFonts w:hint="eastAsia"/>
                <w:color w:val="auto"/>
                <w:highlight w:val="none"/>
                <w:u w:val="none"/>
                <w:lang w:val="en-US" w:eastAsia="zh-CN"/>
              </w:rPr>
              <w:t>50</w:t>
            </w:r>
          </w:p>
        </w:tc>
        <w:tc>
          <w:tcPr>
            <w:tcW w:w="227" w:type="pct"/>
            <w:vAlign w:val="center"/>
          </w:tcPr>
          <w:p>
            <w:pPr>
              <w:pStyle w:val="22"/>
              <w:bidi w:val="0"/>
              <w:rPr>
                <w:color w:val="auto"/>
                <w:highlight w:val="none"/>
                <w:u w:val="none"/>
                <w:lang w:val="en-US" w:eastAsia="zh-CN"/>
              </w:rPr>
            </w:pPr>
            <w:r>
              <w:rPr>
                <w:rFonts w:hint="eastAsia"/>
                <w:color w:val="auto"/>
                <w:highlight w:val="none"/>
                <w:u w:val="none"/>
                <w:lang w:val="en-US" w:eastAsia="zh-CN"/>
              </w:rPr>
              <w:t>5</w:t>
            </w:r>
          </w:p>
        </w:tc>
        <w:tc>
          <w:tcPr>
            <w:tcW w:w="247" w:type="pct"/>
            <w:vAlign w:val="center"/>
          </w:tcPr>
          <w:p>
            <w:pPr>
              <w:pStyle w:val="22"/>
              <w:bidi w:val="0"/>
              <w:rPr>
                <w:color w:val="auto"/>
                <w:highlight w:val="none"/>
                <w:u w:val="none"/>
                <w:lang w:val="en-US" w:eastAsia="zh-CN"/>
              </w:rPr>
            </w:pPr>
            <w:r>
              <w:rPr>
                <w:rFonts w:hint="eastAsia"/>
                <w:color w:val="auto"/>
                <w:highlight w:val="none"/>
                <w:u w:val="none"/>
                <w:lang w:val="en-US" w:eastAsia="zh-CN"/>
              </w:rPr>
              <w:t>15</w:t>
            </w:r>
          </w:p>
        </w:tc>
        <w:tc>
          <w:tcPr>
            <w:tcW w:w="235" w:type="pct"/>
            <w:vAlign w:val="center"/>
          </w:tcPr>
          <w:p>
            <w:pPr>
              <w:pStyle w:val="22"/>
              <w:bidi w:val="0"/>
              <w:rPr>
                <w:color w:val="auto"/>
                <w:highlight w:val="none"/>
                <w:u w:val="none"/>
                <w:lang w:val="en-US" w:eastAsia="zh-CN"/>
              </w:rPr>
            </w:pPr>
            <w:r>
              <w:rPr>
                <w:rFonts w:hint="eastAsia"/>
                <w:color w:val="auto"/>
                <w:highlight w:val="none"/>
                <w:u w:val="none"/>
                <w:lang w:val="en-US" w:eastAsia="zh-CN"/>
              </w:rPr>
              <w:t>0.5</w:t>
            </w:r>
          </w:p>
        </w:tc>
        <w:tc>
          <w:tcPr>
            <w:tcW w:w="213"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226"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256"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239"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385" w:type="pct"/>
            <w:vAlign w:val="center"/>
          </w:tcPr>
          <w:p>
            <w:pPr>
              <w:pStyle w:val="22"/>
              <w:bidi w:val="0"/>
              <w:rPr>
                <w:color w:val="auto"/>
                <w:highlight w:val="none"/>
                <w:u w:val="none"/>
                <w:lang w:val="en-US" w:eastAsia="zh-CN"/>
              </w:rPr>
            </w:pPr>
            <w:r>
              <w:rPr>
                <w:rFonts w:hint="eastAsia"/>
                <w:color w:val="auto"/>
                <w:highlight w:val="none"/>
                <w:u w:val="none"/>
                <w:lang w:val="en-US" w:eastAsia="zh-CN"/>
              </w:rPr>
              <w:t>31.76</w:t>
            </w:r>
          </w:p>
        </w:tc>
        <w:tc>
          <w:tcPr>
            <w:tcW w:w="246" w:type="pct"/>
            <w:vAlign w:val="center"/>
          </w:tcPr>
          <w:p>
            <w:pPr>
              <w:pStyle w:val="22"/>
              <w:bidi w:val="0"/>
              <w:rPr>
                <w:color w:val="auto"/>
                <w:highlight w:val="none"/>
                <w:u w:val="none"/>
                <w:lang w:val="en-US" w:eastAsia="zh-CN"/>
              </w:rPr>
            </w:pPr>
            <w:r>
              <w:rPr>
                <w:rFonts w:hint="eastAsia"/>
                <w:color w:val="auto"/>
                <w:highlight w:val="none"/>
                <w:u w:val="none"/>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09"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5月</w:t>
            </w:r>
          </w:p>
        </w:tc>
        <w:tc>
          <w:tcPr>
            <w:tcW w:w="274"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395.23</w:t>
            </w:r>
          </w:p>
        </w:tc>
        <w:tc>
          <w:tcPr>
            <w:tcW w:w="272"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29.73</w:t>
            </w:r>
          </w:p>
        </w:tc>
        <w:tc>
          <w:tcPr>
            <w:tcW w:w="233"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25.33</w:t>
            </w:r>
          </w:p>
        </w:tc>
        <w:tc>
          <w:tcPr>
            <w:tcW w:w="266"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2.23</w:t>
            </w:r>
          </w:p>
        </w:tc>
        <w:tc>
          <w:tcPr>
            <w:tcW w:w="203" w:type="pct"/>
            <w:vAlign w:val="center"/>
          </w:tcPr>
          <w:p>
            <w:pPr>
              <w:pStyle w:val="22"/>
              <w:bidi w:val="0"/>
              <w:rPr>
                <w:color w:val="auto"/>
                <w:highlight w:val="none"/>
                <w:u w:val="none"/>
                <w:lang w:val="en-US" w:eastAsia="zh-CN"/>
              </w:rPr>
            </w:pPr>
            <w:r>
              <w:rPr>
                <w:rFonts w:hint="eastAsia"/>
                <w:color w:val="auto"/>
                <w:highlight w:val="none"/>
                <w:u w:val="none"/>
                <w:lang w:val="en-US" w:eastAsia="zh-CN"/>
              </w:rPr>
              <w:t>-</w:t>
            </w:r>
          </w:p>
        </w:tc>
        <w:tc>
          <w:tcPr>
            <w:tcW w:w="277" w:type="pct"/>
            <w:vAlign w:val="center"/>
          </w:tcPr>
          <w:p>
            <w:pPr>
              <w:pStyle w:val="22"/>
              <w:bidi w:val="0"/>
              <w:rPr>
                <w:color w:val="auto"/>
                <w:highlight w:val="none"/>
                <w:u w:val="none"/>
                <w:lang w:val="en-US" w:eastAsia="zh-CN"/>
              </w:rPr>
            </w:pPr>
            <w:r>
              <w:rPr>
                <w:rFonts w:hint="eastAsia"/>
                <w:color w:val="auto"/>
                <w:highlight w:val="none"/>
                <w:u w:val="none"/>
                <w:lang w:val="en-US" w:eastAsia="zh-CN"/>
              </w:rPr>
              <w:t>7.76</w:t>
            </w:r>
          </w:p>
        </w:tc>
        <w:tc>
          <w:tcPr>
            <w:tcW w:w="253"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6.18</w:t>
            </w:r>
          </w:p>
        </w:tc>
        <w:tc>
          <w:tcPr>
            <w:tcW w:w="237" w:type="pct"/>
            <w:vAlign w:val="center"/>
          </w:tcPr>
          <w:p>
            <w:pPr>
              <w:pStyle w:val="22"/>
              <w:bidi w:val="0"/>
              <w:rPr>
                <w:color w:val="auto"/>
                <w:highlight w:val="none"/>
                <w:u w:val="none"/>
                <w:lang w:val="en-US" w:eastAsia="zh-CN"/>
              </w:rPr>
            </w:pPr>
            <w:r>
              <w:rPr>
                <w:rFonts w:hint="eastAsia"/>
                <w:color w:val="auto"/>
                <w:highlight w:val="none"/>
                <w:u w:val="none"/>
                <w:lang w:val="en-US" w:eastAsia="zh-CN"/>
              </w:rPr>
              <w:t>0.25</w:t>
            </w:r>
          </w:p>
        </w:tc>
        <w:tc>
          <w:tcPr>
            <w:tcW w:w="263" w:type="pct"/>
            <w:vAlign w:val="center"/>
          </w:tcPr>
          <w:p>
            <w:pPr>
              <w:pStyle w:val="22"/>
              <w:bidi w:val="0"/>
              <w:rPr>
                <w:color w:val="auto"/>
                <w:highlight w:val="none"/>
                <w:u w:val="none"/>
                <w:lang w:val="en-US" w:eastAsia="zh-CN"/>
              </w:rPr>
            </w:pPr>
            <w:r>
              <w:rPr>
                <w:rFonts w:hint="eastAsia"/>
                <w:color w:val="auto"/>
                <w:highlight w:val="none"/>
                <w:u w:val="none"/>
                <w:lang w:val="en-US" w:eastAsia="zh-CN"/>
              </w:rPr>
              <w:t>2</w:t>
            </w:r>
          </w:p>
        </w:tc>
        <w:tc>
          <w:tcPr>
            <w:tcW w:w="233" w:type="pct"/>
            <w:vAlign w:val="center"/>
          </w:tcPr>
          <w:p>
            <w:pPr>
              <w:pStyle w:val="22"/>
              <w:bidi w:val="0"/>
              <w:rPr>
                <w:color w:val="auto"/>
                <w:highlight w:val="none"/>
                <w:u w:val="none"/>
                <w:lang w:val="en-US" w:eastAsia="zh-CN"/>
              </w:rPr>
            </w:pPr>
            <w:r>
              <w:rPr>
                <w:rFonts w:hint="eastAsia"/>
                <w:color w:val="auto"/>
                <w:highlight w:val="none"/>
                <w:u w:val="none"/>
                <w:lang w:val="en-US" w:eastAsia="zh-CN"/>
              </w:rPr>
              <w:t>50</w:t>
            </w:r>
          </w:p>
        </w:tc>
        <w:tc>
          <w:tcPr>
            <w:tcW w:w="227" w:type="pct"/>
            <w:vAlign w:val="center"/>
          </w:tcPr>
          <w:p>
            <w:pPr>
              <w:pStyle w:val="22"/>
              <w:bidi w:val="0"/>
              <w:rPr>
                <w:color w:val="auto"/>
                <w:highlight w:val="none"/>
                <w:u w:val="none"/>
                <w:lang w:val="en-US" w:eastAsia="zh-CN"/>
              </w:rPr>
            </w:pPr>
            <w:r>
              <w:rPr>
                <w:rFonts w:hint="eastAsia"/>
                <w:color w:val="auto"/>
                <w:highlight w:val="none"/>
                <w:u w:val="none"/>
                <w:lang w:val="en-US" w:eastAsia="zh-CN"/>
              </w:rPr>
              <w:t>5</w:t>
            </w:r>
          </w:p>
        </w:tc>
        <w:tc>
          <w:tcPr>
            <w:tcW w:w="247" w:type="pct"/>
            <w:vAlign w:val="center"/>
          </w:tcPr>
          <w:p>
            <w:pPr>
              <w:pStyle w:val="22"/>
              <w:bidi w:val="0"/>
              <w:rPr>
                <w:color w:val="auto"/>
                <w:highlight w:val="none"/>
                <w:u w:val="none"/>
                <w:lang w:val="en-US" w:eastAsia="zh-CN"/>
              </w:rPr>
            </w:pPr>
            <w:r>
              <w:rPr>
                <w:rFonts w:hint="eastAsia"/>
                <w:color w:val="auto"/>
                <w:highlight w:val="none"/>
                <w:u w:val="none"/>
                <w:lang w:val="en-US" w:eastAsia="zh-CN"/>
              </w:rPr>
              <w:t>15</w:t>
            </w:r>
          </w:p>
        </w:tc>
        <w:tc>
          <w:tcPr>
            <w:tcW w:w="235" w:type="pct"/>
            <w:vAlign w:val="center"/>
          </w:tcPr>
          <w:p>
            <w:pPr>
              <w:pStyle w:val="22"/>
              <w:bidi w:val="0"/>
              <w:rPr>
                <w:color w:val="auto"/>
                <w:highlight w:val="none"/>
                <w:u w:val="none"/>
                <w:lang w:val="en-US" w:eastAsia="zh-CN"/>
              </w:rPr>
            </w:pPr>
            <w:r>
              <w:rPr>
                <w:rFonts w:hint="eastAsia"/>
                <w:color w:val="auto"/>
                <w:highlight w:val="none"/>
                <w:u w:val="none"/>
                <w:lang w:val="en-US" w:eastAsia="zh-CN"/>
              </w:rPr>
              <w:t>0.5</w:t>
            </w:r>
          </w:p>
        </w:tc>
        <w:tc>
          <w:tcPr>
            <w:tcW w:w="213"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226"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256"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239"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385" w:type="pct"/>
            <w:vAlign w:val="center"/>
          </w:tcPr>
          <w:p>
            <w:pPr>
              <w:pStyle w:val="22"/>
              <w:bidi w:val="0"/>
              <w:rPr>
                <w:color w:val="auto"/>
                <w:highlight w:val="none"/>
                <w:u w:val="none"/>
                <w:lang w:val="en-US" w:eastAsia="zh-CN"/>
              </w:rPr>
            </w:pPr>
            <w:r>
              <w:rPr>
                <w:rFonts w:hint="eastAsia"/>
                <w:color w:val="auto"/>
                <w:highlight w:val="none"/>
                <w:u w:val="none"/>
                <w:lang w:val="en-US" w:eastAsia="zh-CN"/>
              </w:rPr>
              <w:t>31.83</w:t>
            </w:r>
          </w:p>
        </w:tc>
        <w:tc>
          <w:tcPr>
            <w:tcW w:w="246" w:type="pct"/>
            <w:vAlign w:val="center"/>
          </w:tcPr>
          <w:p>
            <w:pPr>
              <w:pStyle w:val="22"/>
              <w:bidi w:val="0"/>
              <w:rPr>
                <w:color w:val="auto"/>
                <w:highlight w:val="none"/>
                <w:u w:val="none"/>
                <w:lang w:val="en-US" w:eastAsia="zh-CN"/>
              </w:rPr>
            </w:pPr>
            <w:r>
              <w:rPr>
                <w:rFonts w:hint="eastAsia"/>
                <w:color w:val="auto"/>
                <w:highlight w:val="none"/>
                <w:u w:val="none"/>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09"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6月</w:t>
            </w:r>
          </w:p>
        </w:tc>
        <w:tc>
          <w:tcPr>
            <w:tcW w:w="274" w:type="pct"/>
            <w:vAlign w:val="center"/>
          </w:tcPr>
          <w:p>
            <w:pPr>
              <w:pStyle w:val="22"/>
              <w:bidi w:val="0"/>
              <w:rPr>
                <w:rFonts w:hint="eastAsia"/>
                <w:color w:val="auto"/>
                <w:highlight w:val="none"/>
                <w:u w:val="none"/>
                <w:lang w:val="en-US" w:eastAsia="zh-CN"/>
              </w:rPr>
            </w:pPr>
            <w:r>
              <w:rPr>
                <w:rFonts w:hint="eastAsia"/>
                <w:color w:val="auto"/>
                <w:highlight w:val="none"/>
                <w:u w:val="none"/>
                <w:lang w:val="en-US" w:eastAsia="zh-CN"/>
              </w:rPr>
              <w:t>125.27</w:t>
            </w:r>
          </w:p>
        </w:tc>
        <w:tc>
          <w:tcPr>
            <w:tcW w:w="272"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12.1</w:t>
            </w:r>
          </w:p>
        </w:tc>
        <w:tc>
          <w:tcPr>
            <w:tcW w:w="233"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31.36</w:t>
            </w:r>
          </w:p>
        </w:tc>
        <w:tc>
          <w:tcPr>
            <w:tcW w:w="266"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0.12</w:t>
            </w:r>
          </w:p>
        </w:tc>
        <w:tc>
          <w:tcPr>
            <w:tcW w:w="203" w:type="pct"/>
            <w:vAlign w:val="center"/>
          </w:tcPr>
          <w:p>
            <w:pPr>
              <w:pStyle w:val="22"/>
              <w:bidi w:val="0"/>
              <w:rPr>
                <w:color w:val="auto"/>
                <w:highlight w:val="none"/>
                <w:u w:val="none"/>
                <w:lang w:val="en-US" w:eastAsia="zh-CN"/>
              </w:rPr>
            </w:pPr>
            <w:r>
              <w:rPr>
                <w:rFonts w:hint="eastAsia"/>
                <w:color w:val="auto"/>
                <w:highlight w:val="none"/>
                <w:u w:val="none"/>
                <w:lang w:val="en-US" w:eastAsia="zh-CN"/>
              </w:rPr>
              <w:t>-</w:t>
            </w:r>
          </w:p>
        </w:tc>
        <w:tc>
          <w:tcPr>
            <w:tcW w:w="277" w:type="pct"/>
            <w:vAlign w:val="center"/>
          </w:tcPr>
          <w:p>
            <w:pPr>
              <w:pStyle w:val="22"/>
              <w:bidi w:val="0"/>
              <w:rPr>
                <w:color w:val="auto"/>
                <w:highlight w:val="none"/>
                <w:u w:val="none"/>
                <w:lang w:val="en-US" w:eastAsia="zh-CN"/>
              </w:rPr>
            </w:pPr>
            <w:r>
              <w:rPr>
                <w:rFonts w:hint="eastAsia"/>
                <w:color w:val="auto"/>
                <w:highlight w:val="none"/>
                <w:u w:val="none"/>
                <w:lang w:val="en-US" w:eastAsia="zh-CN"/>
              </w:rPr>
              <w:t>10.01</w:t>
            </w:r>
          </w:p>
        </w:tc>
        <w:tc>
          <w:tcPr>
            <w:tcW w:w="253"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4.63</w:t>
            </w:r>
          </w:p>
        </w:tc>
        <w:tc>
          <w:tcPr>
            <w:tcW w:w="237"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0.19</w:t>
            </w:r>
          </w:p>
        </w:tc>
        <w:tc>
          <w:tcPr>
            <w:tcW w:w="263" w:type="pct"/>
            <w:vAlign w:val="center"/>
          </w:tcPr>
          <w:p>
            <w:pPr>
              <w:pStyle w:val="22"/>
              <w:bidi w:val="0"/>
              <w:rPr>
                <w:color w:val="auto"/>
                <w:highlight w:val="none"/>
                <w:u w:val="none"/>
                <w:lang w:val="en-US" w:eastAsia="zh-CN"/>
              </w:rPr>
            </w:pPr>
            <w:r>
              <w:rPr>
                <w:rFonts w:hint="eastAsia"/>
                <w:color w:val="auto"/>
                <w:highlight w:val="none"/>
                <w:u w:val="none"/>
                <w:lang w:val="en-US" w:eastAsia="zh-CN"/>
              </w:rPr>
              <w:t>2</w:t>
            </w:r>
          </w:p>
        </w:tc>
        <w:tc>
          <w:tcPr>
            <w:tcW w:w="233" w:type="pct"/>
            <w:vAlign w:val="center"/>
          </w:tcPr>
          <w:p>
            <w:pPr>
              <w:pStyle w:val="22"/>
              <w:bidi w:val="0"/>
              <w:rPr>
                <w:color w:val="auto"/>
                <w:highlight w:val="none"/>
                <w:u w:val="none"/>
                <w:lang w:val="en-US" w:eastAsia="zh-CN"/>
              </w:rPr>
            </w:pPr>
            <w:r>
              <w:rPr>
                <w:rFonts w:hint="eastAsia"/>
                <w:color w:val="auto"/>
                <w:highlight w:val="none"/>
                <w:u w:val="none"/>
                <w:lang w:val="en-US" w:eastAsia="zh-CN"/>
              </w:rPr>
              <w:t>50</w:t>
            </w:r>
          </w:p>
        </w:tc>
        <w:tc>
          <w:tcPr>
            <w:tcW w:w="227" w:type="pct"/>
            <w:vAlign w:val="center"/>
          </w:tcPr>
          <w:p>
            <w:pPr>
              <w:pStyle w:val="22"/>
              <w:bidi w:val="0"/>
              <w:rPr>
                <w:color w:val="auto"/>
                <w:highlight w:val="none"/>
                <w:u w:val="none"/>
                <w:lang w:val="en-US" w:eastAsia="zh-CN"/>
              </w:rPr>
            </w:pPr>
            <w:r>
              <w:rPr>
                <w:rFonts w:hint="eastAsia"/>
                <w:color w:val="auto"/>
                <w:highlight w:val="none"/>
                <w:u w:val="none"/>
                <w:lang w:val="en-US" w:eastAsia="zh-CN"/>
              </w:rPr>
              <w:t>5</w:t>
            </w:r>
          </w:p>
        </w:tc>
        <w:tc>
          <w:tcPr>
            <w:tcW w:w="247" w:type="pct"/>
            <w:vAlign w:val="center"/>
          </w:tcPr>
          <w:p>
            <w:pPr>
              <w:pStyle w:val="22"/>
              <w:bidi w:val="0"/>
              <w:rPr>
                <w:color w:val="auto"/>
                <w:highlight w:val="none"/>
                <w:u w:val="none"/>
                <w:lang w:val="en-US" w:eastAsia="zh-CN"/>
              </w:rPr>
            </w:pPr>
            <w:r>
              <w:rPr>
                <w:rFonts w:hint="eastAsia"/>
                <w:color w:val="auto"/>
                <w:highlight w:val="none"/>
                <w:u w:val="none"/>
                <w:lang w:val="en-US" w:eastAsia="zh-CN"/>
              </w:rPr>
              <w:t>15</w:t>
            </w:r>
          </w:p>
        </w:tc>
        <w:tc>
          <w:tcPr>
            <w:tcW w:w="235" w:type="pct"/>
            <w:vAlign w:val="center"/>
          </w:tcPr>
          <w:p>
            <w:pPr>
              <w:pStyle w:val="22"/>
              <w:bidi w:val="0"/>
              <w:rPr>
                <w:color w:val="auto"/>
                <w:highlight w:val="none"/>
                <w:u w:val="none"/>
                <w:lang w:val="en-US" w:eastAsia="zh-CN"/>
              </w:rPr>
            </w:pPr>
            <w:r>
              <w:rPr>
                <w:rFonts w:hint="eastAsia"/>
                <w:color w:val="auto"/>
                <w:highlight w:val="none"/>
                <w:u w:val="none"/>
                <w:lang w:val="en-US" w:eastAsia="zh-CN"/>
              </w:rPr>
              <w:t>0.5</w:t>
            </w:r>
          </w:p>
        </w:tc>
        <w:tc>
          <w:tcPr>
            <w:tcW w:w="213"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226"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256"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239"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385" w:type="pct"/>
            <w:vAlign w:val="center"/>
          </w:tcPr>
          <w:p>
            <w:pPr>
              <w:pStyle w:val="22"/>
              <w:bidi w:val="0"/>
              <w:rPr>
                <w:color w:val="auto"/>
                <w:highlight w:val="none"/>
                <w:u w:val="none"/>
                <w:lang w:val="en-US" w:eastAsia="zh-CN"/>
              </w:rPr>
            </w:pPr>
            <w:r>
              <w:rPr>
                <w:rFonts w:hint="eastAsia"/>
                <w:color w:val="auto"/>
                <w:highlight w:val="none"/>
                <w:u w:val="none"/>
                <w:lang w:val="en-US" w:eastAsia="zh-CN"/>
              </w:rPr>
              <w:t>52.43</w:t>
            </w:r>
          </w:p>
        </w:tc>
        <w:tc>
          <w:tcPr>
            <w:tcW w:w="246" w:type="pct"/>
            <w:vAlign w:val="center"/>
          </w:tcPr>
          <w:p>
            <w:pPr>
              <w:pStyle w:val="22"/>
              <w:bidi w:val="0"/>
              <w:rPr>
                <w:color w:val="auto"/>
                <w:highlight w:val="none"/>
                <w:u w:val="none"/>
                <w:lang w:val="en-US" w:eastAsia="zh-CN"/>
              </w:rPr>
            </w:pPr>
            <w:r>
              <w:rPr>
                <w:rFonts w:hint="eastAsia"/>
                <w:color w:val="auto"/>
                <w:highlight w:val="none"/>
                <w:u w:val="none"/>
                <w:lang w:val="en-US" w:eastAsia="zh-C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09"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7月</w:t>
            </w:r>
          </w:p>
        </w:tc>
        <w:tc>
          <w:tcPr>
            <w:tcW w:w="274"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296.55</w:t>
            </w:r>
          </w:p>
        </w:tc>
        <w:tc>
          <w:tcPr>
            <w:tcW w:w="272"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21.31</w:t>
            </w:r>
          </w:p>
        </w:tc>
        <w:tc>
          <w:tcPr>
            <w:tcW w:w="233"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26.39</w:t>
            </w:r>
          </w:p>
        </w:tc>
        <w:tc>
          <w:tcPr>
            <w:tcW w:w="266"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2.31</w:t>
            </w:r>
          </w:p>
        </w:tc>
        <w:tc>
          <w:tcPr>
            <w:tcW w:w="203" w:type="pct"/>
            <w:vAlign w:val="center"/>
          </w:tcPr>
          <w:p>
            <w:pPr>
              <w:pStyle w:val="22"/>
              <w:bidi w:val="0"/>
              <w:rPr>
                <w:rFonts w:hint="eastAsia"/>
                <w:color w:val="auto"/>
                <w:highlight w:val="none"/>
                <w:u w:val="none"/>
                <w:lang w:val="en-US" w:eastAsia="zh-CN"/>
              </w:rPr>
            </w:pPr>
            <w:r>
              <w:rPr>
                <w:rFonts w:hint="eastAsia"/>
                <w:color w:val="auto"/>
                <w:highlight w:val="none"/>
                <w:u w:val="none"/>
                <w:lang w:val="en-US" w:eastAsia="zh-CN"/>
              </w:rPr>
              <w:t>-</w:t>
            </w:r>
          </w:p>
        </w:tc>
        <w:tc>
          <w:tcPr>
            <w:tcW w:w="277"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9.09</w:t>
            </w:r>
          </w:p>
        </w:tc>
        <w:tc>
          <w:tcPr>
            <w:tcW w:w="253"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4.16</w:t>
            </w:r>
          </w:p>
        </w:tc>
        <w:tc>
          <w:tcPr>
            <w:tcW w:w="237"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0.17</w:t>
            </w:r>
          </w:p>
        </w:tc>
        <w:tc>
          <w:tcPr>
            <w:tcW w:w="263" w:type="pct"/>
            <w:vAlign w:val="center"/>
          </w:tcPr>
          <w:p>
            <w:pPr>
              <w:pStyle w:val="22"/>
              <w:bidi w:val="0"/>
              <w:rPr>
                <w:color w:val="auto"/>
                <w:highlight w:val="none"/>
                <w:u w:val="none"/>
                <w:lang w:val="en-US" w:eastAsia="zh-CN"/>
              </w:rPr>
            </w:pPr>
            <w:r>
              <w:rPr>
                <w:rFonts w:hint="eastAsia"/>
                <w:color w:val="auto"/>
                <w:highlight w:val="none"/>
                <w:u w:val="none"/>
                <w:lang w:val="en-US" w:eastAsia="zh-CN"/>
              </w:rPr>
              <w:t>2</w:t>
            </w:r>
          </w:p>
        </w:tc>
        <w:tc>
          <w:tcPr>
            <w:tcW w:w="233" w:type="pct"/>
            <w:vAlign w:val="center"/>
          </w:tcPr>
          <w:p>
            <w:pPr>
              <w:pStyle w:val="22"/>
              <w:bidi w:val="0"/>
              <w:rPr>
                <w:color w:val="auto"/>
                <w:highlight w:val="none"/>
                <w:u w:val="none"/>
                <w:lang w:val="en-US" w:eastAsia="zh-CN"/>
              </w:rPr>
            </w:pPr>
            <w:r>
              <w:rPr>
                <w:rFonts w:hint="eastAsia"/>
                <w:color w:val="auto"/>
                <w:highlight w:val="none"/>
                <w:u w:val="none"/>
                <w:lang w:val="en-US" w:eastAsia="zh-CN"/>
              </w:rPr>
              <w:t>50</w:t>
            </w:r>
          </w:p>
        </w:tc>
        <w:tc>
          <w:tcPr>
            <w:tcW w:w="227" w:type="pct"/>
            <w:vAlign w:val="center"/>
          </w:tcPr>
          <w:p>
            <w:pPr>
              <w:pStyle w:val="22"/>
              <w:bidi w:val="0"/>
              <w:rPr>
                <w:color w:val="auto"/>
                <w:highlight w:val="none"/>
                <w:u w:val="none"/>
                <w:lang w:val="en-US" w:eastAsia="zh-CN"/>
              </w:rPr>
            </w:pPr>
            <w:r>
              <w:rPr>
                <w:rFonts w:hint="eastAsia"/>
                <w:color w:val="auto"/>
                <w:highlight w:val="none"/>
                <w:u w:val="none"/>
                <w:lang w:val="en-US" w:eastAsia="zh-CN"/>
              </w:rPr>
              <w:t>5</w:t>
            </w:r>
          </w:p>
        </w:tc>
        <w:tc>
          <w:tcPr>
            <w:tcW w:w="247" w:type="pct"/>
            <w:vAlign w:val="center"/>
          </w:tcPr>
          <w:p>
            <w:pPr>
              <w:pStyle w:val="22"/>
              <w:bidi w:val="0"/>
              <w:rPr>
                <w:color w:val="auto"/>
                <w:highlight w:val="none"/>
                <w:u w:val="none"/>
                <w:lang w:val="en-US" w:eastAsia="zh-CN"/>
              </w:rPr>
            </w:pPr>
            <w:r>
              <w:rPr>
                <w:rFonts w:hint="eastAsia"/>
                <w:color w:val="auto"/>
                <w:highlight w:val="none"/>
                <w:u w:val="none"/>
                <w:lang w:val="en-US" w:eastAsia="zh-CN"/>
              </w:rPr>
              <w:t>15</w:t>
            </w:r>
          </w:p>
        </w:tc>
        <w:tc>
          <w:tcPr>
            <w:tcW w:w="235" w:type="pct"/>
            <w:vAlign w:val="center"/>
          </w:tcPr>
          <w:p>
            <w:pPr>
              <w:pStyle w:val="22"/>
              <w:bidi w:val="0"/>
              <w:rPr>
                <w:color w:val="auto"/>
                <w:highlight w:val="none"/>
                <w:u w:val="none"/>
                <w:lang w:val="en-US" w:eastAsia="zh-CN"/>
              </w:rPr>
            </w:pPr>
            <w:r>
              <w:rPr>
                <w:rFonts w:hint="eastAsia"/>
                <w:color w:val="auto"/>
                <w:highlight w:val="none"/>
                <w:u w:val="none"/>
                <w:lang w:val="en-US" w:eastAsia="zh-CN"/>
              </w:rPr>
              <w:t>0.5</w:t>
            </w:r>
          </w:p>
        </w:tc>
        <w:tc>
          <w:tcPr>
            <w:tcW w:w="213"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226"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256"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239" w:type="pct"/>
            <w:vAlign w:val="center"/>
          </w:tcPr>
          <w:p>
            <w:pPr>
              <w:pStyle w:val="22"/>
              <w:bidi w:val="0"/>
              <w:rPr>
                <w:color w:val="auto"/>
                <w:highlight w:val="none"/>
                <w:u w:val="none"/>
                <w:lang w:val="en-US" w:eastAsia="zh-CN"/>
              </w:rPr>
            </w:pPr>
            <w:r>
              <w:rPr>
                <w:rFonts w:hint="eastAsia"/>
                <w:color w:val="auto"/>
                <w:highlight w:val="none"/>
                <w:u w:val="none"/>
                <w:lang w:val="en-US" w:eastAsia="zh-CN"/>
              </w:rPr>
              <w:t>100</w:t>
            </w:r>
          </w:p>
        </w:tc>
        <w:tc>
          <w:tcPr>
            <w:tcW w:w="385" w:type="pct"/>
            <w:vAlign w:val="center"/>
          </w:tcPr>
          <w:p>
            <w:pPr>
              <w:pStyle w:val="22"/>
              <w:bidi w:val="0"/>
              <w:rPr>
                <w:color w:val="auto"/>
                <w:highlight w:val="none"/>
                <w:u w:val="none"/>
                <w:lang w:val="en-US" w:eastAsia="zh-CN"/>
              </w:rPr>
            </w:pPr>
            <w:r>
              <w:rPr>
                <w:rFonts w:hint="eastAsia"/>
                <w:color w:val="auto"/>
                <w:highlight w:val="none"/>
                <w:u w:val="none"/>
                <w:lang w:val="en-US" w:eastAsia="zh-CN"/>
              </w:rPr>
              <w:t>25.62</w:t>
            </w:r>
          </w:p>
        </w:tc>
        <w:tc>
          <w:tcPr>
            <w:tcW w:w="246" w:type="pct"/>
            <w:vAlign w:val="center"/>
          </w:tcPr>
          <w:p>
            <w:pPr>
              <w:pStyle w:val="22"/>
              <w:bidi w:val="0"/>
              <w:rPr>
                <w:color w:val="auto"/>
                <w:highlight w:val="none"/>
                <w:u w:val="none"/>
                <w:lang w:val="en-US" w:eastAsia="zh-CN"/>
              </w:rPr>
            </w:pPr>
            <w:r>
              <w:rPr>
                <w:rFonts w:hint="eastAsia"/>
                <w:color w:val="auto"/>
                <w:highlight w:val="none"/>
                <w:u w:val="no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09"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8月</w:t>
            </w:r>
          </w:p>
        </w:tc>
        <w:tc>
          <w:tcPr>
            <w:tcW w:w="274"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w:t>
            </w:r>
          </w:p>
        </w:tc>
        <w:tc>
          <w:tcPr>
            <w:tcW w:w="272"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w:t>
            </w:r>
          </w:p>
        </w:tc>
        <w:tc>
          <w:tcPr>
            <w:tcW w:w="233"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w:t>
            </w:r>
          </w:p>
        </w:tc>
        <w:tc>
          <w:tcPr>
            <w:tcW w:w="266"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w:t>
            </w:r>
          </w:p>
        </w:tc>
        <w:tc>
          <w:tcPr>
            <w:tcW w:w="203" w:type="pct"/>
            <w:vAlign w:val="center"/>
          </w:tcPr>
          <w:p>
            <w:pPr>
              <w:pStyle w:val="22"/>
              <w:bidi w:val="0"/>
              <w:rPr>
                <w:rFonts w:hint="eastAsia"/>
                <w:color w:val="auto"/>
                <w:highlight w:val="none"/>
                <w:u w:val="none"/>
                <w:lang w:val="en-US" w:eastAsia="zh-CN"/>
              </w:rPr>
            </w:pPr>
            <w:r>
              <w:rPr>
                <w:rFonts w:hint="eastAsia"/>
                <w:color w:val="auto"/>
                <w:highlight w:val="none"/>
                <w:u w:val="none"/>
                <w:lang w:val="en-US" w:eastAsia="zh-CN"/>
              </w:rPr>
              <w:t>-</w:t>
            </w:r>
          </w:p>
        </w:tc>
        <w:tc>
          <w:tcPr>
            <w:tcW w:w="277"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w:t>
            </w:r>
          </w:p>
        </w:tc>
        <w:tc>
          <w:tcPr>
            <w:tcW w:w="253"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w:t>
            </w:r>
          </w:p>
        </w:tc>
        <w:tc>
          <w:tcPr>
            <w:tcW w:w="237" w:type="pct"/>
            <w:vAlign w:val="center"/>
          </w:tcPr>
          <w:p>
            <w:pPr>
              <w:pStyle w:val="22"/>
              <w:bidi w:val="0"/>
              <w:rPr>
                <w:rFonts w:hint="default"/>
                <w:color w:val="auto"/>
                <w:highlight w:val="none"/>
                <w:u w:val="none"/>
                <w:lang w:val="en-US" w:eastAsia="zh-CN"/>
              </w:rPr>
            </w:pPr>
            <w:r>
              <w:rPr>
                <w:rFonts w:hint="eastAsia"/>
                <w:color w:val="auto"/>
                <w:highlight w:val="none"/>
                <w:u w:val="none"/>
                <w:lang w:val="en-US" w:eastAsia="zh-CN"/>
              </w:rPr>
              <w:t>-</w:t>
            </w:r>
          </w:p>
        </w:tc>
        <w:tc>
          <w:tcPr>
            <w:tcW w:w="263" w:type="pct"/>
            <w:vAlign w:val="center"/>
          </w:tcPr>
          <w:p>
            <w:pPr>
              <w:pStyle w:val="22"/>
              <w:bidi w:val="0"/>
              <w:rPr>
                <w:color w:val="auto"/>
                <w:highlight w:val="none"/>
                <w:u w:val="none"/>
                <w:lang w:val="en-US" w:eastAsia="zh-CN"/>
              </w:rPr>
            </w:pPr>
            <w:r>
              <w:rPr>
                <w:rFonts w:hint="eastAsia"/>
                <w:color w:val="auto"/>
                <w:highlight w:val="none"/>
                <w:u w:val="none"/>
                <w:lang w:val="en-US" w:eastAsia="zh-CN"/>
              </w:rPr>
              <w:t>-</w:t>
            </w:r>
          </w:p>
        </w:tc>
        <w:tc>
          <w:tcPr>
            <w:tcW w:w="233" w:type="pct"/>
            <w:vAlign w:val="center"/>
          </w:tcPr>
          <w:p>
            <w:pPr>
              <w:pStyle w:val="22"/>
              <w:bidi w:val="0"/>
              <w:rPr>
                <w:color w:val="auto"/>
                <w:highlight w:val="none"/>
                <w:u w:val="none"/>
                <w:lang w:val="en-US" w:eastAsia="zh-CN"/>
              </w:rPr>
            </w:pPr>
            <w:r>
              <w:rPr>
                <w:rFonts w:hint="eastAsia"/>
                <w:color w:val="auto"/>
                <w:highlight w:val="none"/>
                <w:u w:val="none"/>
                <w:lang w:val="en-US" w:eastAsia="zh-CN"/>
              </w:rPr>
              <w:t>-</w:t>
            </w:r>
          </w:p>
        </w:tc>
        <w:tc>
          <w:tcPr>
            <w:tcW w:w="227" w:type="pct"/>
            <w:vAlign w:val="center"/>
          </w:tcPr>
          <w:p>
            <w:pPr>
              <w:pStyle w:val="22"/>
              <w:bidi w:val="0"/>
              <w:rPr>
                <w:color w:val="auto"/>
                <w:highlight w:val="none"/>
                <w:u w:val="none"/>
                <w:lang w:val="en-US" w:eastAsia="zh-CN"/>
              </w:rPr>
            </w:pPr>
            <w:r>
              <w:rPr>
                <w:rFonts w:hint="eastAsia"/>
                <w:color w:val="auto"/>
                <w:highlight w:val="none"/>
                <w:u w:val="none"/>
                <w:lang w:val="en-US" w:eastAsia="zh-CN"/>
              </w:rPr>
              <w:t>-</w:t>
            </w:r>
          </w:p>
        </w:tc>
        <w:tc>
          <w:tcPr>
            <w:tcW w:w="247" w:type="pct"/>
            <w:vAlign w:val="center"/>
          </w:tcPr>
          <w:p>
            <w:pPr>
              <w:pStyle w:val="22"/>
              <w:bidi w:val="0"/>
              <w:rPr>
                <w:color w:val="auto"/>
                <w:highlight w:val="none"/>
                <w:u w:val="none"/>
                <w:lang w:val="en-US" w:eastAsia="zh-CN"/>
              </w:rPr>
            </w:pPr>
            <w:r>
              <w:rPr>
                <w:rFonts w:hint="eastAsia"/>
                <w:color w:val="auto"/>
                <w:highlight w:val="none"/>
                <w:u w:val="none"/>
                <w:lang w:val="en-US" w:eastAsia="zh-CN"/>
              </w:rPr>
              <w:t>-</w:t>
            </w:r>
          </w:p>
        </w:tc>
        <w:tc>
          <w:tcPr>
            <w:tcW w:w="235" w:type="pct"/>
            <w:vAlign w:val="center"/>
          </w:tcPr>
          <w:p>
            <w:pPr>
              <w:pStyle w:val="22"/>
              <w:bidi w:val="0"/>
              <w:rPr>
                <w:color w:val="auto"/>
                <w:highlight w:val="none"/>
                <w:u w:val="none"/>
                <w:lang w:val="en-US" w:eastAsia="zh-CN"/>
              </w:rPr>
            </w:pPr>
            <w:r>
              <w:rPr>
                <w:rFonts w:hint="eastAsia"/>
                <w:color w:val="auto"/>
                <w:highlight w:val="none"/>
                <w:u w:val="none"/>
                <w:lang w:val="en-US" w:eastAsia="zh-CN"/>
              </w:rPr>
              <w:t>-</w:t>
            </w:r>
          </w:p>
        </w:tc>
        <w:tc>
          <w:tcPr>
            <w:tcW w:w="213" w:type="pct"/>
            <w:vAlign w:val="center"/>
          </w:tcPr>
          <w:p>
            <w:pPr>
              <w:pStyle w:val="22"/>
              <w:bidi w:val="0"/>
              <w:rPr>
                <w:color w:val="auto"/>
                <w:highlight w:val="none"/>
                <w:u w:val="none"/>
                <w:lang w:val="en-US" w:eastAsia="zh-CN"/>
              </w:rPr>
            </w:pPr>
            <w:r>
              <w:rPr>
                <w:rFonts w:hint="eastAsia"/>
                <w:color w:val="auto"/>
                <w:highlight w:val="none"/>
                <w:u w:val="none"/>
                <w:lang w:val="en-US" w:eastAsia="zh-CN"/>
              </w:rPr>
              <w:t>-</w:t>
            </w:r>
          </w:p>
        </w:tc>
        <w:tc>
          <w:tcPr>
            <w:tcW w:w="226" w:type="pct"/>
            <w:vAlign w:val="center"/>
          </w:tcPr>
          <w:p>
            <w:pPr>
              <w:pStyle w:val="22"/>
              <w:bidi w:val="0"/>
              <w:rPr>
                <w:color w:val="auto"/>
                <w:highlight w:val="none"/>
                <w:u w:val="none"/>
                <w:lang w:val="en-US" w:eastAsia="zh-CN"/>
              </w:rPr>
            </w:pPr>
            <w:r>
              <w:rPr>
                <w:rFonts w:hint="eastAsia"/>
                <w:color w:val="auto"/>
                <w:highlight w:val="none"/>
                <w:u w:val="none"/>
                <w:lang w:val="en-US" w:eastAsia="zh-CN"/>
              </w:rPr>
              <w:t>-</w:t>
            </w:r>
          </w:p>
        </w:tc>
        <w:tc>
          <w:tcPr>
            <w:tcW w:w="256" w:type="pct"/>
            <w:vAlign w:val="center"/>
          </w:tcPr>
          <w:p>
            <w:pPr>
              <w:pStyle w:val="22"/>
              <w:bidi w:val="0"/>
              <w:rPr>
                <w:color w:val="auto"/>
                <w:highlight w:val="none"/>
                <w:u w:val="none"/>
                <w:lang w:val="en-US" w:eastAsia="zh-CN"/>
              </w:rPr>
            </w:pPr>
            <w:r>
              <w:rPr>
                <w:rFonts w:hint="eastAsia"/>
                <w:color w:val="auto"/>
                <w:highlight w:val="none"/>
                <w:u w:val="none"/>
                <w:lang w:val="en-US" w:eastAsia="zh-CN"/>
              </w:rPr>
              <w:t>-</w:t>
            </w:r>
          </w:p>
        </w:tc>
        <w:tc>
          <w:tcPr>
            <w:tcW w:w="239" w:type="pct"/>
            <w:vAlign w:val="center"/>
          </w:tcPr>
          <w:p>
            <w:pPr>
              <w:pStyle w:val="22"/>
              <w:bidi w:val="0"/>
              <w:rPr>
                <w:color w:val="auto"/>
                <w:highlight w:val="none"/>
                <w:u w:val="none"/>
                <w:lang w:val="en-US" w:eastAsia="zh-CN"/>
              </w:rPr>
            </w:pPr>
            <w:r>
              <w:rPr>
                <w:rFonts w:hint="eastAsia"/>
                <w:color w:val="auto"/>
                <w:highlight w:val="none"/>
                <w:u w:val="none"/>
                <w:lang w:val="en-US" w:eastAsia="zh-CN"/>
              </w:rPr>
              <w:t>-</w:t>
            </w:r>
          </w:p>
        </w:tc>
        <w:tc>
          <w:tcPr>
            <w:tcW w:w="385" w:type="pct"/>
            <w:vAlign w:val="center"/>
          </w:tcPr>
          <w:p>
            <w:pPr>
              <w:pStyle w:val="22"/>
              <w:bidi w:val="0"/>
              <w:rPr>
                <w:color w:val="auto"/>
                <w:highlight w:val="none"/>
                <w:u w:val="none"/>
                <w:lang w:val="en-US" w:eastAsia="zh-CN"/>
              </w:rPr>
            </w:pPr>
            <w:r>
              <w:rPr>
                <w:rFonts w:hint="eastAsia"/>
                <w:color w:val="auto"/>
                <w:highlight w:val="none"/>
                <w:u w:val="none"/>
                <w:lang w:val="en-US" w:eastAsia="zh-CN"/>
              </w:rPr>
              <w:t>-</w:t>
            </w:r>
          </w:p>
        </w:tc>
        <w:tc>
          <w:tcPr>
            <w:tcW w:w="246" w:type="pct"/>
            <w:vAlign w:val="center"/>
          </w:tcPr>
          <w:p>
            <w:pPr>
              <w:pStyle w:val="22"/>
              <w:bidi w:val="0"/>
              <w:rPr>
                <w:color w:val="auto"/>
                <w:highlight w:val="none"/>
                <w:u w:val="none"/>
                <w:lang w:val="en-US" w:eastAsia="zh-CN"/>
              </w:rPr>
            </w:pPr>
            <w:r>
              <w:rPr>
                <w:rFonts w:hint="eastAsia"/>
                <w:color w:val="auto"/>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09"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9月</w:t>
            </w:r>
          </w:p>
        </w:tc>
        <w:tc>
          <w:tcPr>
            <w:tcW w:w="274" w:type="pct"/>
            <w:vAlign w:val="center"/>
          </w:tcPr>
          <w:p>
            <w:pPr>
              <w:pStyle w:val="22"/>
              <w:bidi w:val="0"/>
              <w:ind w:firstLine="0" w:firstLineChars="0"/>
              <w:rPr>
                <w:rFonts w:hint="default"/>
                <w:color w:val="auto"/>
                <w:highlight w:val="none"/>
                <w:u w:val="none"/>
                <w:lang w:val="en-US" w:eastAsia="zh-CN"/>
              </w:rPr>
            </w:pPr>
            <w:r>
              <w:rPr>
                <w:rFonts w:hint="eastAsia"/>
                <w:color w:val="auto"/>
                <w:highlight w:val="none"/>
                <w:u w:val="none"/>
                <w:lang w:val="en-US" w:eastAsia="zh-CN"/>
              </w:rPr>
              <w:t>-</w:t>
            </w:r>
          </w:p>
        </w:tc>
        <w:tc>
          <w:tcPr>
            <w:tcW w:w="272" w:type="pct"/>
            <w:vAlign w:val="center"/>
          </w:tcPr>
          <w:p>
            <w:pPr>
              <w:pStyle w:val="22"/>
              <w:bidi w:val="0"/>
              <w:ind w:firstLine="0" w:firstLineChars="0"/>
              <w:rPr>
                <w:rFonts w:hint="default"/>
                <w:color w:val="auto"/>
                <w:highlight w:val="none"/>
                <w:u w:val="none"/>
                <w:lang w:val="en-US" w:eastAsia="zh-CN"/>
              </w:rPr>
            </w:pPr>
            <w:r>
              <w:rPr>
                <w:rFonts w:hint="eastAsia"/>
                <w:color w:val="auto"/>
                <w:highlight w:val="none"/>
                <w:u w:val="none"/>
                <w:lang w:val="en-US" w:eastAsia="zh-CN"/>
              </w:rPr>
              <w:t>20.78</w:t>
            </w:r>
          </w:p>
        </w:tc>
        <w:tc>
          <w:tcPr>
            <w:tcW w:w="233" w:type="pct"/>
            <w:vAlign w:val="center"/>
          </w:tcPr>
          <w:p>
            <w:pPr>
              <w:pStyle w:val="22"/>
              <w:bidi w:val="0"/>
              <w:ind w:firstLine="0" w:firstLineChars="0"/>
              <w:rPr>
                <w:rFonts w:hint="default"/>
                <w:color w:val="auto"/>
                <w:highlight w:val="none"/>
                <w:u w:val="none"/>
                <w:lang w:val="en-US" w:eastAsia="zh-CN"/>
              </w:rPr>
            </w:pPr>
            <w:r>
              <w:rPr>
                <w:rFonts w:hint="eastAsia"/>
                <w:color w:val="auto"/>
                <w:highlight w:val="none"/>
                <w:u w:val="none"/>
                <w:lang w:val="en-US" w:eastAsia="zh-CN"/>
              </w:rPr>
              <w:t>-</w:t>
            </w:r>
          </w:p>
        </w:tc>
        <w:tc>
          <w:tcPr>
            <w:tcW w:w="266" w:type="pct"/>
            <w:vAlign w:val="center"/>
          </w:tcPr>
          <w:p>
            <w:pPr>
              <w:pStyle w:val="22"/>
              <w:bidi w:val="0"/>
              <w:ind w:firstLine="0" w:firstLineChars="0"/>
              <w:rPr>
                <w:rFonts w:hint="default"/>
                <w:color w:val="auto"/>
                <w:highlight w:val="none"/>
                <w:u w:val="none"/>
                <w:lang w:val="en-US" w:eastAsia="zh-CN"/>
              </w:rPr>
            </w:pPr>
            <w:r>
              <w:rPr>
                <w:rFonts w:hint="eastAsia"/>
                <w:color w:val="auto"/>
                <w:highlight w:val="none"/>
                <w:u w:val="none"/>
                <w:lang w:val="en-US" w:eastAsia="zh-CN"/>
              </w:rPr>
              <w:t>2.93</w:t>
            </w:r>
          </w:p>
        </w:tc>
        <w:tc>
          <w:tcPr>
            <w:tcW w:w="203" w:type="pct"/>
            <w:vAlign w:val="center"/>
          </w:tcPr>
          <w:p>
            <w:pPr>
              <w:pStyle w:val="22"/>
              <w:bidi w:val="0"/>
              <w:ind w:firstLine="0" w:firstLineChars="0"/>
              <w:rPr>
                <w:rFonts w:hint="eastAsia"/>
                <w:color w:val="auto"/>
                <w:highlight w:val="none"/>
                <w:u w:val="none"/>
                <w:lang w:val="en-US" w:eastAsia="zh-CN"/>
              </w:rPr>
            </w:pPr>
            <w:r>
              <w:rPr>
                <w:rFonts w:hint="eastAsia"/>
                <w:color w:val="auto"/>
                <w:highlight w:val="none"/>
                <w:u w:val="none"/>
                <w:lang w:val="en-US" w:eastAsia="zh-CN"/>
              </w:rPr>
              <w:t>-</w:t>
            </w:r>
          </w:p>
        </w:tc>
        <w:tc>
          <w:tcPr>
            <w:tcW w:w="277" w:type="pct"/>
            <w:vAlign w:val="center"/>
          </w:tcPr>
          <w:p>
            <w:pPr>
              <w:pStyle w:val="22"/>
              <w:bidi w:val="0"/>
              <w:ind w:firstLine="0" w:firstLineChars="0"/>
              <w:rPr>
                <w:rFonts w:hint="default"/>
                <w:color w:val="auto"/>
                <w:highlight w:val="none"/>
                <w:u w:val="none"/>
                <w:lang w:val="en-US" w:eastAsia="zh-CN"/>
              </w:rPr>
            </w:pPr>
            <w:r>
              <w:rPr>
                <w:rFonts w:hint="eastAsia"/>
                <w:color w:val="auto"/>
                <w:highlight w:val="none"/>
                <w:u w:val="none"/>
                <w:lang w:val="en-US" w:eastAsia="zh-CN"/>
              </w:rPr>
              <w:t>1.94</w:t>
            </w:r>
          </w:p>
        </w:tc>
        <w:tc>
          <w:tcPr>
            <w:tcW w:w="253" w:type="pct"/>
            <w:vAlign w:val="center"/>
          </w:tcPr>
          <w:p>
            <w:pPr>
              <w:pStyle w:val="22"/>
              <w:bidi w:val="0"/>
              <w:ind w:firstLine="0" w:firstLineChars="0"/>
              <w:rPr>
                <w:rFonts w:hint="default"/>
                <w:color w:val="auto"/>
                <w:highlight w:val="none"/>
                <w:u w:val="none"/>
                <w:lang w:val="en-US" w:eastAsia="zh-CN"/>
              </w:rPr>
            </w:pPr>
            <w:r>
              <w:rPr>
                <w:rFonts w:hint="eastAsia"/>
                <w:color w:val="auto"/>
                <w:highlight w:val="none"/>
                <w:u w:val="none"/>
                <w:lang w:val="en-US" w:eastAsia="zh-CN"/>
              </w:rPr>
              <w:t>-</w:t>
            </w:r>
          </w:p>
        </w:tc>
        <w:tc>
          <w:tcPr>
            <w:tcW w:w="237" w:type="pct"/>
            <w:vAlign w:val="center"/>
          </w:tcPr>
          <w:p>
            <w:pPr>
              <w:pStyle w:val="22"/>
              <w:bidi w:val="0"/>
              <w:ind w:firstLine="0" w:firstLineChars="0"/>
              <w:rPr>
                <w:rFonts w:hint="default"/>
                <w:color w:val="auto"/>
                <w:highlight w:val="none"/>
                <w:u w:val="none"/>
                <w:lang w:val="en-US" w:eastAsia="zh-CN"/>
              </w:rPr>
            </w:pPr>
            <w:r>
              <w:rPr>
                <w:rFonts w:hint="eastAsia"/>
                <w:color w:val="auto"/>
                <w:highlight w:val="none"/>
                <w:u w:val="none"/>
                <w:lang w:val="en-US" w:eastAsia="zh-CN"/>
              </w:rPr>
              <w:t>0.18</w:t>
            </w:r>
          </w:p>
        </w:tc>
        <w:tc>
          <w:tcPr>
            <w:tcW w:w="263" w:type="pct"/>
            <w:vAlign w:val="center"/>
          </w:tcPr>
          <w:p>
            <w:pPr>
              <w:pStyle w:val="22"/>
              <w:bidi w:val="0"/>
              <w:ind w:firstLine="0" w:firstLineChars="0"/>
              <w:rPr>
                <w:color w:val="auto"/>
                <w:highlight w:val="none"/>
                <w:u w:val="none"/>
                <w:lang w:val="en-US" w:eastAsia="zh-CN"/>
              </w:rPr>
            </w:pPr>
            <w:r>
              <w:rPr>
                <w:rFonts w:hint="eastAsia"/>
                <w:color w:val="auto"/>
                <w:highlight w:val="none"/>
                <w:u w:val="none"/>
                <w:lang w:val="en-US" w:eastAsia="zh-CN"/>
              </w:rPr>
              <w:t>2</w:t>
            </w:r>
          </w:p>
        </w:tc>
        <w:tc>
          <w:tcPr>
            <w:tcW w:w="233" w:type="pct"/>
            <w:vAlign w:val="center"/>
          </w:tcPr>
          <w:p>
            <w:pPr>
              <w:pStyle w:val="22"/>
              <w:bidi w:val="0"/>
              <w:ind w:firstLine="0" w:firstLineChars="0"/>
              <w:rPr>
                <w:color w:val="auto"/>
                <w:highlight w:val="none"/>
                <w:u w:val="none"/>
                <w:lang w:val="en-US" w:eastAsia="zh-CN"/>
              </w:rPr>
            </w:pPr>
            <w:r>
              <w:rPr>
                <w:rFonts w:hint="eastAsia"/>
                <w:color w:val="auto"/>
                <w:highlight w:val="none"/>
                <w:u w:val="none"/>
                <w:lang w:val="en-US" w:eastAsia="zh-CN"/>
              </w:rPr>
              <w:t>50</w:t>
            </w:r>
          </w:p>
        </w:tc>
        <w:tc>
          <w:tcPr>
            <w:tcW w:w="227" w:type="pct"/>
            <w:vAlign w:val="center"/>
          </w:tcPr>
          <w:p>
            <w:pPr>
              <w:pStyle w:val="22"/>
              <w:bidi w:val="0"/>
              <w:ind w:firstLine="0" w:firstLineChars="0"/>
              <w:rPr>
                <w:color w:val="auto"/>
                <w:highlight w:val="none"/>
                <w:u w:val="none"/>
                <w:lang w:val="en-US" w:eastAsia="zh-CN"/>
              </w:rPr>
            </w:pPr>
            <w:r>
              <w:rPr>
                <w:rFonts w:hint="eastAsia"/>
                <w:color w:val="auto"/>
                <w:highlight w:val="none"/>
                <w:u w:val="none"/>
                <w:lang w:val="en-US" w:eastAsia="zh-CN"/>
              </w:rPr>
              <w:t>5</w:t>
            </w:r>
          </w:p>
        </w:tc>
        <w:tc>
          <w:tcPr>
            <w:tcW w:w="247" w:type="pct"/>
            <w:vAlign w:val="center"/>
          </w:tcPr>
          <w:p>
            <w:pPr>
              <w:pStyle w:val="22"/>
              <w:bidi w:val="0"/>
              <w:ind w:firstLine="0" w:firstLineChars="0"/>
              <w:rPr>
                <w:color w:val="auto"/>
                <w:highlight w:val="none"/>
                <w:u w:val="none"/>
                <w:lang w:val="en-US" w:eastAsia="zh-CN"/>
              </w:rPr>
            </w:pPr>
            <w:r>
              <w:rPr>
                <w:rFonts w:hint="eastAsia"/>
                <w:color w:val="auto"/>
                <w:highlight w:val="none"/>
                <w:u w:val="none"/>
                <w:lang w:val="en-US" w:eastAsia="zh-CN"/>
              </w:rPr>
              <w:t>15</w:t>
            </w:r>
          </w:p>
        </w:tc>
        <w:tc>
          <w:tcPr>
            <w:tcW w:w="235" w:type="pct"/>
            <w:vAlign w:val="center"/>
          </w:tcPr>
          <w:p>
            <w:pPr>
              <w:pStyle w:val="22"/>
              <w:bidi w:val="0"/>
              <w:ind w:firstLine="0" w:firstLineChars="0"/>
              <w:rPr>
                <w:color w:val="auto"/>
                <w:highlight w:val="none"/>
                <w:u w:val="none"/>
                <w:lang w:val="en-US" w:eastAsia="zh-CN"/>
              </w:rPr>
            </w:pPr>
            <w:r>
              <w:rPr>
                <w:rFonts w:hint="eastAsia"/>
                <w:color w:val="auto"/>
                <w:highlight w:val="none"/>
                <w:u w:val="none"/>
                <w:lang w:val="en-US" w:eastAsia="zh-CN"/>
              </w:rPr>
              <w:t>0.5</w:t>
            </w:r>
          </w:p>
        </w:tc>
        <w:tc>
          <w:tcPr>
            <w:tcW w:w="213" w:type="pct"/>
            <w:vAlign w:val="center"/>
          </w:tcPr>
          <w:p>
            <w:pPr>
              <w:pStyle w:val="22"/>
              <w:bidi w:val="0"/>
              <w:ind w:firstLine="0" w:firstLineChars="0"/>
              <w:rPr>
                <w:color w:val="auto"/>
                <w:highlight w:val="none"/>
                <w:u w:val="none"/>
                <w:lang w:val="en-US" w:eastAsia="zh-CN"/>
              </w:rPr>
            </w:pPr>
            <w:r>
              <w:rPr>
                <w:rFonts w:hint="eastAsia"/>
                <w:color w:val="auto"/>
                <w:highlight w:val="none"/>
                <w:u w:val="none"/>
                <w:lang w:val="en-US" w:eastAsia="zh-CN"/>
              </w:rPr>
              <w:t>100</w:t>
            </w:r>
          </w:p>
        </w:tc>
        <w:tc>
          <w:tcPr>
            <w:tcW w:w="226" w:type="pct"/>
            <w:vAlign w:val="center"/>
          </w:tcPr>
          <w:p>
            <w:pPr>
              <w:pStyle w:val="22"/>
              <w:bidi w:val="0"/>
              <w:ind w:firstLine="0" w:firstLineChars="0"/>
              <w:rPr>
                <w:color w:val="auto"/>
                <w:highlight w:val="none"/>
                <w:u w:val="none"/>
                <w:lang w:val="en-US" w:eastAsia="zh-CN"/>
              </w:rPr>
            </w:pPr>
            <w:r>
              <w:rPr>
                <w:rFonts w:hint="eastAsia"/>
                <w:color w:val="auto"/>
                <w:highlight w:val="none"/>
                <w:u w:val="none"/>
                <w:lang w:val="en-US" w:eastAsia="zh-CN"/>
              </w:rPr>
              <w:t>100</w:t>
            </w:r>
          </w:p>
        </w:tc>
        <w:tc>
          <w:tcPr>
            <w:tcW w:w="256" w:type="pct"/>
            <w:vAlign w:val="center"/>
          </w:tcPr>
          <w:p>
            <w:pPr>
              <w:pStyle w:val="22"/>
              <w:bidi w:val="0"/>
              <w:ind w:firstLine="0" w:firstLineChars="0"/>
              <w:rPr>
                <w:color w:val="auto"/>
                <w:highlight w:val="none"/>
                <w:u w:val="none"/>
                <w:lang w:val="en-US" w:eastAsia="zh-CN"/>
              </w:rPr>
            </w:pPr>
            <w:r>
              <w:rPr>
                <w:rFonts w:hint="eastAsia"/>
                <w:color w:val="auto"/>
                <w:highlight w:val="none"/>
                <w:u w:val="none"/>
                <w:lang w:val="en-US" w:eastAsia="zh-CN"/>
              </w:rPr>
              <w:t>100</w:t>
            </w:r>
          </w:p>
        </w:tc>
        <w:tc>
          <w:tcPr>
            <w:tcW w:w="239" w:type="pct"/>
            <w:vAlign w:val="center"/>
          </w:tcPr>
          <w:p>
            <w:pPr>
              <w:pStyle w:val="22"/>
              <w:bidi w:val="0"/>
              <w:ind w:firstLine="0" w:firstLineChars="0"/>
              <w:rPr>
                <w:color w:val="auto"/>
                <w:highlight w:val="none"/>
                <w:u w:val="none"/>
                <w:lang w:val="en-US" w:eastAsia="zh-CN"/>
              </w:rPr>
            </w:pPr>
            <w:r>
              <w:rPr>
                <w:rFonts w:hint="eastAsia"/>
                <w:color w:val="auto"/>
                <w:highlight w:val="none"/>
                <w:u w:val="none"/>
                <w:lang w:val="en-US" w:eastAsia="zh-CN"/>
              </w:rPr>
              <w:t>100</w:t>
            </w:r>
          </w:p>
        </w:tc>
        <w:tc>
          <w:tcPr>
            <w:tcW w:w="385" w:type="pct"/>
            <w:vAlign w:val="center"/>
          </w:tcPr>
          <w:p>
            <w:pPr>
              <w:pStyle w:val="22"/>
              <w:bidi w:val="0"/>
              <w:ind w:firstLine="0" w:firstLineChars="0"/>
              <w:rPr>
                <w:color w:val="auto"/>
                <w:highlight w:val="none"/>
                <w:u w:val="none"/>
                <w:lang w:val="en-US" w:eastAsia="zh-CN"/>
              </w:rPr>
            </w:pPr>
            <w:r>
              <w:rPr>
                <w:rFonts w:hint="eastAsia"/>
                <w:color w:val="auto"/>
                <w:highlight w:val="none"/>
                <w:u w:val="none"/>
                <w:lang w:val="en-US" w:eastAsia="zh-CN"/>
              </w:rPr>
              <w:t>26.74</w:t>
            </w:r>
          </w:p>
        </w:tc>
        <w:tc>
          <w:tcPr>
            <w:tcW w:w="246" w:type="pct"/>
            <w:vAlign w:val="center"/>
          </w:tcPr>
          <w:p>
            <w:pPr>
              <w:pStyle w:val="22"/>
              <w:bidi w:val="0"/>
              <w:ind w:firstLine="0" w:firstLineChars="0"/>
              <w:rPr>
                <w:color w:val="auto"/>
                <w:highlight w:val="none"/>
                <w:u w:val="none"/>
                <w:lang w:val="en-US" w:eastAsia="zh-CN"/>
              </w:rPr>
            </w:pPr>
            <w:r>
              <w:rPr>
                <w:rFonts w:hint="eastAsia"/>
                <w:color w:val="auto"/>
                <w:highlight w:val="none"/>
                <w:u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09"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10月</w:t>
            </w:r>
          </w:p>
        </w:tc>
        <w:tc>
          <w:tcPr>
            <w:tcW w:w="274" w:type="pct"/>
            <w:vAlign w:val="center"/>
          </w:tcPr>
          <w:p>
            <w:pPr>
              <w:pStyle w:val="22"/>
              <w:bidi w:val="0"/>
              <w:ind w:firstLine="0" w:firstLineChars="0"/>
              <w:rPr>
                <w:rFonts w:hint="default"/>
                <w:color w:val="auto"/>
                <w:highlight w:val="none"/>
                <w:u w:val="none"/>
                <w:lang w:val="en-US" w:eastAsia="zh-CN"/>
              </w:rPr>
            </w:pPr>
            <w:r>
              <w:rPr>
                <w:rFonts w:hint="eastAsia"/>
                <w:color w:val="auto"/>
                <w:highlight w:val="none"/>
                <w:u w:val="none"/>
                <w:lang w:val="en-US" w:eastAsia="zh-CN"/>
              </w:rPr>
              <w:t>157.88</w:t>
            </w:r>
          </w:p>
        </w:tc>
        <w:tc>
          <w:tcPr>
            <w:tcW w:w="272" w:type="pct"/>
            <w:vAlign w:val="center"/>
          </w:tcPr>
          <w:p>
            <w:pPr>
              <w:pStyle w:val="22"/>
              <w:bidi w:val="0"/>
              <w:ind w:firstLine="0" w:firstLineChars="0"/>
              <w:rPr>
                <w:rFonts w:hint="default"/>
                <w:color w:val="auto"/>
                <w:highlight w:val="none"/>
                <w:u w:val="none"/>
                <w:lang w:val="en-US" w:eastAsia="zh-CN"/>
              </w:rPr>
            </w:pPr>
            <w:r>
              <w:rPr>
                <w:rFonts w:hint="eastAsia"/>
                <w:color w:val="auto"/>
                <w:highlight w:val="none"/>
                <w:u w:val="none"/>
                <w:lang w:val="en-US" w:eastAsia="zh-CN"/>
              </w:rPr>
              <w:t>16.69</w:t>
            </w:r>
          </w:p>
        </w:tc>
        <w:tc>
          <w:tcPr>
            <w:tcW w:w="233" w:type="pct"/>
            <w:vAlign w:val="center"/>
          </w:tcPr>
          <w:p>
            <w:pPr>
              <w:pStyle w:val="22"/>
              <w:bidi w:val="0"/>
              <w:ind w:firstLine="0" w:firstLineChars="0"/>
              <w:rPr>
                <w:rFonts w:hint="default"/>
                <w:color w:val="auto"/>
                <w:highlight w:val="none"/>
                <w:u w:val="none"/>
                <w:lang w:val="en-US" w:eastAsia="zh-CN"/>
              </w:rPr>
            </w:pPr>
            <w:r>
              <w:rPr>
                <w:rFonts w:hint="eastAsia"/>
                <w:color w:val="auto"/>
                <w:highlight w:val="none"/>
                <w:u w:val="none"/>
                <w:lang w:val="en-US" w:eastAsia="zh-CN"/>
              </w:rPr>
              <w:t>19.31</w:t>
            </w:r>
          </w:p>
        </w:tc>
        <w:tc>
          <w:tcPr>
            <w:tcW w:w="266" w:type="pct"/>
            <w:vAlign w:val="center"/>
          </w:tcPr>
          <w:p>
            <w:pPr>
              <w:pStyle w:val="22"/>
              <w:bidi w:val="0"/>
              <w:ind w:firstLine="0" w:firstLineChars="0"/>
              <w:rPr>
                <w:rFonts w:hint="default"/>
                <w:color w:val="auto"/>
                <w:highlight w:val="none"/>
                <w:u w:val="none"/>
                <w:lang w:val="en-US" w:eastAsia="zh-CN"/>
              </w:rPr>
            </w:pPr>
            <w:r>
              <w:rPr>
                <w:rFonts w:hint="eastAsia"/>
                <w:color w:val="auto"/>
                <w:highlight w:val="none"/>
                <w:u w:val="none"/>
                <w:lang w:val="en-US" w:eastAsia="zh-CN"/>
              </w:rPr>
              <w:t>2.54</w:t>
            </w:r>
          </w:p>
        </w:tc>
        <w:tc>
          <w:tcPr>
            <w:tcW w:w="203" w:type="pct"/>
            <w:vAlign w:val="center"/>
          </w:tcPr>
          <w:p>
            <w:pPr>
              <w:pStyle w:val="22"/>
              <w:bidi w:val="0"/>
              <w:ind w:firstLine="0" w:firstLineChars="0"/>
              <w:rPr>
                <w:rFonts w:hint="eastAsia"/>
                <w:color w:val="auto"/>
                <w:highlight w:val="none"/>
                <w:u w:val="none"/>
                <w:lang w:val="en-US" w:eastAsia="zh-CN"/>
              </w:rPr>
            </w:pPr>
            <w:r>
              <w:rPr>
                <w:rFonts w:hint="eastAsia"/>
                <w:color w:val="auto"/>
                <w:highlight w:val="none"/>
                <w:u w:val="none"/>
                <w:lang w:val="en-US" w:eastAsia="zh-CN"/>
              </w:rPr>
              <w:t>-</w:t>
            </w:r>
          </w:p>
        </w:tc>
        <w:tc>
          <w:tcPr>
            <w:tcW w:w="277" w:type="pct"/>
            <w:vAlign w:val="center"/>
          </w:tcPr>
          <w:p>
            <w:pPr>
              <w:pStyle w:val="22"/>
              <w:bidi w:val="0"/>
              <w:ind w:firstLine="0" w:firstLineChars="0"/>
              <w:rPr>
                <w:rFonts w:hint="default"/>
                <w:color w:val="auto"/>
                <w:highlight w:val="none"/>
                <w:u w:val="none"/>
                <w:lang w:val="en-US" w:eastAsia="zh-CN"/>
              </w:rPr>
            </w:pPr>
            <w:r>
              <w:rPr>
                <w:rFonts w:hint="eastAsia"/>
                <w:color w:val="auto"/>
                <w:highlight w:val="none"/>
                <w:u w:val="none"/>
                <w:lang w:val="en-US" w:eastAsia="zh-CN"/>
              </w:rPr>
              <w:t>1.85</w:t>
            </w:r>
          </w:p>
        </w:tc>
        <w:tc>
          <w:tcPr>
            <w:tcW w:w="253" w:type="pct"/>
            <w:vAlign w:val="center"/>
          </w:tcPr>
          <w:p>
            <w:pPr>
              <w:pStyle w:val="22"/>
              <w:bidi w:val="0"/>
              <w:ind w:firstLine="0" w:firstLineChars="0"/>
              <w:rPr>
                <w:rFonts w:hint="default"/>
                <w:color w:val="auto"/>
                <w:highlight w:val="none"/>
                <w:u w:val="none"/>
                <w:lang w:val="en-US" w:eastAsia="zh-CN"/>
              </w:rPr>
            </w:pPr>
            <w:r>
              <w:rPr>
                <w:rFonts w:hint="eastAsia"/>
                <w:color w:val="auto"/>
                <w:highlight w:val="none"/>
                <w:u w:val="none"/>
                <w:lang w:val="en-US" w:eastAsia="zh-CN"/>
              </w:rPr>
              <w:t>5.53</w:t>
            </w:r>
          </w:p>
        </w:tc>
        <w:tc>
          <w:tcPr>
            <w:tcW w:w="237" w:type="pct"/>
            <w:vAlign w:val="center"/>
          </w:tcPr>
          <w:p>
            <w:pPr>
              <w:pStyle w:val="22"/>
              <w:bidi w:val="0"/>
              <w:ind w:firstLine="0" w:firstLineChars="0"/>
              <w:rPr>
                <w:rFonts w:hint="default"/>
                <w:color w:val="auto"/>
                <w:highlight w:val="none"/>
                <w:u w:val="none"/>
                <w:lang w:val="en-US" w:eastAsia="zh-CN"/>
              </w:rPr>
            </w:pPr>
            <w:r>
              <w:rPr>
                <w:rFonts w:hint="eastAsia"/>
                <w:color w:val="auto"/>
                <w:highlight w:val="none"/>
                <w:u w:val="none"/>
                <w:lang w:val="en-US" w:eastAsia="zh-CN"/>
              </w:rPr>
              <w:t>0.15</w:t>
            </w:r>
          </w:p>
        </w:tc>
        <w:tc>
          <w:tcPr>
            <w:tcW w:w="263" w:type="pct"/>
            <w:vAlign w:val="center"/>
          </w:tcPr>
          <w:p>
            <w:pPr>
              <w:pStyle w:val="22"/>
              <w:bidi w:val="0"/>
              <w:ind w:firstLine="0" w:firstLineChars="0"/>
              <w:rPr>
                <w:color w:val="auto"/>
                <w:highlight w:val="none"/>
                <w:u w:val="none"/>
                <w:lang w:val="en-US" w:eastAsia="zh-CN"/>
              </w:rPr>
            </w:pPr>
            <w:r>
              <w:rPr>
                <w:rFonts w:hint="eastAsia"/>
                <w:color w:val="auto"/>
                <w:highlight w:val="none"/>
                <w:u w:val="none"/>
                <w:lang w:val="en-US" w:eastAsia="zh-CN"/>
              </w:rPr>
              <w:t>2</w:t>
            </w:r>
          </w:p>
        </w:tc>
        <w:tc>
          <w:tcPr>
            <w:tcW w:w="233" w:type="pct"/>
            <w:vAlign w:val="center"/>
          </w:tcPr>
          <w:p>
            <w:pPr>
              <w:pStyle w:val="22"/>
              <w:bidi w:val="0"/>
              <w:ind w:firstLine="0" w:firstLineChars="0"/>
              <w:rPr>
                <w:color w:val="auto"/>
                <w:highlight w:val="none"/>
                <w:u w:val="none"/>
                <w:lang w:val="en-US" w:eastAsia="zh-CN"/>
              </w:rPr>
            </w:pPr>
            <w:r>
              <w:rPr>
                <w:rFonts w:hint="eastAsia"/>
                <w:color w:val="auto"/>
                <w:highlight w:val="none"/>
                <w:u w:val="none"/>
                <w:lang w:val="en-US" w:eastAsia="zh-CN"/>
              </w:rPr>
              <w:t>50</w:t>
            </w:r>
          </w:p>
        </w:tc>
        <w:tc>
          <w:tcPr>
            <w:tcW w:w="227" w:type="pct"/>
            <w:vAlign w:val="center"/>
          </w:tcPr>
          <w:p>
            <w:pPr>
              <w:pStyle w:val="22"/>
              <w:bidi w:val="0"/>
              <w:ind w:firstLine="0" w:firstLineChars="0"/>
              <w:rPr>
                <w:color w:val="auto"/>
                <w:highlight w:val="none"/>
                <w:u w:val="none"/>
                <w:lang w:val="en-US" w:eastAsia="zh-CN"/>
              </w:rPr>
            </w:pPr>
            <w:r>
              <w:rPr>
                <w:rFonts w:hint="eastAsia"/>
                <w:color w:val="auto"/>
                <w:highlight w:val="none"/>
                <w:u w:val="none"/>
                <w:lang w:val="en-US" w:eastAsia="zh-CN"/>
              </w:rPr>
              <w:t>5</w:t>
            </w:r>
          </w:p>
        </w:tc>
        <w:tc>
          <w:tcPr>
            <w:tcW w:w="247" w:type="pct"/>
            <w:vAlign w:val="center"/>
          </w:tcPr>
          <w:p>
            <w:pPr>
              <w:pStyle w:val="22"/>
              <w:bidi w:val="0"/>
              <w:ind w:firstLine="0" w:firstLineChars="0"/>
              <w:rPr>
                <w:color w:val="auto"/>
                <w:highlight w:val="none"/>
                <w:u w:val="none"/>
                <w:lang w:val="en-US" w:eastAsia="zh-CN"/>
              </w:rPr>
            </w:pPr>
            <w:r>
              <w:rPr>
                <w:rFonts w:hint="eastAsia"/>
                <w:color w:val="auto"/>
                <w:highlight w:val="none"/>
                <w:u w:val="none"/>
                <w:lang w:val="en-US" w:eastAsia="zh-CN"/>
              </w:rPr>
              <w:t>15</w:t>
            </w:r>
          </w:p>
        </w:tc>
        <w:tc>
          <w:tcPr>
            <w:tcW w:w="235" w:type="pct"/>
            <w:vAlign w:val="center"/>
          </w:tcPr>
          <w:p>
            <w:pPr>
              <w:pStyle w:val="22"/>
              <w:bidi w:val="0"/>
              <w:ind w:firstLine="0" w:firstLineChars="0"/>
              <w:rPr>
                <w:color w:val="auto"/>
                <w:highlight w:val="none"/>
                <w:u w:val="none"/>
                <w:lang w:val="en-US" w:eastAsia="zh-CN"/>
              </w:rPr>
            </w:pPr>
            <w:r>
              <w:rPr>
                <w:rFonts w:hint="eastAsia"/>
                <w:color w:val="auto"/>
                <w:highlight w:val="none"/>
                <w:u w:val="none"/>
                <w:lang w:val="en-US" w:eastAsia="zh-CN"/>
              </w:rPr>
              <w:t>0.5</w:t>
            </w:r>
          </w:p>
        </w:tc>
        <w:tc>
          <w:tcPr>
            <w:tcW w:w="213" w:type="pct"/>
            <w:vAlign w:val="center"/>
          </w:tcPr>
          <w:p>
            <w:pPr>
              <w:pStyle w:val="22"/>
              <w:bidi w:val="0"/>
              <w:ind w:firstLine="0" w:firstLineChars="0"/>
              <w:rPr>
                <w:color w:val="auto"/>
                <w:highlight w:val="none"/>
                <w:u w:val="none"/>
                <w:lang w:val="en-US" w:eastAsia="zh-CN"/>
              </w:rPr>
            </w:pPr>
            <w:r>
              <w:rPr>
                <w:rFonts w:hint="eastAsia"/>
                <w:color w:val="auto"/>
                <w:highlight w:val="none"/>
                <w:u w:val="none"/>
                <w:lang w:val="en-US" w:eastAsia="zh-CN"/>
              </w:rPr>
              <w:t>100</w:t>
            </w:r>
          </w:p>
        </w:tc>
        <w:tc>
          <w:tcPr>
            <w:tcW w:w="226" w:type="pct"/>
            <w:vAlign w:val="center"/>
          </w:tcPr>
          <w:p>
            <w:pPr>
              <w:pStyle w:val="22"/>
              <w:bidi w:val="0"/>
              <w:ind w:firstLine="0" w:firstLineChars="0"/>
              <w:rPr>
                <w:color w:val="auto"/>
                <w:highlight w:val="none"/>
                <w:u w:val="none"/>
                <w:lang w:val="en-US" w:eastAsia="zh-CN"/>
              </w:rPr>
            </w:pPr>
            <w:r>
              <w:rPr>
                <w:rFonts w:hint="eastAsia"/>
                <w:color w:val="auto"/>
                <w:highlight w:val="none"/>
                <w:u w:val="none"/>
                <w:lang w:val="en-US" w:eastAsia="zh-CN"/>
              </w:rPr>
              <w:t>100</w:t>
            </w:r>
          </w:p>
        </w:tc>
        <w:tc>
          <w:tcPr>
            <w:tcW w:w="256" w:type="pct"/>
            <w:vAlign w:val="center"/>
          </w:tcPr>
          <w:p>
            <w:pPr>
              <w:pStyle w:val="22"/>
              <w:bidi w:val="0"/>
              <w:ind w:firstLine="0" w:firstLineChars="0"/>
              <w:rPr>
                <w:color w:val="auto"/>
                <w:highlight w:val="none"/>
                <w:u w:val="none"/>
                <w:lang w:val="en-US" w:eastAsia="zh-CN"/>
              </w:rPr>
            </w:pPr>
            <w:r>
              <w:rPr>
                <w:rFonts w:hint="eastAsia"/>
                <w:color w:val="auto"/>
                <w:highlight w:val="none"/>
                <w:u w:val="none"/>
                <w:lang w:val="en-US" w:eastAsia="zh-CN"/>
              </w:rPr>
              <w:t>100</w:t>
            </w:r>
          </w:p>
        </w:tc>
        <w:tc>
          <w:tcPr>
            <w:tcW w:w="239" w:type="pct"/>
            <w:vAlign w:val="center"/>
          </w:tcPr>
          <w:p>
            <w:pPr>
              <w:pStyle w:val="22"/>
              <w:bidi w:val="0"/>
              <w:ind w:firstLine="0" w:firstLineChars="0"/>
              <w:rPr>
                <w:color w:val="auto"/>
                <w:highlight w:val="none"/>
                <w:u w:val="none"/>
                <w:lang w:val="en-US" w:eastAsia="zh-CN"/>
              </w:rPr>
            </w:pPr>
            <w:r>
              <w:rPr>
                <w:rFonts w:hint="eastAsia"/>
                <w:color w:val="auto"/>
                <w:highlight w:val="none"/>
                <w:u w:val="none"/>
                <w:lang w:val="en-US" w:eastAsia="zh-CN"/>
              </w:rPr>
              <w:t>100</w:t>
            </w:r>
          </w:p>
        </w:tc>
        <w:tc>
          <w:tcPr>
            <w:tcW w:w="385" w:type="pct"/>
            <w:vAlign w:val="center"/>
          </w:tcPr>
          <w:p>
            <w:pPr>
              <w:pStyle w:val="22"/>
              <w:bidi w:val="0"/>
              <w:ind w:firstLine="0" w:firstLineChars="0"/>
              <w:rPr>
                <w:color w:val="auto"/>
                <w:highlight w:val="none"/>
                <w:u w:val="none"/>
                <w:lang w:val="en-US" w:eastAsia="zh-CN"/>
              </w:rPr>
            </w:pPr>
            <w:r>
              <w:rPr>
                <w:rFonts w:hint="eastAsia"/>
                <w:color w:val="auto"/>
                <w:highlight w:val="none"/>
                <w:u w:val="none"/>
                <w:lang w:val="en-US" w:eastAsia="zh-CN"/>
              </w:rPr>
              <w:t>24.79</w:t>
            </w:r>
          </w:p>
        </w:tc>
        <w:tc>
          <w:tcPr>
            <w:tcW w:w="246" w:type="pct"/>
            <w:vAlign w:val="center"/>
          </w:tcPr>
          <w:p>
            <w:pPr>
              <w:pStyle w:val="22"/>
              <w:bidi w:val="0"/>
              <w:ind w:firstLine="0" w:firstLineChars="0"/>
              <w:rPr>
                <w:color w:val="auto"/>
                <w:highlight w:val="none"/>
                <w:u w:val="none"/>
                <w:lang w:val="en-US" w:eastAsia="zh-CN"/>
              </w:rPr>
            </w:pPr>
            <w:r>
              <w:rPr>
                <w:rFonts w:hint="eastAsia"/>
                <w:color w:val="auto"/>
                <w:highlight w:val="none"/>
                <w:u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09"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11月</w:t>
            </w:r>
          </w:p>
        </w:tc>
        <w:tc>
          <w:tcPr>
            <w:tcW w:w="274" w:type="pct"/>
            <w:vAlign w:val="center"/>
          </w:tcPr>
          <w:p>
            <w:pPr>
              <w:pStyle w:val="22"/>
              <w:bidi w:val="0"/>
              <w:ind w:firstLine="0" w:firstLineChars="0"/>
              <w:rPr>
                <w:rFonts w:hint="default"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72" w:type="pct"/>
            <w:vAlign w:val="center"/>
          </w:tcPr>
          <w:p>
            <w:pPr>
              <w:pStyle w:val="22"/>
              <w:bidi w:val="0"/>
              <w:ind w:firstLine="0" w:firstLineChars="0"/>
              <w:rPr>
                <w:rFonts w:hint="default"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33" w:type="pct"/>
            <w:vAlign w:val="center"/>
          </w:tcPr>
          <w:p>
            <w:pPr>
              <w:pStyle w:val="22"/>
              <w:bidi w:val="0"/>
              <w:ind w:firstLine="0" w:firstLineChars="0"/>
              <w:rPr>
                <w:rFonts w:hint="default"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66" w:type="pct"/>
            <w:vAlign w:val="center"/>
          </w:tcPr>
          <w:p>
            <w:pPr>
              <w:pStyle w:val="22"/>
              <w:bidi w:val="0"/>
              <w:ind w:firstLine="0" w:firstLineChars="0"/>
              <w:rPr>
                <w:rFonts w:hint="default"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03" w:type="pct"/>
            <w:vAlign w:val="center"/>
          </w:tcPr>
          <w:p>
            <w:pPr>
              <w:pStyle w:val="22"/>
              <w:bidi w:val="0"/>
              <w:ind w:firstLine="0" w:firstLineChars="0"/>
              <w:rPr>
                <w:rFonts w:hint="eastAsia"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77" w:type="pct"/>
            <w:vAlign w:val="center"/>
          </w:tcPr>
          <w:p>
            <w:pPr>
              <w:pStyle w:val="22"/>
              <w:bidi w:val="0"/>
              <w:ind w:firstLine="0" w:firstLineChars="0"/>
              <w:rPr>
                <w:rFonts w:hint="default"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53" w:type="pct"/>
            <w:vAlign w:val="center"/>
          </w:tcPr>
          <w:p>
            <w:pPr>
              <w:pStyle w:val="22"/>
              <w:bidi w:val="0"/>
              <w:ind w:firstLine="0" w:firstLineChars="0"/>
              <w:rPr>
                <w:rFonts w:hint="default"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37" w:type="pct"/>
            <w:vAlign w:val="center"/>
          </w:tcPr>
          <w:p>
            <w:pPr>
              <w:pStyle w:val="22"/>
              <w:bidi w:val="0"/>
              <w:ind w:firstLine="0" w:firstLineChars="0"/>
              <w:rPr>
                <w:rFonts w:hint="default"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63" w:type="pct"/>
            <w:vAlign w:val="center"/>
          </w:tcPr>
          <w:p>
            <w:pPr>
              <w:pStyle w:val="22"/>
              <w:bidi w:val="0"/>
              <w:ind w:firstLine="0" w:firstLineChars="0"/>
              <w:rPr>
                <w:rFonts w:ascii="Times New Roman" w:hAnsi="Times New Roman" w:eastAsia="宋体" w:cs="Times New Roman"/>
                <w:color w:val="auto"/>
                <w:kern w:val="2"/>
                <w:sz w:val="21"/>
                <w:szCs w:val="32"/>
                <w:highlight w:val="none"/>
                <w:u w:val="none"/>
                <w:lang w:val="en-US" w:eastAsia="zh-CN" w:bidi="ar-SA"/>
              </w:rPr>
            </w:pPr>
            <w:r>
              <w:rPr>
                <w:rFonts w:hint="eastAsia"/>
                <w:color w:val="auto"/>
                <w:highlight w:val="none"/>
                <w:u w:val="none"/>
                <w:lang w:val="en-US" w:eastAsia="zh-CN"/>
              </w:rPr>
              <w:t>-</w:t>
            </w:r>
          </w:p>
        </w:tc>
        <w:tc>
          <w:tcPr>
            <w:tcW w:w="233" w:type="pct"/>
            <w:vAlign w:val="center"/>
          </w:tcPr>
          <w:p>
            <w:pPr>
              <w:pStyle w:val="22"/>
              <w:bidi w:val="0"/>
              <w:ind w:firstLine="0" w:firstLineChars="0"/>
              <w:rPr>
                <w:rFonts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27" w:type="pct"/>
            <w:vAlign w:val="center"/>
          </w:tcPr>
          <w:p>
            <w:pPr>
              <w:pStyle w:val="22"/>
              <w:bidi w:val="0"/>
              <w:ind w:firstLine="0" w:firstLineChars="0"/>
              <w:rPr>
                <w:rFonts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47" w:type="pct"/>
            <w:vAlign w:val="center"/>
          </w:tcPr>
          <w:p>
            <w:pPr>
              <w:pStyle w:val="22"/>
              <w:bidi w:val="0"/>
              <w:ind w:firstLine="0" w:firstLineChars="0"/>
              <w:rPr>
                <w:rFonts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35" w:type="pct"/>
            <w:vAlign w:val="center"/>
          </w:tcPr>
          <w:p>
            <w:pPr>
              <w:pStyle w:val="22"/>
              <w:bidi w:val="0"/>
              <w:ind w:firstLine="0" w:firstLineChars="0"/>
              <w:rPr>
                <w:rFonts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13" w:type="pct"/>
            <w:vAlign w:val="center"/>
          </w:tcPr>
          <w:p>
            <w:pPr>
              <w:pStyle w:val="22"/>
              <w:bidi w:val="0"/>
              <w:ind w:firstLine="0" w:firstLineChars="0"/>
              <w:rPr>
                <w:rFonts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26" w:type="pct"/>
            <w:vAlign w:val="center"/>
          </w:tcPr>
          <w:p>
            <w:pPr>
              <w:pStyle w:val="22"/>
              <w:bidi w:val="0"/>
              <w:ind w:firstLine="0" w:firstLineChars="0"/>
              <w:rPr>
                <w:rFonts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56" w:type="pct"/>
            <w:vAlign w:val="center"/>
          </w:tcPr>
          <w:p>
            <w:pPr>
              <w:pStyle w:val="22"/>
              <w:bidi w:val="0"/>
              <w:ind w:firstLine="0" w:firstLineChars="0"/>
              <w:rPr>
                <w:rFonts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39" w:type="pct"/>
            <w:vAlign w:val="center"/>
          </w:tcPr>
          <w:p>
            <w:pPr>
              <w:pStyle w:val="22"/>
              <w:bidi w:val="0"/>
              <w:ind w:firstLine="0" w:firstLineChars="0"/>
              <w:rPr>
                <w:rFonts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385" w:type="pct"/>
            <w:vAlign w:val="center"/>
          </w:tcPr>
          <w:p>
            <w:pPr>
              <w:pStyle w:val="22"/>
              <w:bidi w:val="0"/>
              <w:ind w:firstLine="0" w:firstLineChars="0"/>
              <w:rPr>
                <w:rFonts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46" w:type="pct"/>
            <w:vAlign w:val="center"/>
          </w:tcPr>
          <w:p>
            <w:pPr>
              <w:pStyle w:val="22"/>
              <w:bidi w:val="0"/>
              <w:ind w:firstLine="0" w:firstLineChars="0"/>
              <w:rPr>
                <w:rFonts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09" w:type="pct"/>
            <w:vAlign w:val="center"/>
          </w:tcPr>
          <w:p>
            <w:pPr>
              <w:widowControl w:val="0"/>
              <w:spacing w:line="360" w:lineRule="exact"/>
              <w:ind w:firstLine="0" w:firstLineChars="0"/>
              <w:jc w:val="center"/>
              <w:rPr>
                <w:rFonts w:ascii="Times New Roman" w:hAnsi="Times New Roman" w:eastAsia="宋体" w:cs="??"/>
                <w:color w:val="auto"/>
                <w:kern w:val="2"/>
                <w:sz w:val="21"/>
                <w:szCs w:val="32"/>
                <w:highlight w:val="none"/>
                <w:u w:val="none"/>
                <w:lang w:val="en-US" w:eastAsia="zh-CN" w:bidi="ar-SA"/>
              </w:rPr>
            </w:pPr>
            <w:r>
              <w:rPr>
                <w:rFonts w:ascii="Times New Roman" w:hAnsi="Times New Roman" w:eastAsia="宋体" w:cs="??"/>
                <w:color w:val="auto"/>
                <w:kern w:val="2"/>
                <w:sz w:val="21"/>
                <w:szCs w:val="32"/>
                <w:highlight w:val="none"/>
                <w:u w:val="none"/>
                <w:lang w:val="en-US" w:eastAsia="zh-CN" w:bidi="ar-SA"/>
              </w:rPr>
              <w:t>12月</w:t>
            </w:r>
          </w:p>
        </w:tc>
        <w:tc>
          <w:tcPr>
            <w:tcW w:w="274" w:type="pct"/>
            <w:vAlign w:val="center"/>
          </w:tcPr>
          <w:p>
            <w:pPr>
              <w:pStyle w:val="22"/>
              <w:bidi w:val="0"/>
              <w:ind w:firstLine="0" w:firstLineChars="0"/>
              <w:rPr>
                <w:rFonts w:hint="default"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72" w:type="pct"/>
            <w:vAlign w:val="center"/>
          </w:tcPr>
          <w:p>
            <w:pPr>
              <w:pStyle w:val="22"/>
              <w:bidi w:val="0"/>
              <w:ind w:firstLine="0" w:firstLineChars="0"/>
              <w:rPr>
                <w:rFonts w:hint="default"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33" w:type="pct"/>
            <w:vAlign w:val="center"/>
          </w:tcPr>
          <w:p>
            <w:pPr>
              <w:pStyle w:val="22"/>
              <w:bidi w:val="0"/>
              <w:ind w:firstLine="0" w:firstLineChars="0"/>
              <w:rPr>
                <w:rFonts w:hint="default"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66" w:type="pct"/>
            <w:vAlign w:val="center"/>
          </w:tcPr>
          <w:p>
            <w:pPr>
              <w:pStyle w:val="22"/>
              <w:bidi w:val="0"/>
              <w:ind w:firstLine="0" w:firstLineChars="0"/>
              <w:rPr>
                <w:rFonts w:hint="default"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03" w:type="pct"/>
            <w:vAlign w:val="center"/>
          </w:tcPr>
          <w:p>
            <w:pPr>
              <w:pStyle w:val="22"/>
              <w:bidi w:val="0"/>
              <w:ind w:firstLine="0" w:firstLineChars="0"/>
              <w:rPr>
                <w:rFonts w:hint="eastAsia"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77" w:type="pct"/>
            <w:vAlign w:val="center"/>
          </w:tcPr>
          <w:p>
            <w:pPr>
              <w:pStyle w:val="22"/>
              <w:bidi w:val="0"/>
              <w:ind w:firstLine="0" w:firstLineChars="0"/>
              <w:rPr>
                <w:rFonts w:hint="default"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53" w:type="pct"/>
            <w:vAlign w:val="center"/>
          </w:tcPr>
          <w:p>
            <w:pPr>
              <w:pStyle w:val="22"/>
              <w:bidi w:val="0"/>
              <w:ind w:firstLine="0" w:firstLineChars="0"/>
              <w:rPr>
                <w:rFonts w:hint="default"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37" w:type="pct"/>
            <w:vAlign w:val="center"/>
          </w:tcPr>
          <w:p>
            <w:pPr>
              <w:pStyle w:val="22"/>
              <w:bidi w:val="0"/>
              <w:ind w:firstLine="0" w:firstLineChars="0"/>
              <w:rPr>
                <w:rFonts w:hint="default"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63" w:type="pct"/>
            <w:vAlign w:val="center"/>
          </w:tcPr>
          <w:p>
            <w:pPr>
              <w:pStyle w:val="22"/>
              <w:bidi w:val="0"/>
              <w:ind w:firstLine="0" w:firstLineChars="0"/>
              <w:rPr>
                <w:rFonts w:ascii="Times New Roman" w:hAnsi="Times New Roman" w:eastAsia="宋体" w:cs="Times New Roman"/>
                <w:color w:val="auto"/>
                <w:kern w:val="2"/>
                <w:sz w:val="21"/>
                <w:szCs w:val="32"/>
                <w:highlight w:val="none"/>
                <w:u w:val="none"/>
                <w:lang w:val="en-US" w:eastAsia="zh-CN" w:bidi="ar-SA"/>
              </w:rPr>
            </w:pPr>
            <w:r>
              <w:rPr>
                <w:rFonts w:hint="eastAsia"/>
                <w:color w:val="auto"/>
                <w:highlight w:val="none"/>
                <w:u w:val="none"/>
                <w:lang w:val="en-US" w:eastAsia="zh-CN"/>
              </w:rPr>
              <w:t>-</w:t>
            </w:r>
          </w:p>
        </w:tc>
        <w:tc>
          <w:tcPr>
            <w:tcW w:w="233" w:type="pct"/>
            <w:vAlign w:val="center"/>
          </w:tcPr>
          <w:p>
            <w:pPr>
              <w:pStyle w:val="22"/>
              <w:bidi w:val="0"/>
              <w:ind w:firstLine="0" w:firstLineChars="0"/>
              <w:rPr>
                <w:rFonts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27" w:type="pct"/>
            <w:vAlign w:val="center"/>
          </w:tcPr>
          <w:p>
            <w:pPr>
              <w:pStyle w:val="22"/>
              <w:bidi w:val="0"/>
              <w:ind w:firstLine="0" w:firstLineChars="0"/>
              <w:rPr>
                <w:rFonts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47" w:type="pct"/>
            <w:vAlign w:val="center"/>
          </w:tcPr>
          <w:p>
            <w:pPr>
              <w:pStyle w:val="22"/>
              <w:bidi w:val="0"/>
              <w:ind w:firstLine="0" w:firstLineChars="0"/>
              <w:rPr>
                <w:rFonts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35" w:type="pct"/>
            <w:vAlign w:val="center"/>
          </w:tcPr>
          <w:p>
            <w:pPr>
              <w:pStyle w:val="22"/>
              <w:bidi w:val="0"/>
              <w:ind w:firstLine="0" w:firstLineChars="0"/>
              <w:rPr>
                <w:rFonts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13" w:type="pct"/>
            <w:vAlign w:val="center"/>
          </w:tcPr>
          <w:p>
            <w:pPr>
              <w:pStyle w:val="22"/>
              <w:bidi w:val="0"/>
              <w:ind w:firstLine="0" w:firstLineChars="0"/>
              <w:rPr>
                <w:rFonts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26" w:type="pct"/>
            <w:vAlign w:val="center"/>
          </w:tcPr>
          <w:p>
            <w:pPr>
              <w:pStyle w:val="22"/>
              <w:bidi w:val="0"/>
              <w:ind w:firstLine="0" w:firstLineChars="0"/>
              <w:rPr>
                <w:rFonts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56" w:type="pct"/>
            <w:vAlign w:val="center"/>
          </w:tcPr>
          <w:p>
            <w:pPr>
              <w:pStyle w:val="22"/>
              <w:bidi w:val="0"/>
              <w:ind w:firstLine="0" w:firstLineChars="0"/>
              <w:rPr>
                <w:rFonts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39" w:type="pct"/>
            <w:vAlign w:val="center"/>
          </w:tcPr>
          <w:p>
            <w:pPr>
              <w:pStyle w:val="22"/>
              <w:bidi w:val="0"/>
              <w:ind w:firstLine="0" w:firstLineChars="0"/>
              <w:rPr>
                <w:rFonts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385" w:type="pct"/>
            <w:vAlign w:val="center"/>
          </w:tcPr>
          <w:p>
            <w:pPr>
              <w:pStyle w:val="22"/>
              <w:bidi w:val="0"/>
              <w:ind w:firstLine="0" w:firstLineChars="0"/>
              <w:rPr>
                <w:rFonts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c>
          <w:tcPr>
            <w:tcW w:w="246" w:type="pct"/>
            <w:vAlign w:val="center"/>
          </w:tcPr>
          <w:p>
            <w:pPr>
              <w:pStyle w:val="22"/>
              <w:bidi w:val="0"/>
              <w:ind w:firstLine="0" w:firstLineChars="0"/>
              <w:rPr>
                <w:rFonts w:ascii="Times New Roman" w:hAnsi="Times New Roman" w:eastAsia="宋体" w:cs="??"/>
                <w:color w:val="auto"/>
                <w:kern w:val="2"/>
                <w:sz w:val="21"/>
                <w:szCs w:val="32"/>
                <w:highlight w:val="none"/>
                <w:u w:val="none"/>
                <w:lang w:val="en-US" w:eastAsia="zh-CN" w:bidi="ar-SA"/>
              </w:rPr>
            </w:pPr>
            <w:r>
              <w:rPr>
                <w:rFonts w:hint="eastAsia"/>
                <w:color w:val="auto"/>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09" w:type="pct"/>
            <w:vAlign w:val="center"/>
          </w:tcPr>
          <w:p>
            <w:pPr>
              <w:widowControl w:val="0"/>
              <w:spacing w:line="360" w:lineRule="exact"/>
              <w:ind w:firstLine="0" w:firstLineChars="0"/>
              <w:jc w:val="center"/>
              <w:rPr>
                <w:rFonts w:hint="default" w:ascii="Times New Roman" w:hAnsi="Times New Roman" w:eastAsia="宋体" w:cs="??"/>
                <w:color w:val="auto"/>
                <w:kern w:val="2"/>
                <w:sz w:val="21"/>
                <w:szCs w:val="32"/>
                <w:highlight w:val="none"/>
                <w:u w:val="none"/>
                <w:lang w:val="en-US" w:eastAsia="zh-CN" w:bidi="ar-SA"/>
              </w:rPr>
            </w:pPr>
            <w:r>
              <w:rPr>
                <w:rFonts w:hint="eastAsia" w:ascii="Times New Roman" w:hAnsi="Times New Roman" w:eastAsia="宋体" w:cs="??"/>
                <w:color w:val="auto"/>
                <w:kern w:val="2"/>
                <w:sz w:val="21"/>
                <w:szCs w:val="32"/>
                <w:highlight w:val="none"/>
                <w:u w:val="none"/>
                <w:lang w:val="en-US" w:eastAsia="zh-CN" w:bidi="ar-SA"/>
              </w:rPr>
              <w:t>均值</w:t>
            </w:r>
          </w:p>
        </w:tc>
        <w:tc>
          <w:tcPr>
            <w:tcW w:w="274" w:type="pct"/>
            <w:vAlign w:val="center"/>
          </w:tcPr>
          <w:p>
            <w:pPr>
              <w:pStyle w:val="22"/>
              <w:bidi w:val="0"/>
              <w:rPr>
                <w:rFonts w:hint="eastAsia"/>
                <w:color w:val="auto"/>
                <w:highlight w:val="none"/>
                <w:u w:val="none"/>
                <w:lang w:val="en-US" w:eastAsia="zh-CN"/>
              </w:rPr>
            </w:pPr>
            <w:r>
              <w:rPr>
                <w:rFonts w:hint="eastAsia"/>
                <w:color w:val="auto"/>
                <w:highlight w:val="none"/>
                <w:u w:val="none"/>
                <w:lang w:val="en-US" w:eastAsia="zh-CN"/>
              </w:rPr>
              <w:t xml:space="preserve">288.41 </w:t>
            </w:r>
          </w:p>
        </w:tc>
        <w:tc>
          <w:tcPr>
            <w:tcW w:w="272" w:type="pct"/>
            <w:vAlign w:val="center"/>
          </w:tcPr>
          <w:p>
            <w:pPr>
              <w:pStyle w:val="22"/>
              <w:bidi w:val="0"/>
              <w:rPr>
                <w:rFonts w:hint="eastAsia"/>
                <w:color w:val="auto"/>
                <w:highlight w:val="none"/>
                <w:u w:val="none"/>
                <w:lang w:val="en-US" w:eastAsia="zh-CN"/>
              </w:rPr>
            </w:pPr>
            <w:r>
              <w:rPr>
                <w:rFonts w:hint="eastAsia"/>
                <w:color w:val="auto"/>
                <w:highlight w:val="none"/>
                <w:u w:val="none"/>
                <w:lang w:val="en-US" w:eastAsia="zh-CN"/>
              </w:rPr>
              <w:t xml:space="preserve">22.42 </w:t>
            </w:r>
          </w:p>
        </w:tc>
        <w:tc>
          <w:tcPr>
            <w:tcW w:w="233" w:type="pct"/>
            <w:vAlign w:val="center"/>
          </w:tcPr>
          <w:p>
            <w:pPr>
              <w:pStyle w:val="22"/>
              <w:bidi w:val="0"/>
              <w:rPr>
                <w:rFonts w:hint="eastAsia"/>
                <w:color w:val="auto"/>
                <w:highlight w:val="none"/>
                <w:u w:val="none"/>
                <w:lang w:val="en-US" w:eastAsia="zh-CN"/>
              </w:rPr>
            </w:pPr>
            <w:r>
              <w:rPr>
                <w:rFonts w:hint="eastAsia"/>
                <w:color w:val="auto"/>
                <w:highlight w:val="none"/>
                <w:u w:val="none"/>
                <w:lang w:val="en-US" w:eastAsia="zh-CN"/>
              </w:rPr>
              <w:t xml:space="preserve">24.52 </w:t>
            </w:r>
          </w:p>
        </w:tc>
        <w:tc>
          <w:tcPr>
            <w:tcW w:w="266" w:type="pct"/>
            <w:vAlign w:val="center"/>
          </w:tcPr>
          <w:p>
            <w:pPr>
              <w:pStyle w:val="22"/>
              <w:bidi w:val="0"/>
              <w:rPr>
                <w:rFonts w:hint="eastAsia"/>
                <w:color w:val="auto"/>
                <w:highlight w:val="none"/>
                <w:u w:val="none"/>
                <w:lang w:val="en-US" w:eastAsia="zh-CN"/>
              </w:rPr>
            </w:pPr>
            <w:r>
              <w:rPr>
                <w:rFonts w:hint="eastAsia"/>
                <w:color w:val="auto"/>
                <w:highlight w:val="none"/>
                <w:u w:val="none"/>
                <w:lang w:val="en-US" w:eastAsia="zh-CN"/>
              </w:rPr>
              <w:t xml:space="preserve">1.99 </w:t>
            </w:r>
          </w:p>
        </w:tc>
        <w:tc>
          <w:tcPr>
            <w:tcW w:w="203" w:type="pct"/>
            <w:vAlign w:val="center"/>
          </w:tcPr>
          <w:p>
            <w:pPr>
              <w:pStyle w:val="22"/>
              <w:bidi w:val="0"/>
              <w:rPr>
                <w:rFonts w:hint="eastAsia"/>
                <w:color w:val="auto"/>
                <w:highlight w:val="none"/>
                <w:u w:val="none"/>
                <w:lang w:val="en-US" w:eastAsia="zh-CN"/>
              </w:rPr>
            </w:pPr>
            <w:r>
              <w:rPr>
                <w:rFonts w:hint="default"/>
                <w:color w:val="auto"/>
                <w:highlight w:val="none"/>
                <w:u w:val="none"/>
                <w:lang w:val="en-US" w:eastAsia="zh-CN"/>
              </w:rPr>
              <w:t>-</w:t>
            </w:r>
          </w:p>
        </w:tc>
        <w:tc>
          <w:tcPr>
            <w:tcW w:w="277" w:type="pct"/>
            <w:vAlign w:val="center"/>
          </w:tcPr>
          <w:p>
            <w:pPr>
              <w:pStyle w:val="22"/>
              <w:bidi w:val="0"/>
              <w:rPr>
                <w:rFonts w:hint="eastAsia"/>
                <w:color w:val="auto"/>
                <w:highlight w:val="none"/>
                <w:u w:val="none"/>
                <w:lang w:val="en-US" w:eastAsia="zh-CN"/>
              </w:rPr>
            </w:pPr>
            <w:r>
              <w:rPr>
                <w:rFonts w:hint="eastAsia"/>
                <w:color w:val="auto"/>
                <w:highlight w:val="none"/>
                <w:u w:val="none"/>
                <w:lang w:val="en-US" w:eastAsia="zh-CN"/>
              </w:rPr>
              <w:t xml:space="preserve">7.38 </w:t>
            </w:r>
          </w:p>
        </w:tc>
        <w:tc>
          <w:tcPr>
            <w:tcW w:w="253" w:type="pct"/>
            <w:vAlign w:val="center"/>
          </w:tcPr>
          <w:p>
            <w:pPr>
              <w:pStyle w:val="22"/>
              <w:bidi w:val="0"/>
              <w:rPr>
                <w:rFonts w:hint="eastAsia"/>
                <w:color w:val="auto"/>
                <w:highlight w:val="none"/>
                <w:u w:val="none"/>
                <w:lang w:val="en-US" w:eastAsia="zh-CN"/>
              </w:rPr>
            </w:pPr>
            <w:r>
              <w:rPr>
                <w:rFonts w:hint="eastAsia"/>
                <w:color w:val="auto"/>
                <w:highlight w:val="none"/>
                <w:u w:val="none"/>
                <w:lang w:val="en-US" w:eastAsia="zh-CN"/>
              </w:rPr>
              <w:t xml:space="preserve">5.14 </w:t>
            </w:r>
          </w:p>
        </w:tc>
        <w:tc>
          <w:tcPr>
            <w:tcW w:w="237" w:type="pct"/>
            <w:vAlign w:val="center"/>
          </w:tcPr>
          <w:p>
            <w:pPr>
              <w:pStyle w:val="22"/>
              <w:bidi w:val="0"/>
              <w:rPr>
                <w:rFonts w:hint="eastAsia"/>
                <w:color w:val="auto"/>
                <w:highlight w:val="none"/>
                <w:u w:val="none"/>
                <w:lang w:val="en-US" w:eastAsia="zh-CN"/>
              </w:rPr>
            </w:pPr>
            <w:r>
              <w:rPr>
                <w:rFonts w:hint="eastAsia"/>
                <w:color w:val="auto"/>
                <w:highlight w:val="none"/>
                <w:u w:val="none"/>
                <w:lang w:val="en-US" w:eastAsia="zh-CN"/>
              </w:rPr>
              <w:t xml:space="preserve">0.20 </w:t>
            </w:r>
          </w:p>
        </w:tc>
        <w:tc>
          <w:tcPr>
            <w:tcW w:w="263" w:type="pct"/>
            <w:vAlign w:val="center"/>
          </w:tcPr>
          <w:p>
            <w:pPr>
              <w:pStyle w:val="22"/>
              <w:bidi w:val="0"/>
              <w:rPr>
                <w:rFonts w:hint="eastAsia"/>
                <w:color w:val="auto"/>
                <w:highlight w:val="none"/>
                <w:u w:val="none"/>
                <w:lang w:val="en-US" w:eastAsia="zh-CN"/>
              </w:rPr>
            </w:pPr>
            <w:r>
              <w:rPr>
                <w:rFonts w:hint="default"/>
                <w:color w:val="auto"/>
                <w:highlight w:val="none"/>
                <w:u w:val="none"/>
                <w:lang w:val="en-US" w:eastAsia="zh-CN"/>
              </w:rPr>
              <w:t xml:space="preserve">2.00 </w:t>
            </w:r>
          </w:p>
        </w:tc>
        <w:tc>
          <w:tcPr>
            <w:tcW w:w="233" w:type="pct"/>
            <w:vAlign w:val="center"/>
          </w:tcPr>
          <w:p>
            <w:pPr>
              <w:pStyle w:val="22"/>
              <w:bidi w:val="0"/>
              <w:rPr>
                <w:rFonts w:hint="eastAsia"/>
                <w:color w:val="auto"/>
                <w:highlight w:val="none"/>
                <w:u w:val="none"/>
                <w:lang w:val="en-US" w:eastAsia="zh-CN"/>
              </w:rPr>
            </w:pPr>
            <w:r>
              <w:rPr>
                <w:rFonts w:hint="eastAsia"/>
                <w:color w:val="auto"/>
                <w:highlight w:val="none"/>
                <w:u w:val="none"/>
                <w:lang w:val="en-US" w:eastAsia="zh-CN"/>
              </w:rPr>
              <w:t>50</w:t>
            </w:r>
          </w:p>
        </w:tc>
        <w:tc>
          <w:tcPr>
            <w:tcW w:w="227" w:type="pct"/>
            <w:vAlign w:val="center"/>
          </w:tcPr>
          <w:p>
            <w:pPr>
              <w:pStyle w:val="22"/>
              <w:bidi w:val="0"/>
              <w:rPr>
                <w:rFonts w:hint="eastAsia"/>
                <w:color w:val="auto"/>
                <w:highlight w:val="none"/>
                <w:u w:val="none"/>
                <w:lang w:val="en-US" w:eastAsia="zh-CN"/>
              </w:rPr>
            </w:pPr>
            <w:r>
              <w:rPr>
                <w:rFonts w:hint="eastAsia"/>
                <w:color w:val="auto"/>
                <w:highlight w:val="none"/>
                <w:u w:val="none"/>
                <w:lang w:val="en-US" w:eastAsia="zh-CN"/>
              </w:rPr>
              <w:t>5</w:t>
            </w:r>
          </w:p>
        </w:tc>
        <w:tc>
          <w:tcPr>
            <w:tcW w:w="247" w:type="pct"/>
            <w:vAlign w:val="center"/>
          </w:tcPr>
          <w:p>
            <w:pPr>
              <w:pStyle w:val="22"/>
              <w:bidi w:val="0"/>
              <w:rPr>
                <w:rFonts w:hint="eastAsia"/>
                <w:color w:val="auto"/>
                <w:highlight w:val="none"/>
                <w:u w:val="none"/>
                <w:lang w:val="en-US" w:eastAsia="zh-CN"/>
              </w:rPr>
            </w:pPr>
            <w:r>
              <w:rPr>
                <w:rFonts w:hint="eastAsia"/>
                <w:color w:val="auto"/>
                <w:highlight w:val="none"/>
                <w:u w:val="none"/>
                <w:lang w:val="en-US" w:eastAsia="zh-CN"/>
              </w:rPr>
              <w:t>15</w:t>
            </w:r>
          </w:p>
        </w:tc>
        <w:tc>
          <w:tcPr>
            <w:tcW w:w="235" w:type="pct"/>
            <w:vAlign w:val="center"/>
          </w:tcPr>
          <w:p>
            <w:pPr>
              <w:pStyle w:val="22"/>
              <w:bidi w:val="0"/>
              <w:rPr>
                <w:rFonts w:hint="eastAsia"/>
                <w:color w:val="auto"/>
                <w:highlight w:val="none"/>
                <w:u w:val="none"/>
                <w:lang w:val="en-US" w:eastAsia="zh-CN"/>
              </w:rPr>
            </w:pPr>
            <w:r>
              <w:rPr>
                <w:rFonts w:hint="eastAsia"/>
                <w:color w:val="auto"/>
                <w:highlight w:val="none"/>
                <w:u w:val="none"/>
                <w:lang w:val="en-US" w:eastAsia="zh-CN"/>
              </w:rPr>
              <w:t>0.5</w:t>
            </w:r>
          </w:p>
        </w:tc>
        <w:tc>
          <w:tcPr>
            <w:tcW w:w="213" w:type="pct"/>
            <w:vAlign w:val="center"/>
          </w:tcPr>
          <w:p>
            <w:pPr>
              <w:pStyle w:val="22"/>
              <w:bidi w:val="0"/>
              <w:rPr>
                <w:rFonts w:hint="eastAsia"/>
                <w:color w:val="auto"/>
                <w:highlight w:val="none"/>
                <w:u w:val="none"/>
                <w:lang w:val="en-US" w:eastAsia="zh-CN"/>
              </w:rPr>
            </w:pPr>
            <w:r>
              <w:rPr>
                <w:rFonts w:hint="eastAsia"/>
                <w:color w:val="auto"/>
                <w:highlight w:val="none"/>
                <w:u w:val="none"/>
                <w:lang w:val="en-US" w:eastAsia="zh-CN"/>
              </w:rPr>
              <w:t>100</w:t>
            </w:r>
          </w:p>
        </w:tc>
        <w:tc>
          <w:tcPr>
            <w:tcW w:w="226" w:type="pct"/>
            <w:vAlign w:val="center"/>
          </w:tcPr>
          <w:p>
            <w:pPr>
              <w:pStyle w:val="22"/>
              <w:bidi w:val="0"/>
              <w:rPr>
                <w:rFonts w:hint="eastAsia"/>
                <w:color w:val="auto"/>
                <w:highlight w:val="none"/>
                <w:u w:val="none"/>
                <w:lang w:val="en-US" w:eastAsia="zh-CN"/>
              </w:rPr>
            </w:pPr>
            <w:r>
              <w:rPr>
                <w:rFonts w:hint="eastAsia"/>
                <w:color w:val="auto"/>
                <w:highlight w:val="none"/>
                <w:u w:val="none"/>
                <w:lang w:val="en-US" w:eastAsia="zh-CN"/>
              </w:rPr>
              <w:t>100</w:t>
            </w:r>
          </w:p>
        </w:tc>
        <w:tc>
          <w:tcPr>
            <w:tcW w:w="256" w:type="pct"/>
            <w:vAlign w:val="center"/>
          </w:tcPr>
          <w:p>
            <w:pPr>
              <w:pStyle w:val="22"/>
              <w:bidi w:val="0"/>
              <w:rPr>
                <w:rFonts w:hint="eastAsia"/>
                <w:color w:val="auto"/>
                <w:highlight w:val="none"/>
                <w:u w:val="none"/>
                <w:lang w:val="en-US" w:eastAsia="zh-CN"/>
              </w:rPr>
            </w:pPr>
            <w:r>
              <w:rPr>
                <w:rFonts w:hint="eastAsia"/>
                <w:color w:val="auto"/>
                <w:highlight w:val="none"/>
                <w:u w:val="none"/>
                <w:lang w:val="en-US" w:eastAsia="zh-CN"/>
              </w:rPr>
              <w:t>100</w:t>
            </w:r>
          </w:p>
        </w:tc>
        <w:tc>
          <w:tcPr>
            <w:tcW w:w="239" w:type="pct"/>
            <w:vAlign w:val="center"/>
          </w:tcPr>
          <w:p>
            <w:pPr>
              <w:pStyle w:val="22"/>
              <w:bidi w:val="0"/>
              <w:rPr>
                <w:rFonts w:hint="eastAsia"/>
                <w:color w:val="auto"/>
                <w:highlight w:val="none"/>
                <w:u w:val="none"/>
                <w:lang w:val="en-US" w:eastAsia="zh-CN"/>
              </w:rPr>
            </w:pPr>
            <w:r>
              <w:rPr>
                <w:rFonts w:hint="eastAsia"/>
                <w:color w:val="auto"/>
                <w:highlight w:val="none"/>
                <w:u w:val="none"/>
                <w:lang w:val="en-US" w:eastAsia="zh-CN"/>
              </w:rPr>
              <w:t>100</w:t>
            </w:r>
          </w:p>
        </w:tc>
        <w:tc>
          <w:tcPr>
            <w:tcW w:w="385" w:type="pct"/>
            <w:vAlign w:val="center"/>
          </w:tcPr>
          <w:p>
            <w:pPr>
              <w:pStyle w:val="22"/>
              <w:bidi w:val="0"/>
              <w:rPr>
                <w:rFonts w:hint="eastAsia"/>
                <w:color w:val="auto"/>
                <w:highlight w:val="none"/>
                <w:u w:val="none"/>
                <w:lang w:val="en-US" w:eastAsia="zh-CN"/>
              </w:rPr>
            </w:pPr>
            <w:r>
              <w:rPr>
                <w:rFonts w:hint="eastAsia"/>
                <w:color w:val="auto"/>
                <w:highlight w:val="none"/>
                <w:u w:val="none"/>
                <w:lang w:val="en-US" w:eastAsia="zh-CN"/>
              </w:rPr>
              <w:t xml:space="preserve">29.74 </w:t>
            </w:r>
          </w:p>
        </w:tc>
        <w:tc>
          <w:tcPr>
            <w:tcW w:w="246" w:type="pct"/>
            <w:vAlign w:val="center"/>
          </w:tcPr>
          <w:p>
            <w:pPr>
              <w:pStyle w:val="22"/>
              <w:bidi w:val="0"/>
              <w:rPr>
                <w:rFonts w:hint="eastAsia"/>
                <w:color w:val="auto"/>
                <w:highlight w:val="none"/>
                <w:u w:val="none"/>
                <w:lang w:val="en-US" w:eastAsia="zh-CN"/>
              </w:rPr>
            </w:pPr>
            <w:r>
              <w:rPr>
                <w:rFonts w:hint="eastAsia"/>
                <w:color w:val="auto"/>
                <w:highlight w:val="none"/>
                <w:u w:val="none"/>
                <w:lang w:val="en-US" w:eastAsia="zh-CN"/>
              </w:rPr>
              <w:t xml:space="preserve">48.9 </w:t>
            </w:r>
          </w:p>
        </w:tc>
      </w:tr>
    </w:tbl>
    <w:p>
      <w:pPr>
        <w:bidi w:val="0"/>
        <w:rPr>
          <w:rFonts w:hint="default"/>
          <w:color w:val="auto"/>
          <w:highlight w:val="none"/>
          <w:u w:val="none"/>
          <w:lang w:val="en-US" w:eastAsia="zh-CN"/>
        </w:rPr>
      </w:pPr>
    </w:p>
    <w:p>
      <w:pPr>
        <w:bidi w:val="0"/>
        <w:adjustRightInd w:val="0"/>
        <w:snapToGrid w:val="0"/>
        <w:spacing w:line="480" w:lineRule="exact"/>
        <w:ind w:firstLine="640"/>
        <w:rPr>
          <w:rFonts w:hint="default" w:ascii="Times New Roman" w:hAnsi="Times New Roman" w:eastAsia="宋体" w:cs="Times New Roman"/>
          <w:bCs/>
          <w:color w:val="auto"/>
          <w:sz w:val="24"/>
          <w:szCs w:val="24"/>
          <w:highlight w:val="none"/>
          <w:u w:val="none"/>
          <w:lang w:val="en-US" w:eastAsia="zh-CN"/>
        </w:rPr>
        <w:sectPr>
          <w:pgSz w:w="16838" w:h="11905" w:orient="landscape"/>
          <w:pgMar w:top="2067" w:right="1701" w:bottom="1587" w:left="1701"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bidi w:val="0"/>
        <w:adjustRightInd w:val="0"/>
        <w:snapToGrid w:val="0"/>
        <w:spacing w:line="480" w:lineRule="exact"/>
        <w:ind w:firstLine="640"/>
        <w:rPr>
          <w:rFonts w:hint="default" w:ascii="Times New Roman" w:hAnsi="Times New Roman" w:eastAsia="宋体" w:cs="Times New Roman"/>
          <w:color w:val="auto"/>
          <w:szCs w:val="24"/>
          <w:highlight w:val="none"/>
          <w:u w:val="none"/>
          <w:lang w:val="en-US" w:eastAsia="zh-CN"/>
        </w:rPr>
      </w:pPr>
      <w:r>
        <w:rPr>
          <w:rFonts w:hint="default" w:ascii="Times New Roman" w:hAnsi="Times New Roman" w:eastAsia="宋体" w:cs="Times New Roman"/>
          <w:bCs/>
          <w:color w:val="auto"/>
          <w:sz w:val="24"/>
          <w:szCs w:val="24"/>
          <w:highlight w:val="none"/>
          <w:u w:val="none"/>
          <w:lang w:val="en-US" w:eastAsia="zh-CN"/>
        </w:rPr>
        <w:t>（2）项目废水进入</w:t>
      </w:r>
      <w:r>
        <w:rPr>
          <w:rFonts w:hint="eastAsia" w:ascii="Times New Roman" w:hAnsi="Times New Roman" w:eastAsia="宋体" w:cs="Times New Roman"/>
          <w:bCs/>
          <w:color w:val="auto"/>
          <w:sz w:val="24"/>
          <w:szCs w:val="24"/>
          <w:highlight w:val="none"/>
          <w:u w:val="none"/>
          <w:lang w:val="en-US" w:eastAsia="zh-CN"/>
        </w:rPr>
        <w:t>柘城县第二污水处理厂</w:t>
      </w:r>
      <w:r>
        <w:rPr>
          <w:rFonts w:hint="default" w:ascii="Times New Roman" w:hAnsi="Times New Roman" w:eastAsia="宋体" w:cs="Times New Roman"/>
          <w:bCs/>
          <w:color w:val="auto"/>
          <w:sz w:val="24"/>
          <w:szCs w:val="24"/>
          <w:highlight w:val="none"/>
          <w:u w:val="none"/>
          <w:lang w:val="en-US" w:eastAsia="zh-CN"/>
        </w:rPr>
        <w:t>可行性分析</w:t>
      </w:r>
    </w:p>
    <w:p>
      <w:pPr>
        <w:bidi w:val="0"/>
        <w:adjustRightInd w:val="0"/>
        <w:snapToGrid w:val="0"/>
        <w:spacing w:line="480" w:lineRule="exact"/>
        <w:ind w:firstLine="640"/>
        <w:rPr>
          <w:rFonts w:hint="default" w:ascii="Times New Roman" w:hAnsi="Times New Roman" w:eastAsia="宋体" w:cs="Times New Roman"/>
          <w:color w:val="auto"/>
          <w:szCs w:val="24"/>
          <w:highlight w:val="none"/>
          <w:u w:val="none"/>
          <w:lang w:val="en-US" w:eastAsia="zh-CN"/>
        </w:rPr>
      </w:pPr>
      <w:r>
        <w:rPr>
          <w:rFonts w:hint="default" w:ascii="Times New Roman" w:hAnsi="Times New Roman" w:eastAsia="宋体" w:cs="Times New Roman"/>
          <w:color w:val="auto"/>
          <w:spacing w:val="-6"/>
          <w:sz w:val="24"/>
          <w:szCs w:val="24"/>
          <w:highlight w:val="none"/>
          <w:u w:val="none"/>
          <w:lang w:val="en-US" w:eastAsia="zh-CN"/>
        </w:rPr>
        <w:t>本项目处于</w:t>
      </w:r>
      <w:r>
        <w:rPr>
          <w:rFonts w:hint="eastAsia" w:ascii="Times New Roman" w:hAnsi="Times New Roman" w:eastAsia="宋体" w:cs="Times New Roman"/>
          <w:color w:val="auto"/>
          <w:spacing w:val="-6"/>
          <w:sz w:val="24"/>
          <w:szCs w:val="24"/>
          <w:highlight w:val="none"/>
          <w:u w:val="none"/>
          <w:lang w:val="en-US" w:eastAsia="zh-CN"/>
        </w:rPr>
        <w:t>柘城县第二污水处理厂</w:t>
      </w:r>
      <w:r>
        <w:rPr>
          <w:rFonts w:hint="default" w:ascii="Times New Roman" w:hAnsi="Times New Roman" w:eastAsia="宋体" w:cs="Times New Roman"/>
          <w:color w:val="auto"/>
          <w:spacing w:val="-6"/>
          <w:sz w:val="24"/>
          <w:szCs w:val="24"/>
          <w:highlight w:val="none"/>
          <w:u w:val="none"/>
          <w:lang w:val="en-US" w:eastAsia="zh-CN"/>
        </w:rPr>
        <w:t>收水范围内，目前该污水处理厂正常运行，本项目厂址周边的污水管网也已建成</w:t>
      </w:r>
      <w:r>
        <w:rPr>
          <w:rFonts w:hint="eastAsia" w:ascii="Times New Roman" w:hAnsi="Times New Roman" w:eastAsia="宋体" w:cs="Times New Roman"/>
          <w:color w:val="auto"/>
          <w:spacing w:val="-6"/>
          <w:sz w:val="24"/>
          <w:szCs w:val="24"/>
          <w:highlight w:val="none"/>
          <w:u w:val="none"/>
          <w:lang w:val="en-US" w:eastAsia="zh-CN"/>
        </w:rPr>
        <w:t>，现有工程废水即进入该污水厂进行处理</w:t>
      </w:r>
      <w:r>
        <w:rPr>
          <w:rFonts w:hint="default" w:ascii="Times New Roman" w:hAnsi="Times New Roman" w:eastAsia="宋体" w:cs="Times New Roman"/>
          <w:color w:val="auto"/>
          <w:spacing w:val="-6"/>
          <w:sz w:val="24"/>
          <w:szCs w:val="24"/>
          <w:highlight w:val="none"/>
          <w:u w:val="none"/>
          <w:lang w:val="en-US" w:eastAsia="zh-CN"/>
        </w:rPr>
        <w:t>。</w:t>
      </w:r>
      <w:r>
        <w:rPr>
          <w:rFonts w:hint="eastAsia" w:eastAsia="宋体" w:cs="Times New Roman"/>
          <w:color w:val="auto"/>
          <w:spacing w:val="-6"/>
          <w:sz w:val="24"/>
          <w:szCs w:val="24"/>
          <w:highlight w:val="none"/>
          <w:u w:val="none"/>
          <w:lang w:val="en-US" w:eastAsia="zh-CN"/>
        </w:rPr>
        <w:t>与企业现状废水排放量相比，改建后全厂废水排放量较现状增加784.7</w:t>
      </w:r>
      <w:r>
        <w:rPr>
          <w:rFonts w:hint="default" w:ascii="Times New Roman" w:hAnsi="Times New Roman" w:eastAsia="宋体" w:cs="Times New Roman"/>
          <w:color w:val="auto"/>
          <w:spacing w:val="-6"/>
          <w:sz w:val="24"/>
          <w:szCs w:val="24"/>
          <w:highlight w:val="none"/>
          <w:u w:val="none"/>
          <w:lang w:val="en-US" w:eastAsia="zh-CN"/>
        </w:rPr>
        <w:t>m</w:t>
      </w:r>
      <w:r>
        <w:rPr>
          <w:rFonts w:hint="default" w:ascii="Times New Roman" w:hAnsi="Times New Roman" w:eastAsia="宋体" w:cs="Times New Roman"/>
          <w:color w:val="auto"/>
          <w:spacing w:val="-6"/>
          <w:sz w:val="24"/>
          <w:szCs w:val="24"/>
          <w:highlight w:val="none"/>
          <w:u w:val="none"/>
          <w:vertAlign w:val="superscript"/>
          <w:lang w:val="en-US" w:eastAsia="zh-CN"/>
        </w:rPr>
        <w:t>3</w:t>
      </w:r>
      <w:r>
        <w:rPr>
          <w:rFonts w:hint="default" w:ascii="Times New Roman" w:hAnsi="Times New Roman" w:eastAsia="宋体" w:cs="Times New Roman"/>
          <w:color w:val="auto"/>
          <w:spacing w:val="-6"/>
          <w:sz w:val="24"/>
          <w:szCs w:val="24"/>
          <w:highlight w:val="none"/>
          <w:u w:val="none"/>
          <w:lang w:val="en-US" w:eastAsia="zh-CN"/>
        </w:rPr>
        <w:t>/d，污水处理厂剩余处理量约为1.</w:t>
      </w:r>
      <w:r>
        <w:rPr>
          <w:rFonts w:hint="eastAsia" w:ascii="Times New Roman" w:hAnsi="Times New Roman" w:eastAsia="宋体" w:cs="Times New Roman"/>
          <w:color w:val="auto"/>
          <w:spacing w:val="-6"/>
          <w:sz w:val="24"/>
          <w:szCs w:val="24"/>
          <w:highlight w:val="none"/>
          <w:u w:val="none"/>
          <w:lang w:val="en-US" w:eastAsia="zh-CN"/>
        </w:rPr>
        <w:t>02</w:t>
      </w:r>
      <w:r>
        <w:rPr>
          <w:rFonts w:hint="default" w:ascii="Times New Roman" w:hAnsi="Times New Roman" w:eastAsia="宋体" w:cs="Times New Roman"/>
          <w:color w:val="auto"/>
          <w:spacing w:val="-6"/>
          <w:sz w:val="24"/>
          <w:szCs w:val="24"/>
          <w:highlight w:val="none"/>
          <w:u w:val="none"/>
          <w:lang w:val="en-US" w:eastAsia="zh-CN"/>
        </w:rPr>
        <w:t>万吨/天，废水水量占污水处理厂剩余处理能力的</w:t>
      </w:r>
      <w:r>
        <w:rPr>
          <w:rFonts w:hint="eastAsia" w:eastAsia="宋体" w:cs="Times New Roman"/>
          <w:color w:val="auto"/>
          <w:spacing w:val="-6"/>
          <w:sz w:val="24"/>
          <w:szCs w:val="24"/>
          <w:highlight w:val="none"/>
          <w:u w:val="none"/>
          <w:lang w:val="en-US" w:eastAsia="zh-CN"/>
        </w:rPr>
        <w:t>7.7%</w:t>
      </w:r>
      <w:r>
        <w:rPr>
          <w:rFonts w:hint="default" w:ascii="Times New Roman" w:hAnsi="Times New Roman" w:eastAsia="宋体" w:cs="Times New Roman"/>
          <w:color w:val="auto"/>
          <w:spacing w:val="-6"/>
          <w:sz w:val="24"/>
          <w:szCs w:val="24"/>
          <w:highlight w:val="none"/>
          <w:u w:val="none"/>
          <w:lang w:val="en-US" w:eastAsia="zh-CN"/>
        </w:rPr>
        <w:t>。从该污水处理厂服务功能及工程废水量上分析，接纳本项目污水可行。</w:t>
      </w:r>
    </w:p>
    <w:p>
      <w:pPr>
        <w:bidi w:val="0"/>
        <w:adjustRightInd w:val="0"/>
        <w:snapToGrid w:val="0"/>
        <w:spacing w:line="480" w:lineRule="exact"/>
        <w:ind w:firstLine="640"/>
        <w:rPr>
          <w:rFonts w:hint="default" w:ascii="Times New Roman" w:hAnsi="Times New Roman" w:eastAsia="宋体" w:cs="Times New Roman"/>
          <w:color w:val="auto"/>
          <w:szCs w:val="24"/>
          <w:highlight w:val="none"/>
          <w:u w:val="none"/>
          <w:lang w:val="en-US" w:eastAsia="zh-CN"/>
        </w:rPr>
      </w:pPr>
      <w:r>
        <w:rPr>
          <w:rFonts w:hint="default" w:ascii="Times New Roman" w:hAnsi="Times New Roman" w:eastAsia="宋体" w:cs="Times New Roman"/>
          <w:color w:val="auto"/>
          <w:szCs w:val="24"/>
          <w:highlight w:val="none"/>
          <w:u w:val="none"/>
          <w:lang w:val="en-US" w:eastAsia="zh-CN"/>
        </w:rPr>
        <w:t>本项目运营期内排外水水质为</w:t>
      </w:r>
      <w:r>
        <w:rPr>
          <w:rFonts w:hint="default" w:ascii="Times New Roman" w:hAnsi="Times New Roman" w:cs="Times New Roman"/>
          <w:color w:val="auto"/>
          <w:szCs w:val="24"/>
          <w:highlight w:val="none"/>
          <w:u w:val="none"/>
          <w:lang w:val="en-US" w:eastAsia="zh-CN"/>
        </w:rPr>
        <w:t>COD</w:t>
      </w:r>
      <w:r>
        <w:rPr>
          <w:rFonts w:hint="eastAsia" w:cs="Times New Roman"/>
          <w:color w:val="auto"/>
          <w:szCs w:val="24"/>
          <w:highlight w:val="none"/>
          <w:u w:val="none"/>
          <w:lang w:val="en-US" w:eastAsia="zh-CN"/>
        </w:rPr>
        <w:t>107.0</w:t>
      </w:r>
      <w:r>
        <w:rPr>
          <w:rFonts w:hint="default" w:ascii="Times New Roman" w:hAnsi="Times New Roman" w:cs="Times New Roman"/>
          <w:color w:val="auto"/>
          <w:szCs w:val="24"/>
          <w:highlight w:val="none"/>
          <w:u w:val="none"/>
          <w:lang w:val="en-US" w:eastAsia="zh-CN"/>
        </w:rPr>
        <w:t>mg/L、BOD</w:t>
      </w:r>
      <w:r>
        <w:rPr>
          <w:rFonts w:hint="default" w:ascii="Times New Roman" w:hAnsi="Times New Roman" w:cs="Times New Roman"/>
          <w:color w:val="auto"/>
          <w:szCs w:val="24"/>
          <w:highlight w:val="none"/>
          <w:u w:val="none"/>
          <w:vertAlign w:val="subscript"/>
          <w:lang w:val="en-US" w:eastAsia="zh-CN"/>
        </w:rPr>
        <w:t>5</w:t>
      </w:r>
      <w:r>
        <w:rPr>
          <w:rFonts w:hint="eastAsia" w:cs="Times New Roman"/>
          <w:color w:val="auto"/>
          <w:szCs w:val="24"/>
          <w:highlight w:val="none"/>
          <w:u w:val="none"/>
          <w:lang w:val="en-US" w:eastAsia="zh-CN"/>
        </w:rPr>
        <w:t>31.6</w:t>
      </w:r>
      <w:r>
        <w:rPr>
          <w:rFonts w:hint="default" w:ascii="Times New Roman" w:hAnsi="Times New Roman" w:cs="Times New Roman"/>
          <w:color w:val="auto"/>
          <w:szCs w:val="24"/>
          <w:highlight w:val="none"/>
          <w:u w:val="none"/>
          <w:lang w:val="en-US" w:eastAsia="zh-CN"/>
        </w:rPr>
        <w:t>mg/L、SS</w:t>
      </w:r>
      <w:r>
        <w:rPr>
          <w:rFonts w:hint="eastAsia" w:cs="Times New Roman"/>
          <w:color w:val="auto"/>
          <w:szCs w:val="24"/>
          <w:highlight w:val="none"/>
          <w:u w:val="none"/>
          <w:lang w:val="en-US" w:eastAsia="zh-CN"/>
        </w:rPr>
        <w:t xml:space="preserve">29.9  </w:t>
      </w:r>
      <w:r>
        <w:rPr>
          <w:rFonts w:hint="default" w:ascii="Times New Roman" w:hAnsi="Times New Roman" w:cs="Times New Roman"/>
          <w:color w:val="auto"/>
          <w:szCs w:val="24"/>
          <w:highlight w:val="none"/>
          <w:u w:val="none"/>
          <w:lang w:val="en-US" w:eastAsia="zh-CN"/>
        </w:rPr>
        <w:t>mg/L、NH</w:t>
      </w:r>
      <w:r>
        <w:rPr>
          <w:rFonts w:hint="default" w:ascii="Times New Roman" w:hAnsi="Times New Roman" w:cs="Times New Roman"/>
          <w:color w:val="auto"/>
          <w:szCs w:val="24"/>
          <w:highlight w:val="none"/>
          <w:u w:val="none"/>
          <w:vertAlign w:val="subscript"/>
          <w:lang w:val="en-US" w:eastAsia="zh-CN"/>
        </w:rPr>
        <w:t>3</w:t>
      </w:r>
      <w:r>
        <w:rPr>
          <w:rFonts w:hint="default" w:ascii="Times New Roman" w:hAnsi="Times New Roman" w:cs="Times New Roman"/>
          <w:color w:val="auto"/>
          <w:szCs w:val="24"/>
          <w:highlight w:val="none"/>
          <w:u w:val="none"/>
          <w:lang w:val="en-US" w:eastAsia="zh-CN"/>
        </w:rPr>
        <w:t>-N</w:t>
      </w:r>
      <w:r>
        <w:rPr>
          <w:rFonts w:hint="eastAsia" w:cs="Times New Roman"/>
          <w:color w:val="auto"/>
          <w:szCs w:val="24"/>
          <w:highlight w:val="none"/>
          <w:u w:val="none"/>
          <w:lang w:val="en-US" w:eastAsia="zh-CN"/>
        </w:rPr>
        <w:t xml:space="preserve">6.7 </w:t>
      </w:r>
      <w:r>
        <w:rPr>
          <w:rFonts w:hint="default" w:ascii="Times New Roman" w:hAnsi="Times New Roman" w:cs="Times New Roman"/>
          <w:color w:val="auto"/>
          <w:szCs w:val="24"/>
          <w:highlight w:val="none"/>
          <w:u w:val="none"/>
          <w:lang w:val="en-US" w:eastAsia="zh-CN"/>
        </w:rPr>
        <w:t>mg/L</w:t>
      </w:r>
      <w:r>
        <w:rPr>
          <w:rFonts w:hint="default" w:ascii="Times New Roman" w:hAnsi="Times New Roman" w:eastAsia="宋体" w:cs="Times New Roman"/>
          <w:color w:val="auto"/>
          <w:szCs w:val="24"/>
          <w:highlight w:val="none"/>
          <w:u w:val="none"/>
          <w:lang w:val="en-US" w:eastAsia="zh-CN"/>
        </w:rPr>
        <w:t>，</w:t>
      </w:r>
      <w:r>
        <w:rPr>
          <w:rFonts w:hint="eastAsia" w:ascii="Times New Roman" w:hAnsi="Times New Roman" w:eastAsia="宋体" w:cs="Times New Roman"/>
          <w:color w:val="auto"/>
          <w:szCs w:val="24"/>
          <w:highlight w:val="none"/>
          <w:u w:val="none"/>
          <w:lang w:val="en-US" w:eastAsia="zh-CN"/>
        </w:rPr>
        <w:t>满足柘城县第二污水处理厂</w:t>
      </w:r>
      <w:r>
        <w:rPr>
          <w:rFonts w:hint="default" w:ascii="Times New Roman" w:hAnsi="Times New Roman" w:eastAsia="宋体" w:cs="Times New Roman"/>
          <w:color w:val="auto"/>
          <w:szCs w:val="24"/>
          <w:highlight w:val="none"/>
          <w:u w:val="none"/>
          <w:lang w:val="en-US" w:eastAsia="zh-CN"/>
        </w:rPr>
        <w:t>收水标准</w:t>
      </w:r>
      <w:r>
        <w:rPr>
          <w:rFonts w:hint="default" w:ascii="Times New Roman" w:hAnsi="Times New Roman" w:eastAsia="宋体" w:cs="Times New Roman"/>
          <w:color w:val="auto"/>
          <w:szCs w:val="24"/>
          <w:highlight w:val="none"/>
          <w:u w:val="none"/>
        </w:rPr>
        <w:t>。</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Cs w:val="24"/>
          <w:highlight w:val="none"/>
          <w:u w:val="none"/>
          <w:lang w:val="en-US" w:eastAsia="zh-CN"/>
        </w:rPr>
        <w:t>综上所述，本工程所选厂址处于</w:t>
      </w:r>
      <w:r>
        <w:rPr>
          <w:rFonts w:hint="eastAsia" w:ascii="Times New Roman" w:hAnsi="Times New Roman" w:eastAsia="宋体" w:cs="Times New Roman"/>
          <w:color w:val="auto"/>
          <w:szCs w:val="24"/>
          <w:highlight w:val="none"/>
          <w:u w:val="none"/>
          <w:lang w:val="en-US" w:eastAsia="zh-CN"/>
        </w:rPr>
        <w:t>柘城县第二污水处理厂</w:t>
      </w:r>
      <w:r>
        <w:rPr>
          <w:rFonts w:hint="default" w:ascii="Times New Roman" w:hAnsi="Times New Roman" w:eastAsia="宋体" w:cs="Times New Roman"/>
          <w:color w:val="auto"/>
          <w:szCs w:val="24"/>
          <w:highlight w:val="none"/>
          <w:u w:val="none"/>
          <w:lang w:val="en-US" w:eastAsia="zh-CN"/>
        </w:rPr>
        <w:t>收水范围内。改建后全厂废水</w:t>
      </w:r>
      <w:r>
        <w:rPr>
          <w:rFonts w:hint="eastAsia" w:eastAsia="宋体" w:cs="Times New Roman"/>
          <w:color w:val="auto"/>
          <w:szCs w:val="24"/>
          <w:highlight w:val="none"/>
          <w:u w:val="none"/>
          <w:lang w:val="en-US" w:eastAsia="zh-CN"/>
        </w:rPr>
        <w:t>排放量</w:t>
      </w:r>
      <w:r>
        <w:rPr>
          <w:rFonts w:hint="default" w:ascii="Times New Roman" w:hAnsi="Times New Roman" w:eastAsia="宋体" w:cs="Times New Roman"/>
          <w:color w:val="auto"/>
          <w:szCs w:val="24"/>
          <w:highlight w:val="none"/>
          <w:u w:val="none"/>
          <w:lang w:val="en-US" w:eastAsia="zh-CN"/>
        </w:rPr>
        <w:t>较现状增加</w:t>
      </w:r>
      <w:r>
        <w:rPr>
          <w:rFonts w:hint="eastAsia" w:eastAsia="宋体" w:cs="Times New Roman"/>
          <w:color w:val="auto"/>
          <w:szCs w:val="24"/>
          <w:highlight w:val="none"/>
          <w:u w:val="none"/>
          <w:lang w:val="en-US" w:eastAsia="zh-CN"/>
        </w:rPr>
        <w:t>量</w:t>
      </w:r>
      <w:r>
        <w:rPr>
          <w:rFonts w:hint="default" w:ascii="Times New Roman" w:hAnsi="Times New Roman" w:eastAsia="宋体" w:cs="Times New Roman"/>
          <w:color w:val="auto"/>
          <w:szCs w:val="24"/>
          <w:highlight w:val="none"/>
          <w:u w:val="none"/>
          <w:lang w:val="en-US" w:eastAsia="zh-CN"/>
        </w:rPr>
        <w:t>占污水处理厂剩余处理能力比例为</w:t>
      </w:r>
      <w:r>
        <w:rPr>
          <w:rFonts w:hint="eastAsia" w:ascii="Times New Roman" w:hAnsi="Times New Roman" w:eastAsia="宋体" w:cs="Times New Roman"/>
          <w:color w:val="auto"/>
          <w:szCs w:val="24"/>
          <w:highlight w:val="none"/>
          <w:u w:val="none"/>
          <w:lang w:val="en-US" w:eastAsia="zh-CN"/>
        </w:rPr>
        <w:t>7.7%</w:t>
      </w:r>
      <w:r>
        <w:rPr>
          <w:rFonts w:hint="default" w:ascii="Times New Roman" w:hAnsi="Times New Roman" w:eastAsia="宋体" w:cs="Times New Roman"/>
          <w:color w:val="auto"/>
          <w:szCs w:val="24"/>
          <w:highlight w:val="none"/>
          <w:u w:val="none"/>
          <w:lang w:val="en-US" w:eastAsia="zh-CN"/>
        </w:rPr>
        <w:t>，水质也能够满足该污水处理厂进水设计指标要求，因此不会对该污水处理厂造成冲击，也不会影响其处理效率。因此评价认为，项目废水经市政污水管网入</w:t>
      </w:r>
      <w:r>
        <w:rPr>
          <w:rFonts w:hint="eastAsia" w:ascii="Times New Roman" w:hAnsi="Times New Roman" w:eastAsia="宋体" w:cs="Times New Roman"/>
          <w:color w:val="auto"/>
          <w:szCs w:val="24"/>
          <w:highlight w:val="none"/>
          <w:u w:val="none"/>
          <w:lang w:val="en-US" w:eastAsia="zh-CN"/>
        </w:rPr>
        <w:t>柘城县第二污水处理厂</w:t>
      </w:r>
      <w:r>
        <w:rPr>
          <w:rFonts w:hint="default" w:ascii="Times New Roman" w:hAnsi="Times New Roman" w:eastAsia="宋体" w:cs="Times New Roman"/>
          <w:color w:val="auto"/>
          <w:szCs w:val="24"/>
          <w:highlight w:val="none"/>
          <w:u w:val="none"/>
          <w:lang w:val="en-US" w:eastAsia="zh-CN"/>
        </w:rPr>
        <w:t>处理是可行的</w:t>
      </w:r>
      <w:r>
        <w:rPr>
          <w:rFonts w:hint="default" w:ascii="Times New Roman" w:hAnsi="Times New Roman" w:eastAsia="宋体" w:cs="Times New Roman"/>
          <w:color w:val="auto"/>
          <w:sz w:val="24"/>
          <w:szCs w:val="24"/>
          <w:highlight w:val="none"/>
          <w:u w:val="none"/>
        </w:rPr>
        <w:t>。</w:t>
      </w:r>
    </w:p>
    <w:p>
      <w:pPr>
        <w:pStyle w:val="3"/>
        <w:bidi w:val="0"/>
        <w:rPr>
          <w:rFonts w:hint="default"/>
          <w:color w:val="auto"/>
          <w:highlight w:val="none"/>
          <w:u w:val="none"/>
          <w:lang w:val="en-US" w:eastAsia="zh-CN"/>
        </w:rPr>
      </w:pPr>
      <w:bookmarkStart w:id="32" w:name="_Toc8729"/>
      <w:bookmarkStart w:id="33" w:name="_Toc13721"/>
      <w:bookmarkStart w:id="34" w:name="_Toc11279"/>
      <w:bookmarkStart w:id="35" w:name="_Toc2068"/>
      <w:bookmarkStart w:id="36" w:name="_Toc31711"/>
      <w:bookmarkStart w:id="37" w:name="_Toc18262"/>
      <w:bookmarkStart w:id="38" w:name="_Toc2644"/>
      <w:r>
        <w:rPr>
          <w:rFonts w:hint="default"/>
          <w:color w:val="auto"/>
          <w:highlight w:val="none"/>
          <w:u w:val="none"/>
          <w:lang w:val="en-US" w:eastAsia="zh-CN"/>
        </w:rPr>
        <w:t>运营期噪声治理措施</w:t>
      </w:r>
      <w:bookmarkEnd w:id="32"/>
      <w:bookmarkEnd w:id="33"/>
      <w:bookmarkEnd w:id="34"/>
      <w:bookmarkEnd w:id="35"/>
      <w:bookmarkEnd w:id="36"/>
      <w:bookmarkEnd w:id="37"/>
      <w:bookmarkEnd w:id="38"/>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针对该项目噪声排放特点，提出以下噪声防治措施：</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bookmarkStart w:id="39" w:name="_Toc19962"/>
      <w:bookmarkStart w:id="40" w:name="_Toc3740"/>
      <w:bookmarkStart w:id="41" w:name="_Toc32101"/>
      <w:bookmarkStart w:id="42" w:name="_Toc20647"/>
      <w:bookmarkStart w:id="43" w:name="_Toc28834"/>
      <w:r>
        <w:rPr>
          <w:rFonts w:hint="default" w:ascii="Times New Roman" w:hAnsi="Times New Roman" w:eastAsia="宋体" w:cs="Times New Roman"/>
          <w:color w:val="auto"/>
          <w:sz w:val="24"/>
          <w:szCs w:val="24"/>
          <w:highlight w:val="none"/>
          <w:u w:val="none"/>
          <w:lang w:val="en-US" w:eastAsia="zh-CN"/>
        </w:rPr>
        <w:t>（1）技术</w:t>
      </w:r>
      <w:r>
        <w:rPr>
          <w:rFonts w:hint="default" w:ascii="Times New Roman" w:hAnsi="Times New Roman" w:eastAsia="宋体" w:cs="Times New Roman"/>
          <w:color w:val="auto"/>
          <w:sz w:val="24"/>
          <w:szCs w:val="24"/>
          <w:highlight w:val="none"/>
          <w:u w:val="none"/>
        </w:rPr>
        <w:t>防治</w:t>
      </w:r>
      <w:r>
        <w:rPr>
          <w:rFonts w:hint="default" w:ascii="Times New Roman" w:hAnsi="Times New Roman" w:eastAsia="宋体" w:cs="Times New Roman"/>
          <w:color w:val="auto"/>
          <w:sz w:val="24"/>
          <w:szCs w:val="24"/>
          <w:highlight w:val="none"/>
          <w:u w:val="none"/>
          <w:lang w:val="en-US" w:eastAsia="zh-CN"/>
        </w:rPr>
        <w:t>措施</w:t>
      </w:r>
      <w:bookmarkEnd w:id="39"/>
      <w:bookmarkEnd w:id="40"/>
      <w:bookmarkEnd w:id="41"/>
      <w:bookmarkEnd w:id="42"/>
      <w:bookmarkEnd w:id="43"/>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eastAsia" w:eastAsia="宋体" w:cs="Times New Roman"/>
          <w:color w:val="auto"/>
          <w:sz w:val="24"/>
          <w:szCs w:val="24"/>
          <w:highlight w:val="none"/>
          <w:u w:val="none"/>
          <w:lang w:val="en-US" w:eastAsia="zh-CN"/>
        </w:rPr>
        <w:t>项目</w:t>
      </w:r>
      <w:r>
        <w:rPr>
          <w:rFonts w:hint="default" w:ascii="Times New Roman" w:hAnsi="Times New Roman" w:eastAsia="宋体" w:cs="Times New Roman"/>
          <w:color w:val="auto"/>
          <w:sz w:val="24"/>
          <w:szCs w:val="24"/>
          <w:highlight w:val="none"/>
          <w:u w:val="none"/>
        </w:rPr>
        <w:t>噪声主要来源于各生产车间机械设备和动力设施产生的噪声。首先是尽量选用低噪声设备，其次采用消声、隔声、减震和个体防护等措施，具体措施如下：</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lang w:eastAsia="zh-CN"/>
        </w:rPr>
        <w:fldChar w:fldCharType="begin"/>
      </w:r>
      <w:r>
        <w:rPr>
          <w:rFonts w:hint="default" w:ascii="Times New Roman" w:hAnsi="Times New Roman" w:eastAsia="宋体" w:cs="Times New Roman"/>
          <w:color w:val="auto"/>
          <w:sz w:val="24"/>
          <w:szCs w:val="24"/>
          <w:highlight w:val="none"/>
          <w:u w:val="none"/>
          <w:lang w:eastAsia="zh-CN"/>
        </w:rPr>
        <w:instrText xml:space="preserve"> = 1 \* GB3 \* MERGEFORMAT </w:instrText>
      </w:r>
      <w:r>
        <w:rPr>
          <w:rFonts w:hint="default" w:ascii="Times New Roman" w:hAnsi="Times New Roman" w:eastAsia="宋体" w:cs="Times New Roman"/>
          <w:color w:val="auto"/>
          <w:sz w:val="24"/>
          <w:szCs w:val="24"/>
          <w:highlight w:val="none"/>
          <w:u w:val="none"/>
          <w:lang w:eastAsia="zh-CN"/>
        </w:rPr>
        <w:fldChar w:fldCharType="separate"/>
      </w:r>
      <w:r>
        <w:rPr>
          <w:rFonts w:hint="default" w:ascii="Times New Roman" w:hAnsi="Times New Roman" w:eastAsia="宋体" w:cs="Times New Roman"/>
          <w:color w:val="auto"/>
          <w:sz w:val="24"/>
          <w:szCs w:val="24"/>
          <w:highlight w:val="none"/>
          <w:u w:val="none"/>
        </w:rPr>
        <w:t>①</w:t>
      </w:r>
      <w:r>
        <w:rPr>
          <w:rFonts w:hint="default" w:ascii="Times New Roman" w:hAnsi="Times New Roman" w:eastAsia="宋体" w:cs="Times New Roman"/>
          <w:color w:val="auto"/>
          <w:sz w:val="24"/>
          <w:szCs w:val="24"/>
          <w:highlight w:val="none"/>
          <w:u w:val="none"/>
          <w:lang w:eastAsia="zh-CN"/>
        </w:rPr>
        <w:fldChar w:fldCharType="end"/>
      </w:r>
      <w:r>
        <w:rPr>
          <w:rFonts w:hint="default" w:ascii="Times New Roman" w:hAnsi="Times New Roman" w:eastAsia="宋体" w:cs="Times New Roman"/>
          <w:color w:val="auto"/>
          <w:sz w:val="24"/>
          <w:szCs w:val="24"/>
          <w:highlight w:val="none"/>
          <w:u w:val="none"/>
          <w:lang w:val="en-US" w:eastAsia="zh-CN"/>
        </w:rPr>
        <w:t>风机管道连接使用软连接</w:t>
      </w:r>
      <w:r>
        <w:rPr>
          <w:rFonts w:hint="default" w:ascii="Times New Roman" w:hAnsi="Times New Roman" w:eastAsia="宋体" w:cs="Times New Roman"/>
          <w:color w:val="auto"/>
          <w:sz w:val="24"/>
          <w:szCs w:val="24"/>
          <w:highlight w:val="none"/>
          <w:u w:val="none"/>
        </w:rPr>
        <w:t>，在</w:t>
      </w:r>
      <w:r>
        <w:rPr>
          <w:rFonts w:hint="default" w:ascii="Times New Roman" w:hAnsi="Times New Roman" w:eastAsia="宋体" w:cs="Times New Roman"/>
          <w:color w:val="auto"/>
          <w:sz w:val="24"/>
          <w:szCs w:val="24"/>
          <w:highlight w:val="none"/>
          <w:u w:val="none"/>
          <w:lang w:val="en-US" w:eastAsia="zh-CN"/>
        </w:rPr>
        <w:t>进气、</w:t>
      </w:r>
      <w:r>
        <w:rPr>
          <w:rFonts w:hint="default" w:ascii="Times New Roman" w:hAnsi="Times New Roman" w:eastAsia="宋体" w:cs="Times New Roman"/>
          <w:color w:val="auto"/>
          <w:sz w:val="24"/>
          <w:szCs w:val="24"/>
          <w:highlight w:val="none"/>
          <w:u w:val="none"/>
        </w:rPr>
        <w:t>排气口安装消声器。</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lang w:eastAsia="zh-CN"/>
        </w:rPr>
        <w:fldChar w:fldCharType="begin"/>
      </w:r>
      <w:r>
        <w:rPr>
          <w:rFonts w:hint="default" w:ascii="Times New Roman" w:hAnsi="Times New Roman" w:eastAsia="宋体" w:cs="Times New Roman"/>
          <w:color w:val="auto"/>
          <w:sz w:val="24"/>
          <w:szCs w:val="24"/>
          <w:highlight w:val="none"/>
          <w:u w:val="none"/>
          <w:lang w:eastAsia="zh-CN"/>
        </w:rPr>
        <w:instrText xml:space="preserve"> = 2 \* GB3 \* MERGEFORMAT </w:instrText>
      </w:r>
      <w:r>
        <w:rPr>
          <w:rFonts w:hint="default" w:ascii="Times New Roman" w:hAnsi="Times New Roman" w:eastAsia="宋体" w:cs="Times New Roman"/>
          <w:color w:val="auto"/>
          <w:sz w:val="24"/>
          <w:szCs w:val="24"/>
          <w:highlight w:val="none"/>
          <w:u w:val="none"/>
          <w:lang w:eastAsia="zh-CN"/>
        </w:rPr>
        <w:fldChar w:fldCharType="separate"/>
      </w:r>
      <w:r>
        <w:rPr>
          <w:rFonts w:hint="default" w:ascii="Times New Roman" w:hAnsi="Times New Roman" w:eastAsia="宋体" w:cs="Times New Roman"/>
          <w:color w:val="auto"/>
          <w:sz w:val="24"/>
          <w:szCs w:val="24"/>
          <w:highlight w:val="none"/>
          <w:u w:val="none"/>
        </w:rPr>
        <w:t>②</w:t>
      </w:r>
      <w:r>
        <w:rPr>
          <w:rFonts w:hint="default" w:ascii="Times New Roman" w:hAnsi="Times New Roman" w:eastAsia="宋体" w:cs="Times New Roman"/>
          <w:color w:val="auto"/>
          <w:sz w:val="24"/>
          <w:szCs w:val="24"/>
          <w:highlight w:val="none"/>
          <w:u w:val="none"/>
          <w:lang w:eastAsia="zh-CN"/>
        </w:rPr>
        <w:fldChar w:fldCharType="end"/>
      </w:r>
      <w:r>
        <w:rPr>
          <w:rFonts w:hint="default" w:ascii="Times New Roman" w:hAnsi="Times New Roman" w:eastAsia="宋体" w:cs="Times New Roman"/>
          <w:color w:val="auto"/>
          <w:sz w:val="24"/>
          <w:szCs w:val="24"/>
          <w:highlight w:val="none"/>
          <w:u w:val="none"/>
          <w:lang w:val="en-US" w:eastAsia="zh-CN"/>
        </w:rPr>
        <w:t>物料输送泵及其他高噪声设备</w:t>
      </w:r>
      <w:r>
        <w:rPr>
          <w:rFonts w:hint="default" w:ascii="Times New Roman" w:hAnsi="Times New Roman" w:eastAsia="宋体" w:cs="Times New Roman"/>
          <w:color w:val="auto"/>
          <w:sz w:val="24"/>
          <w:szCs w:val="24"/>
          <w:highlight w:val="none"/>
          <w:u w:val="none"/>
        </w:rPr>
        <w:t>尽量安装在厂房内。</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lang w:eastAsia="zh-CN"/>
        </w:rPr>
        <w:fldChar w:fldCharType="begin"/>
      </w:r>
      <w:r>
        <w:rPr>
          <w:rFonts w:hint="default" w:ascii="Times New Roman" w:hAnsi="Times New Roman" w:eastAsia="宋体" w:cs="Times New Roman"/>
          <w:color w:val="auto"/>
          <w:sz w:val="24"/>
          <w:szCs w:val="24"/>
          <w:highlight w:val="none"/>
          <w:u w:val="none"/>
          <w:lang w:eastAsia="zh-CN"/>
        </w:rPr>
        <w:instrText xml:space="preserve"> = 3 \* GB3 \* MERGEFORMAT </w:instrText>
      </w:r>
      <w:r>
        <w:rPr>
          <w:rFonts w:hint="default" w:ascii="Times New Roman" w:hAnsi="Times New Roman" w:eastAsia="宋体" w:cs="Times New Roman"/>
          <w:color w:val="auto"/>
          <w:sz w:val="24"/>
          <w:szCs w:val="24"/>
          <w:highlight w:val="none"/>
          <w:u w:val="none"/>
          <w:lang w:eastAsia="zh-CN"/>
        </w:rPr>
        <w:fldChar w:fldCharType="separate"/>
      </w:r>
      <w:r>
        <w:rPr>
          <w:rFonts w:hint="default" w:ascii="Times New Roman" w:hAnsi="Times New Roman" w:eastAsia="宋体" w:cs="Times New Roman"/>
          <w:color w:val="auto"/>
          <w:sz w:val="24"/>
          <w:szCs w:val="24"/>
          <w:highlight w:val="none"/>
          <w:u w:val="none"/>
        </w:rPr>
        <w:t>③</w:t>
      </w:r>
      <w:r>
        <w:rPr>
          <w:rFonts w:hint="default" w:ascii="Times New Roman" w:hAnsi="Times New Roman" w:eastAsia="宋体" w:cs="Times New Roman"/>
          <w:color w:val="auto"/>
          <w:sz w:val="24"/>
          <w:szCs w:val="24"/>
          <w:highlight w:val="none"/>
          <w:u w:val="none"/>
          <w:lang w:eastAsia="zh-CN"/>
        </w:rPr>
        <w:fldChar w:fldCharType="end"/>
      </w:r>
      <w:r>
        <w:rPr>
          <w:rFonts w:hint="eastAsia" w:eastAsia="宋体" w:cs="Times New Roman"/>
          <w:color w:val="auto"/>
          <w:sz w:val="24"/>
          <w:szCs w:val="24"/>
          <w:highlight w:val="none"/>
          <w:u w:val="none"/>
          <w:lang w:val="en-US" w:eastAsia="zh-CN"/>
        </w:rPr>
        <w:t>离心机、泵类设备</w:t>
      </w:r>
      <w:r>
        <w:rPr>
          <w:rFonts w:hint="default" w:ascii="Times New Roman" w:hAnsi="Times New Roman" w:eastAsia="宋体" w:cs="Times New Roman"/>
          <w:color w:val="auto"/>
          <w:sz w:val="24"/>
          <w:szCs w:val="24"/>
          <w:highlight w:val="none"/>
          <w:u w:val="none"/>
          <w:lang w:val="en-US" w:eastAsia="zh-CN"/>
        </w:rPr>
        <w:t>等设备安装减震基础</w:t>
      </w:r>
      <w:r>
        <w:rPr>
          <w:rFonts w:hint="default" w:ascii="Times New Roman" w:hAnsi="Times New Roman" w:eastAsia="宋体" w:cs="Times New Roman"/>
          <w:color w:val="auto"/>
          <w:sz w:val="24"/>
          <w:szCs w:val="24"/>
          <w:highlight w:val="none"/>
          <w:u w:val="none"/>
        </w:rPr>
        <w:t>。</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lang w:eastAsia="zh-CN"/>
        </w:rPr>
        <w:fldChar w:fldCharType="begin"/>
      </w:r>
      <w:r>
        <w:rPr>
          <w:rFonts w:hint="default" w:ascii="Times New Roman" w:hAnsi="Times New Roman" w:eastAsia="宋体" w:cs="Times New Roman"/>
          <w:color w:val="auto"/>
          <w:sz w:val="24"/>
          <w:szCs w:val="24"/>
          <w:highlight w:val="none"/>
          <w:u w:val="none"/>
          <w:lang w:eastAsia="zh-CN"/>
        </w:rPr>
        <w:instrText xml:space="preserve"> = 4 \* GB3 \* MERGEFORMAT </w:instrText>
      </w:r>
      <w:r>
        <w:rPr>
          <w:rFonts w:hint="default" w:ascii="Times New Roman" w:hAnsi="Times New Roman" w:eastAsia="宋体" w:cs="Times New Roman"/>
          <w:color w:val="auto"/>
          <w:sz w:val="24"/>
          <w:szCs w:val="24"/>
          <w:highlight w:val="none"/>
          <w:u w:val="none"/>
          <w:lang w:eastAsia="zh-CN"/>
        </w:rPr>
        <w:fldChar w:fldCharType="separate"/>
      </w:r>
      <w:r>
        <w:rPr>
          <w:rFonts w:hint="default" w:ascii="Times New Roman" w:hAnsi="Times New Roman" w:eastAsia="宋体" w:cs="Times New Roman"/>
          <w:color w:val="auto"/>
          <w:sz w:val="24"/>
          <w:szCs w:val="24"/>
          <w:highlight w:val="none"/>
          <w:u w:val="none"/>
        </w:rPr>
        <w:t>④</w:t>
      </w:r>
      <w:r>
        <w:rPr>
          <w:rFonts w:hint="default" w:ascii="Times New Roman" w:hAnsi="Times New Roman" w:eastAsia="宋体" w:cs="Times New Roman"/>
          <w:color w:val="auto"/>
          <w:sz w:val="24"/>
          <w:szCs w:val="24"/>
          <w:highlight w:val="none"/>
          <w:u w:val="none"/>
          <w:lang w:eastAsia="zh-CN"/>
        </w:rPr>
        <w:fldChar w:fldCharType="end"/>
      </w:r>
      <w:r>
        <w:rPr>
          <w:rFonts w:hint="default" w:ascii="Times New Roman" w:hAnsi="Times New Roman" w:eastAsia="宋体" w:cs="Times New Roman"/>
          <w:color w:val="auto"/>
          <w:sz w:val="24"/>
          <w:szCs w:val="24"/>
          <w:highlight w:val="none"/>
          <w:u w:val="none"/>
        </w:rPr>
        <w:t>管路系统噪声控制：合理设计和布置管线，设计管道时尽量选用较大管径以降低流速，减少管道拐弯、交叉和变径，管线支承架设要牢固，靠近振源的管线处设置波纹膨胀节或其它软接头，隔绝固体声传播，在管线穿过墙体时最好采用弹性连接；在管道外壁敷设阻尼隔声层。</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bookmarkStart w:id="44" w:name="_Toc6708"/>
      <w:bookmarkStart w:id="45" w:name="_Toc23991"/>
      <w:bookmarkStart w:id="46" w:name="_Toc17857"/>
      <w:bookmarkStart w:id="47" w:name="_Toc21735"/>
      <w:r>
        <w:rPr>
          <w:rFonts w:hint="default" w:ascii="Times New Roman" w:hAnsi="Times New Roman" w:eastAsia="宋体" w:cs="Times New Roman"/>
          <w:color w:val="auto"/>
          <w:sz w:val="24"/>
          <w:szCs w:val="24"/>
          <w:highlight w:val="none"/>
          <w:u w:val="none"/>
          <w:lang w:val="en-US" w:eastAsia="zh-CN"/>
        </w:rPr>
        <w:t>（2）管理措施</w:t>
      </w:r>
      <w:bookmarkEnd w:id="44"/>
      <w:bookmarkEnd w:id="45"/>
      <w:bookmarkEnd w:id="46"/>
      <w:bookmarkEnd w:id="47"/>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fldChar w:fldCharType="begin"/>
      </w:r>
      <w:r>
        <w:rPr>
          <w:rFonts w:hint="default" w:ascii="Times New Roman" w:hAnsi="Times New Roman" w:eastAsia="宋体" w:cs="Times New Roman"/>
          <w:color w:val="auto"/>
          <w:sz w:val="24"/>
          <w:szCs w:val="24"/>
          <w:highlight w:val="none"/>
          <w:u w:val="none"/>
        </w:rPr>
        <w:instrText xml:space="preserve"> = 1 \* GB3 \* MERGEFORMAT </w:instrText>
      </w:r>
      <w:r>
        <w:rPr>
          <w:rFonts w:hint="default" w:ascii="Times New Roman" w:hAnsi="Times New Roman" w:eastAsia="宋体" w:cs="Times New Roman"/>
          <w:color w:val="auto"/>
          <w:sz w:val="24"/>
          <w:szCs w:val="24"/>
          <w:highlight w:val="none"/>
          <w:u w:val="none"/>
        </w:rPr>
        <w:fldChar w:fldCharType="separate"/>
      </w:r>
      <w:r>
        <w:rPr>
          <w:rFonts w:hint="default" w:ascii="Times New Roman" w:hAnsi="Times New Roman" w:eastAsia="宋体" w:cs="Times New Roman"/>
          <w:color w:val="auto"/>
          <w:sz w:val="24"/>
          <w:szCs w:val="24"/>
          <w:highlight w:val="none"/>
          <w:u w:val="none"/>
        </w:rPr>
        <w:t>①</w:t>
      </w:r>
      <w:r>
        <w:rPr>
          <w:rFonts w:hint="default" w:ascii="Times New Roman" w:hAnsi="Times New Roman" w:eastAsia="宋体" w:cs="Times New Roman"/>
          <w:color w:val="auto"/>
          <w:sz w:val="24"/>
          <w:szCs w:val="24"/>
          <w:highlight w:val="none"/>
          <w:u w:val="none"/>
        </w:rPr>
        <w:fldChar w:fldCharType="end"/>
      </w:r>
      <w:r>
        <w:rPr>
          <w:rFonts w:hint="default" w:ascii="Times New Roman" w:hAnsi="Times New Roman" w:eastAsia="宋体" w:cs="Times New Roman"/>
          <w:color w:val="auto"/>
          <w:sz w:val="24"/>
          <w:szCs w:val="24"/>
          <w:highlight w:val="none"/>
          <w:u w:val="none"/>
        </w:rPr>
        <w:t>设备购置时选用高效能低噪声设备；</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auto"/>
          <w:sz w:val="24"/>
          <w:szCs w:val="24"/>
          <w:highlight w:val="none"/>
          <w:u w:val="none"/>
          <w:lang w:eastAsia="zh-CN"/>
        </w:rPr>
        <w:fldChar w:fldCharType="begin"/>
      </w:r>
      <w:r>
        <w:rPr>
          <w:rFonts w:hint="default" w:ascii="Times New Roman" w:hAnsi="Times New Roman" w:eastAsia="宋体" w:cs="Times New Roman"/>
          <w:color w:val="auto"/>
          <w:sz w:val="24"/>
          <w:szCs w:val="24"/>
          <w:highlight w:val="none"/>
          <w:u w:val="none"/>
          <w:lang w:eastAsia="zh-CN"/>
        </w:rPr>
        <w:instrText xml:space="preserve"> = 2 \* GB3 \* MERGEFORMAT </w:instrText>
      </w:r>
      <w:r>
        <w:rPr>
          <w:rFonts w:hint="default" w:ascii="Times New Roman" w:hAnsi="Times New Roman" w:eastAsia="宋体" w:cs="Times New Roman"/>
          <w:color w:val="auto"/>
          <w:sz w:val="24"/>
          <w:szCs w:val="24"/>
          <w:highlight w:val="none"/>
          <w:u w:val="none"/>
          <w:lang w:eastAsia="zh-CN"/>
        </w:rPr>
        <w:fldChar w:fldCharType="separate"/>
      </w:r>
      <w:r>
        <w:rPr>
          <w:rFonts w:hint="default" w:ascii="Times New Roman" w:hAnsi="Times New Roman" w:eastAsia="宋体" w:cs="Times New Roman"/>
          <w:color w:val="auto"/>
          <w:sz w:val="24"/>
          <w:szCs w:val="24"/>
          <w:highlight w:val="none"/>
          <w:u w:val="none"/>
        </w:rPr>
        <w:t>②</w:t>
      </w:r>
      <w:r>
        <w:rPr>
          <w:rFonts w:hint="default" w:ascii="Times New Roman" w:hAnsi="Times New Roman" w:eastAsia="宋体" w:cs="Times New Roman"/>
          <w:color w:val="auto"/>
          <w:sz w:val="24"/>
          <w:szCs w:val="24"/>
          <w:highlight w:val="none"/>
          <w:u w:val="none"/>
          <w:lang w:eastAsia="zh-CN"/>
        </w:rPr>
        <w:fldChar w:fldCharType="end"/>
      </w:r>
      <w:r>
        <w:rPr>
          <w:rFonts w:hint="default" w:ascii="Times New Roman" w:hAnsi="Times New Roman" w:eastAsia="宋体" w:cs="Times New Roman"/>
          <w:color w:val="auto"/>
          <w:sz w:val="24"/>
          <w:szCs w:val="24"/>
          <w:highlight w:val="none"/>
          <w:u w:val="none"/>
        </w:rPr>
        <w:t>设备运行中要注意管理，加强润滑，维持设备处于良好的运转状态，防止出现因设备运行不正常而产生刺耳噪声的情况</w:t>
      </w:r>
      <w:r>
        <w:rPr>
          <w:rFonts w:hint="default" w:ascii="Times New Roman" w:hAnsi="Times New Roman" w:eastAsia="宋体" w:cs="Times New Roman"/>
          <w:color w:val="auto"/>
          <w:sz w:val="24"/>
          <w:szCs w:val="24"/>
          <w:highlight w:val="none"/>
          <w:u w:val="none"/>
          <w:lang w:eastAsia="zh-CN"/>
        </w:rPr>
        <w:t>。</w:t>
      </w:r>
    </w:p>
    <w:p>
      <w:pPr>
        <w:pStyle w:val="3"/>
        <w:bidi w:val="0"/>
        <w:rPr>
          <w:rFonts w:hint="default"/>
          <w:color w:val="auto"/>
          <w:highlight w:val="none"/>
          <w:u w:val="none"/>
          <w:lang w:val="en-US" w:eastAsia="zh-CN"/>
        </w:rPr>
      </w:pPr>
      <w:bookmarkStart w:id="48" w:name="_Toc2494"/>
      <w:bookmarkStart w:id="49" w:name="_Toc16579"/>
      <w:bookmarkStart w:id="50" w:name="_Toc16267"/>
      <w:bookmarkStart w:id="51" w:name="_Toc19865"/>
      <w:bookmarkStart w:id="52" w:name="_Toc1065"/>
      <w:bookmarkStart w:id="53" w:name="_Toc19836"/>
      <w:bookmarkStart w:id="54" w:name="_Toc30510"/>
      <w:r>
        <w:rPr>
          <w:rFonts w:hint="default"/>
          <w:color w:val="auto"/>
          <w:highlight w:val="none"/>
          <w:u w:val="none"/>
          <w:lang w:val="en-US" w:eastAsia="zh-CN"/>
        </w:rPr>
        <w:t>运营期固体废物治理措施</w:t>
      </w:r>
      <w:bookmarkEnd w:id="48"/>
      <w:bookmarkEnd w:id="49"/>
      <w:bookmarkEnd w:id="50"/>
      <w:bookmarkEnd w:id="51"/>
      <w:bookmarkEnd w:id="52"/>
      <w:bookmarkEnd w:id="53"/>
      <w:bookmarkEnd w:id="54"/>
    </w:p>
    <w:p>
      <w:pPr>
        <w:pStyle w:val="4"/>
        <w:bidi w:val="0"/>
        <w:rPr>
          <w:rFonts w:hint="default"/>
          <w:color w:val="auto"/>
          <w:highlight w:val="none"/>
          <w:u w:val="none"/>
          <w:lang w:val="en-US" w:eastAsia="zh-CN"/>
        </w:rPr>
      </w:pPr>
      <w:bookmarkStart w:id="55" w:name="_Toc10118"/>
      <w:r>
        <w:rPr>
          <w:rFonts w:hint="default"/>
          <w:color w:val="auto"/>
          <w:highlight w:val="none"/>
          <w:u w:val="none"/>
          <w:lang w:val="en-US" w:eastAsia="zh-CN"/>
        </w:rPr>
        <w:t>一般废物暂存及处置措施</w:t>
      </w:r>
      <w:bookmarkEnd w:id="55"/>
    </w:p>
    <w:p>
      <w:pPr>
        <w:bidi w:val="0"/>
        <w:spacing w:line="480" w:lineRule="exact"/>
        <w:ind w:firstLine="602"/>
        <w:rPr>
          <w:rFonts w:hint="default" w:ascii="Times New Roman" w:hAnsi="Times New Roman" w:eastAsia="宋体" w:cs="Times New Roman"/>
          <w:color w:val="auto"/>
          <w:szCs w:val="20"/>
          <w:highlight w:val="none"/>
          <w:u w:val="none"/>
          <w:lang w:val="en-US" w:eastAsia="zh-CN"/>
        </w:rPr>
      </w:pPr>
      <w:r>
        <w:rPr>
          <w:rFonts w:ascii="Times New Roman" w:hAnsi="Times New Roman" w:eastAsia="宋体" w:cs="Times New Roman"/>
          <w:color w:val="auto"/>
          <w:szCs w:val="20"/>
          <w:highlight w:val="none"/>
          <w:u w:val="none"/>
        </w:rPr>
        <w:t>本项目针对产生的固体废物的特点，本着“资源化”、“减量化”和“无害化”原则，实行不同的处置方式，在减少外排环境数量的基础上，力求实现环境效益、经</w:t>
      </w:r>
      <w:r>
        <w:rPr>
          <w:rFonts w:hint="default" w:ascii="Times New Roman" w:hAnsi="Times New Roman" w:eastAsia="宋体" w:cs="Times New Roman"/>
          <w:color w:val="auto"/>
          <w:szCs w:val="20"/>
          <w:highlight w:val="none"/>
          <w:u w:val="none"/>
          <w:lang w:val="en-US" w:eastAsia="zh-CN"/>
        </w:rPr>
        <w:t>济效益和社会效益的统一。现将处置措施具体分析如下：</w:t>
      </w:r>
    </w:p>
    <w:p>
      <w:pPr>
        <w:bidi w:val="0"/>
        <w:spacing w:line="480" w:lineRule="exact"/>
        <w:ind w:firstLine="602"/>
        <w:rPr>
          <w:rFonts w:hint="default" w:ascii="Times New Roman" w:hAnsi="Times New Roman" w:eastAsia="宋体" w:cs="Times New Roman"/>
          <w:color w:val="auto"/>
          <w:szCs w:val="20"/>
          <w:highlight w:val="none"/>
          <w:u w:val="none"/>
          <w:lang w:val="en-US" w:eastAsia="zh-CN"/>
        </w:rPr>
      </w:pPr>
      <w:r>
        <w:rPr>
          <w:rFonts w:hint="eastAsia" w:eastAsia="宋体" w:cs="Times New Roman"/>
          <w:color w:val="auto"/>
          <w:szCs w:val="20"/>
          <w:highlight w:val="none"/>
          <w:u w:val="none"/>
          <w:lang w:val="en-US" w:eastAsia="zh-CN"/>
        </w:rPr>
        <w:t>改建</w:t>
      </w:r>
      <w:r>
        <w:rPr>
          <w:rFonts w:hint="eastAsia" w:ascii="Times New Roman" w:hAnsi="Times New Roman" w:eastAsia="宋体" w:cs="Times New Roman"/>
          <w:color w:val="auto"/>
          <w:szCs w:val="20"/>
          <w:highlight w:val="none"/>
          <w:u w:val="none"/>
          <w:lang w:val="en-US" w:eastAsia="zh-CN"/>
        </w:rPr>
        <w:t>工程一般固废主要包括</w:t>
      </w:r>
      <w:r>
        <w:rPr>
          <w:rFonts w:hint="default" w:ascii="Times New Roman" w:hAnsi="Times New Roman" w:eastAsia="宋体" w:cs="Times New Roman"/>
          <w:color w:val="auto"/>
          <w:szCs w:val="20"/>
          <w:highlight w:val="none"/>
          <w:u w:val="none"/>
          <w:lang w:val="en-US" w:eastAsia="zh-CN"/>
        </w:rPr>
        <w:t>一般原料包装袋、生活垃圾</w:t>
      </w:r>
      <w:r>
        <w:rPr>
          <w:rFonts w:hint="eastAsia" w:ascii="Times New Roman" w:hAnsi="Times New Roman" w:eastAsia="宋体" w:cs="Times New Roman"/>
          <w:color w:val="auto"/>
          <w:szCs w:val="20"/>
          <w:highlight w:val="none"/>
          <w:u w:val="none"/>
          <w:lang w:val="en-US" w:eastAsia="zh-CN"/>
        </w:rPr>
        <w:t>、纯水制备废石英砂、废活性炭、废滤芯、废水生化污泥</w:t>
      </w:r>
      <w:r>
        <w:rPr>
          <w:rFonts w:hint="default" w:ascii="Times New Roman" w:hAnsi="Times New Roman" w:eastAsia="宋体" w:cs="Times New Roman"/>
          <w:color w:val="auto"/>
          <w:szCs w:val="20"/>
          <w:highlight w:val="none"/>
          <w:u w:val="none"/>
          <w:lang w:val="en-US" w:eastAsia="zh-CN"/>
        </w:rPr>
        <w:t>。</w:t>
      </w:r>
      <w:r>
        <w:rPr>
          <w:rFonts w:hint="eastAsia" w:ascii="Times New Roman" w:hAnsi="Times New Roman" w:eastAsia="宋体" w:cs="Times New Roman"/>
          <w:color w:val="auto"/>
          <w:szCs w:val="20"/>
          <w:highlight w:val="none"/>
          <w:u w:val="none"/>
          <w:lang w:val="en-US" w:eastAsia="zh-CN"/>
        </w:rPr>
        <w:t>其中纯水装置产生的废滤材，在达到使用时限后由供应商负责更换滤材，废滤材由供应商当即回收。一般原料包装袋暂存于50m</w:t>
      </w:r>
      <w:r>
        <w:rPr>
          <w:rFonts w:hint="eastAsia" w:ascii="Times New Roman" w:hAnsi="Times New Roman" w:eastAsia="宋体" w:cs="Times New Roman"/>
          <w:color w:val="auto"/>
          <w:szCs w:val="20"/>
          <w:highlight w:val="none"/>
          <w:u w:val="none"/>
          <w:vertAlign w:val="superscript"/>
          <w:lang w:val="en-US" w:eastAsia="zh-CN"/>
        </w:rPr>
        <w:t>2</w:t>
      </w:r>
      <w:r>
        <w:rPr>
          <w:rFonts w:hint="eastAsia" w:ascii="Times New Roman" w:hAnsi="Times New Roman" w:eastAsia="宋体" w:cs="Times New Roman"/>
          <w:color w:val="auto"/>
          <w:szCs w:val="20"/>
          <w:highlight w:val="none"/>
          <w:u w:val="none"/>
          <w:lang w:val="en-US" w:eastAsia="zh-CN"/>
        </w:rPr>
        <w:t>的一般固废间定期外售或交原料厂家，</w:t>
      </w:r>
      <w:r>
        <w:rPr>
          <w:rFonts w:hint="eastAsia" w:eastAsia="宋体" w:cs="Times New Roman"/>
          <w:color w:val="auto"/>
          <w:szCs w:val="20"/>
          <w:highlight w:val="none"/>
          <w:u w:val="none"/>
          <w:lang w:val="en-US" w:eastAsia="zh-CN"/>
        </w:rPr>
        <w:t>生化污泥与</w:t>
      </w:r>
      <w:r>
        <w:rPr>
          <w:rFonts w:hint="eastAsia" w:ascii="Times New Roman" w:hAnsi="Times New Roman" w:eastAsia="宋体" w:cs="Times New Roman"/>
          <w:color w:val="auto"/>
          <w:szCs w:val="20"/>
          <w:highlight w:val="none"/>
          <w:u w:val="none"/>
          <w:lang w:val="en-US" w:eastAsia="zh-CN"/>
        </w:rPr>
        <w:t>生活垃圾</w:t>
      </w:r>
      <w:r>
        <w:rPr>
          <w:rFonts w:hint="eastAsia" w:eastAsia="宋体" w:cs="Times New Roman"/>
          <w:color w:val="auto"/>
          <w:szCs w:val="20"/>
          <w:highlight w:val="none"/>
          <w:u w:val="none"/>
          <w:lang w:val="en-US" w:eastAsia="zh-CN"/>
        </w:rPr>
        <w:t>一同交市政部门送垃圾发电厂处置</w:t>
      </w:r>
      <w:r>
        <w:rPr>
          <w:rFonts w:hint="eastAsia" w:ascii="Times New Roman" w:hAnsi="Times New Roman" w:eastAsia="宋体" w:cs="Times New Roman"/>
          <w:color w:val="auto"/>
          <w:szCs w:val="20"/>
          <w:highlight w:val="none"/>
          <w:u w:val="none"/>
          <w:lang w:val="en-US" w:eastAsia="zh-CN"/>
        </w:rPr>
        <w:t>。</w:t>
      </w:r>
    </w:p>
    <w:p>
      <w:pPr>
        <w:pStyle w:val="4"/>
        <w:bidi w:val="0"/>
        <w:rPr>
          <w:rFonts w:hint="default"/>
          <w:color w:val="auto"/>
          <w:highlight w:val="none"/>
          <w:u w:val="none"/>
          <w:lang w:val="en-US" w:eastAsia="zh-CN"/>
        </w:rPr>
      </w:pPr>
      <w:bookmarkStart w:id="56" w:name="_Toc8951"/>
      <w:r>
        <w:rPr>
          <w:rFonts w:hint="default"/>
          <w:color w:val="auto"/>
          <w:highlight w:val="none"/>
          <w:u w:val="none"/>
          <w:lang w:val="en-US" w:eastAsia="zh-CN"/>
        </w:rPr>
        <w:t>危险废物暂存、运输及处置措施</w:t>
      </w:r>
      <w:bookmarkEnd w:id="56"/>
    </w:p>
    <w:p>
      <w:pPr>
        <w:bidi w:val="0"/>
        <w:spacing w:line="480" w:lineRule="exact"/>
        <w:ind w:firstLine="602"/>
        <w:rPr>
          <w:rFonts w:hint="default" w:ascii="Times New Roman" w:hAnsi="Times New Roman" w:eastAsia="宋体" w:cs="Times New Roman"/>
          <w:color w:val="auto"/>
          <w:szCs w:val="20"/>
          <w:highlight w:val="none"/>
          <w:u w:val="none"/>
          <w:lang w:val="en-US" w:eastAsia="zh-CN"/>
        </w:rPr>
      </w:pPr>
      <w:r>
        <w:rPr>
          <w:rFonts w:hint="eastAsia" w:ascii="Times New Roman" w:hAnsi="Times New Roman" w:eastAsia="宋体" w:cs="Times New Roman"/>
          <w:color w:val="auto"/>
          <w:szCs w:val="20"/>
          <w:highlight w:val="none"/>
          <w:u w:val="none"/>
        </w:rPr>
        <w:t>危险废物</w:t>
      </w:r>
      <w:r>
        <w:rPr>
          <w:rFonts w:hint="eastAsia" w:ascii="Times New Roman" w:hAnsi="Times New Roman" w:eastAsia="宋体" w:cs="Times New Roman"/>
          <w:color w:val="auto"/>
          <w:szCs w:val="20"/>
          <w:highlight w:val="none"/>
          <w:u w:val="none"/>
          <w:lang w:eastAsia="zh-CN"/>
        </w:rPr>
        <w:t>：</w:t>
      </w:r>
      <w:r>
        <w:rPr>
          <w:rFonts w:hint="eastAsia" w:eastAsia="宋体" w:cs="Times New Roman"/>
          <w:color w:val="auto"/>
          <w:szCs w:val="20"/>
          <w:highlight w:val="none"/>
          <w:u w:val="none"/>
          <w:lang w:val="en-US" w:eastAsia="zh-CN"/>
        </w:rPr>
        <w:t>改建</w:t>
      </w:r>
      <w:r>
        <w:rPr>
          <w:rFonts w:hint="eastAsia" w:ascii="Times New Roman" w:hAnsi="Times New Roman" w:eastAsia="宋体" w:cs="Times New Roman"/>
          <w:color w:val="auto"/>
          <w:szCs w:val="20"/>
          <w:highlight w:val="none"/>
          <w:u w:val="none"/>
          <w:lang w:val="en-US" w:eastAsia="zh-CN"/>
        </w:rPr>
        <w:t>工程危险废物包括</w:t>
      </w:r>
      <w:r>
        <w:rPr>
          <w:rFonts w:hint="eastAsia" w:eastAsia="宋体" w:cs="Times New Roman"/>
          <w:color w:val="auto"/>
          <w:szCs w:val="20"/>
          <w:highlight w:val="none"/>
          <w:u w:val="none"/>
          <w:lang w:val="en-US" w:eastAsia="zh-CN"/>
        </w:rPr>
        <w:t>有毒有害包装材料</w:t>
      </w:r>
      <w:r>
        <w:rPr>
          <w:rFonts w:hint="eastAsia" w:ascii="Times New Roman" w:hAnsi="Times New Roman" w:eastAsia="宋体" w:cs="Times New Roman"/>
          <w:color w:val="auto"/>
          <w:szCs w:val="20"/>
          <w:highlight w:val="none"/>
          <w:u w:val="none"/>
          <w:lang w:val="en-US" w:eastAsia="zh-CN"/>
        </w:rPr>
        <w:t>、母液蒸馏残液（渣）、过滤残渣、废吸附介质（吸附干燥固废、废活性炭）、</w:t>
      </w:r>
      <w:r>
        <w:rPr>
          <w:rFonts w:hint="default" w:ascii="Times New Roman" w:hAnsi="Times New Roman" w:eastAsia="宋体" w:cs="Times New Roman"/>
          <w:color w:val="auto"/>
          <w:szCs w:val="20"/>
          <w:highlight w:val="none"/>
          <w:u w:val="none"/>
          <w:lang w:val="en-US" w:eastAsia="zh-CN"/>
        </w:rPr>
        <w:t>废催化剂</w:t>
      </w:r>
      <w:r>
        <w:rPr>
          <w:rFonts w:hint="eastAsia" w:ascii="Times New Roman" w:hAnsi="Times New Roman" w:eastAsia="宋体" w:cs="Times New Roman"/>
          <w:color w:val="auto"/>
          <w:szCs w:val="20"/>
          <w:highlight w:val="none"/>
          <w:u w:val="none"/>
          <w:lang w:val="en-US" w:eastAsia="zh-CN"/>
        </w:rPr>
        <w:t>、</w:t>
      </w:r>
      <w:r>
        <w:rPr>
          <w:rFonts w:hint="default" w:ascii="Times New Roman" w:hAnsi="Times New Roman" w:eastAsia="宋体" w:cs="Times New Roman"/>
          <w:color w:val="auto"/>
          <w:szCs w:val="20"/>
          <w:highlight w:val="none"/>
          <w:u w:val="none"/>
          <w:lang w:val="en-US" w:eastAsia="zh-CN"/>
        </w:rPr>
        <w:t>危废焚烧炉渣与飞灰</w:t>
      </w:r>
      <w:r>
        <w:rPr>
          <w:rFonts w:hint="eastAsia" w:ascii="Times New Roman" w:hAnsi="Times New Roman" w:eastAsia="宋体" w:cs="Times New Roman"/>
          <w:color w:val="auto"/>
          <w:szCs w:val="20"/>
          <w:highlight w:val="none"/>
          <w:u w:val="none"/>
          <w:lang w:val="en-US" w:eastAsia="zh-CN"/>
        </w:rPr>
        <w:t>、</w:t>
      </w:r>
      <w:r>
        <w:rPr>
          <w:rFonts w:hint="default" w:ascii="Times New Roman" w:hAnsi="Times New Roman" w:eastAsia="宋体" w:cs="Times New Roman"/>
          <w:color w:val="auto"/>
          <w:szCs w:val="20"/>
          <w:highlight w:val="none"/>
          <w:u w:val="none"/>
          <w:lang w:val="en-US" w:eastAsia="zh-CN"/>
        </w:rPr>
        <w:t>危废焚烧废气处理废消石灰与活性炭</w:t>
      </w:r>
      <w:r>
        <w:rPr>
          <w:rFonts w:hint="eastAsia" w:ascii="Times New Roman" w:hAnsi="Times New Roman" w:eastAsia="宋体" w:cs="Times New Roman"/>
          <w:color w:val="auto"/>
          <w:szCs w:val="20"/>
          <w:highlight w:val="none"/>
          <w:u w:val="none"/>
          <w:lang w:val="en-US" w:eastAsia="zh-CN"/>
        </w:rPr>
        <w:t>、</w:t>
      </w:r>
      <w:r>
        <w:rPr>
          <w:rFonts w:hint="default" w:ascii="Times New Roman" w:hAnsi="Times New Roman" w:eastAsia="宋体" w:cs="Times New Roman"/>
          <w:color w:val="auto"/>
          <w:szCs w:val="20"/>
          <w:highlight w:val="none"/>
          <w:u w:val="none"/>
          <w:lang w:val="en-US" w:eastAsia="zh-CN"/>
        </w:rPr>
        <w:t>废水物化</w:t>
      </w:r>
      <w:r>
        <w:rPr>
          <w:rFonts w:hint="eastAsia" w:eastAsia="宋体" w:cs="Times New Roman"/>
          <w:color w:val="auto"/>
          <w:szCs w:val="20"/>
          <w:highlight w:val="none"/>
          <w:u w:val="none"/>
          <w:lang w:val="en-US" w:eastAsia="zh-CN"/>
        </w:rPr>
        <w:t>污泥</w:t>
      </w:r>
      <w:r>
        <w:rPr>
          <w:rFonts w:hint="eastAsia" w:ascii="Times New Roman" w:hAnsi="Times New Roman" w:eastAsia="宋体" w:cs="Times New Roman"/>
          <w:color w:val="auto"/>
          <w:szCs w:val="20"/>
          <w:highlight w:val="none"/>
          <w:u w:val="none"/>
          <w:lang w:val="en-US" w:eastAsia="zh-CN"/>
        </w:rPr>
        <w:t>、</w:t>
      </w:r>
      <w:r>
        <w:rPr>
          <w:rFonts w:hint="eastAsia" w:eastAsia="宋体" w:cs="Times New Roman"/>
          <w:color w:val="auto"/>
          <w:szCs w:val="20"/>
          <w:highlight w:val="none"/>
          <w:u w:val="none"/>
          <w:lang w:val="en-US" w:eastAsia="zh-CN"/>
        </w:rPr>
        <w:t>MVR污盐及废盐分离母液</w:t>
      </w:r>
      <w:r>
        <w:rPr>
          <w:rFonts w:hint="eastAsia" w:ascii="Times New Roman" w:hAnsi="Times New Roman" w:eastAsia="宋体" w:cs="Times New Roman"/>
          <w:color w:val="auto"/>
          <w:szCs w:val="20"/>
          <w:highlight w:val="none"/>
          <w:u w:val="none"/>
          <w:lang w:val="en-US" w:eastAsia="zh-CN"/>
        </w:rPr>
        <w:t>、包装废气除尘器收尘、废矿物油等</w:t>
      </w:r>
      <w:r>
        <w:rPr>
          <w:rFonts w:hint="default" w:ascii="Times New Roman" w:hAnsi="Times New Roman" w:eastAsia="宋体" w:cs="Times New Roman"/>
          <w:color w:val="auto"/>
          <w:szCs w:val="20"/>
          <w:highlight w:val="none"/>
          <w:u w:val="none"/>
          <w:lang w:val="en-US" w:eastAsia="zh-CN"/>
        </w:rPr>
        <w:t>。</w:t>
      </w:r>
    </w:p>
    <w:p>
      <w:pPr>
        <w:bidi w:val="0"/>
        <w:spacing w:line="480" w:lineRule="exact"/>
        <w:ind w:left="240" w:leftChars="100" w:firstLine="240" w:firstLineChars="100"/>
        <w:rPr>
          <w:rFonts w:ascii="Times New Roman" w:hAnsi="Times New Roman" w:eastAsia="宋体" w:cs="Times New Roman"/>
          <w:color w:val="auto"/>
          <w:szCs w:val="20"/>
          <w:highlight w:val="none"/>
          <w:u w:val="none"/>
        </w:rPr>
      </w:pPr>
      <w:r>
        <w:rPr>
          <w:rFonts w:hint="eastAsia" w:ascii="Times New Roman" w:hAnsi="Times New Roman" w:eastAsia="宋体" w:cs="Times New Roman"/>
          <w:color w:val="auto"/>
          <w:szCs w:val="20"/>
          <w:highlight w:val="none"/>
          <w:u w:val="none"/>
          <w:lang w:val="en-US" w:eastAsia="zh-CN"/>
        </w:rPr>
        <w:t>本</w:t>
      </w:r>
      <w:r>
        <w:rPr>
          <w:rFonts w:hint="eastAsia" w:eastAsia="宋体" w:cs="Times New Roman"/>
          <w:color w:val="auto"/>
          <w:szCs w:val="20"/>
          <w:highlight w:val="none"/>
          <w:u w:val="none"/>
          <w:lang w:val="en-US" w:eastAsia="zh-CN"/>
        </w:rPr>
        <w:t>次改建工程产生的蒸馏残渣（液）、物化污泥、废矿物油等，进入现有的危废焚烧炉处置，焚烧产生的炉渣以及生产过程产生的有毒有害包装材料、废催化剂等，暂存于本次工程新建的</w:t>
      </w:r>
      <w:r>
        <w:rPr>
          <w:rFonts w:hint="eastAsia" w:ascii="Times New Roman" w:hAnsi="Times New Roman" w:eastAsia="宋体" w:cs="Times New Roman"/>
          <w:color w:val="auto"/>
          <w:szCs w:val="20"/>
          <w:highlight w:val="none"/>
          <w:u w:val="none"/>
        </w:rPr>
        <w:t>1</w:t>
      </w:r>
      <w:r>
        <w:rPr>
          <w:rFonts w:hint="eastAsia" w:ascii="Times New Roman" w:hAnsi="Times New Roman" w:eastAsia="宋体" w:cs="Times New Roman"/>
          <w:color w:val="auto"/>
          <w:szCs w:val="20"/>
          <w:highlight w:val="none"/>
          <w:u w:val="none"/>
          <w:lang w:val="en-US" w:eastAsia="zh-CN"/>
        </w:rPr>
        <w:t>0</w:t>
      </w:r>
      <w:r>
        <w:rPr>
          <w:rFonts w:ascii="Times New Roman" w:hAnsi="Times New Roman" w:eastAsia="宋体" w:cs="Times New Roman"/>
          <w:color w:val="auto"/>
          <w:szCs w:val="20"/>
          <w:highlight w:val="none"/>
          <w:u w:val="none"/>
        </w:rPr>
        <w:t>0m</w:t>
      </w:r>
      <w:r>
        <w:rPr>
          <w:rFonts w:ascii="Times New Roman" w:hAnsi="Times New Roman" w:eastAsia="宋体" w:cs="Times New Roman"/>
          <w:color w:val="auto"/>
          <w:szCs w:val="20"/>
          <w:highlight w:val="none"/>
          <w:u w:val="none"/>
          <w:vertAlign w:val="superscript"/>
        </w:rPr>
        <w:t>2</w:t>
      </w:r>
      <w:r>
        <w:rPr>
          <w:rFonts w:ascii="Times New Roman" w:hAnsi="Times New Roman" w:eastAsia="宋体" w:cs="Times New Roman"/>
          <w:color w:val="auto"/>
          <w:szCs w:val="20"/>
          <w:highlight w:val="none"/>
          <w:u w:val="none"/>
        </w:rPr>
        <w:t>危险废物暂存间。</w:t>
      </w:r>
    </w:p>
    <w:p>
      <w:pPr>
        <w:adjustRightInd w:val="0"/>
        <w:snapToGrid w:val="0"/>
        <w:spacing w:line="520" w:lineRule="exact"/>
        <w:ind w:firstLine="480" w:firstLineChars="200"/>
        <w:rPr>
          <w:rFonts w:hint="default" w:ascii="Times New Roman" w:hAnsi="Times New Roman" w:eastAsia="宋体" w:cs="Times New Roman"/>
          <w:b w:val="0"/>
          <w:bCs/>
          <w:color w:val="auto"/>
          <w:sz w:val="24"/>
          <w:szCs w:val="24"/>
          <w:highlight w:val="none"/>
          <w:u w:val="none"/>
        </w:rPr>
      </w:pPr>
      <w:r>
        <w:rPr>
          <w:rFonts w:hint="default" w:ascii="Times New Roman" w:hAnsi="Times New Roman" w:eastAsia="宋体" w:cs="Times New Roman"/>
          <w:b w:val="0"/>
          <w:bCs/>
          <w:color w:val="auto"/>
          <w:sz w:val="24"/>
          <w:szCs w:val="24"/>
          <w:highlight w:val="none"/>
          <w:u w:val="none"/>
          <w:lang w:eastAsia="zh-CN"/>
        </w:rPr>
        <w:t>（</w:t>
      </w:r>
      <w:r>
        <w:rPr>
          <w:rFonts w:hint="default" w:ascii="Times New Roman" w:hAnsi="Times New Roman" w:eastAsia="宋体" w:cs="Times New Roman"/>
          <w:b w:val="0"/>
          <w:bCs/>
          <w:color w:val="auto"/>
          <w:sz w:val="24"/>
          <w:szCs w:val="24"/>
          <w:highlight w:val="none"/>
          <w:u w:val="none"/>
          <w:lang w:val="en-US" w:eastAsia="zh-CN"/>
        </w:rPr>
        <w:t>1</w:t>
      </w:r>
      <w:r>
        <w:rPr>
          <w:rFonts w:hint="default" w:ascii="Times New Roman" w:hAnsi="Times New Roman" w:eastAsia="宋体" w:cs="Times New Roman"/>
          <w:b w:val="0"/>
          <w:bCs/>
          <w:color w:val="auto"/>
          <w:sz w:val="24"/>
          <w:szCs w:val="24"/>
          <w:highlight w:val="none"/>
          <w:u w:val="none"/>
          <w:lang w:eastAsia="zh-CN"/>
        </w:rPr>
        <w:t>）</w:t>
      </w:r>
      <w:r>
        <w:rPr>
          <w:rFonts w:hint="default" w:ascii="Times New Roman" w:hAnsi="Times New Roman" w:eastAsia="宋体" w:cs="Times New Roman"/>
          <w:b w:val="0"/>
          <w:bCs/>
          <w:color w:val="auto"/>
          <w:sz w:val="24"/>
          <w:szCs w:val="24"/>
          <w:highlight w:val="none"/>
          <w:u w:val="none"/>
        </w:rPr>
        <w:t>危险废物贮存设施建设管理要求</w:t>
      </w:r>
    </w:p>
    <w:p>
      <w:pPr>
        <w:adjustRightInd w:val="0"/>
        <w:snapToGrid w:val="0"/>
        <w:spacing w:line="520" w:lineRule="exact"/>
        <w:ind w:firstLine="480" w:firstLineChars="200"/>
        <w:rPr>
          <w:rFonts w:hint="default" w:ascii="Times New Roman" w:hAnsi="Times New Roman" w:eastAsia="宋体" w:cs="Times New Roman"/>
          <w:b w:val="0"/>
          <w:bCs/>
          <w:color w:val="auto"/>
          <w:sz w:val="24"/>
          <w:szCs w:val="24"/>
          <w:highlight w:val="none"/>
          <w:u w:val="none"/>
        </w:rPr>
      </w:pPr>
      <w:r>
        <w:rPr>
          <w:rFonts w:hint="default" w:ascii="Times New Roman" w:hAnsi="Times New Roman" w:eastAsia="宋体" w:cs="Times New Roman"/>
          <w:b w:val="0"/>
          <w:bCs/>
          <w:color w:val="auto"/>
          <w:sz w:val="24"/>
          <w:szCs w:val="24"/>
          <w:highlight w:val="none"/>
          <w:u w:val="none"/>
        </w:rPr>
        <w:t>本项目建危险废物暂存库1座，建筑面积</w:t>
      </w:r>
      <w:r>
        <w:rPr>
          <w:rFonts w:hint="default" w:ascii="Times New Roman" w:hAnsi="Times New Roman" w:eastAsia="宋体" w:cs="Times New Roman"/>
          <w:b w:val="0"/>
          <w:bCs/>
          <w:color w:val="auto"/>
          <w:sz w:val="24"/>
          <w:szCs w:val="24"/>
          <w:highlight w:val="none"/>
          <w:u w:val="none"/>
          <w:lang w:val="en-US" w:eastAsia="zh-CN"/>
        </w:rPr>
        <w:t>1</w:t>
      </w:r>
      <w:r>
        <w:rPr>
          <w:rFonts w:hint="eastAsia" w:eastAsia="宋体" w:cs="Times New Roman"/>
          <w:b w:val="0"/>
          <w:bCs/>
          <w:color w:val="auto"/>
          <w:sz w:val="24"/>
          <w:szCs w:val="24"/>
          <w:highlight w:val="none"/>
          <w:u w:val="none"/>
          <w:lang w:val="en-US" w:eastAsia="zh-CN"/>
        </w:rPr>
        <w:t>00</w:t>
      </w:r>
      <w:r>
        <w:rPr>
          <w:rFonts w:hint="default" w:ascii="Times New Roman" w:hAnsi="Times New Roman" w:eastAsia="宋体" w:cs="Times New Roman"/>
          <w:b w:val="0"/>
          <w:bCs/>
          <w:color w:val="auto"/>
          <w:sz w:val="24"/>
          <w:szCs w:val="24"/>
          <w:highlight w:val="none"/>
          <w:u w:val="none"/>
        </w:rPr>
        <w:t>m</w:t>
      </w:r>
      <w:r>
        <w:rPr>
          <w:rFonts w:hint="default" w:ascii="Times New Roman" w:hAnsi="Times New Roman" w:eastAsia="宋体" w:cs="Times New Roman"/>
          <w:b w:val="0"/>
          <w:bCs/>
          <w:color w:val="auto"/>
          <w:sz w:val="24"/>
          <w:szCs w:val="24"/>
          <w:highlight w:val="none"/>
          <w:u w:val="none"/>
          <w:vertAlign w:val="superscript"/>
        </w:rPr>
        <w:t>2</w:t>
      </w:r>
      <w:r>
        <w:rPr>
          <w:rFonts w:hint="default" w:ascii="Times New Roman" w:hAnsi="Times New Roman" w:eastAsia="宋体" w:cs="Times New Roman"/>
          <w:b w:val="0"/>
          <w:bCs/>
          <w:color w:val="auto"/>
          <w:sz w:val="24"/>
          <w:szCs w:val="24"/>
          <w:highlight w:val="none"/>
          <w:u w:val="none"/>
        </w:rPr>
        <w:t>。位于厂区中部</w:t>
      </w:r>
      <w:r>
        <w:rPr>
          <w:rFonts w:hint="eastAsia" w:eastAsia="宋体" w:cs="Times New Roman"/>
          <w:b w:val="0"/>
          <w:bCs/>
          <w:color w:val="auto"/>
          <w:sz w:val="24"/>
          <w:szCs w:val="24"/>
          <w:highlight w:val="none"/>
          <w:u w:val="none"/>
          <w:lang w:val="en-US" w:eastAsia="zh-CN"/>
        </w:rPr>
        <w:t>西</w:t>
      </w:r>
      <w:r>
        <w:rPr>
          <w:rFonts w:hint="default" w:ascii="Times New Roman" w:hAnsi="Times New Roman" w:eastAsia="宋体" w:cs="Times New Roman"/>
          <w:b w:val="0"/>
          <w:bCs/>
          <w:color w:val="auto"/>
          <w:sz w:val="24"/>
          <w:szCs w:val="24"/>
          <w:highlight w:val="none"/>
          <w:u w:val="none"/>
          <w:lang w:val="en-US" w:eastAsia="zh-CN"/>
        </w:rPr>
        <w:t>侧</w:t>
      </w:r>
      <w:r>
        <w:rPr>
          <w:rFonts w:hint="default" w:ascii="Times New Roman" w:hAnsi="Times New Roman" w:eastAsia="宋体" w:cs="Times New Roman"/>
          <w:b w:val="0"/>
          <w:bCs/>
          <w:color w:val="auto"/>
          <w:sz w:val="24"/>
          <w:szCs w:val="24"/>
          <w:highlight w:val="none"/>
          <w:u w:val="none"/>
        </w:rPr>
        <w:t>。</w:t>
      </w:r>
    </w:p>
    <w:p>
      <w:pPr>
        <w:bidi w:val="0"/>
        <w:adjustRightInd w:val="0"/>
        <w:snapToGrid w:val="0"/>
        <w:spacing w:line="480" w:lineRule="exact"/>
        <w:ind w:firstLine="480" w:firstLineChars="200"/>
        <w:rPr>
          <w:rFonts w:hint="default" w:ascii="Times New Roman" w:hAnsi="Times New Roman" w:eastAsia="宋体" w:cs="Times New Roman"/>
          <w:b w:val="0"/>
          <w:bCs/>
          <w:color w:val="auto"/>
          <w:sz w:val="24"/>
          <w:szCs w:val="24"/>
          <w:highlight w:val="none"/>
          <w:u w:val="none"/>
          <w:lang w:val="en-US" w:eastAsia="zh-CN"/>
        </w:rPr>
        <w:sectPr>
          <w:pgSz w:w="11905" w:h="16838"/>
          <w:pgMar w:top="1440" w:right="1800" w:bottom="1440" w:left="1800"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9"/>
        <w:bidi w:val="0"/>
        <w:rPr>
          <w:rFonts w:hint="default" w:ascii="Times New Roman" w:hAnsi="Times New Roman" w:eastAsia="宋体" w:cs="Times New Roman"/>
          <w:b/>
          <w:bCs/>
          <w:color w:val="auto"/>
          <w:kern w:val="2"/>
          <w:sz w:val="24"/>
          <w:szCs w:val="28"/>
          <w:highlight w:val="none"/>
          <w:u w:val="none"/>
          <w:lang w:val="en-US" w:eastAsia="zh-CN" w:bidi="ar-SA"/>
        </w:rPr>
      </w:pPr>
      <w:r>
        <w:rPr>
          <w:rFonts w:hint="eastAsia" w:eastAsia="宋体" w:cs="Times New Roman"/>
          <w:b/>
          <w:bCs/>
          <w:color w:val="auto"/>
          <w:kern w:val="2"/>
          <w:sz w:val="24"/>
          <w:szCs w:val="28"/>
          <w:highlight w:val="none"/>
          <w:u w:val="none"/>
          <w:lang w:val="en-US" w:eastAsia="zh-CN" w:bidi="ar-SA"/>
        </w:rPr>
        <w:t xml:space="preserve"> </w:t>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8.5</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r>
        <w:rPr>
          <w:rFonts w:hint="eastAsia" w:ascii="Times New Roman" w:hAnsi="Times New Roman" w:eastAsia="宋体" w:cs="Times New Roman"/>
          <w:b/>
          <w:bCs/>
          <w:color w:val="auto"/>
          <w:kern w:val="2"/>
          <w:sz w:val="24"/>
          <w:szCs w:val="28"/>
          <w:highlight w:val="none"/>
          <w:u w:val="none"/>
          <w:lang w:val="en-US" w:eastAsia="zh-CN" w:bidi="ar-SA"/>
        </w:rPr>
        <w:t xml:space="preserve">      </w:t>
      </w:r>
      <w:r>
        <w:rPr>
          <w:rFonts w:hint="eastAsia" w:cs="Times New Roman"/>
          <w:b/>
          <w:bCs/>
          <w:color w:val="auto"/>
          <w:kern w:val="2"/>
          <w:sz w:val="24"/>
          <w:szCs w:val="28"/>
          <w:highlight w:val="none"/>
          <w:u w:val="none"/>
          <w:lang w:val="en-US" w:eastAsia="zh-CN" w:bidi="ar-SA"/>
        </w:rPr>
        <w:t>改建</w:t>
      </w:r>
      <w:r>
        <w:rPr>
          <w:rFonts w:hint="eastAsia" w:ascii="Times New Roman" w:hAnsi="Times New Roman" w:eastAsia="宋体" w:cs="Times New Roman"/>
          <w:b/>
          <w:bCs/>
          <w:color w:val="auto"/>
          <w:kern w:val="2"/>
          <w:sz w:val="24"/>
          <w:szCs w:val="28"/>
          <w:highlight w:val="none"/>
          <w:u w:val="none"/>
          <w:lang w:val="en-US" w:eastAsia="zh-CN" w:bidi="ar-SA"/>
        </w:rPr>
        <w:t>工程固废自行贮存/处置设施信息一览表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87"/>
        <w:gridCol w:w="928"/>
        <w:gridCol w:w="929"/>
        <w:gridCol w:w="1397"/>
        <w:gridCol w:w="934"/>
        <w:gridCol w:w="711"/>
        <w:gridCol w:w="1844"/>
        <w:gridCol w:w="2218"/>
        <w:gridCol w:w="1276"/>
        <w:gridCol w:w="1008"/>
        <w:gridCol w:w="1182"/>
        <w:gridCol w:w="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6" w:type="pct"/>
            <w:noWrap w:val="0"/>
            <w:vAlign w:val="center"/>
          </w:tcPr>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编号</w:t>
            </w:r>
          </w:p>
        </w:tc>
        <w:tc>
          <w:tcPr>
            <w:tcW w:w="347" w:type="pct"/>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设施类别</w:t>
            </w:r>
          </w:p>
        </w:tc>
        <w:tc>
          <w:tcPr>
            <w:tcW w:w="347" w:type="pct"/>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设施名称</w:t>
            </w:r>
          </w:p>
        </w:tc>
        <w:tc>
          <w:tcPr>
            <w:tcW w:w="521" w:type="pct"/>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位置（地理坐标）</w:t>
            </w:r>
          </w:p>
        </w:tc>
        <w:tc>
          <w:tcPr>
            <w:tcW w:w="349" w:type="pct"/>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自行贮存/处置能力</w:t>
            </w:r>
          </w:p>
        </w:tc>
        <w:tc>
          <w:tcPr>
            <w:tcW w:w="266" w:type="pct"/>
            <w:noWrap w:val="0"/>
            <w:vAlign w:val="center"/>
          </w:tcPr>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面积</w:t>
            </w:r>
          </w:p>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m</w:t>
            </w:r>
            <w:r>
              <w:rPr>
                <w:rFonts w:hint="eastAsia" w:ascii="Times New Roman" w:hAnsi="Times New Roman" w:eastAsia="宋体" w:cs="Times New Roman"/>
                <w:color w:val="auto"/>
                <w:kern w:val="2"/>
                <w:sz w:val="21"/>
                <w:szCs w:val="20"/>
                <w:highlight w:val="none"/>
                <w:u w:val="none"/>
                <w:vertAlign w:val="superscript"/>
                <w:lang w:val="en-US" w:eastAsia="zh-CN" w:bidi="ar-SA"/>
              </w:rPr>
              <w:t>2</w:t>
            </w:r>
          </w:p>
        </w:tc>
        <w:tc>
          <w:tcPr>
            <w:tcW w:w="687" w:type="pct"/>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r>
              <w:rPr>
                <w:rFonts w:ascii="Times New Roman" w:hAnsi="Times New Roman" w:eastAsia="宋体" w:cs="Times New Roman"/>
                <w:color w:val="auto"/>
                <w:kern w:val="2"/>
                <w:sz w:val="21"/>
                <w:szCs w:val="20"/>
                <w:highlight w:val="none"/>
                <w:u w:val="none"/>
                <w:lang w:val="en-US" w:eastAsia="zh-CN" w:bidi="ar-SA"/>
              </w:rPr>
              <w:t>废物名称</w:t>
            </w:r>
          </w:p>
        </w:tc>
        <w:tc>
          <w:tcPr>
            <w:tcW w:w="826" w:type="pct"/>
            <w:noWrap w:val="0"/>
            <w:vAlign w:val="center"/>
          </w:tcPr>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类别</w:t>
            </w:r>
          </w:p>
        </w:tc>
        <w:tc>
          <w:tcPr>
            <w:tcW w:w="476" w:type="pct"/>
            <w:noWrap w:val="0"/>
            <w:vAlign w:val="center"/>
          </w:tcPr>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代码</w:t>
            </w:r>
          </w:p>
        </w:tc>
        <w:tc>
          <w:tcPr>
            <w:tcW w:w="354" w:type="pct"/>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自行贮存/处置</w:t>
            </w:r>
            <w:r>
              <w:rPr>
                <w:rFonts w:hint="eastAsia" w:ascii="Times New Roman" w:hAnsi="Times New Roman" w:eastAsia="宋体" w:cs="Times New Roman"/>
                <w:color w:val="auto"/>
                <w:kern w:val="2"/>
                <w:sz w:val="21"/>
                <w:szCs w:val="20"/>
                <w:highlight w:val="none"/>
                <w:u w:val="none"/>
                <w:lang w:val="en-US" w:eastAsia="zh-CN" w:bidi="ar-SA"/>
              </w:rPr>
              <w:t>量</w:t>
            </w:r>
          </w:p>
        </w:tc>
        <w:tc>
          <w:tcPr>
            <w:tcW w:w="441" w:type="pct"/>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固废自行处置/</w:t>
            </w:r>
            <w:r>
              <w:rPr>
                <w:rFonts w:ascii="Times New Roman" w:hAnsi="Times New Roman" w:eastAsia="宋体" w:cs="Times New Roman"/>
                <w:color w:val="auto"/>
                <w:kern w:val="2"/>
                <w:sz w:val="21"/>
                <w:szCs w:val="20"/>
                <w:highlight w:val="none"/>
                <w:u w:val="none"/>
                <w:lang w:val="en-US" w:eastAsia="zh-CN" w:bidi="ar-SA"/>
              </w:rPr>
              <w:t>贮存</w:t>
            </w:r>
            <w:r>
              <w:rPr>
                <w:rFonts w:hint="eastAsia" w:ascii="Times New Roman" w:hAnsi="Times New Roman" w:eastAsia="宋体" w:cs="Times New Roman"/>
                <w:color w:val="auto"/>
                <w:kern w:val="2"/>
                <w:sz w:val="21"/>
                <w:szCs w:val="20"/>
                <w:highlight w:val="none"/>
                <w:u w:val="none"/>
                <w:lang w:val="en-US" w:eastAsia="zh-CN" w:bidi="ar-SA"/>
              </w:rPr>
              <w:t>方式</w:t>
            </w:r>
          </w:p>
        </w:tc>
        <w:tc>
          <w:tcPr>
            <w:tcW w:w="235" w:type="pct"/>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r>
              <w:rPr>
                <w:rFonts w:ascii="Times New Roman" w:hAnsi="Times New Roman" w:eastAsia="宋体" w:cs="Times New Roman"/>
                <w:color w:val="auto"/>
                <w:kern w:val="2"/>
                <w:sz w:val="21"/>
                <w:szCs w:val="20"/>
                <w:highlight w:val="none"/>
                <w:u w:val="none"/>
                <w:lang w:val="en-US" w:eastAsia="zh-CN" w:bidi="ar-SA"/>
              </w:rPr>
              <w:t>贮存</w:t>
            </w:r>
          </w:p>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r>
              <w:rPr>
                <w:rFonts w:ascii="Times New Roman" w:hAnsi="Times New Roman" w:eastAsia="宋体" w:cs="Times New Roman"/>
                <w:color w:val="auto"/>
                <w:kern w:val="2"/>
                <w:sz w:val="21"/>
                <w:szCs w:val="20"/>
                <w:highlight w:val="none"/>
                <w:u w:val="none"/>
                <w:lang w:val="en-US" w:eastAsia="zh-CN" w:bidi="ar-SA"/>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6" w:type="pct"/>
            <w:vMerge w:val="restart"/>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S3</w:t>
            </w:r>
          </w:p>
        </w:tc>
        <w:tc>
          <w:tcPr>
            <w:tcW w:w="347" w:type="pct"/>
            <w:vMerge w:val="restart"/>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自行贮存设施</w:t>
            </w:r>
          </w:p>
        </w:tc>
        <w:tc>
          <w:tcPr>
            <w:tcW w:w="347" w:type="pct"/>
            <w:vMerge w:val="restart"/>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新建</w:t>
            </w:r>
            <w:r>
              <w:rPr>
                <w:rFonts w:ascii="Times New Roman" w:hAnsi="Times New Roman" w:eastAsia="宋体" w:cs="Times New Roman"/>
                <w:color w:val="auto"/>
                <w:kern w:val="2"/>
                <w:sz w:val="21"/>
                <w:szCs w:val="20"/>
                <w:highlight w:val="none"/>
                <w:u w:val="none"/>
                <w:lang w:val="en-US" w:eastAsia="zh-CN" w:bidi="ar-SA"/>
              </w:rPr>
              <w:t>危废暂存间</w:t>
            </w:r>
          </w:p>
        </w:tc>
        <w:tc>
          <w:tcPr>
            <w:tcW w:w="521" w:type="pct"/>
            <w:vMerge w:val="restart"/>
            <w:noWrap w:val="0"/>
            <w:vAlign w:val="center"/>
          </w:tcPr>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E115°15'</w:t>
            </w:r>
            <w:r>
              <w:rPr>
                <w:rFonts w:hint="eastAsia" w:eastAsia="宋体" w:cs="Times New Roman"/>
                <w:color w:val="auto"/>
                <w:kern w:val="2"/>
                <w:sz w:val="21"/>
                <w:szCs w:val="20"/>
                <w:highlight w:val="none"/>
                <w:u w:val="none"/>
                <w:lang w:val="en-US" w:eastAsia="zh-CN" w:bidi="ar-SA"/>
              </w:rPr>
              <w:t xml:space="preserve"> </w:t>
            </w:r>
            <w:r>
              <w:rPr>
                <w:rFonts w:hint="eastAsia" w:ascii="Times New Roman" w:hAnsi="Times New Roman" w:eastAsia="宋体" w:cs="Times New Roman"/>
                <w:color w:val="auto"/>
                <w:kern w:val="2"/>
                <w:sz w:val="21"/>
                <w:szCs w:val="20"/>
                <w:highlight w:val="none"/>
                <w:u w:val="none"/>
                <w:lang w:val="en-US" w:eastAsia="zh-CN" w:bidi="ar-SA"/>
              </w:rPr>
              <w:t>58.454"</w:t>
            </w:r>
          </w:p>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N34°04' 8.73"</w:t>
            </w:r>
          </w:p>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349" w:type="pct"/>
            <w:vMerge w:val="restart"/>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240t</w:t>
            </w:r>
          </w:p>
        </w:tc>
        <w:tc>
          <w:tcPr>
            <w:tcW w:w="266" w:type="pct"/>
            <w:vMerge w:val="restart"/>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120</w:t>
            </w:r>
          </w:p>
        </w:tc>
        <w:tc>
          <w:tcPr>
            <w:tcW w:w="687" w:type="pct"/>
            <w:noWrap w:val="0"/>
            <w:vAlign w:val="center"/>
          </w:tcPr>
          <w:p>
            <w:pPr>
              <w:widowControl w:val="0"/>
              <w:bidi w:val="0"/>
              <w:spacing w:line="240" w:lineRule="auto"/>
              <w:ind w:firstLine="0" w:firstLineChars="0"/>
              <w:jc w:val="center"/>
              <w:rPr>
                <w:rFonts w:ascii="Times New Roman" w:hAnsi="Times New Roman" w:cs="Times New Roman"/>
                <w:color w:val="auto"/>
                <w:highlight w:val="none"/>
                <w:u w:val="none"/>
              </w:rPr>
            </w:pPr>
            <w:r>
              <w:rPr>
                <w:rFonts w:hint="eastAsia" w:eastAsia="宋体" w:cs="Times New Roman"/>
                <w:color w:val="auto"/>
                <w:kern w:val="2"/>
                <w:sz w:val="21"/>
                <w:szCs w:val="20"/>
                <w:highlight w:val="none"/>
                <w:u w:val="none"/>
                <w:lang w:val="en-US" w:eastAsia="zh-CN" w:bidi="ar-SA"/>
              </w:rPr>
              <w:t>一般</w:t>
            </w:r>
            <w:r>
              <w:rPr>
                <w:rFonts w:hint="default" w:ascii="Times New Roman" w:hAnsi="Times New Roman" w:eastAsia="宋体" w:cs="Times New Roman"/>
                <w:color w:val="auto"/>
                <w:kern w:val="2"/>
                <w:sz w:val="21"/>
                <w:szCs w:val="20"/>
                <w:highlight w:val="none"/>
                <w:u w:val="none"/>
                <w:lang w:val="en-US" w:eastAsia="zh-CN" w:bidi="ar-SA"/>
              </w:rPr>
              <w:t>原料包装袋</w:t>
            </w:r>
          </w:p>
        </w:tc>
        <w:tc>
          <w:tcPr>
            <w:tcW w:w="826" w:type="pct"/>
            <w:noWrap w:val="0"/>
            <w:vAlign w:val="center"/>
          </w:tcPr>
          <w:p>
            <w:pPr>
              <w:widowControl w:val="0"/>
              <w:bidi w:val="0"/>
              <w:spacing w:line="240" w:lineRule="auto"/>
              <w:ind w:firstLine="0" w:firstLineChars="0"/>
              <w:jc w:val="center"/>
              <w:rPr>
                <w:rFonts w:ascii="Times New Roman" w:hAnsi="Times New Roman" w:cs="Times New Roman"/>
                <w:color w:val="auto"/>
                <w:highlight w:val="none"/>
                <w:u w:val="none"/>
                <w:lang w:val="en-GB"/>
              </w:rPr>
            </w:pPr>
            <w:r>
              <w:rPr>
                <w:rFonts w:hint="default" w:ascii="Times New Roman" w:hAnsi="Times New Roman" w:eastAsia="宋体" w:cs="Times New Roman"/>
                <w:color w:val="auto"/>
                <w:kern w:val="2"/>
                <w:sz w:val="21"/>
                <w:szCs w:val="20"/>
                <w:highlight w:val="none"/>
                <w:u w:val="none"/>
                <w:lang w:val="en-US" w:eastAsia="zh-CN" w:bidi="ar-SA"/>
              </w:rPr>
              <w:t>HW49 其他废物</w:t>
            </w:r>
          </w:p>
        </w:tc>
        <w:tc>
          <w:tcPr>
            <w:tcW w:w="476" w:type="pct"/>
            <w:noWrap w:val="0"/>
            <w:vAlign w:val="center"/>
          </w:tcPr>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900-041-49</w:t>
            </w:r>
          </w:p>
        </w:tc>
        <w:tc>
          <w:tcPr>
            <w:tcW w:w="354" w:type="pct"/>
            <w:noWrap w:val="0"/>
            <w:vAlign w:val="center"/>
          </w:tcPr>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r>
              <w:rPr>
                <w:rFonts w:hint="eastAsia" w:eastAsia="宋体" w:cs="Times New Roman"/>
                <w:color w:val="auto"/>
                <w:kern w:val="2"/>
                <w:sz w:val="21"/>
                <w:szCs w:val="20"/>
                <w:highlight w:val="none"/>
                <w:u w:val="none"/>
                <w:lang w:val="en-US" w:eastAsia="zh-CN" w:bidi="ar-SA"/>
              </w:rPr>
              <w:t>2.814</w:t>
            </w:r>
            <w:r>
              <w:rPr>
                <w:rFonts w:hint="eastAsia" w:ascii="Times New Roman" w:hAnsi="Times New Roman" w:eastAsia="宋体" w:cs="Times New Roman"/>
                <w:color w:val="auto"/>
                <w:kern w:val="2"/>
                <w:sz w:val="21"/>
                <w:szCs w:val="20"/>
                <w:highlight w:val="none"/>
                <w:u w:val="none"/>
                <w:lang w:val="en-US" w:eastAsia="zh-CN" w:bidi="ar-SA"/>
              </w:rPr>
              <w:t>t/a</w:t>
            </w:r>
          </w:p>
        </w:tc>
        <w:tc>
          <w:tcPr>
            <w:tcW w:w="441" w:type="pct"/>
            <w:vMerge w:val="restart"/>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覆膜内衬包装袋</w:t>
            </w:r>
            <w:r>
              <w:rPr>
                <w:rFonts w:hint="eastAsia" w:eastAsia="宋体" w:cs="Times New Roman"/>
                <w:color w:val="auto"/>
                <w:kern w:val="2"/>
                <w:sz w:val="21"/>
                <w:szCs w:val="20"/>
                <w:highlight w:val="none"/>
                <w:u w:val="none"/>
                <w:lang w:val="en-US" w:eastAsia="zh-CN" w:bidi="ar-SA"/>
              </w:rPr>
              <w:t>/密闭包装桶</w:t>
            </w:r>
          </w:p>
        </w:tc>
        <w:tc>
          <w:tcPr>
            <w:tcW w:w="235" w:type="pct"/>
            <w:vMerge w:val="restart"/>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15d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6"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347"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347"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521"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349"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266"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687" w:type="pct"/>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危废焚烧炉渣与飞灰</w:t>
            </w:r>
          </w:p>
        </w:tc>
        <w:tc>
          <w:tcPr>
            <w:tcW w:w="826" w:type="pct"/>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HW18焚烧处置残渣</w:t>
            </w:r>
          </w:p>
        </w:tc>
        <w:tc>
          <w:tcPr>
            <w:tcW w:w="476" w:type="pct"/>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772-003-18</w:t>
            </w:r>
          </w:p>
        </w:tc>
        <w:tc>
          <w:tcPr>
            <w:tcW w:w="354" w:type="pct"/>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15</w:t>
            </w:r>
            <w:r>
              <w:rPr>
                <w:rFonts w:hint="eastAsia" w:ascii="Times New Roman" w:hAnsi="Times New Roman" w:eastAsia="宋体" w:cs="Times New Roman"/>
                <w:color w:val="auto"/>
                <w:kern w:val="2"/>
                <w:sz w:val="21"/>
                <w:szCs w:val="20"/>
                <w:highlight w:val="none"/>
                <w:u w:val="none"/>
                <w:lang w:val="en-US" w:eastAsia="zh-CN" w:bidi="ar-SA"/>
              </w:rPr>
              <w:t>t/a</w:t>
            </w:r>
          </w:p>
        </w:tc>
        <w:tc>
          <w:tcPr>
            <w:tcW w:w="441" w:type="pct"/>
            <w:vMerge w:val="continue"/>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235"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6"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347"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347"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521"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349"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266"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687" w:type="pct"/>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危废焚烧废气处理废消石灰与活性炭</w:t>
            </w:r>
          </w:p>
        </w:tc>
        <w:tc>
          <w:tcPr>
            <w:tcW w:w="826" w:type="pct"/>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HW18焚烧处置残渣</w:t>
            </w:r>
          </w:p>
        </w:tc>
        <w:tc>
          <w:tcPr>
            <w:tcW w:w="476" w:type="pct"/>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772-005-18</w:t>
            </w:r>
          </w:p>
        </w:tc>
        <w:tc>
          <w:tcPr>
            <w:tcW w:w="354" w:type="pct"/>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71</w:t>
            </w:r>
            <w:r>
              <w:rPr>
                <w:rFonts w:hint="eastAsia" w:ascii="Times New Roman" w:hAnsi="Times New Roman" w:eastAsia="宋体" w:cs="Times New Roman"/>
                <w:color w:val="auto"/>
                <w:kern w:val="2"/>
                <w:sz w:val="21"/>
                <w:szCs w:val="20"/>
                <w:highlight w:val="none"/>
                <w:u w:val="none"/>
                <w:lang w:val="en-US" w:eastAsia="zh-CN" w:bidi="ar-SA"/>
              </w:rPr>
              <w:t>t/a</w:t>
            </w:r>
          </w:p>
        </w:tc>
        <w:tc>
          <w:tcPr>
            <w:tcW w:w="441" w:type="pct"/>
            <w:vMerge w:val="continue"/>
            <w:noWrap w:val="0"/>
            <w:vAlign w:val="center"/>
          </w:tcPr>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p>
        </w:tc>
        <w:tc>
          <w:tcPr>
            <w:tcW w:w="235"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6"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347"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347"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521"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349"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266"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687" w:type="pct"/>
            <w:noWrap w:val="0"/>
            <w:vAlign w:val="center"/>
          </w:tcPr>
          <w:p>
            <w:pPr>
              <w:widowControl w:val="0"/>
              <w:bidi w:val="0"/>
              <w:spacing w:line="240" w:lineRule="auto"/>
              <w:ind w:firstLine="0" w:firstLineChars="0"/>
              <w:jc w:val="center"/>
              <w:rPr>
                <w:rFonts w:ascii="Times New Roman" w:hAnsi="Times New Roman" w:cs="Times New Roman"/>
                <w:color w:val="auto"/>
                <w:highlight w:val="none"/>
                <w:u w:val="none"/>
              </w:rPr>
            </w:pPr>
            <w:r>
              <w:rPr>
                <w:rFonts w:hint="eastAsia" w:eastAsia="宋体" w:cs="Times New Roman"/>
                <w:color w:val="auto"/>
                <w:kern w:val="2"/>
                <w:sz w:val="21"/>
                <w:szCs w:val="20"/>
                <w:highlight w:val="none"/>
                <w:u w:val="none"/>
                <w:lang w:val="en-US" w:eastAsia="zh-CN" w:bidi="ar-SA"/>
              </w:rPr>
              <w:t>过滤残渣</w:t>
            </w:r>
          </w:p>
        </w:tc>
        <w:tc>
          <w:tcPr>
            <w:tcW w:w="826" w:type="pct"/>
            <w:noWrap w:val="0"/>
            <w:vAlign w:val="center"/>
          </w:tcPr>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GB" w:eastAsia="zh-CN" w:bidi="ar-SA"/>
              </w:rPr>
            </w:pPr>
            <w:r>
              <w:rPr>
                <w:rFonts w:hint="default" w:ascii="Times New Roman" w:hAnsi="Times New Roman" w:eastAsia="宋体" w:cs="Times New Roman"/>
                <w:color w:val="auto"/>
                <w:kern w:val="2"/>
                <w:sz w:val="21"/>
                <w:szCs w:val="20"/>
                <w:highlight w:val="none"/>
                <w:u w:val="none"/>
                <w:lang w:val="en-US" w:eastAsia="zh-CN" w:bidi="ar-SA"/>
              </w:rPr>
              <w:t>HW02 医药废物</w:t>
            </w:r>
          </w:p>
        </w:tc>
        <w:tc>
          <w:tcPr>
            <w:tcW w:w="476" w:type="pct"/>
            <w:noWrap w:val="0"/>
            <w:vAlign w:val="center"/>
          </w:tcPr>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GB" w:eastAsia="zh-CN" w:bidi="ar-SA"/>
              </w:rPr>
            </w:pPr>
            <w:r>
              <w:rPr>
                <w:rFonts w:hint="default" w:ascii="Times New Roman" w:hAnsi="Times New Roman" w:eastAsia="宋体" w:cs="Times New Roman"/>
                <w:color w:val="auto"/>
                <w:kern w:val="2"/>
                <w:sz w:val="21"/>
                <w:szCs w:val="20"/>
                <w:highlight w:val="none"/>
                <w:u w:val="none"/>
                <w:lang w:val="en-US" w:eastAsia="zh-CN" w:bidi="ar-SA"/>
              </w:rPr>
              <w:t>271-001-02</w:t>
            </w:r>
          </w:p>
        </w:tc>
        <w:tc>
          <w:tcPr>
            <w:tcW w:w="354" w:type="pct"/>
            <w:noWrap w:val="0"/>
            <w:vAlign w:val="center"/>
          </w:tcPr>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293.984</w:t>
            </w:r>
            <w:r>
              <w:rPr>
                <w:rFonts w:hint="eastAsia" w:ascii="Times New Roman" w:hAnsi="Times New Roman" w:eastAsia="宋体" w:cs="Times New Roman"/>
                <w:color w:val="auto"/>
                <w:kern w:val="2"/>
                <w:sz w:val="21"/>
                <w:szCs w:val="20"/>
                <w:highlight w:val="none"/>
                <w:u w:val="none"/>
                <w:lang w:val="en-US" w:eastAsia="zh-CN" w:bidi="ar-SA"/>
              </w:rPr>
              <w:t>t/a</w:t>
            </w:r>
          </w:p>
        </w:tc>
        <w:tc>
          <w:tcPr>
            <w:tcW w:w="441" w:type="pct"/>
            <w:vMerge w:val="continue"/>
            <w:noWrap w:val="0"/>
            <w:vAlign w:val="center"/>
          </w:tcPr>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p>
        </w:tc>
        <w:tc>
          <w:tcPr>
            <w:tcW w:w="235"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6"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347"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347"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521"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349" w:type="pct"/>
            <w:vMerge w:val="continue"/>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266" w:type="pct"/>
            <w:vMerge w:val="continue"/>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687" w:type="pct"/>
            <w:noWrap w:val="0"/>
            <w:vAlign w:val="center"/>
          </w:tcPr>
          <w:p>
            <w:pPr>
              <w:widowControl w:val="0"/>
              <w:bidi w:val="0"/>
              <w:spacing w:line="240" w:lineRule="auto"/>
              <w:ind w:firstLine="0" w:firstLineChars="0"/>
              <w:jc w:val="center"/>
              <w:rPr>
                <w:rFonts w:hint="default" w:ascii="Times New Roman" w:hAnsi="Times New Roman" w:cs="Times New Roman"/>
                <w:color w:val="auto"/>
                <w:highlight w:val="none"/>
                <w:u w:val="none"/>
                <w:lang w:val="en-US" w:eastAsia="zh-CN"/>
              </w:rPr>
            </w:pPr>
            <w:r>
              <w:rPr>
                <w:rFonts w:hint="default" w:ascii="Times New Roman" w:hAnsi="Times New Roman" w:eastAsia="宋体" w:cs="Times New Roman"/>
                <w:color w:val="auto"/>
                <w:kern w:val="2"/>
                <w:sz w:val="21"/>
                <w:szCs w:val="20"/>
                <w:highlight w:val="none"/>
                <w:u w:val="none"/>
                <w:lang w:val="en-US" w:eastAsia="zh-CN" w:bidi="ar-SA"/>
              </w:rPr>
              <w:t>吸附干燥固废</w:t>
            </w:r>
          </w:p>
        </w:tc>
        <w:tc>
          <w:tcPr>
            <w:tcW w:w="826" w:type="pct"/>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HW02 医药废物</w:t>
            </w:r>
          </w:p>
        </w:tc>
        <w:tc>
          <w:tcPr>
            <w:tcW w:w="476" w:type="pct"/>
            <w:noWrap w:val="0"/>
            <w:vAlign w:val="center"/>
          </w:tcPr>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271-004-02</w:t>
            </w:r>
          </w:p>
        </w:tc>
        <w:tc>
          <w:tcPr>
            <w:tcW w:w="354" w:type="pct"/>
            <w:noWrap w:val="0"/>
            <w:vAlign w:val="center"/>
          </w:tcPr>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r>
              <w:rPr>
                <w:rFonts w:hint="eastAsia" w:eastAsia="宋体" w:cs="Times New Roman"/>
                <w:color w:val="auto"/>
                <w:kern w:val="2"/>
                <w:sz w:val="21"/>
                <w:szCs w:val="20"/>
                <w:highlight w:val="none"/>
                <w:u w:val="none"/>
                <w:lang w:val="en-US" w:eastAsia="zh-CN" w:bidi="ar-SA"/>
              </w:rPr>
              <w:t>117.7</w:t>
            </w:r>
            <w:r>
              <w:rPr>
                <w:rFonts w:hint="eastAsia" w:ascii="Times New Roman" w:hAnsi="Times New Roman" w:eastAsia="宋体" w:cs="Times New Roman"/>
                <w:color w:val="auto"/>
                <w:kern w:val="2"/>
                <w:sz w:val="21"/>
                <w:szCs w:val="20"/>
                <w:highlight w:val="none"/>
                <w:u w:val="none"/>
                <w:lang w:val="en-US" w:eastAsia="zh-CN" w:bidi="ar-SA"/>
              </w:rPr>
              <w:t>t/a</w:t>
            </w:r>
          </w:p>
        </w:tc>
        <w:tc>
          <w:tcPr>
            <w:tcW w:w="441" w:type="pct"/>
            <w:vMerge w:val="continue"/>
            <w:noWrap w:val="0"/>
            <w:vAlign w:val="center"/>
          </w:tcPr>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p>
        </w:tc>
        <w:tc>
          <w:tcPr>
            <w:tcW w:w="235"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6"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347"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347"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521"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349" w:type="pct"/>
            <w:vMerge w:val="continue"/>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266" w:type="pct"/>
            <w:vMerge w:val="continue"/>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687" w:type="pct"/>
            <w:noWrap w:val="0"/>
            <w:vAlign w:val="center"/>
          </w:tcPr>
          <w:p>
            <w:pPr>
              <w:widowControl w:val="0"/>
              <w:bidi w:val="0"/>
              <w:spacing w:line="240" w:lineRule="auto"/>
              <w:ind w:firstLine="0" w:firstLineChars="0"/>
              <w:jc w:val="center"/>
              <w:rPr>
                <w:rFonts w:hint="default" w:ascii="Times New Roman" w:hAnsi="Times New Roman" w:cs="Times New Roman"/>
                <w:color w:val="auto"/>
                <w:highlight w:val="none"/>
                <w:u w:val="none"/>
                <w:lang w:val="en-US" w:eastAsia="zh-CN"/>
              </w:rPr>
            </w:pPr>
            <w:r>
              <w:rPr>
                <w:rFonts w:hint="default" w:ascii="Times New Roman" w:hAnsi="Times New Roman" w:eastAsia="宋体" w:cs="Times New Roman"/>
                <w:color w:val="auto"/>
                <w:kern w:val="2"/>
                <w:sz w:val="21"/>
                <w:szCs w:val="20"/>
                <w:highlight w:val="none"/>
                <w:u w:val="none"/>
                <w:lang w:val="en-US" w:eastAsia="zh-CN" w:bidi="ar-SA"/>
              </w:rPr>
              <w:t>废催化剂</w:t>
            </w:r>
          </w:p>
        </w:tc>
        <w:tc>
          <w:tcPr>
            <w:tcW w:w="826" w:type="pct"/>
            <w:noWrap w:val="0"/>
            <w:vAlign w:val="center"/>
          </w:tcPr>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HW50 废催化剂</w:t>
            </w:r>
          </w:p>
        </w:tc>
        <w:tc>
          <w:tcPr>
            <w:tcW w:w="476" w:type="pct"/>
            <w:noWrap w:val="0"/>
            <w:vAlign w:val="center"/>
          </w:tcPr>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r>
              <w:rPr>
                <w:rFonts w:hint="eastAsia" w:eastAsia="宋体" w:cs="Times New Roman"/>
                <w:color w:val="auto"/>
                <w:kern w:val="2"/>
                <w:sz w:val="21"/>
                <w:szCs w:val="20"/>
                <w:highlight w:val="none"/>
                <w:u w:val="none"/>
                <w:lang w:val="en-US" w:eastAsia="zh-CN" w:bidi="ar-SA"/>
              </w:rPr>
              <w:t>271-006-50</w:t>
            </w:r>
          </w:p>
        </w:tc>
        <w:tc>
          <w:tcPr>
            <w:tcW w:w="354" w:type="pct"/>
            <w:noWrap w:val="0"/>
            <w:vAlign w:val="center"/>
          </w:tcPr>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37.4</w:t>
            </w:r>
            <w:r>
              <w:rPr>
                <w:rFonts w:hint="eastAsia" w:ascii="Times New Roman" w:hAnsi="Times New Roman" w:eastAsia="宋体" w:cs="Times New Roman"/>
                <w:color w:val="auto"/>
                <w:kern w:val="2"/>
                <w:sz w:val="21"/>
                <w:szCs w:val="20"/>
                <w:highlight w:val="none"/>
                <w:u w:val="none"/>
                <w:lang w:val="en-US" w:eastAsia="zh-CN" w:bidi="ar-SA"/>
              </w:rPr>
              <w:t>t/a</w:t>
            </w:r>
          </w:p>
        </w:tc>
        <w:tc>
          <w:tcPr>
            <w:tcW w:w="441" w:type="pct"/>
            <w:vMerge w:val="continue"/>
            <w:noWrap w:val="0"/>
            <w:vAlign w:val="center"/>
          </w:tcPr>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p>
        </w:tc>
        <w:tc>
          <w:tcPr>
            <w:tcW w:w="235"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6"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347"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347"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521"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c>
          <w:tcPr>
            <w:tcW w:w="349" w:type="pct"/>
            <w:vMerge w:val="continue"/>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266" w:type="pct"/>
            <w:vMerge w:val="continue"/>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687" w:type="pct"/>
            <w:noWrap w:val="0"/>
            <w:vAlign w:val="center"/>
          </w:tcPr>
          <w:p>
            <w:pPr>
              <w:widowControl w:val="0"/>
              <w:bidi w:val="0"/>
              <w:spacing w:line="240" w:lineRule="auto"/>
              <w:ind w:firstLine="0" w:firstLineChars="0"/>
              <w:jc w:val="center"/>
              <w:rPr>
                <w:rFonts w:hint="default" w:ascii="Times New Roman" w:hAnsi="Times New Roman" w:cs="Times New Roman"/>
                <w:color w:val="auto"/>
                <w:highlight w:val="none"/>
                <w:u w:val="none"/>
                <w:lang w:val="en-US" w:eastAsia="zh-CN"/>
              </w:rPr>
            </w:pPr>
            <w:r>
              <w:rPr>
                <w:rFonts w:hint="eastAsia" w:eastAsia="宋体" w:cs="Times New Roman"/>
                <w:color w:val="auto"/>
                <w:kern w:val="2"/>
                <w:sz w:val="21"/>
                <w:szCs w:val="20"/>
                <w:highlight w:val="none"/>
                <w:u w:val="none"/>
                <w:lang w:val="en-US" w:eastAsia="zh-CN" w:bidi="ar-SA"/>
              </w:rPr>
              <w:t>MVR污盐及废盐分离母液</w:t>
            </w:r>
          </w:p>
        </w:tc>
        <w:tc>
          <w:tcPr>
            <w:tcW w:w="826" w:type="pct"/>
            <w:noWrap w:val="0"/>
            <w:vAlign w:val="center"/>
          </w:tcPr>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HW49 其他废物</w:t>
            </w:r>
          </w:p>
        </w:tc>
        <w:tc>
          <w:tcPr>
            <w:tcW w:w="476" w:type="pct"/>
            <w:noWrap w:val="0"/>
            <w:vAlign w:val="center"/>
          </w:tcPr>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772-006-49</w:t>
            </w:r>
          </w:p>
        </w:tc>
        <w:tc>
          <w:tcPr>
            <w:tcW w:w="354" w:type="pct"/>
            <w:noWrap w:val="0"/>
            <w:vAlign w:val="center"/>
          </w:tcPr>
          <w:p>
            <w:pPr>
              <w:widowControl w:val="0"/>
              <w:bidi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r>
              <w:rPr>
                <w:rFonts w:hint="eastAsia" w:eastAsia="宋体" w:cs="Times New Roman"/>
                <w:color w:val="auto"/>
                <w:kern w:val="2"/>
                <w:sz w:val="21"/>
                <w:szCs w:val="20"/>
                <w:highlight w:val="none"/>
                <w:u w:val="none"/>
                <w:lang w:val="en-US" w:eastAsia="zh-CN" w:bidi="ar-SA"/>
              </w:rPr>
              <w:t>4991.544</w:t>
            </w:r>
            <w:r>
              <w:rPr>
                <w:rFonts w:hint="eastAsia" w:ascii="Times New Roman" w:hAnsi="Times New Roman" w:eastAsia="宋体" w:cs="Times New Roman"/>
                <w:color w:val="auto"/>
                <w:kern w:val="2"/>
                <w:sz w:val="21"/>
                <w:szCs w:val="20"/>
                <w:highlight w:val="none"/>
                <w:u w:val="none"/>
                <w:lang w:val="en-US" w:eastAsia="zh-CN" w:bidi="ar-SA"/>
              </w:rPr>
              <w:t>t/a</w:t>
            </w:r>
            <w:r>
              <w:rPr>
                <w:rFonts w:hint="default" w:ascii="Times New Roman" w:hAnsi="Times New Roman" w:eastAsia="宋体" w:cs="Times New Roman"/>
                <w:color w:val="auto"/>
                <w:kern w:val="2"/>
                <w:sz w:val="21"/>
                <w:szCs w:val="20"/>
                <w:highlight w:val="none"/>
                <w:u w:val="none"/>
                <w:lang w:val="en-US" w:eastAsia="zh-CN" w:bidi="ar-SA"/>
              </w:rPr>
              <w:t xml:space="preserve">  </w:t>
            </w:r>
          </w:p>
        </w:tc>
        <w:tc>
          <w:tcPr>
            <w:tcW w:w="441" w:type="pct"/>
            <w:vMerge w:val="continue"/>
            <w:noWrap w:val="0"/>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p>
        </w:tc>
        <w:tc>
          <w:tcPr>
            <w:tcW w:w="235" w:type="pct"/>
            <w:vMerge w:val="continue"/>
            <w:noWrap w:val="0"/>
            <w:vAlign w:val="center"/>
          </w:tcPr>
          <w:p>
            <w:pPr>
              <w:widowControl w:val="0"/>
              <w:bidi w:val="0"/>
              <w:spacing w:line="240" w:lineRule="auto"/>
              <w:ind w:firstLine="0" w:firstLineChars="0"/>
              <w:jc w:val="center"/>
              <w:rPr>
                <w:rFonts w:ascii="Times New Roman" w:hAnsi="Times New Roman" w:eastAsia="宋体" w:cs="Times New Roman"/>
                <w:color w:val="auto"/>
                <w:kern w:val="2"/>
                <w:sz w:val="21"/>
                <w:szCs w:val="20"/>
                <w:highlight w:val="none"/>
                <w:u w:val="none"/>
                <w:lang w:val="en-US" w:eastAsia="zh-CN" w:bidi="ar-SA"/>
              </w:rPr>
            </w:pPr>
          </w:p>
        </w:tc>
      </w:tr>
    </w:tbl>
    <w:p>
      <w:pPr>
        <w:bidi w:val="0"/>
        <w:adjustRightInd w:val="0"/>
        <w:snapToGrid w:val="0"/>
        <w:spacing w:line="480" w:lineRule="exact"/>
        <w:ind w:firstLine="480" w:firstLineChars="200"/>
        <w:rPr>
          <w:rFonts w:hint="default" w:ascii="Times New Roman" w:hAnsi="Times New Roman" w:eastAsia="宋体" w:cs="Times New Roman"/>
          <w:b w:val="0"/>
          <w:bCs/>
          <w:color w:val="auto"/>
          <w:sz w:val="24"/>
          <w:szCs w:val="24"/>
          <w:highlight w:val="none"/>
          <w:u w:val="none"/>
          <w:lang w:val="en-US" w:eastAsia="zh-CN"/>
        </w:rPr>
        <w:sectPr>
          <w:pgSz w:w="16838" w:h="11905" w:orient="landscape"/>
          <w:pgMar w:top="2067" w:right="1701" w:bottom="1587" w:left="1701"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bidi w:val="0"/>
        <w:adjustRightInd w:val="0"/>
        <w:snapToGrid w:val="0"/>
        <w:spacing w:line="480" w:lineRule="exact"/>
        <w:ind w:firstLine="492"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pacing w:val="3"/>
          <w:kern w:val="0"/>
          <w:sz w:val="24"/>
          <w:szCs w:val="20"/>
          <w:highlight w:val="none"/>
          <w:u w:val="none"/>
        </w:rPr>
        <w:t>危废暂存间的设计、施工严格按照《危险废物贮存污染控制标准》（GB18597-2001）及其2013年修改单、《建设项目危险废物环境影响评价指南》（环保部公告2017年第43号）、《全国危险废物专项整治三年行动实施方案》（环办固体函[2020]270号）、《河南省危险废物专项整治三年行动工作方案》（豫环文〔2020〕111号）等的要求进行建设，具体要求如下：</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auto"/>
          <w:sz w:val="24"/>
          <w:szCs w:val="24"/>
          <w:highlight w:val="none"/>
          <w:u w:val="none"/>
          <w:lang w:eastAsia="zh-CN"/>
        </w:rPr>
        <w:t>①危废暂存间严格按照《危险废物贮存污染控制标准》（GB18597-2001）要求建设，危废品库内分区储存不同类型的危废。不相容的危险废物必须分开存放，并设有隔离间隔断。</w:t>
      </w:r>
      <w:r>
        <w:rPr>
          <w:rFonts w:hint="default" w:ascii="Times New Roman" w:hAnsi="Times New Roman" w:eastAsia="宋体" w:cs="Times New Roman"/>
          <w:color w:val="auto"/>
          <w:kern w:val="0"/>
          <w:sz w:val="24"/>
          <w:szCs w:val="24"/>
          <w:highlight w:val="none"/>
          <w:u w:val="none"/>
        </w:rPr>
        <w:t>有符合要求的专用标志，设置有防渗措施和渗漏收集措施以及应急防护设施，防风、防雨、防晒、防渗漏。</w:t>
      </w:r>
      <w:r>
        <w:rPr>
          <w:rFonts w:hint="default" w:ascii="Times New Roman" w:hAnsi="Times New Roman" w:eastAsia="宋体" w:cs="Times New Roman"/>
          <w:color w:val="auto"/>
          <w:sz w:val="24"/>
          <w:szCs w:val="24"/>
          <w:highlight w:val="none"/>
          <w:u w:val="none"/>
          <w:lang w:eastAsia="zh-CN"/>
        </w:rPr>
        <w:t>危废品库地面采用混凝土硬化，并经过耐腐蚀处理，根据《危险废物贮存污染控制标准》（GB18597-2001）要求，防渗措施采用至少1m厚粘土层（渗透系数≤1.0×10</w:t>
      </w:r>
      <w:r>
        <w:rPr>
          <w:rFonts w:hint="default" w:ascii="Times New Roman" w:hAnsi="Times New Roman" w:eastAsia="宋体" w:cs="Times New Roman"/>
          <w:color w:val="auto"/>
          <w:sz w:val="24"/>
          <w:szCs w:val="24"/>
          <w:highlight w:val="none"/>
          <w:u w:val="none"/>
          <w:vertAlign w:val="superscript"/>
          <w:lang w:eastAsia="zh-CN"/>
        </w:rPr>
        <w:t>-7</w:t>
      </w:r>
      <w:r>
        <w:rPr>
          <w:rFonts w:hint="default" w:ascii="Times New Roman" w:hAnsi="Times New Roman" w:eastAsia="宋体" w:cs="Times New Roman"/>
          <w:color w:val="auto"/>
          <w:sz w:val="24"/>
          <w:szCs w:val="24"/>
          <w:highlight w:val="none"/>
          <w:u w:val="none"/>
          <w:lang w:eastAsia="zh-CN"/>
        </w:rPr>
        <w:t>cm/s）或2mm厚的HDPE（高密度聚乙烯）防渗膜或2mm厚的其他人工材料（渗透系数≤1.0×10</w:t>
      </w:r>
      <w:r>
        <w:rPr>
          <w:rFonts w:hint="default" w:ascii="Times New Roman" w:hAnsi="Times New Roman" w:eastAsia="宋体" w:cs="Times New Roman"/>
          <w:color w:val="auto"/>
          <w:sz w:val="24"/>
          <w:szCs w:val="24"/>
          <w:highlight w:val="none"/>
          <w:u w:val="none"/>
          <w:vertAlign w:val="superscript"/>
          <w:lang w:eastAsia="zh-CN"/>
        </w:rPr>
        <w:t>-10</w:t>
      </w:r>
      <w:r>
        <w:rPr>
          <w:rFonts w:hint="default" w:ascii="Times New Roman" w:hAnsi="Times New Roman" w:eastAsia="宋体" w:cs="Times New Roman"/>
          <w:color w:val="auto"/>
          <w:sz w:val="24"/>
          <w:szCs w:val="24"/>
          <w:highlight w:val="none"/>
          <w:u w:val="none"/>
          <w:lang w:eastAsia="zh-CN"/>
        </w:rPr>
        <w:t>cm/s）进行防渗处理，在施工过程应严格避免损坏黏土渗透层的完整性。应设计堵截泄漏的裙角，地面与裙角所围建的容积不低于堵截最大容器的最大储存量和总储量的1/5。</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auto"/>
          <w:sz w:val="24"/>
          <w:szCs w:val="24"/>
          <w:highlight w:val="none"/>
          <w:u w:val="none"/>
          <w:lang w:eastAsia="zh-CN"/>
        </w:rPr>
        <w:t>②按照《环境保护图形标志—固体废物贮存（处置）场》（GB15562.2-1995）标准规定设置环境保护图形标准。危废暂存间内应注明危险废物名称、数量、特性及接受单位等。同时标明不同危险废物在泄漏、火灾及爆炸等事故情况下，紧急处理处置措施，危废暂存间内应配备足够的堵漏及其他消防安全器材，确保固废临时安全储存。</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auto"/>
          <w:sz w:val="24"/>
          <w:szCs w:val="24"/>
          <w:highlight w:val="none"/>
          <w:u w:val="none"/>
          <w:lang w:eastAsia="zh-CN"/>
        </w:rPr>
        <w:t>③</w:t>
      </w:r>
      <w:r>
        <w:rPr>
          <w:rFonts w:hint="default" w:ascii="Times New Roman" w:hAnsi="Times New Roman" w:eastAsia="宋体" w:cs="Times New Roman"/>
          <w:color w:val="auto"/>
          <w:sz w:val="24"/>
          <w:szCs w:val="24"/>
          <w:highlight w:val="none"/>
          <w:u w:val="none"/>
          <w:lang w:val="en-US" w:eastAsia="zh-CN"/>
        </w:rPr>
        <w:t>除包装材料外，</w:t>
      </w:r>
      <w:r>
        <w:rPr>
          <w:rFonts w:hint="default" w:ascii="Times New Roman" w:hAnsi="Times New Roman" w:eastAsia="宋体" w:cs="Times New Roman"/>
          <w:color w:val="auto"/>
          <w:sz w:val="24"/>
          <w:szCs w:val="24"/>
          <w:highlight w:val="none"/>
          <w:u w:val="none"/>
          <w:lang w:eastAsia="zh-CN"/>
        </w:rPr>
        <w:t>所有的危险废物均应在专用密闭容器中储存，不得混装，废物收集和封装容积应得到接受单位及当地环保部门的认可。收集危险废物应详细列出危险废物的数量和成分，并填写有关资料，设置明显的废物名称及性质标识牌，并在危废暂存间外设置明显的危险废物专用的警示标志。</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auto"/>
          <w:sz w:val="24"/>
          <w:szCs w:val="24"/>
          <w:highlight w:val="none"/>
          <w:u w:val="none"/>
          <w:lang w:eastAsia="zh-CN"/>
        </w:rPr>
        <w:t>④</w:t>
      </w:r>
      <w:r>
        <w:rPr>
          <w:rFonts w:hint="default" w:ascii="Times New Roman" w:hAnsi="Times New Roman" w:eastAsia="宋体" w:cs="Times New Roman"/>
          <w:color w:val="auto"/>
          <w:kern w:val="0"/>
          <w:sz w:val="24"/>
          <w:szCs w:val="24"/>
          <w:highlight w:val="none"/>
          <w:u w:val="none"/>
        </w:rPr>
        <w:t>必须定期对所贮存的危险废物包装容器及贮存设施进行检查，发现破损，应及时采取措施清理更换。包装好的危险废物由有资质的危险废物处理单位承担运输，不得随意堆存或者倾倒。</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auto"/>
          <w:sz w:val="24"/>
          <w:szCs w:val="24"/>
          <w:highlight w:val="none"/>
          <w:u w:val="none"/>
          <w:lang w:eastAsia="zh-CN"/>
        </w:rPr>
        <w:t>⑤建设单位应指定专人负责固废及残液的收集、贮存管理工作，明确责任人工作制度，按照管理要求，及时将危废暂存间的危险固废送至有资质的单位处理，不得长期储存或超容量储存。</w:t>
      </w:r>
    </w:p>
    <w:p>
      <w:pPr>
        <w:adjustRightInd w:val="0"/>
        <w:snapToGrid w:val="0"/>
        <w:spacing w:line="520" w:lineRule="exact"/>
        <w:ind w:firstLine="480" w:firstLineChars="200"/>
        <w:rPr>
          <w:rFonts w:hint="default" w:ascii="Times New Roman" w:hAnsi="Times New Roman" w:eastAsia="宋体" w:cs="Times New Roman"/>
          <w:b w:val="0"/>
          <w:bCs/>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fldChar w:fldCharType="begin"/>
      </w:r>
      <w:r>
        <w:rPr>
          <w:rFonts w:hint="default" w:ascii="Times New Roman" w:hAnsi="Times New Roman" w:eastAsia="宋体" w:cs="Times New Roman"/>
          <w:color w:val="auto"/>
          <w:sz w:val="24"/>
          <w:szCs w:val="24"/>
          <w:highlight w:val="none"/>
          <w:u w:val="none"/>
          <w:lang w:val="en-US" w:eastAsia="zh-CN"/>
        </w:rPr>
        <w:instrText xml:space="preserve"> = 6 \* GB3 \* MERGEFORMAT </w:instrText>
      </w:r>
      <w:r>
        <w:rPr>
          <w:rFonts w:hint="default" w:ascii="Times New Roman" w:hAnsi="Times New Roman" w:eastAsia="宋体" w:cs="Times New Roman"/>
          <w:color w:val="auto"/>
          <w:sz w:val="24"/>
          <w:szCs w:val="24"/>
          <w:highlight w:val="none"/>
          <w:u w:val="none"/>
          <w:lang w:val="en-US" w:eastAsia="zh-CN"/>
        </w:rPr>
        <w:fldChar w:fldCharType="separate"/>
      </w:r>
      <w:r>
        <w:rPr>
          <w:rFonts w:hint="default" w:ascii="Times New Roman" w:hAnsi="Times New Roman" w:eastAsia="宋体" w:cs="Times New Roman"/>
          <w:color w:val="auto"/>
          <w:sz w:val="24"/>
          <w:szCs w:val="24"/>
          <w:highlight w:val="none"/>
          <w:u w:val="none"/>
        </w:rPr>
        <w:t>⑥</w:t>
      </w:r>
      <w:r>
        <w:rPr>
          <w:rFonts w:hint="default" w:ascii="Times New Roman" w:hAnsi="Times New Roman" w:eastAsia="宋体" w:cs="Times New Roman"/>
          <w:color w:val="auto"/>
          <w:sz w:val="24"/>
          <w:szCs w:val="24"/>
          <w:highlight w:val="none"/>
          <w:u w:val="none"/>
          <w:lang w:val="en-US" w:eastAsia="zh-CN"/>
        </w:rPr>
        <w:fldChar w:fldCharType="end"/>
      </w:r>
      <w:r>
        <w:rPr>
          <w:rFonts w:hint="default" w:ascii="Times New Roman" w:hAnsi="Times New Roman" w:eastAsia="宋体" w:cs="Times New Roman"/>
          <w:color w:val="auto"/>
          <w:sz w:val="24"/>
          <w:szCs w:val="24"/>
          <w:highlight w:val="none"/>
          <w:u w:val="none"/>
          <w:lang w:val="en-US" w:eastAsia="zh-CN"/>
        </w:rPr>
        <w:t xml:space="preserve"> </w:t>
      </w:r>
      <w:r>
        <w:rPr>
          <w:rFonts w:hint="default" w:ascii="Times New Roman" w:hAnsi="Times New Roman" w:eastAsia="宋体" w:cs="Times New Roman"/>
          <w:b w:val="0"/>
          <w:bCs/>
          <w:color w:val="auto"/>
          <w:sz w:val="24"/>
          <w:szCs w:val="24"/>
          <w:highlight w:val="none"/>
          <w:u w:val="none"/>
        </w:rPr>
        <w:t>适当位置安装监控视频。对危险废物暂存库进行视频监控。视频内容建议保留半年以上。库内适当位置设置消防设备和报警装置。</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bookmarkStart w:id="57" w:name="_Toc11479"/>
      <w:bookmarkStart w:id="58" w:name="_Toc26823"/>
      <w:bookmarkStart w:id="59" w:name="_Toc5532"/>
      <w:bookmarkStart w:id="60" w:name="_Toc16803"/>
      <w:r>
        <w:rPr>
          <w:rFonts w:hint="default" w:ascii="Times New Roman" w:hAnsi="Times New Roman" w:eastAsia="宋体" w:cs="Times New Roman"/>
          <w:color w:val="auto"/>
          <w:sz w:val="24"/>
          <w:szCs w:val="24"/>
          <w:highlight w:val="none"/>
          <w:u w:val="none"/>
          <w:lang w:val="en-US" w:eastAsia="zh-CN"/>
        </w:rPr>
        <w:fldChar w:fldCharType="begin"/>
      </w:r>
      <w:r>
        <w:rPr>
          <w:rFonts w:hint="default" w:ascii="Times New Roman" w:hAnsi="Times New Roman" w:eastAsia="宋体" w:cs="Times New Roman"/>
          <w:color w:val="auto"/>
          <w:sz w:val="24"/>
          <w:szCs w:val="24"/>
          <w:highlight w:val="none"/>
          <w:u w:val="none"/>
          <w:lang w:val="en-US" w:eastAsia="zh-CN"/>
        </w:rPr>
        <w:instrText xml:space="preserve"> = 7 \* GB3 \* MERGEFORMAT </w:instrText>
      </w:r>
      <w:r>
        <w:rPr>
          <w:rFonts w:hint="default" w:ascii="Times New Roman" w:hAnsi="Times New Roman" w:eastAsia="宋体" w:cs="Times New Roman"/>
          <w:color w:val="auto"/>
          <w:sz w:val="24"/>
          <w:szCs w:val="24"/>
          <w:highlight w:val="none"/>
          <w:u w:val="none"/>
          <w:lang w:val="en-US" w:eastAsia="zh-CN"/>
        </w:rPr>
        <w:fldChar w:fldCharType="separate"/>
      </w:r>
      <w:r>
        <w:rPr>
          <w:rFonts w:hint="default" w:ascii="Times New Roman" w:hAnsi="Times New Roman" w:eastAsia="宋体" w:cs="Times New Roman"/>
          <w:color w:val="auto"/>
          <w:sz w:val="24"/>
          <w:szCs w:val="24"/>
          <w:highlight w:val="none"/>
          <w:u w:val="none"/>
        </w:rPr>
        <w:t>⑦</w:t>
      </w:r>
      <w:r>
        <w:rPr>
          <w:rFonts w:hint="default" w:ascii="Times New Roman" w:hAnsi="Times New Roman" w:eastAsia="宋体" w:cs="Times New Roman"/>
          <w:color w:val="auto"/>
          <w:sz w:val="24"/>
          <w:szCs w:val="24"/>
          <w:highlight w:val="none"/>
          <w:u w:val="none"/>
          <w:lang w:val="en-US" w:eastAsia="zh-CN"/>
        </w:rPr>
        <w:fldChar w:fldCharType="end"/>
      </w:r>
      <w:r>
        <w:rPr>
          <w:rFonts w:hint="default" w:ascii="Times New Roman" w:hAnsi="Times New Roman" w:eastAsia="宋体" w:cs="Times New Roman"/>
          <w:color w:val="auto"/>
          <w:sz w:val="24"/>
          <w:szCs w:val="24"/>
          <w:highlight w:val="none"/>
          <w:u w:val="none"/>
          <w:lang w:val="en-US" w:eastAsia="zh-CN"/>
        </w:rPr>
        <w:t xml:space="preserve"> 故危废间废气</w:t>
      </w:r>
      <w:r>
        <w:rPr>
          <w:rFonts w:hint="eastAsia" w:eastAsia="宋体" w:cs="Times New Roman"/>
          <w:color w:val="auto"/>
          <w:sz w:val="24"/>
          <w:szCs w:val="24"/>
          <w:highlight w:val="none"/>
          <w:u w:val="none"/>
          <w:lang w:val="en-US" w:eastAsia="zh-CN"/>
        </w:rPr>
        <w:t>经负压收集，并送至新建RTO焚烧处置</w:t>
      </w:r>
      <w:r>
        <w:rPr>
          <w:rFonts w:hint="default" w:ascii="Times New Roman" w:hAnsi="Times New Roman" w:eastAsia="宋体" w:cs="Times New Roman"/>
          <w:color w:val="auto"/>
          <w:sz w:val="24"/>
          <w:szCs w:val="24"/>
          <w:highlight w:val="none"/>
          <w:u w:val="none"/>
          <w:lang w:val="en-US" w:eastAsia="zh-CN"/>
        </w:rPr>
        <w:t>。</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rPr>
        <w:t>危险废物运输过程的污染防治措施</w:t>
      </w:r>
      <w:bookmarkEnd w:id="57"/>
      <w:bookmarkEnd w:id="58"/>
      <w:bookmarkEnd w:id="59"/>
      <w:bookmarkEnd w:id="60"/>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危险废物内部转运应采取的措施</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根据《建设项目危险废物环境影响评价指南》和《危险废物收集 贮存 运输技术规范》</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HJ2025</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要求，危险废物内部转运应采取的措施：</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①危险废物从厂区内产生工艺环节运输到危废品库，应有专人负责，专用桶收集、转运，避免可能引起的散落、泄漏。</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②危险废物内部转运作业应采用专用的工具，危险废物内部转运应填写《危险废物厂内转运记录表》，危险废物内部转运结束后，应对转运路线进行检查和清理，确保无危险废物遗失在转运路线上，并对转运工具进行清洗。</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外部转移运输环节应采取的措施：</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对危险废物的转移运输应按《危险废物转移联单管理办法》的规定报批危险废物转移计划，填写好转运联单，并必须交由有资质的单位承运。做好外运处置废弃物的运输等级登记，认真填写危险废物转移联单</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每种废物填写一份联单</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并加盖公司公章，经运输单位核实验收签字后，将联单第一联副联自留存档，将联单第二联交移出地环境保护行政主管部门，第三联及其余联交付运输单位，随危险废物转移运行，将第四联交接收单位，第五联交接收地环保局。</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危险废物的运输要求：</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①危险废物运输应由持有危险废物经营许可证的单位按照其许可证的经营范围组织实施，承担危险废物运输的单位应获得交通运输部门颁发的危险货物运输资质。</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②运输危险公路运输应按照《道路危险货物运输管理规定》</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交通部令[2005]年第9号</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、JT617以及JT618执行。</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③运输单位承运危险废物时，应在危险废物包装上按照GB18597附录A设置标志。</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④危险废物公路运输时，运输车辆应按GB13392设置车辆标志。</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⑤危险废物运输时的中转、装卸过程应遵守如下技术要求：</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a.卸载区的工作人员应熟悉废物的危险特性，并配备适当的个人防护设备。</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b.卸载区应配备必要的消防设备和设施，并设置明显的指示标志</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c.危险废物装卸区应设置隔离设施，液态废物卸载区应设置收集槽和缓冲罐。</w:t>
      </w:r>
    </w:p>
    <w:p>
      <w:pPr>
        <w:bidi w:val="0"/>
        <w:adjustRightInd w:val="0"/>
        <w:snapToGrid w:val="0"/>
        <w:spacing w:line="480" w:lineRule="exact"/>
        <w:ind w:firstLine="480" w:firstLineChars="200"/>
        <w:rPr>
          <w:rFonts w:hint="default" w:ascii="Times New Roman" w:hAnsi="Times New Roman" w:eastAsia="宋体" w:cs="Times New Roman"/>
          <w:b w:val="0"/>
          <w:bCs/>
          <w:color w:val="auto"/>
          <w:sz w:val="24"/>
          <w:szCs w:val="24"/>
          <w:highlight w:val="none"/>
          <w:u w:val="none"/>
        </w:rPr>
      </w:pPr>
      <w:r>
        <w:rPr>
          <w:rFonts w:hint="default" w:ascii="Times New Roman" w:hAnsi="Times New Roman" w:eastAsia="宋体" w:cs="Times New Roman"/>
          <w:color w:val="auto"/>
          <w:sz w:val="24"/>
          <w:szCs w:val="24"/>
          <w:highlight w:val="none"/>
          <w:u w:val="none"/>
          <w:lang w:val="en-US" w:eastAsia="zh-CN"/>
        </w:rPr>
        <w:t>综上，</w:t>
      </w:r>
      <w:r>
        <w:rPr>
          <w:rFonts w:hint="default" w:ascii="Times New Roman" w:hAnsi="Times New Roman" w:eastAsia="宋体" w:cs="Times New Roman"/>
          <w:color w:val="auto"/>
          <w:sz w:val="24"/>
          <w:szCs w:val="24"/>
          <w:highlight w:val="none"/>
          <w:u w:val="none"/>
        </w:rPr>
        <w:t>上述固体废物在采取有效地治理措施后，均不会产生二次污染。</w:t>
      </w:r>
    </w:p>
    <w:p>
      <w:pPr>
        <w:adjustRightInd w:val="0"/>
        <w:snapToGrid w:val="0"/>
        <w:spacing w:line="520" w:lineRule="exact"/>
        <w:ind w:firstLine="480" w:firstLineChars="200"/>
        <w:rPr>
          <w:rFonts w:hint="default" w:ascii="Times New Roman" w:hAnsi="Times New Roman" w:eastAsia="宋体" w:cs="Times New Roman"/>
          <w:b w:val="0"/>
          <w:bCs/>
          <w:color w:val="auto"/>
          <w:sz w:val="24"/>
          <w:szCs w:val="24"/>
          <w:highlight w:val="none"/>
          <w:u w:val="none"/>
          <w:lang w:val="en-US" w:eastAsia="zh-CN"/>
        </w:rPr>
      </w:pPr>
      <w:r>
        <w:rPr>
          <w:rFonts w:hint="default" w:ascii="Times New Roman" w:hAnsi="Times New Roman" w:eastAsia="宋体" w:cs="Times New Roman"/>
          <w:b w:val="0"/>
          <w:bCs/>
          <w:color w:val="auto"/>
          <w:sz w:val="24"/>
          <w:szCs w:val="24"/>
          <w:highlight w:val="none"/>
          <w:u w:val="none"/>
          <w:lang w:eastAsia="zh-CN"/>
        </w:rPr>
        <w:t>（</w:t>
      </w:r>
      <w:r>
        <w:rPr>
          <w:rFonts w:hint="default" w:ascii="Times New Roman" w:hAnsi="Times New Roman" w:eastAsia="宋体" w:cs="Times New Roman"/>
          <w:b w:val="0"/>
          <w:bCs/>
          <w:color w:val="auto"/>
          <w:sz w:val="24"/>
          <w:szCs w:val="24"/>
          <w:highlight w:val="none"/>
          <w:u w:val="none"/>
          <w:lang w:val="en-US" w:eastAsia="zh-CN"/>
        </w:rPr>
        <w:t>3</w:t>
      </w:r>
      <w:r>
        <w:rPr>
          <w:rFonts w:hint="default" w:ascii="Times New Roman" w:hAnsi="Times New Roman" w:eastAsia="宋体" w:cs="Times New Roman"/>
          <w:b w:val="0"/>
          <w:bCs/>
          <w:color w:val="auto"/>
          <w:sz w:val="24"/>
          <w:szCs w:val="24"/>
          <w:highlight w:val="none"/>
          <w:u w:val="none"/>
          <w:lang w:eastAsia="zh-CN"/>
        </w:rPr>
        <w:t>）</w:t>
      </w:r>
      <w:r>
        <w:rPr>
          <w:rFonts w:hint="default" w:ascii="Times New Roman" w:hAnsi="Times New Roman" w:eastAsia="宋体" w:cs="Times New Roman"/>
          <w:b w:val="0"/>
          <w:bCs/>
          <w:color w:val="auto"/>
          <w:sz w:val="24"/>
          <w:szCs w:val="24"/>
          <w:highlight w:val="none"/>
          <w:u w:val="none"/>
        </w:rPr>
        <w:t>安全处置</w:t>
      </w:r>
      <w:r>
        <w:rPr>
          <w:rFonts w:hint="default" w:ascii="Times New Roman" w:hAnsi="Times New Roman" w:eastAsia="宋体" w:cs="Times New Roman"/>
          <w:b w:val="0"/>
          <w:bCs/>
          <w:color w:val="auto"/>
          <w:sz w:val="24"/>
          <w:szCs w:val="24"/>
          <w:highlight w:val="none"/>
          <w:u w:val="none"/>
          <w:lang w:val="en-US" w:eastAsia="zh-CN"/>
        </w:rPr>
        <w:t>措施</w:t>
      </w:r>
    </w:p>
    <w:p>
      <w:pPr>
        <w:adjustRightInd w:val="0"/>
        <w:snapToGrid w:val="0"/>
        <w:spacing w:line="520" w:lineRule="exact"/>
        <w:ind w:firstLine="480" w:firstLineChars="200"/>
        <w:rPr>
          <w:rFonts w:hint="default" w:ascii="Times New Roman" w:hAnsi="Times New Roman" w:eastAsia="宋体" w:cs="Times New Roman"/>
          <w:b w:val="0"/>
          <w:bCs/>
          <w:color w:val="auto"/>
          <w:sz w:val="24"/>
          <w:szCs w:val="24"/>
          <w:highlight w:val="none"/>
          <w:u w:val="none"/>
        </w:rPr>
      </w:pPr>
      <w:r>
        <w:rPr>
          <w:rFonts w:hint="default" w:ascii="Times New Roman" w:hAnsi="Times New Roman" w:eastAsia="宋体" w:cs="Times New Roman"/>
          <w:b w:val="0"/>
          <w:bCs/>
          <w:color w:val="auto"/>
          <w:sz w:val="24"/>
          <w:szCs w:val="24"/>
          <w:highlight w:val="none"/>
          <w:u w:val="none"/>
          <w:lang w:val="en-US" w:eastAsia="zh-CN"/>
        </w:rPr>
        <w:t>危废均</w:t>
      </w:r>
      <w:r>
        <w:rPr>
          <w:rFonts w:hint="default" w:ascii="Times New Roman" w:hAnsi="Times New Roman" w:eastAsia="宋体" w:cs="Times New Roman"/>
          <w:b w:val="0"/>
          <w:bCs/>
          <w:color w:val="auto"/>
          <w:sz w:val="24"/>
          <w:szCs w:val="24"/>
          <w:highlight w:val="none"/>
          <w:u w:val="none"/>
        </w:rPr>
        <w:t>严格按照要求将危险废物转运至具有相应危险废物处置资质的单位进行</w:t>
      </w:r>
      <w:r>
        <w:rPr>
          <w:rFonts w:hint="default" w:ascii="Times New Roman" w:hAnsi="Times New Roman" w:eastAsia="宋体" w:cs="Times New Roman"/>
          <w:b w:val="0"/>
          <w:bCs/>
          <w:color w:val="auto"/>
          <w:sz w:val="24"/>
          <w:szCs w:val="24"/>
          <w:highlight w:val="none"/>
          <w:u w:val="none"/>
          <w:lang w:val="en-US" w:eastAsia="zh-CN"/>
        </w:rPr>
        <w:t>安全处置</w:t>
      </w:r>
      <w:r>
        <w:rPr>
          <w:rFonts w:hint="default" w:ascii="Times New Roman" w:hAnsi="Times New Roman" w:eastAsia="宋体" w:cs="Times New Roman"/>
          <w:b w:val="0"/>
          <w:bCs/>
          <w:color w:val="auto"/>
          <w:sz w:val="24"/>
          <w:szCs w:val="24"/>
          <w:highlight w:val="none"/>
          <w:u w:val="none"/>
        </w:rPr>
        <w:t>。企业应在运营后及时建立完善的危险废物管理制度及其他相关的环境管理体系、危险废物管理档案、全厂应急预案、危险废物管理台账。企业应根据建设的实际情况编制突发环境事件应急预案，并在相应生态环境主管部门备案；通过河南省危险废物物联网管理平台如实申报新产生的危险废物的种类、产生量、流向、贮存、处置等有关资料</w:t>
      </w:r>
      <w:r>
        <w:rPr>
          <w:rFonts w:hint="default" w:ascii="Times New Roman" w:hAnsi="Times New Roman" w:eastAsia="宋体" w:cs="Times New Roman"/>
          <w:b w:val="0"/>
          <w:bCs/>
          <w:color w:val="auto"/>
          <w:sz w:val="24"/>
          <w:szCs w:val="24"/>
          <w:highlight w:val="none"/>
          <w:u w:val="none"/>
          <w:lang w:eastAsia="zh-CN"/>
        </w:rPr>
        <w:t>，</w:t>
      </w:r>
      <w:r>
        <w:rPr>
          <w:rFonts w:hint="default" w:ascii="Times New Roman" w:hAnsi="Times New Roman" w:eastAsia="宋体" w:cs="Times New Roman"/>
          <w:b w:val="0"/>
          <w:bCs/>
          <w:color w:val="auto"/>
          <w:sz w:val="24"/>
          <w:szCs w:val="24"/>
          <w:highlight w:val="none"/>
          <w:u w:val="none"/>
        </w:rPr>
        <w:t>严格执行危险废物转移联单制度。</w:t>
      </w:r>
    </w:p>
    <w:p>
      <w:pPr>
        <w:pStyle w:val="3"/>
        <w:bidi w:val="0"/>
        <w:rPr>
          <w:rFonts w:hint="default"/>
          <w:color w:val="auto"/>
          <w:highlight w:val="none"/>
          <w:u w:val="none"/>
          <w:lang w:val="en-US" w:eastAsia="zh-CN"/>
        </w:rPr>
      </w:pPr>
      <w:bookmarkStart w:id="61" w:name="_Toc18058"/>
      <w:bookmarkStart w:id="62" w:name="_Toc31099"/>
      <w:bookmarkStart w:id="63" w:name="_Toc10637"/>
      <w:bookmarkStart w:id="64" w:name="_Toc25769"/>
      <w:bookmarkStart w:id="65" w:name="_Toc14074"/>
      <w:bookmarkStart w:id="66" w:name="_Toc2302"/>
      <w:bookmarkStart w:id="67" w:name="_Toc30238"/>
      <w:r>
        <w:rPr>
          <w:rFonts w:hint="default"/>
          <w:color w:val="auto"/>
          <w:highlight w:val="none"/>
          <w:u w:val="none"/>
          <w:lang w:val="en-US" w:eastAsia="zh-CN"/>
        </w:rPr>
        <w:t>运营期地下水</w:t>
      </w:r>
      <w:r>
        <w:rPr>
          <w:rFonts w:hint="eastAsia"/>
          <w:color w:val="auto"/>
          <w:highlight w:val="none"/>
          <w:u w:val="none"/>
          <w:lang w:val="en-US" w:eastAsia="zh-CN"/>
        </w:rPr>
        <w:t>与土壤</w:t>
      </w:r>
      <w:r>
        <w:rPr>
          <w:rFonts w:hint="default"/>
          <w:color w:val="auto"/>
          <w:highlight w:val="none"/>
          <w:u w:val="none"/>
          <w:lang w:val="en-US" w:eastAsia="zh-CN"/>
        </w:rPr>
        <w:t>防治措施</w:t>
      </w:r>
      <w:bookmarkEnd w:id="61"/>
      <w:bookmarkEnd w:id="62"/>
      <w:bookmarkEnd w:id="63"/>
      <w:bookmarkEnd w:id="64"/>
      <w:bookmarkEnd w:id="65"/>
      <w:bookmarkEnd w:id="66"/>
      <w:bookmarkEnd w:id="67"/>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本项目对地下水污染的防治按照“源头控制，分区防治、污染监控、应急响应”的原则，防止本项目建设及营运中对地下水环境造成污染。生产过程中加强管理，制定严格的岗位责任制，确保各种工艺设备、管道、阀门完好，废水不发生渗漏；对不同的区域采取不同的污染防治措施；强化监控手段，定期检查，发现问题应及时处理，跑、冒、滴、漏废水、废液应妥善收集并处理；及时检查及维护各类事故应急设施，确保事故发生时各类废水、废液能得到有效收集和处置，避免对地下水产生影响。</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根据《环境影响技术评价导则 地下水环境》（HJ610-2016）的要求，地下水保护措施与对策应符合《中华人民共和国水污染防治法》的相关规定，按照</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源头控制，分区防治，污染监控，应急响应</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，突出饮用水水质安全的原则确定。</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项目地下水污染防治原则如下：</w:t>
      </w:r>
    </w:p>
    <w:p>
      <w:pPr>
        <w:bidi w:val="0"/>
        <w:adjustRightInd w:val="0"/>
        <w:snapToGrid w:val="0"/>
        <w:spacing w:line="480" w:lineRule="exact"/>
        <w:ind w:firstLine="480" w:firstLineChars="200"/>
        <w:rPr>
          <w:rFonts w:hint="eastAsia"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auto"/>
          <w:sz w:val="24"/>
          <w:szCs w:val="24"/>
          <w:highlight w:val="none"/>
          <w:u w:val="none"/>
        </w:rPr>
        <w:t>（1）源头控制，主要包括在工艺、管道、设备、储存及处理构筑物采取相应措施，防止和降低污染物跑、冒、滴、漏，将污染物泄漏的环境风险事故降到最低程度</w:t>
      </w:r>
      <w:r>
        <w:rPr>
          <w:rFonts w:hint="eastAsia" w:eastAsia="宋体" w:cs="Times New Roman"/>
          <w:color w:val="auto"/>
          <w:sz w:val="24"/>
          <w:szCs w:val="24"/>
          <w:highlight w:val="none"/>
          <w:u w:val="none"/>
          <w:lang w:eastAsia="zh-CN"/>
        </w:rPr>
        <w:t>。</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（2）分区</w:t>
      </w:r>
      <w:r>
        <w:rPr>
          <w:rFonts w:hint="default" w:ascii="Times New Roman" w:hAnsi="Times New Roman" w:eastAsia="宋体" w:cs="Times New Roman"/>
          <w:color w:val="auto"/>
          <w:sz w:val="24"/>
          <w:szCs w:val="24"/>
          <w:highlight w:val="none"/>
          <w:u w:val="none"/>
          <w:lang w:val="en-US" w:eastAsia="zh-CN"/>
        </w:rPr>
        <w:t>防渗</w:t>
      </w:r>
      <w:r>
        <w:rPr>
          <w:rFonts w:hint="default" w:ascii="Times New Roman" w:hAnsi="Times New Roman" w:eastAsia="宋体" w:cs="Times New Roman"/>
          <w:color w:val="auto"/>
          <w:sz w:val="24"/>
          <w:szCs w:val="24"/>
          <w:highlight w:val="none"/>
          <w:u w:val="none"/>
        </w:rPr>
        <w:t>措施，结合建设项目各生产设备、管廊或管线、贮存与运输装置、污染物贮存与处理装置、事故应急装置等的布局，根据可能进入地下水环境的各种有毒有害原辅材料、中间物料和产品的泄漏（含跑、冒、滴、漏）量及其他各类污染物的性质、产生量和排放量，划分污染防治区，提出不同区域的地面防渗方案，给出具体的防渗材料及防渗标准要求，建立防渗设施的检漏系统。</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（3）地下水污染监控。建立场地区地下水环境监控体系，包括建立地下水污染监控制度和环境管理体系、制定监测计划、配备先进的检测仪器和设备，以便及时发现问题，及时采取措施；</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（4）制定地下水风险事故应急响应预案，明确风险非正常状况下应采取的封闭、截流等措施，提出防止受污染的地下水扩散和对受污染的地下水进行治理的方案。</w:t>
      </w:r>
      <w:bookmarkStart w:id="68" w:name="_Toc12730"/>
    </w:p>
    <w:p>
      <w:pPr>
        <w:pStyle w:val="4"/>
        <w:bidi w:val="0"/>
        <w:rPr>
          <w:rFonts w:hint="default"/>
          <w:color w:val="auto"/>
          <w:highlight w:val="none"/>
          <w:u w:val="none"/>
          <w:lang w:val="en-US" w:eastAsia="zh-CN"/>
        </w:rPr>
      </w:pPr>
      <w:r>
        <w:rPr>
          <w:rFonts w:hint="default"/>
          <w:color w:val="auto"/>
          <w:highlight w:val="none"/>
          <w:u w:val="none"/>
          <w:lang w:val="en-US" w:eastAsia="zh-CN"/>
        </w:rPr>
        <w:t>源头控制措施</w:t>
      </w:r>
      <w:bookmarkEnd w:id="68"/>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rPr>
      </w:pPr>
      <w:bookmarkStart w:id="69" w:name="_Toc445712421"/>
      <w:bookmarkStart w:id="70" w:name="_Toc443686129"/>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lang w:val="en-US" w:eastAsia="zh-CN"/>
        </w:rPr>
        <w:t>一</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工艺装置及管道</w:t>
      </w:r>
      <w:bookmarkEnd w:id="69"/>
      <w:bookmarkEnd w:id="70"/>
      <w:r>
        <w:rPr>
          <w:rFonts w:hint="default" w:ascii="Times New Roman" w:hAnsi="Times New Roman" w:eastAsia="宋体" w:cs="Times New Roman"/>
          <w:color w:val="auto"/>
          <w:sz w:val="24"/>
          <w:szCs w:val="24"/>
          <w:highlight w:val="none"/>
          <w:u w:val="single"/>
        </w:rPr>
        <w:t>等源头控制</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lang w:val="en-US" w:eastAsia="zh-CN"/>
        </w:rPr>
        <w:t>1</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设置围堰</w:t>
      </w:r>
      <w:r>
        <w:rPr>
          <w:rFonts w:hint="default" w:ascii="Times New Roman" w:hAnsi="Times New Roman" w:eastAsia="宋体" w:cs="Times New Roman"/>
          <w:color w:val="auto"/>
          <w:sz w:val="24"/>
          <w:szCs w:val="24"/>
          <w:highlight w:val="none"/>
          <w:u w:val="single"/>
          <w:lang w:val="en-US" w:eastAsia="zh-CN"/>
        </w:rPr>
        <w:t>与导流槽</w:t>
      </w:r>
      <w:r>
        <w:rPr>
          <w:rFonts w:hint="default" w:ascii="Times New Roman" w:hAnsi="Times New Roman" w:eastAsia="宋体" w:cs="Times New Roman"/>
          <w:color w:val="auto"/>
          <w:sz w:val="24"/>
          <w:szCs w:val="24"/>
          <w:highlight w:val="none"/>
          <w:u w:val="single"/>
        </w:rPr>
        <w:t>。</w:t>
      </w:r>
      <w:r>
        <w:rPr>
          <w:rFonts w:hint="default" w:ascii="Times New Roman" w:hAnsi="Times New Roman" w:eastAsia="宋体" w:cs="Times New Roman"/>
          <w:color w:val="auto"/>
          <w:sz w:val="24"/>
          <w:szCs w:val="24"/>
          <w:highlight w:val="none"/>
          <w:u w:val="single"/>
          <w:lang w:val="en-US" w:eastAsia="zh-CN"/>
        </w:rPr>
        <w:t>原料罐区设置围堰</w:t>
      </w:r>
      <w:r>
        <w:rPr>
          <w:rFonts w:hint="default" w:ascii="Times New Roman" w:hAnsi="Times New Roman" w:eastAsia="宋体" w:cs="Times New Roman"/>
          <w:color w:val="auto"/>
          <w:sz w:val="24"/>
          <w:szCs w:val="24"/>
          <w:highlight w:val="none"/>
          <w:u w:val="single"/>
        </w:rPr>
        <w:t>，</w:t>
      </w:r>
      <w:r>
        <w:rPr>
          <w:rFonts w:hint="default" w:ascii="Times New Roman" w:hAnsi="Times New Roman" w:eastAsia="宋体" w:cs="Times New Roman"/>
          <w:color w:val="auto"/>
          <w:sz w:val="24"/>
          <w:szCs w:val="24"/>
          <w:highlight w:val="none"/>
          <w:u w:val="single"/>
          <w:lang w:val="en-US" w:eastAsia="zh-CN"/>
        </w:rPr>
        <w:t>围堰容积不低于单个储罐最大储量。危废间墙壁设置墙裙、门口设置</w:t>
      </w:r>
      <w:r>
        <w:rPr>
          <w:rFonts w:hint="eastAsia" w:eastAsia="宋体" w:cs="Times New Roman"/>
          <w:color w:val="auto"/>
          <w:sz w:val="24"/>
          <w:szCs w:val="24"/>
          <w:highlight w:val="none"/>
          <w:u w:val="single"/>
          <w:lang w:val="en-US" w:eastAsia="zh-CN"/>
        </w:rPr>
        <w:t>缓坡或导流槽</w:t>
      </w:r>
      <w:r>
        <w:rPr>
          <w:rFonts w:hint="default" w:ascii="Times New Roman" w:hAnsi="Times New Roman" w:eastAsia="宋体" w:cs="Times New Roman"/>
          <w:color w:val="auto"/>
          <w:sz w:val="24"/>
          <w:szCs w:val="24"/>
          <w:highlight w:val="none"/>
          <w:u w:val="single"/>
          <w:lang w:val="en-US" w:eastAsia="zh-CN"/>
        </w:rPr>
        <w:t>。生产车间</w:t>
      </w:r>
      <w:r>
        <w:rPr>
          <w:rFonts w:hint="eastAsia" w:eastAsia="宋体" w:cs="Times New Roman"/>
          <w:color w:val="auto"/>
          <w:sz w:val="24"/>
          <w:szCs w:val="24"/>
          <w:highlight w:val="none"/>
          <w:u w:val="single"/>
          <w:lang w:val="en-US" w:eastAsia="zh-CN"/>
        </w:rPr>
        <w:t>、液体原料仓库门口设置缓坡或导流槽与收集井</w:t>
      </w:r>
      <w:r>
        <w:rPr>
          <w:rFonts w:hint="default" w:ascii="Times New Roman" w:hAnsi="Times New Roman" w:eastAsia="宋体" w:cs="Times New Roman"/>
          <w:color w:val="auto"/>
          <w:sz w:val="24"/>
          <w:szCs w:val="24"/>
          <w:highlight w:val="none"/>
          <w:u w:val="single"/>
          <w:lang w:val="en-US" w:eastAsia="zh-CN"/>
        </w:rPr>
        <w:t>，围堰、导流槽、事故池均做防腐防渗处理</w:t>
      </w:r>
      <w:r>
        <w:rPr>
          <w:rFonts w:hint="default" w:ascii="Times New Roman" w:hAnsi="Times New Roman" w:eastAsia="宋体" w:cs="Times New Roman"/>
          <w:color w:val="auto"/>
          <w:sz w:val="24"/>
          <w:szCs w:val="24"/>
          <w:highlight w:val="none"/>
          <w:u w:val="single"/>
        </w:rPr>
        <w:t>。</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lang w:val="en-US" w:eastAsia="zh-CN"/>
        </w:rPr>
        <w:t>2</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对管道、设备及相关构筑物采取相应的措施，以防止和降低</w:t>
      </w:r>
      <w:r>
        <w:rPr>
          <w:rFonts w:hint="default" w:ascii="Times New Roman" w:hAnsi="Times New Roman" w:eastAsia="宋体" w:cs="Times New Roman"/>
          <w:color w:val="auto"/>
          <w:sz w:val="24"/>
          <w:szCs w:val="24"/>
          <w:highlight w:val="none"/>
          <w:u w:val="single"/>
          <w:lang w:val="en-US" w:eastAsia="zh-CN"/>
        </w:rPr>
        <w:t>液体物料</w:t>
      </w:r>
      <w:r>
        <w:rPr>
          <w:rFonts w:hint="default" w:ascii="Times New Roman" w:hAnsi="Times New Roman" w:eastAsia="宋体" w:cs="Times New Roman"/>
          <w:color w:val="auto"/>
          <w:sz w:val="24"/>
          <w:szCs w:val="24"/>
          <w:highlight w:val="none"/>
          <w:u w:val="single"/>
        </w:rPr>
        <w:t>的跑、冒、滴、漏</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lang w:val="en-US" w:eastAsia="zh-CN"/>
        </w:rPr>
        <w:t>项目主要生产设备、</w:t>
      </w:r>
      <w:r>
        <w:rPr>
          <w:rFonts w:hint="eastAsia" w:eastAsia="宋体" w:cs="Times New Roman"/>
          <w:color w:val="auto"/>
          <w:sz w:val="24"/>
          <w:szCs w:val="24"/>
          <w:highlight w:val="none"/>
          <w:u w:val="single"/>
          <w:lang w:val="en-US" w:eastAsia="zh-CN"/>
        </w:rPr>
        <w:t>物料输送</w:t>
      </w:r>
      <w:r>
        <w:rPr>
          <w:rFonts w:hint="default" w:ascii="Times New Roman" w:hAnsi="Times New Roman" w:eastAsia="宋体" w:cs="Times New Roman"/>
          <w:color w:val="auto"/>
          <w:sz w:val="24"/>
          <w:szCs w:val="24"/>
          <w:highlight w:val="none"/>
          <w:u w:val="single"/>
          <w:lang w:val="en-US" w:eastAsia="zh-CN"/>
        </w:rPr>
        <w:t>管道均为地上悬空设置，可</w:t>
      </w:r>
      <w:r>
        <w:rPr>
          <w:rFonts w:hint="default" w:ascii="Times New Roman" w:hAnsi="Times New Roman" w:eastAsia="宋体" w:cs="Times New Roman"/>
          <w:color w:val="auto"/>
          <w:sz w:val="24"/>
          <w:szCs w:val="24"/>
          <w:highlight w:val="none"/>
          <w:u w:val="single"/>
        </w:rPr>
        <w:t>做到污染物</w:t>
      </w:r>
      <w:r>
        <w:rPr>
          <w:rFonts w:hint="default" w:ascii="Times New Roman" w:hAnsi="Times New Roman" w:eastAsia="宋体" w:cs="Times New Roman"/>
          <w:color w:val="auto"/>
          <w:sz w:val="24"/>
          <w:szCs w:val="24"/>
          <w:highlight w:val="none"/>
          <w:u w:val="single"/>
          <w:lang w:val="en-US" w:eastAsia="zh-CN"/>
        </w:rPr>
        <w:t>泄漏</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早发现、早处理</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。尽量减少管道接口，输送管线选用经检验合格的优质管材、阀门和密封圈，</w:t>
      </w:r>
      <w:r>
        <w:rPr>
          <w:rFonts w:hint="default" w:ascii="Times New Roman" w:hAnsi="Times New Roman" w:eastAsia="宋体" w:cs="Times New Roman"/>
          <w:color w:val="auto"/>
          <w:sz w:val="24"/>
          <w:szCs w:val="24"/>
          <w:highlight w:val="none"/>
          <w:u w:val="single"/>
          <w:lang w:val="en-US" w:eastAsia="zh-CN"/>
        </w:rPr>
        <w:t>减少泄漏风险</w:t>
      </w:r>
      <w:r>
        <w:rPr>
          <w:rFonts w:hint="default" w:ascii="Times New Roman" w:hAnsi="Times New Roman" w:eastAsia="宋体" w:cs="Times New Roman"/>
          <w:color w:val="auto"/>
          <w:sz w:val="24"/>
          <w:szCs w:val="24"/>
          <w:highlight w:val="none"/>
          <w:u w:val="single"/>
        </w:rPr>
        <w:t>。</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lang w:val="en-US" w:eastAsia="zh-CN"/>
        </w:rPr>
        <w:t>3</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切实贯彻执行</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预防为主、防治结合</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的方针，定期检查，</w:t>
      </w:r>
      <w:r>
        <w:rPr>
          <w:rFonts w:hint="default" w:ascii="Times New Roman" w:hAnsi="Times New Roman" w:eastAsia="宋体" w:cs="Times New Roman"/>
          <w:color w:val="auto"/>
          <w:sz w:val="24"/>
          <w:szCs w:val="24"/>
          <w:highlight w:val="none"/>
          <w:u w:val="single"/>
          <w:lang w:val="en-US" w:eastAsia="zh-CN"/>
        </w:rPr>
        <w:t>及时更换老旧破损部件，</w:t>
      </w:r>
      <w:r>
        <w:rPr>
          <w:rFonts w:hint="default" w:ascii="Times New Roman" w:hAnsi="Times New Roman" w:eastAsia="宋体" w:cs="Times New Roman"/>
          <w:color w:val="auto"/>
          <w:sz w:val="24"/>
          <w:szCs w:val="24"/>
          <w:highlight w:val="none"/>
          <w:u w:val="single"/>
        </w:rPr>
        <w:t>避免跑、冒、滴、漏现象发生。</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lang w:val="en-US" w:eastAsia="zh-CN"/>
        </w:rPr>
        <w:t>二</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防扩散措施</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项目在建设及运营期应采取以下措施：</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w:t>
      </w:r>
      <w:r>
        <w:rPr>
          <w:rFonts w:hint="default" w:ascii="Times New Roman" w:hAnsi="Times New Roman" w:eastAsia="宋体" w:cs="Times New Roman"/>
          <w:color w:val="auto"/>
          <w:sz w:val="24"/>
          <w:szCs w:val="24"/>
          <w:highlight w:val="none"/>
          <w:u w:val="single"/>
          <w:lang w:val="en-US" w:eastAsia="zh-CN"/>
        </w:rPr>
        <w:t>1</w:t>
      </w:r>
      <w:r>
        <w:rPr>
          <w:rFonts w:hint="default" w:ascii="Times New Roman" w:hAnsi="Times New Roman" w:eastAsia="宋体" w:cs="Times New Roman"/>
          <w:color w:val="auto"/>
          <w:sz w:val="24"/>
          <w:szCs w:val="24"/>
          <w:highlight w:val="none"/>
          <w:u w:val="single"/>
        </w:rPr>
        <w:t>）对可能有污染物跑冒滴漏等产生的</w:t>
      </w:r>
      <w:r>
        <w:rPr>
          <w:rFonts w:hint="default" w:ascii="Times New Roman" w:hAnsi="Times New Roman" w:eastAsia="宋体" w:cs="Times New Roman"/>
          <w:color w:val="auto"/>
          <w:sz w:val="24"/>
          <w:szCs w:val="24"/>
          <w:highlight w:val="none"/>
          <w:u w:val="single"/>
          <w:lang w:val="en-US" w:eastAsia="zh-CN"/>
        </w:rPr>
        <w:t>区域</w:t>
      </w:r>
      <w:r>
        <w:rPr>
          <w:rFonts w:hint="default" w:ascii="Times New Roman" w:hAnsi="Times New Roman" w:eastAsia="宋体" w:cs="Times New Roman"/>
          <w:color w:val="auto"/>
          <w:sz w:val="24"/>
          <w:szCs w:val="24"/>
          <w:highlight w:val="none"/>
          <w:u w:val="single"/>
        </w:rPr>
        <w:t>进行必要的检漏工作，及时发现污染物渗漏等事件，采取补救措施，</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w:t>
      </w:r>
      <w:r>
        <w:rPr>
          <w:rFonts w:hint="default" w:ascii="Times New Roman" w:hAnsi="Times New Roman" w:eastAsia="宋体" w:cs="Times New Roman"/>
          <w:color w:val="auto"/>
          <w:sz w:val="24"/>
          <w:szCs w:val="24"/>
          <w:highlight w:val="none"/>
          <w:u w:val="single"/>
          <w:lang w:val="en-US" w:eastAsia="zh-CN"/>
        </w:rPr>
        <w:t>2</w:t>
      </w:r>
      <w:r>
        <w:rPr>
          <w:rFonts w:hint="default" w:ascii="Times New Roman" w:hAnsi="Times New Roman" w:eastAsia="宋体" w:cs="Times New Roman"/>
          <w:color w:val="auto"/>
          <w:sz w:val="24"/>
          <w:szCs w:val="24"/>
          <w:highlight w:val="none"/>
          <w:u w:val="single"/>
        </w:rPr>
        <w:t>）在下游设置专门的地下水污染监控井，以作为日常地下水监控及风险应急状态的地下水监控井。</w:t>
      </w:r>
    </w:p>
    <w:p>
      <w:pPr>
        <w:pStyle w:val="4"/>
        <w:bidi w:val="0"/>
        <w:rPr>
          <w:rFonts w:hint="default"/>
          <w:color w:val="auto"/>
          <w:highlight w:val="none"/>
          <w:u w:val="single"/>
          <w:lang w:val="en-US" w:eastAsia="zh-CN"/>
        </w:rPr>
      </w:pPr>
      <w:bookmarkStart w:id="71" w:name="_Toc31005"/>
      <w:r>
        <w:rPr>
          <w:rFonts w:hint="default"/>
          <w:color w:val="auto"/>
          <w:highlight w:val="none"/>
          <w:u w:val="single"/>
          <w:lang w:val="en-US" w:eastAsia="zh-CN"/>
        </w:rPr>
        <w:t>分区防渗</w:t>
      </w:r>
      <w:bookmarkEnd w:id="71"/>
    </w:p>
    <w:p>
      <w:pPr>
        <w:bidi w:val="0"/>
        <w:adjustRightInd w:val="0"/>
        <w:snapToGrid w:val="0"/>
        <w:spacing w:line="480" w:lineRule="exact"/>
        <w:ind w:firstLine="480" w:firstLineChars="200"/>
        <w:rPr>
          <w:rFonts w:hint="default" w:eastAsia="宋体" w:cs="Times New Roman"/>
          <w:color w:val="auto"/>
          <w:sz w:val="24"/>
          <w:szCs w:val="24"/>
          <w:highlight w:val="none"/>
          <w:u w:val="single"/>
          <w:lang w:val="en-US" w:eastAsia="zh-CN"/>
        </w:rPr>
      </w:pPr>
      <w:r>
        <w:rPr>
          <w:rFonts w:hint="eastAsia" w:eastAsia="宋体" w:cs="Times New Roman"/>
          <w:color w:val="auto"/>
          <w:sz w:val="24"/>
          <w:szCs w:val="24"/>
          <w:highlight w:val="none"/>
          <w:u w:val="single"/>
          <w:lang w:val="en-US" w:eastAsia="zh-CN"/>
        </w:rPr>
        <w:t>（1）防渗分区</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rPr>
      </w:pPr>
      <w:r>
        <w:rPr>
          <w:rFonts w:hint="eastAsia" w:eastAsia="宋体" w:cs="Times New Roman"/>
          <w:color w:val="auto"/>
          <w:sz w:val="24"/>
          <w:szCs w:val="24"/>
          <w:highlight w:val="none"/>
          <w:u w:val="single"/>
          <w:lang w:val="en-US" w:eastAsia="zh-CN"/>
        </w:rPr>
        <w:t>参考</w:t>
      </w:r>
      <w:r>
        <w:rPr>
          <w:rFonts w:hint="default" w:ascii="Times New Roman" w:hAnsi="Times New Roman" w:eastAsia="宋体" w:cs="Times New Roman"/>
          <w:color w:val="auto"/>
          <w:sz w:val="24"/>
          <w:szCs w:val="24"/>
          <w:highlight w:val="none"/>
          <w:u w:val="single"/>
        </w:rPr>
        <w:t>《石油化工工程防渗技术规范》（GB/T50934-2013），结合项目厂区可能泄漏至地面区域污染物的性质和生产单元的构筑方式，将厂区划分为重点污染防治区、一般污染防治区和非污染防治区，针对不同的区域提出相应的防渗要求。本项目全厂污染防治区划分结果见</w:t>
      </w:r>
      <w:r>
        <w:rPr>
          <w:rFonts w:hint="default" w:ascii="Times New Roman" w:hAnsi="Times New Roman" w:eastAsia="宋体" w:cs="Times New Roman"/>
          <w:color w:val="auto"/>
          <w:sz w:val="24"/>
          <w:szCs w:val="24"/>
          <w:highlight w:val="none"/>
          <w:u w:val="single"/>
        </w:rPr>
        <w:fldChar w:fldCharType="begin"/>
      </w:r>
      <w:r>
        <w:rPr>
          <w:rFonts w:hint="default" w:ascii="Times New Roman" w:hAnsi="Times New Roman" w:eastAsia="宋体" w:cs="Times New Roman"/>
          <w:color w:val="auto"/>
          <w:sz w:val="24"/>
          <w:szCs w:val="24"/>
          <w:highlight w:val="none"/>
          <w:u w:val="single"/>
        </w:rPr>
        <w:instrText xml:space="preserve"> REF _Ref23198 \h </w:instrText>
      </w:r>
      <w:r>
        <w:rPr>
          <w:rFonts w:hint="default" w:ascii="Times New Roman" w:hAnsi="Times New Roman" w:eastAsia="宋体" w:cs="Times New Roman"/>
          <w:color w:val="auto"/>
          <w:sz w:val="24"/>
          <w:szCs w:val="24"/>
          <w:highlight w:val="none"/>
          <w:u w:val="single"/>
        </w:rPr>
        <w:fldChar w:fldCharType="separate"/>
      </w:r>
      <w:r>
        <w:rPr>
          <w:color w:val="auto"/>
          <w:highlight w:val="none"/>
          <w:u w:val="single"/>
        </w:rPr>
        <w:t xml:space="preserve">表 </w:t>
      </w:r>
      <w:r>
        <w:rPr>
          <w:color w:val="auto"/>
          <w:highlight w:val="none"/>
          <w:u w:val="single"/>
        </w:rPr>
        <w:fldChar w:fldCharType="begin"/>
      </w:r>
      <w:r>
        <w:rPr>
          <w:color w:val="auto"/>
          <w:highlight w:val="none"/>
          <w:u w:val="single"/>
        </w:rPr>
        <w:instrText xml:space="preserve"> STYLEREF 2 \s </w:instrText>
      </w:r>
      <w:r>
        <w:rPr>
          <w:color w:val="auto"/>
          <w:highlight w:val="none"/>
          <w:u w:val="single"/>
        </w:rPr>
        <w:fldChar w:fldCharType="separate"/>
      </w:r>
      <w:r>
        <w:rPr>
          <w:color w:val="auto"/>
          <w:highlight w:val="none"/>
          <w:u w:val="single"/>
        </w:rPr>
        <w:t>8.7</w:t>
      </w:r>
      <w:r>
        <w:rPr>
          <w:color w:val="auto"/>
          <w:highlight w:val="none"/>
          <w:u w:val="single"/>
        </w:rPr>
        <w:fldChar w:fldCharType="end"/>
      </w:r>
      <w:r>
        <w:rPr>
          <w:rFonts w:hint="eastAsia"/>
          <w:color w:val="auto"/>
          <w:highlight w:val="none"/>
          <w:u w:val="single"/>
          <w:lang w:eastAsia="zh-CN"/>
        </w:rPr>
        <w:t>-</w:t>
      </w:r>
      <w:r>
        <w:rPr>
          <w:color w:val="auto"/>
          <w:highlight w:val="none"/>
          <w:u w:val="single"/>
        </w:rPr>
        <w:t>2</w:t>
      </w:r>
      <w:r>
        <w:rPr>
          <w:rFonts w:hint="default" w:ascii="Times New Roman" w:hAnsi="Times New Roman" w:eastAsia="宋体" w:cs="Times New Roman"/>
          <w:color w:val="auto"/>
          <w:sz w:val="24"/>
          <w:szCs w:val="24"/>
          <w:highlight w:val="none"/>
          <w:u w:val="single"/>
        </w:rPr>
        <w:fldChar w:fldCharType="end"/>
      </w:r>
      <w:r>
        <w:rPr>
          <w:rFonts w:hint="default" w:ascii="Times New Roman" w:hAnsi="Times New Roman" w:eastAsia="宋体" w:cs="Times New Roman"/>
          <w:color w:val="auto"/>
          <w:sz w:val="24"/>
          <w:szCs w:val="24"/>
          <w:highlight w:val="none"/>
          <w:u w:val="single"/>
        </w:rPr>
        <w:t>，分区防渗图见附图</w:t>
      </w:r>
      <w:r>
        <w:rPr>
          <w:rFonts w:hint="eastAsia" w:eastAsia="宋体" w:cs="Times New Roman"/>
          <w:color w:val="auto"/>
          <w:sz w:val="24"/>
          <w:szCs w:val="24"/>
          <w:highlight w:val="none"/>
          <w:u w:val="single"/>
          <w:lang w:val="en-US" w:eastAsia="zh-CN"/>
        </w:rPr>
        <w:t>12</w:t>
      </w:r>
      <w:r>
        <w:rPr>
          <w:rFonts w:hint="default" w:ascii="Times New Roman" w:hAnsi="Times New Roman" w:eastAsia="宋体" w:cs="Times New Roman"/>
          <w:color w:val="auto"/>
          <w:sz w:val="24"/>
          <w:szCs w:val="24"/>
          <w:highlight w:val="none"/>
          <w:u w:val="single"/>
        </w:rPr>
        <w:t>。</w:t>
      </w:r>
    </w:p>
    <w:p>
      <w:pPr>
        <w:pStyle w:val="9"/>
        <w:bidi w:val="0"/>
        <w:rPr>
          <w:rFonts w:hint="default" w:ascii="Times New Roman" w:hAnsi="Times New Roman" w:eastAsia="宋体" w:cs="Times New Roman"/>
          <w:b/>
          <w:bCs/>
          <w:color w:val="auto"/>
          <w:kern w:val="2"/>
          <w:sz w:val="24"/>
          <w:szCs w:val="24"/>
          <w:highlight w:val="none"/>
          <w:u w:val="single"/>
          <w:lang w:val="en-US" w:eastAsia="zh-CN" w:bidi="ar-SA"/>
        </w:rPr>
      </w:pPr>
      <w:bookmarkStart w:id="72" w:name="_Ref23198"/>
      <w:bookmarkStart w:id="73" w:name="_Toc443686132"/>
      <w:r>
        <w:rPr>
          <w:color w:val="auto"/>
          <w:highlight w:val="none"/>
          <w:u w:val="single"/>
        </w:rPr>
        <w:t xml:space="preserve">表 </w:t>
      </w:r>
      <w:r>
        <w:rPr>
          <w:color w:val="auto"/>
          <w:highlight w:val="none"/>
          <w:u w:val="single"/>
        </w:rPr>
        <w:fldChar w:fldCharType="begin"/>
      </w:r>
      <w:r>
        <w:rPr>
          <w:color w:val="auto"/>
          <w:highlight w:val="none"/>
          <w:u w:val="single"/>
        </w:rPr>
        <w:instrText xml:space="preserve"> STYLEREF 2 \s </w:instrText>
      </w:r>
      <w:r>
        <w:rPr>
          <w:color w:val="auto"/>
          <w:highlight w:val="none"/>
          <w:u w:val="single"/>
        </w:rPr>
        <w:fldChar w:fldCharType="separate"/>
      </w:r>
      <w:r>
        <w:rPr>
          <w:color w:val="auto"/>
          <w:highlight w:val="none"/>
          <w:u w:val="single"/>
        </w:rPr>
        <w:t>8.7</w:t>
      </w:r>
      <w:r>
        <w:rPr>
          <w:color w:val="auto"/>
          <w:highlight w:val="none"/>
          <w:u w:val="single"/>
        </w:rPr>
        <w:fldChar w:fldCharType="end"/>
      </w:r>
      <w:r>
        <w:rPr>
          <w:rFonts w:hint="eastAsia"/>
          <w:color w:val="auto"/>
          <w:highlight w:val="none"/>
          <w:u w:val="single"/>
          <w:lang w:eastAsia="zh-CN"/>
        </w:rPr>
        <w:t>-</w:t>
      </w:r>
      <w:r>
        <w:rPr>
          <w:color w:val="auto"/>
          <w:highlight w:val="none"/>
          <w:u w:val="single"/>
        </w:rPr>
        <w:fldChar w:fldCharType="begin"/>
      </w:r>
      <w:r>
        <w:rPr>
          <w:color w:val="auto"/>
          <w:highlight w:val="none"/>
          <w:u w:val="single"/>
        </w:rPr>
        <w:instrText xml:space="preserve"> SEQ 表 \* ARABIC \s 2 </w:instrText>
      </w:r>
      <w:r>
        <w:rPr>
          <w:color w:val="auto"/>
          <w:highlight w:val="none"/>
          <w:u w:val="single"/>
        </w:rPr>
        <w:fldChar w:fldCharType="separate"/>
      </w:r>
      <w:r>
        <w:rPr>
          <w:color w:val="auto"/>
          <w:highlight w:val="none"/>
          <w:u w:val="single"/>
        </w:rPr>
        <w:t>2</w:t>
      </w:r>
      <w:r>
        <w:rPr>
          <w:color w:val="auto"/>
          <w:highlight w:val="none"/>
          <w:u w:val="single"/>
        </w:rPr>
        <w:fldChar w:fldCharType="end"/>
      </w:r>
      <w:bookmarkEnd w:id="72"/>
      <w:r>
        <w:rPr>
          <w:rFonts w:hint="default" w:ascii="Times New Roman" w:hAnsi="Times New Roman" w:eastAsia="宋体" w:cs="Times New Roman"/>
          <w:b/>
          <w:bCs/>
          <w:color w:val="auto"/>
          <w:kern w:val="2"/>
          <w:sz w:val="24"/>
          <w:szCs w:val="24"/>
          <w:highlight w:val="none"/>
          <w:u w:val="single"/>
          <w:lang w:val="en-US" w:eastAsia="zh-CN" w:bidi="ar-SA"/>
        </w:rPr>
        <w:t xml:space="preserve">  厂区防渗分区情况一览表</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5024"/>
        <w:gridCol w:w="1641"/>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375" w:type="pct"/>
            <w:noWrap/>
            <w:tcMar>
              <w:top w:w="57" w:type="dxa"/>
              <w:bottom w:w="57" w:type="dxa"/>
            </w:tcMar>
            <w:vAlign w:val="center"/>
          </w:tcPr>
          <w:p>
            <w:pPr>
              <w:adjustRightInd w:val="0"/>
              <w:snapToGrid w:val="0"/>
              <w:spacing w:line="300" w:lineRule="auto"/>
              <w:ind w:firstLine="0" w:firstLineChars="0"/>
              <w:contextualSpacing/>
              <w:rPr>
                <w:rFonts w:hint="default" w:ascii="Times New Roman" w:hAnsi="Times New Roman" w:eastAsia="宋体" w:cs="Times New Roman"/>
                <w:bCs/>
                <w:snapToGrid w:val="0"/>
                <w:color w:val="auto"/>
                <w:kern w:val="0"/>
                <w:sz w:val="21"/>
                <w:szCs w:val="21"/>
                <w:highlight w:val="none"/>
                <w:u w:val="single"/>
              </w:rPr>
            </w:pPr>
            <w:r>
              <w:rPr>
                <w:rFonts w:hint="default" w:ascii="Times New Roman" w:hAnsi="Times New Roman" w:eastAsia="宋体" w:cs="Times New Roman"/>
                <w:bCs/>
                <w:snapToGrid w:val="0"/>
                <w:color w:val="auto"/>
                <w:kern w:val="0"/>
                <w:sz w:val="21"/>
                <w:szCs w:val="21"/>
                <w:highlight w:val="none"/>
                <w:u w:val="single"/>
              </w:rPr>
              <w:t>序号</w:t>
            </w:r>
          </w:p>
        </w:tc>
        <w:tc>
          <w:tcPr>
            <w:tcW w:w="2609" w:type="pct"/>
            <w:noWrap/>
            <w:tcMar>
              <w:top w:w="57" w:type="dxa"/>
              <w:bottom w:w="57" w:type="dxa"/>
            </w:tcMar>
            <w:vAlign w:val="center"/>
          </w:tcPr>
          <w:p>
            <w:pPr>
              <w:adjustRightInd w:val="0"/>
              <w:snapToGrid w:val="0"/>
              <w:spacing w:line="30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rPr>
            </w:pPr>
            <w:r>
              <w:rPr>
                <w:rFonts w:hint="default" w:ascii="Times New Roman" w:hAnsi="Times New Roman" w:eastAsia="宋体" w:cs="Times New Roman"/>
                <w:bCs/>
                <w:snapToGrid w:val="0"/>
                <w:color w:val="auto"/>
                <w:kern w:val="0"/>
                <w:sz w:val="21"/>
                <w:szCs w:val="21"/>
                <w:highlight w:val="none"/>
                <w:u w:val="single"/>
              </w:rPr>
              <w:t>名称</w:t>
            </w:r>
          </w:p>
        </w:tc>
        <w:tc>
          <w:tcPr>
            <w:tcW w:w="1142" w:type="pct"/>
            <w:noWrap/>
            <w:tcMar>
              <w:top w:w="57" w:type="dxa"/>
              <w:bottom w:w="57" w:type="dxa"/>
            </w:tcMar>
            <w:vAlign w:val="center"/>
          </w:tcPr>
          <w:p>
            <w:pPr>
              <w:adjustRightInd w:val="0"/>
              <w:snapToGrid w:val="0"/>
              <w:spacing w:line="30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rPr>
            </w:pPr>
            <w:r>
              <w:rPr>
                <w:rFonts w:hint="default" w:ascii="Times New Roman" w:hAnsi="Times New Roman" w:eastAsia="宋体" w:cs="Times New Roman"/>
                <w:bCs/>
                <w:snapToGrid w:val="0"/>
                <w:color w:val="auto"/>
                <w:kern w:val="0"/>
                <w:sz w:val="21"/>
                <w:szCs w:val="21"/>
                <w:highlight w:val="none"/>
                <w:u w:val="single"/>
              </w:rPr>
              <w:t>防渗区域及部位</w:t>
            </w:r>
          </w:p>
        </w:tc>
        <w:tc>
          <w:tcPr>
            <w:tcW w:w="872" w:type="pct"/>
            <w:noWrap/>
            <w:tcMar>
              <w:top w:w="57" w:type="dxa"/>
              <w:bottom w:w="57" w:type="dxa"/>
            </w:tcMar>
            <w:vAlign w:val="center"/>
          </w:tcPr>
          <w:p>
            <w:pPr>
              <w:adjustRightInd w:val="0"/>
              <w:snapToGrid w:val="0"/>
              <w:spacing w:line="30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rPr>
            </w:pPr>
            <w:r>
              <w:rPr>
                <w:rFonts w:hint="default" w:ascii="Times New Roman" w:hAnsi="Times New Roman" w:eastAsia="宋体" w:cs="Times New Roman"/>
                <w:bCs/>
                <w:snapToGrid w:val="0"/>
                <w:color w:val="auto"/>
                <w:kern w:val="0"/>
                <w:sz w:val="21"/>
                <w:szCs w:val="21"/>
                <w:highlight w:val="none"/>
                <w:u w:val="single"/>
              </w:rPr>
              <w:t>防渗分区等级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75" w:type="pct"/>
            <w:noWrap/>
            <w:tcMar>
              <w:top w:w="57" w:type="dxa"/>
              <w:bottom w:w="57" w:type="dxa"/>
            </w:tcMar>
            <w:vAlign w:val="center"/>
          </w:tcPr>
          <w:p>
            <w:pPr>
              <w:adjustRightInd w:val="0"/>
              <w:snapToGrid w:val="0"/>
              <w:spacing w:line="24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rPr>
            </w:pPr>
            <w:r>
              <w:rPr>
                <w:rFonts w:hint="default" w:ascii="Times New Roman" w:hAnsi="Times New Roman" w:eastAsia="宋体" w:cs="Times New Roman"/>
                <w:bCs/>
                <w:snapToGrid w:val="0"/>
                <w:color w:val="auto"/>
                <w:kern w:val="0"/>
                <w:sz w:val="21"/>
                <w:szCs w:val="21"/>
                <w:highlight w:val="none"/>
                <w:u w:val="single"/>
              </w:rPr>
              <w:t>1</w:t>
            </w:r>
          </w:p>
        </w:tc>
        <w:tc>
          <w:tcPr>
            <w:tcW w:w="2609" w:type="pct"/>
            <w:noWrap/>
            <w:tcMar>
              <w:top w:w="57" w:type="dxa"/>
              <w:bottom w:w="57" w:type="dxa"/>
            </w:tcMar>
            <w:vAlign w:val="center"/>
          </w:tcPr>
          <w:p>
            <w:pPr>
              <w:adjustRightInd w:val="0"/>
              <w:snapToGrid w:val="0"/>
              <w:spacing w:line="300" w:lineRule="auto"/>
              <w:ind w:firstLine="0" w:firstLineChars="0"/>
              <w:contextualSpacing/>
              <w:jc w:val="center"/>
              <w:rPr>
                <w:rFonts w:hint="default" w:ascii="Times New Roman" w:hAnsi="Times New Roman" w:eastAsia="宋体" w:cs="Times New Roman"/>
                <w:bCs/>
                <w:color w:val="auto"/>
                <w:kern w:val="2"/>
                <w:sz w:val="21"/>
                <w:szCs w:val="21"/>
                <w:highlight w:val="none"/>
                <w:u w:val="single"/>
                <w:lang w:val="en-US"/>
              </w:rPr>
            </w:pPr>
            <w:r>
              <w:rPr>
                <w:rFonts w:hint="default" w:ascii="Times New Roman" w:hAnsi="Times New Roman" w:eastAsia="宋体" w:cs="Times New Roman"/>
                <w:color w:val="auto"/>
                <w:kern w:val="0"/>
                <w:sz w:val="21"/>
                <w:szCs w:val="21"/>
                <w:highlight w:val="none"/>
                <w:u w:val="single"/>
                <w:lang w:val="en-US" w:eastAsia="zh-CN"/>
              </w:rPr>
              <w:t>污水处理站、地下污水管网</w:t>
            </w:r>
            <w:r>
              <w:rPr>
                <w:rFonts w:hint="eastAsia" w:eastAsia="宋体" w:cs="Times New Roman"/>
                <w:color w:val="auto"/>
                <w:kern w:val="0"/>
                <w:sz w:val="21"/>
                <w:szCs w:val="21"/>
                <w:highlight w:val="none"/>
                <w:u w:val="single"/>
                <w:lang w:val="en-US" w:eastAsia="zh-CN"/>
              </w:rPr>
              <w:t>、初期雨水池及管网、原水缓存池</w:t>
            </w:r>
          </w:p>
        </w:tc>
        <w:tc>
          <w:tcPr>
            <w:tcW w:w="1142" w:type="pct"/>
            <w:noWrap/>
            <w:tcMar>
              <w:top w:w="57" w:type="dxa"/>
              <w:bottom w:w="57" w:type="dxa"/>
            </w:tcMar>
            <w:vAlign w:val="center"/>
          </w:tcPr>
          <w:p>
            <w:pPr>
              <w:adjustRightInd w:val="0"/>
              <w:snapToGrid w:val="0"/>
              <w:spacing w:line="300" w:lineRule="auto"/>
              <w:ind w:firstLine="0" w:firstLineChars="0"/>
              <w:contextualSpacing/>
              <w:jc w:val="center"/>
              <w:rPr>
                <w:rFonts w:hint="default" w:ascii="Times New Roman" w:hAnsi="Times New Roman" w:eastAsia="宋体" w:cs="Times New Roman"/>
                <w:bCs/>
                <w:color w:val="auto"/>
                <w:kern w:val="2"/>
                <w:sz w:val="21"/>
                <w:szCs w:val="21"/>
                <w:highlight w:val="none"/>
                <w:u w:val="single"/>
                <w:lang w:val="en-US" w:eastAsia="zh-CN"/>
              </w:rPr>
            </w:pPr>
            <w:r>
              <w:rPr>
                <w:rFonts w:hint="default" w:ascii="Times New Roman" w:hAnsi="Times New Roman" w:eastAsia="宋体" w:cs="Times New Roman"/>
                <w:bCs/>
                <w:color w:val="auto"/>
                <w:kern w:val="2"/>
                <w:sz w:val="21"/>
                <w:szCs w:val="21"/>
                <w:highlight w:val="none"/>
                <w:u w:val="single"/>
                <w:lang w:val="en-US" w:eastAsia="zh-CN"/>
              </w:rPr>
              <w:t>底板及壁板</w:t>
            </w:r>
          </w:p>
        </w:tc>
        <w:tc>
          <w:tcPr>
            <w:tcW w:w="872" w:type="pct"/>
            <w:noWrap/>
            <w:tcMar>
              <w:top w:w="57" w:type="dxa"/>
              <w:bottom w:w="57" w:type="dxa"/>
            </w:tcMar>
            <w:vAlign w:val="center"/>
          </w:tcPr>
          <w:p>
            <w:pPr>
              <w:adjustRightInd w:val="0"/>
              <w:snapToGrid w:val="0"/>
              <w:spacing w:line="30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rPr>
            </w:pPr>
            <w:r>
              <w:rPr>
                <w:rFonts w:hint="default" w:ascii="Times New Roman" w:hAnsi="Times New Roman" w:eastAsia="宋体" w:cs="Times New Roman"/>
                <w:bCs/>
                <w:snapToGrid w:val="0"/>
                <w:color w:val="auto"/>
                <w:kern w:val="0"/>
                <w:sz w:val="21"/>
                <w:szCs w:val="21"/>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5" w:type="pct"/>
            <w:noWrap/>
            <w:tcMar>
              <w:top w:w="57" w:type="dxa"/>
              <w:bottom w:w="57" w:type="dxa"/>
            </w:tcMar>
            <w:vAlign w:val="center"/>
          </w:tcPr>
          <w:p>
            <w:pPr>
              <w:adjustRightInd w:val="0"/>
              <w:snapToGrid w:val="0"/>
              <w:spacing w:line="24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rPr>
            </w:pPr>
            <w:r>
              <w:rPr>
                <w:rFonts w:hint="default" w:ascii="Times New Roman" w:hAnsi="Times New Roman" w:eastAsia="宋体" w:cs="Times New Roman"/>
                <w:bCs/>
                <w:snapToGrid w:val="0"/>
                <w:color w:val="auto"/>
                <w:kern w:val="0"/>
                <w:sz w:val="21"/>
                <w:szCs w:val="21"/>
                <w:highlight w:val="none"/>
                <w:u w:val="single"/>
              </w:rPr>
              <w:t>2</w:t>
            </w:r>
          </w:p>
        </w:tc>
        <w:tc>
          <w:tcPr>
            <w:tcW w:w="2609" w:type="pct"/>
            <w:noWrap/>
            <w:tcMar>
              <w:top w:w="57" w:type="dxa"/>
              <w:bottom w:w="57" w:type="dxa"/>
            </w:tcMar>
            <w:vAlign w:val="center"/>
          </w:tcPr>
          <w:p>
            <w:pPr>
              <w:adjustRightInd w:val="0"/>
              <w:snapToGrid w:val="0"/>
              <w:spacing w:line="24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lang w:val="en-US" w:eastAsia="zh-CN"/>
              </w:rPr>
            </w:pPr>
            <w:r>
              <w:rPr>
                <w:rFonts w:hint="default" w:ascii="Times New Roman" w:hAnsi="Times New Roman" w:eastAsia="宋体" w:cs="Times New Roman"/>
                <w:bCs/>
                <w:snapToGrid w:val="0"/>
                <w:color w:val="auto"/>
                <w:kern w:val="0"/>
                <w:sz w:val="21"/>
                <w:szCs w:val="21"/>
                <w:highlight w:val="none"/>
                <w:u w:val="single"/>
                <w:lang w:eastAsia="zh-CN"/>
              </w:rPr>
              <w:t>危废暂存间</w:t>
            </w:r>
            <w:r>
              <w:rPr>
                <w:rFonts w:hint="eastAsia" w:eastAsia="宋体" w:cs="Times New Roman"/>
                <w:bCs/>
                <w:snapToGrid w:val="0"/>
                <w:color w:val="auto"/>
                <w:kern w:val="0"/>
                <w:sz w:val="21"/>
                <w:szCs w:val="21"/>
                <w:highlight w:val="none"/>
                <w:u w:val="single"/>
                <w:lang w:eastAsia="zh-CN"/>
              </w:rPr>
              <w:t>、</w:t>
            </w:r>
            <w:r>
              <w:rPr>
                <w:rFonts w:hint="eastAsia" w:eastAsia="宋体" w:cs="Times New Roman"/>
                <w:bCs/>
                <w:snapToGrid w:val="0"/>
                <w:color w:val="auto"/>
                <w:kern w:val="0"/>
                <w:sz w:val="21"/>
                <w:szCs w:val="21"/>
                <w:highlight w:val="none"/>
                <w:u w:val="single"/>
                <w:lang w:val="en-US" w:eastAsia="zh-CN"/>
              </w:rPr>
              <w:t>危废焚烧上料间</w:t>
            </w:r>
          </w:p>
        </w:tc>
        <w:tc>
          <w:tcPr>
            <w:tcW w:w="1142" w:type="pct"/>
            <w:noWrap/>
            <w:tcMar>
              <w:top w:w="57" w:type="dxa"/>
              <w:bottom w:w="57" w:type="dxa"/>
            </w:tcMar>
            <w:vAlign w:val="center"/>
          </w:tcPr>
          <w:p>
            <w:pPr>
              <w:adjustRightInd w:val="0"/>
              <w:snapToGrid w:val="0"/>
              <w:spacing w:line="24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lang w:val="en-US" w:eastAsia="zh-CN"/>
              </w:rPr>
            </w:pPr>
            <w:r>
              <w:rPr>
                <w:rFonts w:hint="default" w:ascii="Times New Roman" w:hAnsi="Times New Roman" w:eastAsia="宋体" w:cs="Times New Roman"/>
                <w:bCs/>
                <w:snapToGrid w:val="0"/>
                <w:color w:val="auto"/>
                <w:kern w:val="0"/>
                <w:sz w:val="21"/>
                <w:szCs w:val="21"/>
                <w:highlight w:val="none"/>
                <w:u w:val="single"/>
              </w:rPr>
              <w:t>地面</w:t>
            </w:r>
            <w:r>
              <w:rPr>
                <w:rFonts w:hint="default" w:ascii="Times New Roman" w:hAnsi="Times New Roman" w:eastAsia="宋体" w:cs="Times New Roman"/>
                <w:bCs/>
                <w:snapToGrid w:val="0"/>
                <w:color w:val="auto"/>
                <w:kern w:val="0"/>
                <w:sz w:val="21"/>
                <w:szCs w:val="21"/>
                <w:highlight w:val="none"/>
                <w:u w:val="single"/>
                <w:lang w:eastAsia="zh-CN"/>
              </w:rPr>
              <w:t>、</w:t>
            </w:r>
            <w:r>
              <w:rPr>
                <w:rFonts w:hint="default" w:ascii="Times New Roman" w:hAnsi="Times New Roman" w:eastAsia="宋体" w:cs="Times New Roman"/>
                <w:bCs/>
                <w:snapToGrid w:val="0"/>
                <w:color w:val="auto"/>
                <w:kern w:val="0"/>
                <w:sz w:val="21"/>
                <w:szCs w:val="21"/>
                <w:highlight w:val="none"/>
                <w:u w:val="single"/>
                <w:lang w:val="en-US" w:eastAsia="zh-CN"/>
              </w:rPr>
              <w:t>墙裙、围堰</w:t>
            </w:r>
          </w:p>
        </w:tc>
        <w:tc>
          <w:tcPr>
            <w:tcW w:w="872" w:type="pct"/>
            <w:noWrap/>
            <w:tcMar>
              <w:top w:w="57" w:type="dxa"/>
              <w:bottom w:w="57" w:type="dxa"/>
            </w:tcMar>
            <w:vAlign w:val="center"/>
          </w:tcPr>
          <w:p>
            <w:pPr>
              <w:adjustRightInd w:val="0"/>
              <w:snapToGrid w:val="0"/>
              <w:spacing w:line="30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rPr>
            </w:pPr>
            <w:r>
              <w:rPr>
                <w:rFonts w:hint="default" w:ascii="Times New Roman" w:hAnsi="Times New Roman" w:eastAsia="宋体" w:cs="Times New Roman"/>
                <w:bCs/>
                <w:snapToGrid w:val="0"/>
                <w:color w:val="auto"/>
                <w:kern w:val="0"/>
                <w:sz w:val="21"/>
                <w:szCs w:val="21"/>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5" w:type="pct"/>
            <w:noWrap/>
            <w:tcMar>
              <w:top w:w="57" w:type="dxa"/>
              <w:bottom w:w="57" w:type="dxa"/>
            </w:tcMar>
            <w:vAlign w:val="center"/>
          </w:tcPr>
          <w:p>
            <w:pPr>
              <w:adjustRightInd w:val="0"/>
              <w:snapToGrid w:val="0"/>
              <w:spacing w:line="24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lang w:val="en-US" w:eastAsia="zh-CN"/>
              </w:rPr>
            </w:pPr>
            <w:r>
              <w:rPr>
                <w:rFonts w:hint="default" w:ascii="Times New Roman" w:hAnsi="Times New Roman" w:eastAsia="宋体" w:cs="Times New Roman"/>
                <w:bCs/>
                <w:snapToGrid w:val="0"/>
                <w:color w:val="auto"/>
                <w:kern w:val="0"/>
                <w:sz w:val="21"/>
                <w:szCs w:val="21"/>
                <w:highlight w:val="none"/>
                <w:u w:val="single"/>
                <w:lang w:val="en-US" w:eastAsia="zh-CN"/>
              </w:rPr>
              <w:t>3</w:t>
            </w:r>
          </w:p>
        </w:tc>
        <w:tc>
          <w:tcPr>
            <w:tcW w:w="2609" w:type="pct"/>
            <w:noWrap/>
            <w:tcMar>
              <w:top w:w="57" w:type="dxa"/>
              <w:bottom w:w="57" w:type="dxa"/>
            </w:tcMar>
            <w:vAlign w:val="center"/>
          </w:tcPr>
          <w:p>
            <w:pPr>
              <w:adjustRightInd w:val="0"/>
              <w:snapToGrid w:val="0"/>
              <w:spacing w:line="24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lang w:val="en-US" w:eastAsia="zh-CN"/>
              </w:rPr>
            </w:pPr>
            <w:r>
              <w:rPr>
                <w:rFonts w:hint="default" w:ascii="Times New Roman" w:hAnsi="Times New Roman" w:eastAsia="宋体" w:cs="Times New Roman"/>
                <w:bCs/>
                <w:snapToGrid w:val="0"/>
                <w:color w:val="auto"/>
                <w:kern w:val="0"/>
                <w:sz w:val="21"/>
                <w:szCs w:val="21"/>
                <w:highlight w:val="none"/>
                <w:u w:val="single"/>
                <w:lang w:val="en-US" w:eastAsia="zh-CN"/>
              </w:rPr>
              <w:t>储罐</w:t>
            </w:r>
            <w:r>
              <w:rPr>
                <w:rFonts w:hint="eastAsia" w:eastAsia="宋体" w:cs="Times New Roman"/>
                <w:bCs/>
                <w:snapToGrid w:val="0"/>
                <w:color w:val="auto"/>
                <w:kern w:val="0"/>
                <w:sz w:val="21"/>
                <w:szCs w:val="21"/>
                <w:highlight w:val="none"/>
                <w:u w:val="single"/>
                <w:lang w:val="en-US" w:eastAsia="zh-CN"/>
              </w:rPr>
              <w:t>、中间罐</w:t>
            </w:r>
            <w:r>
              <w:rPr>
                <w:rFonts w:hint="default" w:ascii="Times New Roman" w:hAnsi="Times New Roman" w:eastAsia="宋体" w:cs="Times New Roman"/>
                <w:bCs/>
                <w:snapToGrid w:val="0"/>
                <w:color w:val="auto"/>
                <w:kern w:val="0"/>
                <w:sz w:val="21"/>
                <w:szCs w:val="21"/>
                <w:highlight w:val="none"/>
                <w:u w:val="single"/>
                <w:lang w:val="en-US" w:eastAsia="zh-CN"/>
              </w:rPr>
              <w:t>基础</w:t>
            </w:r>
          </w:p>
        </w:tc>
        <w:tc>
          <w:tcPr>
            <w:tcW w:w="1142" w:type="pct"/>
            <w:noWrap/>
            <w:tcMar>
              <w:top w:w="57" w:type="dxa"/>
              <w:bottom w:w="57" w:type="dxa"/>
            </w:tcMar>
            <w:vAlign w:val="center"/>
          </w:tcPr>
          <w:p>
            <w:pPr>
              <w:adjustRightInd w:val="0"/>
              <w:snapToGrid w:val="0"/>
              <w:spacing w:line="24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lang w:val="en-US" w:eastAsia="zh-CN"/>
              </w:rPr>
            </w:pPr>
            <w:r>
              <w:rPr>
                <w:rFonts w:hint="default" w:ascii="Times New Roman" w:hAnsi="Times New Roman" w:eastAsia="宋体" w:cs="Times New Roman"/>
                <w:bCs/>
                <w:snapToGrid w:val="0"/>
                <w:color w:val="auto"/>
                <w:kern w:val="0"/>
                <w:sz w:val="21"/>
                <w:szCs w:val="21"/>
                <w:highlight w:val="none"/>
                <w:u w:val="single"/>
                <w:lang w:val="en-US" w:eastAsia="zh-CN"/>
              </w:rPr>
              <w:t>基础</w:t>
            </w:r>
          </w:p>
        </w:tc>
        <w:tc>
          <w:tcPr>
            <w:tcW w:w="872" w:type="pct"/>
            <w:noWrap/>
            <w:tcMar>
              <w:top w:w="57" w:type="dxa"/>
              <w:bottom w:w="57" w:type="dxa"/>
            </w:tcMar>
            <w:vAlign w:val="center"/>
          </w:tcPr>
          <w:p>
            <w:pPr>
              <w:adjustRightInd w:val="0"/>
              <w:snapToGrid w:val="0"/>
              <w:spacing w:line="30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rPr>
            </w:pPr>
            <w:r>
              <w:rPr>
                <w:rFonts w:hint="default" w:ascii="Times New Roman" w:hAnsi="Times New Roman" w:eastAsia="宋体" w:cs="Times New Roman"/>
                <w:bCs/>
                <w:snapToGrid w:val="0"/>
                <w:color w:val="auto"/>
                <w:kern w:val="0"/>
                <w:sz w:val="21"/>
                <w:szCs w:val="21"/>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5" w:type="pct"/>
            <w:noWrap/>
            <w:tcMar>
              <w:top w:w="57" w:type="dxa"/>
              <w:bottom w:w="57" w:type="dxa"/>
            </w:tcMar>
            <w:vAlign w:val="center"/>
          </w:tcPr>
          <w:p>
            <w:pPr>
              <w:adjustRightInd w:val="0"/>
              <w:snapToGrid w:val="0"/>
              <w:spacing w:line="24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lang w:val="en-US" w:eastAsia="zh-CN"/>
              </w:rPr>
            </w:pPr>
            <w:r>
              <w:rPr>
                <w:rFonts w:hint="eastAsia" w:eastAsia="宋体" w:cs="Times New Roman"/>
                <w:bCs/>
                <w:snapToGrid w:val="0"/>
                <w:color w:val="auto"/>
                <w:kern w:val="0"/>
                <w:sz w:val="21"/>
                <w:szCs w:val="21"/>
                <w:highlight w:val="none"/>
                <w:u w:val="single"/>
                <w:lang w:val="en-US" w:eastAsia="zh-CN"/>
              </w:rPr>
              <w:t>4</w:t>
            </w:r>
          </w:p>
        </w:tc>
        <w:tc>
          <w:tcPr>
            <w:tcW w:w="2609" w:type="pct"/>
            <w:noWrap/>
            <w:tcMar>
              <w:top w:w="57" w:type="dxa"/>
              <w:bottom w:w="57" w:type="dxa"/>
            </w:tcMar>
            <w:vAlign w:val="center"/>
          </w:tcPr>
          <w:p>
            <w:pPr>
              <w:adjustRightInd w:val="0"/>
              <w:snapToGrid w:val="0"/>
              <w:spacing w:line="240" w:lineRule="auto"/>
              <w:ind w:firstLine="0" w:firstLineChars="0"/>
              <w:contextualSpacing/>
              <w:jc w:val="center"/>
              <w:rPr>
                <w:rFonts w:hint="default" w:ascii="Times New Roman" w:hAnsi="Times New Roman" w:cs="Times New Roman" w:eastAsiaTheme="minorEastAsia"/>
                <w:bCs/>
                <w:snapToGrid w:val="0"/>
                <w:color w:val="auto"/>
                <w:kern w:val="0"/>
                <w:sz w:val="21"/>
                <w:szCs w:val="21"/>
                <w:highlight w:val="none"/>
                <w:u w:val="single"/>
                <w:lang w:val="en-US" w:eastAsia="zh-CN"/>
              </w:rPr>
            </w:pPr>
            <w:r>
              <w:rPr>
                <w:rFonts w:hint="eastAsia" w:ascii="Times New Roman" w:hAnsi="Times New Roman" w:eastAsia="宋体" w:cs="Times New Roman"/>
                <w:bCs/>
                <w:snapToGrid w:val="0"/>
                <w:color w:val="auto"/>
                <w:kern w:val="0"/>
                <w:sz w:val="21"/>
                <w:szCs w:val="21"/>
                <w:highlight w:val="none"/>
                <w:u w:val="single"/>
                <w:lang w:val="en-US" w:eastAsia="zh-CN"/>
              </w:rPr>
              <w:t>危废焚烧炉喷淋循环水池</w:t>
            </w:r>
          </w:p>
        </w:tc>
        <w:tc>
          <w:tcPr>
            <w:tcW w:w="1142" w:type="pct"/>
            <w:noWrap/>
            <w:tcMar>
              <w:top w:w="57" w:type="dxa"/>
              <w:bottom w:w="57" w:type="dxa"/>
            </w:tcMar>
            <w:vAlign w:val="center"/>
          </w:tcPr>
          <w:p>
            <w:pPr>
              <w:adjustRightInd w:val="0"/>
              <w:snapToGrid w:val="0"/>
              <w:spacing w:line="24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lang w:val="en-US" w:eastAsia="zh-CN"/>
              </w:rPr>
            </w:pPr>
            <w:r>
              <w:rPr>
                <w:rFonts w:hint="default" w:ascii="Times New Roman" w:hAnsi="Times New Roman" w:eastAsia="宋体" w:cs="Times New Roman"/>
                <w:bCs/>
                <w:color w:val="auto"/>
                <w:kern w:val="2"/>
                <w:sz w:val="21"/>
                <w:szCs w:val="21"/>
                <w:highlight w:val="none"/>
                <w:u w:val="single"/>
                <w:lang w:val="en-US" w:eastAsia="zh-CN"/>
              </w:rPr>
              <w:t>底板及壁板</w:t>
            </w:r>
          </w:p>
        </w:tc>
        <w:tc>
          <w:tcPr>
            <w:tcW w:w="872" w:type="pct"/>
            <w:noWrap/>
            <w:tcMar>
              <w:top w:w="57" w:type="dxa"/>
              <w:bottom w:w="57" w:type="dxa"/>
            </w:tcMar>
            <w:vAlign w:val="center"/>
          </w:tcPr>
          <w:p>
            <w:pPr>
              <w:adjustRightInd w:val="0"/>
              <w:snapToGrid w:val="0"/>
              <w:spacing w:line="30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rPr>
            </w:pPr>
            <w:r>
              <w:rPr>
                <w:rFonts w:hint="default" w:ascii="Times New Roman" w:hAnsi="Times New Roman" w:eastAsia="宋体" w:cs="Times New Roman"/>
                <w:bCs/>
                <w:snapToGrid w:val="0"/>
                <w:color w:val="auto"/>
                <w:kern w:val="0"/>
                <w:sz w:val="21"/>
                <w:szCs w:val="21"/>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5" w:type="pct"/>
            <w:noWrap/>
            <w:tcMar>
              <w:top w:w="57" w:type="dxa"/>
              <w:bottom w:w="57" w:type="dxa"/>
            </w:tcMar>
            <w:vAlign w:val="center"/>
          </w:tcPr>
          <w:p>
            <w:pPr>
              <w:adjustRightInd w:val="0"/>
              <w:snapToGrid w:val="0"/>
              <w:spacing w:line="240" w:lineRule="auto"/>
              <w:ind w:firstLine="0" w:firstLineChars="0"/>
              <w:contextualSpacing/>
              <w:jc w:val="center"/>
              <w:rPr>
                <w:rFonts w:hint="default" w:eastAsia="宋体" w:cs="Times New Roman"/>
                <w:bCs/>
                <w:snapToGrid w:val="0"/>
                <w:color w:val="auto"/>
                <w:kern w:val="0"/>
                <w:sz w:val="21"/>
                <w:szCs w:val="21"/>
                <w:highlight w:val="none"/>
                <w:u w:val="single"/>
                <w:lang w:val="en-US" w:eastAsia="zh-CN"/>
              </w:rPr>
            </w:pPr>
            <w:r>
              <w:rPr>
                <w:rFonts w:hint="eastAsia" w:eastAsia="宋体" w:cs="Times New Roman"/>
                <w:bCs/>
                <w:snapToGrid w:val="0"/>
                <w:color w:val="auto"/>
                <w:kern w:val="0"/>
                <w:sz w:val="21"/>
                <w:szCs w:val="21"/>
                <w:highlight w:val="none"/>
                <w:u w:val="single"/>
                <w:lang w:val="en-US" w:eastAsia="zh-CN"/>
              </w:rPr>
              <w:t>5</w:t>
            </w:r>
          </w:p>
        </w:tc>
        <w:tc>
          <w:tcPr>
            <w:tcW w:w="2609" w:type="pct"/>
            <w:noWrap/>
            <w:tcMar>
              <w:top w:w="57" w:type="dxa"/>
              <w:bottom w:w="57" w:type="dxa"/>
            </w:tcMar>
            <w:vAlign w:val="center"/>
          </w:tcPr>
          <w:p>
            <w:pPr>
              <w:adjustRightInd w:val="0"/>
              <w:snapToGrid w:val="0"/>
              <w:spacing w:line="240" w:lineRule="auto"/>
              <w:ind w:firstLine="0" w:firstLineChars="0"/>
              <w:contextualSpacing/>
              <w:jc w:val="center"/>
              <w:rPr>
                <w:rFonts w:hint="eastAsia" w:ascii="Times New Roman" w:hAnsi="Times New Roman" w:eastAsia="宋体" w:cs="Times New Roman"/>
                <w:bCs/>
                <w:snapToGrid w:val="0"/>
                <w:color w:val="auto"/>
                <w:kern w:val="0"/>
                <w:sz w:val="21"/>
                <w:szCs w:val="21"/>
                <w:highlight w:val="none"/>
                <w:u w:val="single"/>
                <w:lang w:val="en-US" w:eastAsia="zh-CN"/>
              </w:rPr>
            </w:pPr>
            <w:r>
              <w:rPr>
                <w:rFonts w:hint="eastAsia" w:ascii="Times New Roman" w:hAnsi="Times New Roman" w:eastAsia="宋体" w:cs="Times New Roman"/>
                <w:bCs/>
                <w:snapToGrid w:val="0"/>
                <w:color w:val="auto"/>
                <w:kern w:val="0"/>
                <w:sz w:val="21"/>
                <w:szCs w:val="21"/>
                <w:highlight w:val="none"/>
                <w:u w:val="single"/>
                <w:lang w:val="en-US" w:eastAsia="zh-CN"/>
              </w:rPr>
              <w:t>三效蒸发与MVR脱盐间</w:t>
            </w:r>
          </w:p>
        </w:tc>
        <w:tc>
          <w:tcPr>
            <w:tcW w:w="1142" w:type="pct"/>
            <w:noWrap/>
            <w:tcMar>
              <w:top w:w="57" w:type="dxa"/>
              <w:bottom w:w="57" w:type="dxa"/>
            </w:tcMar>
            <w:vAlign w:val="center"/>
          </w:tcPr>
          <w:p>
            <w:pPr>
              <w:adjustRightInd w:val="0"/>
              <w:snapToGrid w:val="0"/>
              <w:spacing w:line="240" w:lineRule="auto"/>
              <w:ind w:firstLine="0" w:firstLineChars="0"/>
              <w:contextualSpacing/>
              <w:jc w:val="center"/>
              <w:rPr>
                <w:rFonts w:hint="default" w:ascii="Times New Roman" w:hAnsi="Times New Roman" w:eastAsia="宋体" w:cs="Times New Roman"/>
                <w:bCs/>
                <w:color w:val="auto"/>
                <w:kern w:val="2"/>
                <w:sz w:val="21"/>
                <w:szCs w:val="21"/>
                <w:highlight w:val="none"/>
                <w:u w:val="single"/>
                <w:lang w:val="en-US" w:eastAsia="zh-CN"/>
              </w:rPr>
            </w:pPr>
            <w:r>
              <w:rPr>
                <w:rFonts w:hint="default" w:ascii="Times New Roman" w:hAnsi="Times New Roman" w:eastAsia="宋体" w:cs="Times New Roman"/>
                <w:bCs/>
                <w:color w:val="auto"/>
                <w:kern w:val="2"/>
                <w:sz w:val="21"/>
                <w:szCs w:val="21"/>
                <w:highlight w:val="none"/>
                <w:u w:val="single"/>
                <w:lang w:val="en-US" w:eastAsia="zh-CN"/>
              </w:rPr>
              <w:t>地面</w:t>
            </w:r>
            <w:r>
              <w:rPr>
                <w:rFonts w:hint="eastAsia" w:eastAsia="宋体" w:cs="Times New Roman"/>
                <w:bCs/>
                <w:color w:val="auto"/>
                <w:kern w:val="2"/>
                <w:sz w:val="21"/>
                <w:szCs w:val="21"/>
                <w:highlight w:val="none"/>
                <w:u w:val="single"/>
                <w:lang w:val="en-US" w:eastAsia="zh-CN"/>
              </w:rPr>
              <w:t>、</w:t>
            </w:r>
            <w:r>
              <w:rPr>
                <w:rFonts w:hint="default" w:ascii="Times New Roman" w:hAnsi="Times New Roman" w:eastAsia="宋体" w:cs="Times New Roman"/>
                <w:bCs/>
                <w:color w:val="auto"/>
                <w:kern w:val="2"/>
                <w:sz w:val="21"/>
                <w:szCs w:val="21"/>
                <w:highlight w:val="none"/>
                <w:u w:val="single"/>
                <w:lang w:val="en-US" w:eastAsia="zh-CN"/>
              </w:rPr>
              <w:t>墙裙、围堰</w:t>
            </w:r>
          </w:p>
        </w:tc>
        <w:tc>
          <w:tcPr>
            <w:tcW w:w="872" w:type="pct"/>
            <w:noWrap/>
            <w:tcMar>
              <w:top w:w="57" w:type="dxa"/>
              <w:bottom w:w="57" w:type="dxa"/>
            </w:tcMar>
            <w:vAlign w:val="center"/>
          </w:tcPr>
          <w:p>
            <w:pPr>
              <w:adjustRightInd w:val="0"/>
              <w:snapToGrid w:val="0"/>
              <w:spacing w:line="30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rPr>
            </w:pPr>
            <w:r>
              <w:rPr>
                <w:rFonts w:hint="default" w:ascii="Times New Roman" w:hAnsi="Times New Roman" w:eastAsia="宋体" w:cs="Times New Roman"/>
                <w:bCs/>
                <w:snapToGrid w:val="0"/>
                <w:color w:val="auto"/>
                <w:kern w:val="0"/>
                <w:sz w:val="21"/>
                <w:szCs w:val="21"/>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5" w:type="pct"/>
            <w:noWrap/>
            <w:tcMar>
              <w:top w:w="57" w:type="dxa"/>
              <w:bottom w:w="57" w:type="dxa"/>
            </w:tcMar>
            <w:vAlign w:val="center"/>
          </w:tcPr>
          <w:p>
            <w:pPr>
              <w:adjustRightInd w:val="0"/>
              <w:snapToGrid w:val="0"/>
              <w:spacing w:line="24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lang w:val="en-US" w:eastAsia="zh-CN"/>
              </w:rPr>
            </w:pPr>
            <w:r>
              <w:rPr>
                <w:rFonts w:hint="eastAsia" w:eastAsia="宋体" w:cs="Times New Roman"/>
                <w:bCs/>
                <w:snapToGrid w:val="0"/>
                <w:color w:val="auto"/>
                <w:kern w:val="0"/>
                <w:sz w:val="21"/>
                <w:szCs w:val="21"/>
                <w:highlight w:val="none"/>
                <w:u w:val="single"/>
                <w:lang w:val="en-US" w:eastAsia="zh-CN"/>
              </w:rPr>
              <w:t>6</w:t>
            </w:r>
          </w:p>
        </w:tc>
        <w:tc>
          <w:tcPr>
            <w:tcW w:w="2609" w:type="pct"/>
            <w:noWrap/>
            <w:tcMar>
              <w:top w:w="57" w:type="dxa"/>
              <w:bottom w:w="57" w:type="dxa"/>
            </w:tcMar>
            <w:vAlign w:val="center"/>
          </w:tcPr>
          <w:p>
            <w:pPr>
              <w:adjustRightInd w:val="0"/>
              <w:snapToGrid w:val="0"/>
              <w:spacing w:line="24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lang w:val="en-US" w:eastAsia="zh-CN"/>
              </w:rPr>
            </w:pPr>
            <w:r>
              <w:rPr>
                <w:rFonts w:hint="default" w:ascii="Times New Roman" w:hAnsi="Times New Roman" w:eastAsia="宋体" w:cs="Times New Roman"/>
                <w:bCs/>
                <w:snapToGrid w:val="0"/>
                <w:color w:val="auto"/>
                <w:kern w:val="0"/>
                <w:sz w:val="21"/>
                <w:szCs w:val="21"/>
                <w:highlight w:val="none"/>
                <w:u w:val="single"/>
                <w:lang w:val="en-US" w:eastAsia="zh-CN"/>
              </w:rPr>
              <w:t>罐区</w:t>
            </w:r>
            <w:r>
              <w:rPr>
                <w:rFonts w:hint="eastAsia" w:eastAsia="宋体" w:cs="Times New Roman"/>
                <w:bCs/>
                <w:snapToGrid w:val="0"/>
                <w:color w:val="auto"/>
                <w:kern w:val="0"/>
                <w:sz w:val="21"/>
                <w:szCs w:val="21"/>
                <w:highlight w:val="none"/>
                <w:u w:val="single"/>
                <w:lang w:val="en-US" w:eastAsia="zh-CN"/>
              </w:rPr>
              <w:t>、中间罐区</w:t>
            </w:r>
            <w:r>
              <w:rPr>
                <w:rFonts w:hint="default" w:ascii="Times New Roman" w:hAnsi="Times New Roman" w:eastAsia="宋体" w:cs="Times New Roman"/>
                <w:bCs/>
                <w:snapToGrid w:val="0"/>
                <w:color w:val="auto"/>
                <w:kern w:val="0"/>
                <w:sz w:val="21"/>
                <w:szCs w:val="21"/>
                <w:highlight w:val="none"/>
                <w:u w:val="single"/>
                <w:lang w:val="en-US" w:eastAsia="zh-CN"/>
              </w:rPr>
              <w:t>围堰及地面</w:t>
            </w:r>
          </w:p>
        </w:tc>
        <w:tc>
          <w:tcPr>
            <w:tcW w:w="1142" w:type="pct"/>
            <w:noWrap/>
            <w:tcMar>
              <w:top w:w="57" w:type="dxa"/>
              <w:bottom w:w="57" w:type="dxa"/>
            </w:tcMar>
            <w:vAlign w:val="center"/>
          </w:tcPr>
          <w:p>
            <w:pPr>
              <w:adjustRightInd w:val="0"/>
              <w:snapToGrid w:val="0"/>
              <w:spacing w:line="24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lang w:val="en-US" w:eastAsia="zh-CN"/>
              </w:rPr>
            </w:pPr>
            <w:r>
              <w:rPr>
                <w:rFonts w:hint="default" w:ascii="Times New Roman" w:hAnsi="Times New Roman" w:eastAsia="宋体" w:cs="Times New Roman"/>
                <w:bCs/>
                <w:snapToGrid w:val="0"/>
                <w:color w:val="auto"/>
                <w:kern w:val="0"/>
                <w:sz w:val="21"/>
                <w:szCs w:val="21"/>
                <w:highlight w:val="none"/>
                <w:u w:val="single"/>
                <w:lang w:val="en-US" w:eastAsia="zh-CN"/>
              </w:rPr>
              <w:t>围堰及地面</w:t>
            </w:r>
          </w:p>
        </w:tc>
        <w:tc>
          <w:tcPr>
            <w:tcW w:w="872" w:type="pct"/>
            <w:noWrap/>
            <w:tcMar>
              <w:top w:w="57" w:type="dxa"/>
              <w:bottom w:w="57" w:type="dxa"/>
            </w:tcMar>
            <w:vAlign w:val="center"/>
          </w:tcPr>
          <w:p>
            <w:pPr>
              <w:adjustRightInd w:val="0"/>
              <w:snapToGrid w:val="0"/>
              <w:spacing w:line="30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rPr>
            </w:pPr>
            <w:r>
              <w:rPr>
                <w:rFonts w:hint="default" w:ascii="Times New Roman" w:hAnsi="Times New Roman" w:eastAsia="宋体" w:cs="Times New Roman"/>
                <w:bCs/>
                <w:snapToGrid w:val="0"/>
                <w:color w:val="auto"/>
                <w:kern w:val="0"/>
                <w:sz w:val="21"/>
                <w:szCs w:val="21"/>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75" w:type="pct"/>
            <w:noWrap/>
            <w:tcMar>
              <w:top w:w="57" w:type="dxa"/>
              <w:bottom w:w="57" w:type="dxa"/>
            </w:tcMar>
            <w:vAlign w:val="center"/>
          </w:tcPr>
          <w:p>
            <w:pPr>
              <w:adjustRightInd w:val="0"/>
              <w:snapToGrid w:val="0"/>
              <w:spacing w:line="24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lang w:val="en-US" w:eastAsia="zh-CN"/>
              </w:rPr>
            </w:pPr>
            <w:r>
              <w:rPr>
                <w:rFonts w:hint="eastAsia" w:eastAsia="宋体" w:cs="Times New Roman"/>
                <w:bCs/>
                <w:snapToGrid w:val="0"/>
                <w:color w:val="auto"/>
                <w:kern w:val="0"/>
                <w:sz w:val="21"/>
                <w:szCs w:val="21"/>
                <w:highlight w:val="none"/>
                <w:u w:val="single"/>
                <w:lang w:val="en-US" w:eastAsia="zh-CN"/>
              </w:rPr>
              <w:t>7</w:t>
            </w:r>
          </w:p>
        </w:tc>
        <w:tc>
          <w:tcPr>
            <w:tcW w:w="2609" w:type="pct"/>
            <w:noWrap/>
            <w:tcMar>
              <w:top w:w="57" w:type="dxa"/>
              <w:bottom w:w="57" w:type="dxa"/>
            </w:tcMar>
            <w:vAlign w:val="center"/>
          </w:tcPr>
          <w:p>
            <w:pPr>
              <w:adjustRightInd w:val="0"/>
              <w:snapToGrid w:val="0"/>
              <w:spacing w:line="24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lang w:val="en-US" w:eastAsia="zh-CN"/>
              </w:rPr>
            </w:pPr>
            <w:r>
              <w:rPr>
                <w:rFonts w:hint="default" w:ascii="Times New Roman" w:hAnsi="Times New Roman" w:eastAsia="宋体" w:cs="Times New Roman"/>
                <w:bCs/>
                <w:snapToGrid w:val="0"/>
                <w:color w:val="auto"/>
                <w:kern w:val="0"/>
                <w:sz w:val="21"/>
                <w:szCs w:val="21"/>
                <w:highlight w:val="none"/>
                <w:u w:val="single"/>
                <w:lang w:val="en-US" w:eastAsia="zh-CN"/>
              </w:rPr>
              <w:t>事故池、循环水池</w:t>
            </w:r>
          </w:p>
        </w:tc>
        <w:tc>
          <w:tcPr>
            <w:tcW w:w="1142" w:type="pct"/>
            <w:noWrap/>
            <w:tcMar>
              <w:top w:w="57" w:type="dxa"/>
              <w:bottom w:w="57" w:type="dxa"/>
            </w:tcMar>
            <w:vAlign w:val="center"/>
          </w:tcPr>
          <w:p>
            <w:pPr>
              <w:adjustRightInd w:val="0"/>
              <w:snapToGrid w:val="0"/>
              <w:spacing w:line="24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rPr>
            </w:pPr>
            <w:r>
              <w:rPr>
                <w:rFonts w:hint="default" w:ascii="Times New Roman" w:hAnsi="Times New Roman" w:eastAsia="宋体" w:cs="Times New Roman"/>
                <w:bCs/>
                <w:color w:val="auto"/>
                <w:kern w:val="2"/>
                <w:sz w:val="21"/>
                <w:szCs w:val="21"/>
                <w:highlight w:val="none"/>
                <w:u w:val="single"/>
                <w:lang w:val="en-US" w:eastAsia="zh-CN"/>
              </w:rPr>
              <w:t>底板及壁板</w:t>
            </w:r>
          </w:p>
        </w:tc>
        <w:tc>
          <w:tcPr>
            <w:tcW w:w="872" w:type="pct"/>
            <w:noWrap/>
            <w:tcMar>
              <w:top w:w="57" w:type="dxa"/>
              <w:bottom w:w="57" w:type="dxa"/>
            </w:tcMar>
            <w:vAlign w:val="center"/>
          </w:tcPr>
          <w:p>
            <w:pPr>
              <w:adjustRightInd w:val="0"/>
              <w:snapToGrid w:val="0"/>
              <w:spacing w:line="30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rPr>
            </w:pPr>
            <w:r>
              <w:rPr>
                <w:rFonts w:hint="default" w:ascii="Times New Roman" w:hAnsi="Times New Roman" w:eastAsia="宋体" w:cs="Times New Roman"/>
                <w:bCs/>
                <w:snapToGrid w:val="0"/>
                <w:color w:val="auto"/>
                <w:kern w:val="0"/>
                <w:sz w:val="21"/>
                <w:szCs w:val="21"/>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75" w:type="pct"/>
            <w:noWrap/>
            <w:tcMar>
              <w:top w:w="57" w:type="dxa"/>
              <w:bottom w:w="57" w:type="dxa"/>
            </w:tcMar>
            <w:vAlign w:val="center"/>
          </w:tcPr>
          <w:p>
            <w:pPr>
              <w:adjustRightInd w:val="0"/>
              <w:snapToGrid w:val="0"/>
              <w:spacing w:line="30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lang w:val="en-US" w:eastAsia="zh-CN"/>
              </w:rPr>
            </w:pPr>
            <w:r>
              <w:rPr>
                <w:rFonts w:hint="eastAsia" w:eastAsia="宋体" w:cs="Times New Roman"/>
                <w:bCs/>
                <w:snapToGrid w:val="0"/>
                <w:color w:val="auto"/>
                <w:kern w:val="0"/>
                <w:sz w:val="21"/>
                <w:szCs w:val="21"/>
                <w:highlight w:val="none"/>
                <w:u w:val="single"/>
                <w:lang w:val="en-US" w:eastAsia="zh-CN"/>
              </w:rPr>
              <w:t>8</w:t>
            </w:r>
          </w:p>
        </w:tc>
        <w:tc>
          <w:tcPr>
            <w:tcW w:w="2609" w:type="pct"/>
            <w:noWrap/>
            <w:tcMar>
              <w:top w:w="57" w:type="dxa"/>
              <w:bottom w:w="57" w:type="dxa"/>
            </w:tcMar>
            <w:vAlign w:val="center"/>
          </w:tcPr>
          <w:p>
            <w:pPr>
              <w:adjustRightInd w:val="0"/>
              <w:snapToGrid w:val="0"/>
              <w:spacing w:line="300" w:lineRule="auto"/>
              <w:ind w:firstLine="0" w:firstLineChars="0"/>
              <w:contextualSpacing/>
              <w:jc w:val="center"/>
              <w:rPr>
                <w:rFonts w:hint="default" w:ascii="Times New Roman" w:hAnsi="Times New Roman" w:eastAsia="宋体" w:cs="Times New Roman"/>
                <w:bCs/>
                <w:color w:val="auto"/>
                <w:kern w:val="2"/>
                <w:sz w:val="21"/>
                <w:szCs w:val="21"/>
                <w:highlight w:val="none"/>
                <w:u w:val="single"/>
                <w:lang w:val="en-US" w:eastAsia="zh-CN"/>
              </w:rPr>
            </w:pPr>
            <w:r>
              <w:rPr>
                <w:rFonts w:hint="eastAsia" w:eastAsia="宋体" w:cs="Times New Roman"/>
                <w:bCs/>
                <w:snapToGrid w:val="0"/>
                <w:color w:val="auto"/>
                <w:kern w:val="0"/>
                <w:sz w:val="21"/>
                <w:szCs w:val="21"/>
                <w:highlight w:val="none"/>
                <w:u w:val="single"/>
                <w:lang w:val="en-US" w:eastAsia="zh-CN"/>
              </w:rPr>
              <w:t>生产车间、精馏塔、危废焚烧炉设备界区、RTO设备处理区</w:t>
            </w:r>
          </w:p>
        </w:tc>
        <w:tc>
          <w:tcPr>
            <w:tcW w:w="1142" w:type="pct"/>
            <w:noWrap/>
            <w:tcMar>
              <w:top w:w="57" w:type="dxa"/>
              <w:bottom w:w="57" w:type="dxa"/>
            </w:tcMar>
            <w:vAlign w:val="center"/>
          </w:tcPr>
          <w:p>
            <w:pPr>
              <w:adjustRightInd w:val="0"/>
              <w:snapToGrid w:val="0"/>
              <w:spacing w:line="300" w:lineRule="auto"/>
              <w:ind w:firstLine="0" w:firstLineChars="0"/>
              <w:contextualSpacing/>
              <w:jc w:val="center"/>
              <w:rPr>
                <w:rFonts w:hint="default" w:ascii="Times New Roman" w:hAnsi="Times New Roman" w:eastAsia="宋体" w:cs="Times New Roman"/>
                <w:bCs/>
                <w:color w:val="auto"/>
                <w:kern w:val="2"/>
                <w:sz w:val="21"/>
                <w:szCs w:val="21"/>
                <w:highlight w:val="none"/>
                <w:u w:val="single"/>
              </w:rPr>
            </w:pPr>
            <w:r>
              <w:rPr>
                <w:rFonts w:hint="default" w:ascii="Times New Roman" w:hAnsi="Times New Roman" w:eastAsia="宋体" w:cs="Times New Roman"/>
                <w:bCs/>
                <w:snapToGrid w:val="0"/>
                <w:color w:val="auto"/>
                <w:kern w:val="0"/>
                <w:sz w:val="21"/>
                <w:szCs w:val="21"/>
                <w:highlight w:val="none"/>
                <w:u w:val="single"/>
                <w:lang w:val="en-US" w:eastAsia="zh-CN"/>
              </w:rPr>
              <w:t>地面</w:t>
            </w:r>
          </w:p>
        </w:tc>
        <w:tc>
          <w:tcPr>
            <w:tcW w:w="872" w:type="pct"/>
            <w:noWrap/>
            <w:tcMar>
              <w:top w:w="57" w:type="dxa"/>
              <w:bottom w:w="57" w:type="dxa"/>
            </w:tcMar>
            <w:vAlign w:val="center"/>
          </w:tcPr>
          <w:p>
            <w:pPr>
              <w:adjustRightInd w:val="0"/>
              <w:snapToGrid w:val="0"/>
              <w:spacing w:line="30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rPr>
            </w:pPr>
            <w:r>
              <w:rPr>
                <w:rFonts w:hint="default" w:ascii="Times New Roman" w:hAnsi="Times New Roman" w:eastAsia="宋体" w:cs="Times New Roman"/>
                <w:bCs/>
                <w:snapToGrid w:val="0"/>
                <w:color w:val="auto"/>
                <w:kern w:val="0"/>
                <w:sz w:val="21"/>
                <w:szCs w:val="21"/>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75" w:type="pct"/>
            <w:noWrap/>
            <w:tcMar>
              <w:top w:w="57" w:type="dxa"/>
              <w:bottom w:w="57" w:type="dxa"/>
            </w:tcMar>
            <w:vAlign w:val="center"/>
          </w:tcPr>
          <w:p>
            <w:pPr>
              <w:adjustRightInd w:val="0"/>
              <w:snapToGrid w:val="0"/>
              <w:spacing w:line="24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lang w:val="en-US" w:eastAsia="zh-CN"/>
              </w:rPr>
            </w:pPr>
            <w:r>
              <w:rPr>
                <w:rFonts w:hint="eastAsia" w:eastAsia="宋体" w:cs="Times New Roman"/>
                <w:bCs/>
                <w:snapToGrid w:val="0"/>
                <w:color w:val="auto"/>
                <w:kern w:val="0"/>
                <w:sz w:val="21"/>
                <w:szCs w:val="21"/>
                <w:highlight w:val="none"/>
                <w:u w:val="single"/>
                <w:lang w:val="en-US" w:eastAsia="zh-CN"/>
              </w:rPr>
              <w:t>9</w:t>
            </w:r>
          </w:p>
        </w:tc>
        <w:tc>
          <w:tcPr>
            <w:tcW w:w="2609" w:type="pct"/>
            <w:noWrap/>
            <w:tcMar>
              <w:top w:w="57" w:type="dxa"/>
              <w:bottom w:w="57" w:type="dxa"/>
            </w:tcMar>
            <w:vAlign w:val="center"/>
          </w:tcPr>
          <w:p>
            <w:pPr>
              <w:adjustRightInd w:val="0"/>
              <w:snapToGrid w:val="0"/>
              <w:spacing w:line="240" w:lineRule="auto"/>
              <w:ind w:firstLine="0" w:firstLineChars="0"/>
              <w:contextualSpacing/>
              <w:jc w:val="center"/>
              <w:rPr>
                <w:rFonts w:hint="default" w:ascii="Times New Roman" w:hAnsi="Times New Roman" w:eastAsia="宋体" w:cs="Times New Roman"/>
                <w:bCs/>
                <w:color w:val="auto"/>
                <w:kern w:val="2"/>
                <w:sz w:val="21"/>
                <w:szCs w:val="21"/>
                <w:highlight w:val="none"/>
                <w:u w:val="single"/>
                <w:lang w:val="en-US" w:eastAsia="zh-CN"/>
              </w:rPr>
            </w:pPr>
            <w:r>
              <w:rPr>
                <w:rFonts w:hint="eastAsia" w:eastAsia="宋体" w:cs="Times New Roman"/>
                <w:bCs/>
                <w:color w:val="auto"/>
                <w:kern w:val="2"/>
                <w:sz w:val="21"/>
                <w:szCs w:val="21"/>
                <w:highlight w:val="none"/>
                <w:u w:val="single"/>
                <w:lang w:val="en-US" w:eastAsia="zh-CN"/>
              </w:rPr>
              <w:t>原料</w:t>
            </w:r>
            <w:r>
              <w:rPr>
                <w:rFonts w:hint="default" w:ascii="Times New Roman" w:hAnsi="Times New Roman" w:eastAsia="宋体" w:cs="Times New Roman"/>
                <w:bCs/>
                <w:color w:val="auto"/>
                <w:kern w:val="2"/>
                <w:sz w:val="21"/>
                <w:szCs w:val="21"/>
                <w:highlight w:val="none"/>
                <w:u w:val="single"/>
                <w:lang w:val="en-US" w:eastAsia="zh-CN"/>
              </w:rPr>
              <w:t>库、检测中心</w:t>
            </w:r>
            <w:r>
              <w:rPr>
                <w:rFonts w:hint="default" w:ascii="Times New Roman" w:hAnsi="Times New Roman" w:eastAsia="宋体" w:cs="Times New Roman"/>
                <w:bCs/>
                <w:snapToGrid w:val="0"/>
                <w:color w:val="auto"/>
                <w:kern w:val="0"/>
                <w:sz w:val="21"/>
                <w:szCs w:val="21"/>
                <w:highlight w:val="none"/>
                <w:u w:val="single"/>
                <w:lang w:val="en-US" w:eastAsia="zh-CN"/>
              </w:rPr>
              <w:t>、固废间、维修间</w:t>
            </w:r>
            <w:r>
              <w:rPr>
                <w:rFonts w:hint="eastAsia" w:eastAsia="宋体" w:cs="Times New Roman"/>
                <w:bCs/>
                <w:snapToGrid w:val="0"/>
                <w:color w:val="auto"/>
                <w:kern w:val="0"/>
                <w:sz w:val="21"/>
                <w:szCs w:val="21"/>
                <w:highlight w:val="none"/>
                <w:u w:val="single"/>
                <w:lang w:val="en-US" w:eastAsia="zh-CN"/>
              </w:rPr>
              <w:t>、污泥间、</w:t>
            </w:r>
            <w:r>
              <w:rPr>
                <w:rFonts w:hint="default" w:ascii="Times New Roman" w:hAnsi="Times New Roman" w:eastAsia="宋体" w:cs="Times New Roman"/>
                <w:bCs/>
                <w:color w:val="auto"/>
                <w:kern w:val="2"/>
                <w:sz w:val="21"/>
                <w:szCs w:val="21"/>
                <w:highlight w:val="none"/>
                <w:u w:val="single"/>
                <w:lang w:val="en-US" w:eastAsia="zh-CN"/>
              </w:rPr>
              <w:t>成品库</w:t>
            </w:r>
          </w:p>
        </w:tc>
        <w:tc>
          <w:tcPr>
            <w:tcW w:w="1142" w:type="pct"/>
            <w:noWrap/>
            <w:tcMar>
              <w:top w:w="57" w:type="dxa"/>
              <w:bottom w:w="57" w:type="dxa"/>
            </w:tcMar>
            <w:vAlign w:val="center"/>
          </w:tcPr>
          <w:p>
            <w:pPr>
              <w:adjustRightInd w:val="0"/>
              <w:snapToGrid w:val="0"/>
              <w:spacing w:line="240" w:lineRule="auto"/>
              <w:ind w:firstLine="0" w:firstLineChars="0"/>
              <w:contextualSpacing/>
              <w:jc w:val="center"/>
              <w:rPr>
                <w:rFonts w:hint="default" w:ascii="Times New Roman" w:hAnsi="Times New Roman" w:eastAsia="宋体" w:cs="Times New Roman"/>
                <w:bCs/>
                <w:color w:val="auto"/>
                <w:kern w:val="2"/>
                <w:sz w:val="21"/>
                <w:szCs w:val="21"/>
                <w:highlight w:val="none"/>
                <w:u w:val="single"/>
              </w:rPr>
            </w:pPr>
            <w:r>
              <w:rPr>
                <w:rFonts w:hint="default" w:ascii="Times New Roman" w:hAnsi="Times New Roman" w:eastAsia="宋体" w:cs="Times New Roman"/>
                <w:bCs/>
                <w:snapToGrid w:val="0"/>
                <w:color w:val="auto"/>
                <w:kern w:val="0"/>
                <w:sz w:val="21"/>
                <w:szCs w:val="21"/>
                <w:highlight w:val="none"/>
                <w:u w:val="single"/>
              </w:rPr>
              <w:t>地面</w:t>
            </w:r>
          </w:p>
        </w:tc>
        <w:tc>
          <w:tcPr>
            <w:tcW w:w="872" w:type="pct"/>
            <w:noWrap/>
            <w:tcMar>
              <w:top w:w="57" w:type="dxa"/>
              <w:bottom w:w="57" w:type="dxa"/>
            </w:tcMar>
            <w:vAlign w:val="center"/>
          </w:tcPr>
          <w:p>
            <w:pPr>
              <w:adjustRightInd w:val="0"/>
              <w:snapToGrid w:val="0"/>
              <w:spacing w:line="30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rPr>
            </w:pPr>
            <w:r>
              <w:rPr>
                <w:rFonts w:hint="default" w:ascii="Times New Roman" w:hAnsi="Times New Roman" w:eastAsia="宋体" w:cs="Times New Roman"/>
                <w:bCs/>
                <w:snapToGrid w:val="0"/>
                <w:color w:val="auto"/>
                <w:kern w:val="0"/>
                <w:sz w:val="21"/>
                <w:szCs w:val="21"/>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75" w:type="pct"/>
            <w:noWrap/>
            <w:tcMar>
              <w:top w:w="57" w:type="dxa"/>
              <w:bottom w:w="57" w:type="dxa"/>
            </w:tcMar>
            <w:vAlign w:val="center"/>
          </w:tcPr>
          <w:p>
            <w:pPr>
              <w:adjustRightInd w:val="0"/>
              <w:snapToGrid w:val="0"/>
              <w:spacing w:line="30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lang w:val="en-US" w:eastAsia="zh-CN"/>
              </w:rPr>
            </w:pPr>
            <w:r>
              <w:rPr>
                <w:rFonts w:hint="eastAsia" w:eastAsia="宋体" w:cs="Times New Roman"/>
                <w:bCs/>
                <w:snapToGrid w:val="0"/>
                <w:color w:val="auto"/>
                <w:kern w:val="0"/>
                <w:sz w:val="21"/>
                <w:szCs w:val="21"/>
                <w:highlight w:val="none"/>
                <w:u w:val="single"/>
                <w:lang w:val="en-US" w:eastAsia="zh-CN"/>
              </w:rPr>
              <w:t>10</w:t>
            </w:r>
          </w:p>
        </w:tc>
        <w:tc>
          <w:tcPr>
            <w:tcW w:w="2609" w:type="pct"/>
            <w:noWrap/>
            <w:tcMar>
              <w:top w:w="57" w:type="dxa"/>
              <w:bottom w:w="57" w:type="dxa"/>
            </w:tcMar>
            <w:vAlign w:val="center"/>
          </w:tcPr>
          <w:p>
            <w:pPr>
              <w:adjustRightInd w:val="0"/>
              <w:snapToGrid w:val="0"/>
              <w:spacing w:line="240" w:lineRule="auto"/>
              <w:ind w:firstLine="0" w:firstLineChars="0"/>
              <w:contextualSpacing/>
              <w:jc w:val="center"/>
              <w:rPr>
                <w:rFonts w:hint="default" w:ascii="Times New Roman" w:hAnsi="Times New Roman" w:eastAsia="宋体" w:cs="Times New Roman"/>
                <w:bCs/>
                <w:color w:val="auto"/>
                <w:kern w:val="2"/>
                <w:sz w:val="21"/>
                <w:szCs w:val="21"/>
                <w:highlight w:val="none"/>
                <w:u w:val="single"/>
                <w:lang w:val="en-US" w:eastAsia="zh-CN"/>
              </w:rPr>
            </w:pPr>
            <w:r>
              <w:rPr>
                <w:rFonts w:hint="eastAsia" w:eastAsia="宋体" w:cs="Times New Roman"/>
                <w:bCs/>
                <w:color w:val="auto"/>
                <w:kern w:val="2"/>
                <w:sz w:val="21"/>
                <w:szCs w:val="21"/>
                <w:highlight w:val="none"/>
                <w:u w:val="single"/>
                <w:lang w:val="en-US" w:eastAsia="zh-CN"/>
              </w:rPr>
              <w:t>办公楼、宿舍</w:t>
            </w:r>
            <w:r>
              <w:rPr>
                <w:rFonts w:hint="default" w:ascii="Times New Roman" w:hAnsi="Times New Roman" w:eastAsia="宋体" w:cs="Times New Roman"/>
                <w:bCs/>
                <w:color w:val="auto"/>
                <w:kern w:val="2"/>
                <w:sz w:val="21"/>
                <w:szCs w:val="21"/>
                <w:highlight w:val="none"/>
                <w:u w:val="single"/>
                <w:lang w:val="en-US" w:eastAsia="zh-CN"/>
              </w:rPr>
              <w:t>、厂区路面、</w:t>
            </w:r>
            <w:r>
              <w:rPr>
                <w:rFonts w:hint="eastAsia" w:eastAsia="宋体" w:cs="Times New Roman"/>
                <w:bCs/>
                <w:color w:val="auto"/>
                <w:kern w:val="2"/>
                <w:sz w:val="21"/>
                <w:szCs w:val="21"/>
                <w:highlight w:val="none"/>
                <w:u w:val="single"/>
                <w:lang w:val="en-US" w:eastAsia="zh-CN"/>
              </w:rPr>
              <w:t>绿化区</w:t>
            </w:r>
          </w:p>
        </w:tc>
        <w:tc>
          <w:tcPr>
            <w:tcW w:w="1142" w:type="pct"/>
            <w:noWrap/>
            <w:tcMar>
              <w:top w:w="57" w:type="dxa"/>
              <w:bottom w:w="57" w:type="dxa"/>
            </w:tcMar>
            <w:vAlign w:val="center"/>
          </w:tcPr>
          <w:p>
            <w:pPr>
              <w:adjustRightInd w:val="0"/>
              <w:snapToGrid w:val="0"/>
              <w:spacing w:line="240" w:lineRule="auto"/>
              <w:ind w:firstLine="0" w:firstLineChars="0"/>
              <w:contextualSpacing/>
              <w:jc w:val="center"/>
              <w:rPr>
                <w:rFonts w:hint="default" w:ascii="Times New Roman" w:hAnsi="Times New Roman" w:eastAsia="宋体" w:cs="Times New Roman"/>
                <w:bCs/>
                <w:color w:val="auto"/>
                <w:kern w:val="2"/>
                <w:sz w:val="21"/>
                <w:szCs w:val="21"/>
                <w:highlight w:val="none"/>
                <w:u w:val="single"/>
              </w:rPr>
            </w:pPr>
            <w:r>
              <w:rPr>
                <w:rFonts w:hint="default" w:ascii="Times New Roman" w:hAnsi="Times New Roman" w:eastAsia="宋体" w:cs="Times New Roman"/>
                <w:bCs/>
                <w:snapToGrid w:val="0"/>
                <w:color w:val="auto"/>
                <w:kern w:val="0"/>
                <w:sz w:val="21"/>
                <w:szCs w:val="21"/>
                <w:highlight w:val="none"/>
                <w:u w:val="single"/>
              </w:rPr>
              <w:t>地面</w:t>
            </w:r>
          </w:p>
        </w:tc>
        <w:tc>
          <w:tcPr>
            <w:tcW w:w="872" w:type="pct"/>
            <w:noWrap/>
            <w:tcMar>
              <w:top w:w="57" w:type="dxa"/>
              <w:bottom w:w="57" w:type="dxa"/>
            </w:tcMar>
            <w:vAlign w:val="center"/>
          </w:tcPr>
          <w:p>
            <w:pPr>
              <w:adjustRightInd w:val="0"/>
              <w:snapToGrid w:val="0"/>
              <w:spacing w:line="300" w:lineRule="auto"/>
              <w:ind w:firstLine="0" w:firstLineChars="0"/>
              <w:contextualSpacing/>
              <w:jc w:val="center"/>
              <w:rPr>
                <w:rFonts w:hint="default" w:ascii="Times New Roman" w:hAnsi="Times New Roman" w:eastAsia="宋体" w:cs="Times New Roman"/>
                <w:bCs/>
                <w:snapToGrid w:val="0"/>
                <w:color w:val="auto"/>
                <w:kern w:val="0"/>
                <w:sz w:val="21"/>
                <w:szCs w:val="21"/>
                <w:highlight w:val="none"/>
                <w:u w:val="single"/>
              </w:rPr>
            </w:pPr>
            <w:r>
              <w:rPr>
                <w:rFonts w:hint="default" w:ascii="Times New Roman" w:hAnsi="Times New Roman" w:eastAsia="宋体" w:cs="Times New Roman"/>
                <w:color w:val="auto"/>
                <w:sz w:val="21"/>
                <w:szCs w:val="24"/>
                <w:highlight w:val="none"/>
                <w:u w:val="single"/>
              </w:rPr>
              <mc:AlternateContent>
                <mc:Choice Requires="wps">
                  <w:drawing>
                    <wp:anchor distT="0" distB="0" distL="114300" distR="114300" simplePos="0" relativeHeight="251665408" behindDoc="0" locked="0" layoutInCell="1" allowOverlap="1">
                      <wp:simplePos x="0" y="0"/>
                      <wp:positionH relativeFrom="column">
                        <wp:posOffset>333375</wp:posOffset>
                      </wp:positionH>
                      <wp:positionV relativeFrom="paragraph">
                        <wp:posOffset>43815</wp:posOffset>
                      </wp:positionV>
                      <wp:extent cx="89535" cy="106045"/>
                      <wp:effectExtent l="12700" t="12700" r="19685" b="18415"/>
                      <wp:wrapNone/>
                      <wp:docPr id="80" name="椭圆 471"/>
                      <wp:cNvGraphicFramePr/>
                      <a:graphic xmlns:a="http://schemas.openxmlformats.org/drawingml/2006/main">
                        <a:graphicData uri="http://schemas.microsoft.com/office/word/2010/wordprocessingShape">
                          <wps:wsp>
                            <wps:cNvSpPr/>
                            <wps:spPr>
                              <a:xfrm>
                                <a:off x="0" y="0"/>
                                <a:ext cx="89535" cy="106045"/>
                              </a:xfrm>
                              <a:prstGeom prst="ellipse">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471" o:spid="_x0000_s1026" o:spt="3" type="#_x0000_t3" style="position:absolute;left:0pt;margin-left:26.25pt;margin-top:3.45pt;height:8.35pt;width:7.05pt;z-index:251665408;v-text-anchor:middle;mso-width-relative:page;mso-height-relative:page;" filled="f" stroked="t" coordsize="21600,21600" o:gfxdata="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LMaS31QAAAAYBAAAPAAAAAAAAAAEAIAAAACIAAABkcnMvZG93bnJldi54bWxQSwECFAAU&#10;AAAACACHTuJAG8Vw7GYCAADGBAAADgAAAAAAAAABACAAAAAkAQAAZHJzL2Uyb0RvYy54bWxQSwUG&#10;AAAAAAYABgBZAQAA/AUAAAAA&#10;">
                      <v:fill on="f" focussize="0,0"/>
                      <v:stroke weight="2pt" color="#000000" joinstyle="round"/>
                      <v:imagedata o:title=""/>
                      <o:lock v:ext="edit" aspectratio="f"/>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4"/>
            <w:noWrap/>
            <w:tcMar>
              <w:top w:w="57" w:type="dxa"/>
              <w:bottom w:w="57" w:type="dxa"/>
            </w:tcMar>
            <w:vAlign w:val="center"/>
          </w:tcPr>
          <w:p>
            <w:pPr>
              <w:adjustRightInd w:val="0"/>
              <w:snapToGrid w:val="0"/>
              <w:spacing w:line="300" w:lineRule="auto"/>
              <w:ind w:firstLine="210" w:firstLineChars="100"/>
              <w:contextualSpacing/>
              <w:rPr>
                <w:rFonts w:hint="default" w:ascii="Times New Roman" w:hAnsi="Times New Roman" w:eastAsia="宋体" w:cs="Times New Roman"/>
                <w:bCs/>
                <w:snapToGrid w:val="0"/>
                <w:color w:val="auto"/>
                <w:kern w:val="0"/>
                <w:sz w:val="21"/>
                <w:szCs w:val="21"/>
                <w:highlight w:val="none"/>
                <w:u w:val="single"/>
                <w:lang w:eastAsia="zh-CN"/>
              </w:rPr>
            </w:pPr>
            <w:r>
              <w:rPr>
                <w:rFonts w:hint="default" w:ascii="Times New Roman" w:hAnsi="Times New Roman" w:eastAsia="宋体" w:cs="Times New Roman"/>
                <w:color w:val="auto"/>
                <w:sz w:val="21"/>
                <w:szCs w:val="24"/>
                <w:highlight w:val="none"/>
                <w:u w:val="single"/>
              </w:rPr>
              <mc:AlternateContent>
                <mc:Choice Requires="wps">
                  <w:drawing>
                    <wp:anchor distT="0" distB="0" distL="114300" distR="114300" simplePos="0" relativeHeight="251664384" behindDoc="0" locked="0" layoutInCell="1" allowOverlap="1">
                      <wp:simplePos x="0" y="0"/>
                      <wp:positionH relativeFrom="column">
                        <wp:posOffset>3037840</wp:posOffset>
                      </wp:positionH>
                      <wp:positionV relativeFrom="paragraph">
                        <wp:posOffset>27305</wp:posOffset>
                      </wp:positionV>
                      <wp:extent cx="89535" cy="106045"/>
                      <wp:effectExtent l="12700" t="12700" r="19685" b="18415"/>
                      <wp:wrapNone/>
                      <wp:docPr id="81" name="椭圆 81"/>
                      <wp:cNvGraphicFramePr/>
                      <a:graphic xmlns:a="http://schemas.openxmlformats.org/drawingml/2006/main">
                        <a:graphicData uri="http://schemas.microsoft.com/office/word/2010/wordprocessingShape">
                          <wps:wsp>
                            <wps:cNvSpPr/>
                            <wps:spPr>
                              <a:xfrm>
                                <a:off x="0" y="0"/>
                                <a:ext cx="89535" cy="106045"/>
                              </a:xfrm>
                              <a:prstGeom prst="ellipse">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9.2pt;margin-top:2.15pt;height:8.35pt;width:7.05pt;z-index:251664384;v-text-anchor:middle;mso-width-relative:page;mso-height-relative:page;" filled="f" stroked="t" coordsize="21600,21600" o:gfxdata="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3Uz2tgAAAAIAQAADwAAAAAAAAABACAAAAAiAAAAZHJzL2Rvd25yZXYueG1sUEsBAhQA&#10;FAAAAAgAh07iQDDA8wBkAgAAxQQAAA4AAAAAAAAAAQAgAAAAJwEAAGRycy9lMm9Eb2MueG1sUEsF&#10;BgAAAAAGAAYAWQEAAP0FAAAAAA==&#10;">
                      <v:fill on="f" focussize="0,0"/>
                      <v:stroke weight="2pt" color="#000000" joinstyle="round"/>
                      <v:imagedata o:title=""/>
                      <o:lock v:ext="edit" aspectratio="f"/>
                    </v:shape>
                  </w:pict>
                </mc:Fallback>
              </mc:AlternateContent>
            </w:r>
            <w:r>
              <w:rPr>
                <w:rFonts w:hint="default" w:ascii="Times New Roman" w:hAnsi="Times New Roman" w:eastAsia="宋体" w:cs="Times New Roman"/>
                <w:bCs/>
                <w:snapToGrid w:val="0"/>
                <w:color w:val="auto"/>
                <w:kern w:val="0"/>
                <w:sz w:val="21"/>
                <w:szCs w:val="21"/>
                <w:highlight w:val="none"/>
                <w:u w:val="single"/>
              </w:rPr>
              <w:t>备注：◎一般防渗区/部位；●—重点防渗区/部位</w:t>
            </w:r>
            <w:r>
              <w:rPr>
                <w:rFonts w:hint="default" w:ascii="Times New Roman" w:hAnsi="Times New Roman" w:eastAsia="宋体" w:cs="Times New Roman"/>
                <w:bCs/>
                <w:snapToGrid w:val="0"/>
                <w:color w:val="auto"/>
                <w:kern w:val="0"/>
                <w:sz w:val="21"/>
                <w:szCs w:val="21"/>
                <w:highlight w:val="none"/>
                <w:u w:val="single"/>
                <w:lang w:eastAsia="zh-CN"/>
              </w:rPr>
              <w:t>；</w:t>
            </w:r>
            <w:r>
              <w:rPr>
                <w:rFonts w:hint="default" w:ascii="Times New Roman" w:hAnsi="Times New Roman" w:eastAsia="宋体" w:cs="Times New Roman"/>
                <w:bCs/>
                <w:snapToGrid w:val="0"/>
                <w:color w:val="auto"/>
                <w:kern w:val="0"/>
                <w:sz w:val="21"/>
                <w:szCs w:val="21"/>
                <w:highlight w:val="none"/>
                <w:u w:val="single"/>
                <w:lang w:val="en-US" w:eastAsia="zh-CN"/>
              </w:rPr>
              <w:t xml:space="preserve"> </w:t>
            </w:r>
            <w:r>
              <w:rPr>
                <w:rFonts w:hint="default" w:ascii="Times New Roman" w:hAnsi="Times New Roman" w:eastAsia="宋体" w:cs="Times New Roman"/>
                <w:bCs/>
                <w:snapToGrid w:val="0"/>
                <w:color w:val="auto"/>
                <w:kern w:val="0"/>
                <w:sz w:val="21"/>
                <w:szCs w:val="21"/>
                <w:highlight w:val="none"/>
                <w:u w:val="single"/>
              </w:rPr>
              <w:t>—</w:t>
            </w:r>
            <w:r>
              <w:rPr>
                <w:rFonts w:hint="default" w:ascii="Times New Roman" w:hAnsi="Times New Roman" w:eastAsia="宋体" w:cs="Times New Roman"/>
                <w:bCs/>
                <w:snapToGrid w:val="0"/>
                <w:color w:val="auto"/>
                <w:kern w:val="0"/>
                <w:sz w:val="21"/>
                <w:szCs w:val="21"/>
                <w:highlight w:val="none"/>
                <w:u w:val="single"/>
                <w:lang w:val="en-US" w:eastAsia="zh-CN"/>
              </w:rPr>
              <w:t>非污染防治区</w:t>
            </w:r>
            <w:r>
              <w:rPr>
                <w:rFonts w:hint="default" w:ascii="Times New Roman" w:hAnsi="Times New Roman" w:eastAsia="宋体" w:cs="Times New Roman"/>
                <w:bCs/>
                <w:snapToGrid w:val="0"/>
                <w:color w:val="auto"/>
                <w:kern w:val="0"/>
                <w:sz w:val="21"/>
                <w:szCs w:val="21"/>
                <w:highlight w:val="none"/>
                <w:u w:val="single"/>
              </w:rPr>
              <w:t>/部位</w:t>
            </w:r>
          </w:p>
        </w:tc>
      </w:tr>
      <w:bookmarkEnd w:id="73"/>
    </w:tbl>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lang w:val="en-US" w:eastAsia="zh-CN"/>
        </w:rPr>
        <w:t>2</w:t>
      </w:r>
      <w:r>
        <w:rPr>
          <w:rFonts w:hint="default" w:ascii="Times New Roman" w:hAnsi="Times New Roman" w:eastAsia="宋体" w:cs="Times New Roman"/>
          <w:color w:val="auto"/>
          <w:sz w:val="24"/>
          <w:szCs w:val="24"/>
          <w:highlight w:val="none"/>
          <w:u w:val="single"/>
          <w:lang w:eastAsia="zh-CN"/>
        </w:rPr>
        <w:t>）</w:t>
      </w:r>
      <w:r>
        <w:rPr>
          <w:rFonts w:hint="eastAsia" w:eastAsia="宋体" w:cs="Times New Roman"/>
          <w:color w:val="auto"/>
          <w:sz w:val="24"/>
          <w:szCs w:val="24"/>
          <w:highlight w:val="none"/>
          <w:u w:val="single"/>
          <w:lang w:val="en-US" w:eastAsia="zh-CN"/>
        </w:rPr>
        <w:t>分区</w:t>
      </w:r>
      <w:r>
        <w:rPr>
          <w:rFonts w:hint="default" w:ascii="Times New Roman" w:hAnsi="Times New Roman" w:eastAsia="宋体" w:cs="Times New Roman"/>
          <w:color w:val="auto"/>
          <w:sz w:val="24"/>
          <w:szCs w:val="24"/>
          <w:highlight w:val="none"/>
          <w:u w:val="single"/>
          <w:lang w:val="en-US" w:eastAsia="zh-CN"/>
        </w:rPr>
        <w:t>防渗措施</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各类分区防渗方案相对应的防渗标准如下：</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rPr>
        <w:t>①重点防渗区防渗标准：等效黏土防渗层Mb≥6.0m，K≤1×10</w:t>
      </w:r>
      <w:r>
        <w:rPr>
          <w:rFonts w:hint="default" w:ascii="Times New Roman" w:hAnsi="Times New Roman" w:eastAsia="宋体" w:cs="Times New Roman"/>
          <w:color w:val="auto"/>
          <w:sz w:val="24"/>
          <w:szCs w:val="24"/>
          <w:highlight w:val="none"/>
          <w:u w:val="single"/>
          <w:vertAlign w:val="superscript"/>
        </w:rPr>
        <w:t>-7</w:t>
      </w:r>
      <w:r>
        <w:rPr>
          <w:rFonts w:hint="default" w:ascii="Times New Roman" w:hAnsi="Times New Roman" w:eastAsia="宋体" w:cs="Times New Roman"/>
          <w:color w:val="auto"/>
          <w:sz w:val="24"/>
          <w:szCs w:val="24"/>
          <w:highlight w:val="none"/>
          <w:u w:val="single"/>
        </w:rPr>
        <w:t>cm/s，或参考GB18598执行。</w:t>
      </w:r>
      <w:r>
        <w:rPr>
          <w:rFonts w:hint="default" w:ascii="Times New Roman" w:hAnsi="Times New Roman" w:eastAsia="宋体" w:cs="Times New Roman"/>
          <w:color w:val="auto"/>
          <w:sz w:val="24"/>
          <w:szCs w:val="24"/>
          <w:highlight w:val="none"/>
          <w:u w:val="single"/>
          <w:lang w:val="en-US" w:eastAsia="zh-CN"/>
        </w:rPr>
        <w:t>其中危废间防渗要求：危险废物贮存场地面防渗根据《危险废物贮存污染控制标准》（GB18597-2001）进行设计，场地基础必须防渗，防渗层为至少 1m 厚粘土层（渗透系数≤10</w:t>
      </w:r>
      <w:r>
        <w:rPr>
          <w:rFonts w:hint="default" w:ascii="Times New Roman" w:hAnsi="Times New Roman" w:eastAsia="宋体" w:cs="Times New Roman"/>
          <w:color w:val="auto"/>
          <w:sz w:val="24"/>
          <w:szCs w:val="24"/>
          <w:highlight w:val="none"/>
          <w:u w:val="single"/>
          <w:vertAlign w:val="superscript"/>
          <w:lang w:val="en-US" w:eastAsia="zh-CN"/>
        </w:rPr>
        <w:t>-7</w:t>
      </w:r>
      <w:r>
        <w:rPr>
          <w:rFonts w:hint="default" w:ascii="Times New Roman" w:hAnsi="Times New Roman" w:eastAsia="宋体" w:cs="Times New Roman"/>
          <w:color w:val="auto"/>
          <w:sz w:val="24"/>
          <w:szCs w:val="24"/>
          <w:highlight w:val="none"/>
          <w:u w:val="single"/>
          <w:lang w:val="en-US" w:eastAsia="zh-CN"/>
        </w:rPr>
        <w:t>cm/s，或2mm厚高密度聚乙烯，或至少2mm厚的其他人工材料，渗透系数≤10</w:t>
      </w:r>
      <w:r>
        <w:rPr>
          <w:rFonts w:hint="default" w:ascii="Times New Roman" w:hAnsi="Times New Roman" w:eastAsia="宋体" w:cs="Times New Roman"/>
          <w:color w:val="auto"/>
          <w:sz w:val="24"/>
          <w:szCs w:val="24"/>
          <w:highlight w:val="none"/>
          <w:u w:val="single"/>
          <w:vertAlign w:val="superscript"/>
          <w:lang w:val="en-US" w:eastAsia="zh-CN"/>
        </w:rPr>
        <w:t>-10</w:t>
      </w:r>
      <w:r>
        <w:rPr>
          <w:rFonts w:hint="default" w:ascii="Times New Roman" w:hAnsi="Times New Roman" w:eastAsia="宋体" w:cs="Times New Roman"/>
          <w:color w:val="auto"/>
          <w:sz w:val="24"/>
          <w:szCs w:val="24"/>
          <w:highlight w:val="none"/>
          <w:u w:val="single"/>
          <w:lang w:val="en-US" w:eastAsia="zh-CN"/>
        </w:rPr>
        <w:t>cm/s。</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②一般防渗区：等效黏土防渗层Mb≥1.5m，K≤1×10</w:t>
      </w:r>
      <w:r>
        <w:rPr>
          <w:rFonts w:hint="default" w:ascii="Times New Roman" w:hAnsi="Times New Roman" w:eastAsia="宋体" w:cs="Times New Roman"/>
          <w:color w:val="auto"/>
          <w:sz w:val="24"/>
          <w:szCs w:val="24"/>
          <w:highlight w:val="none"/>
          <w:u w:val="single"/>
          <w:vertAlign w:val="superscript"/>
        </w:rPr>
        <w:t>-7</w:t>
      </w:r>
      <w:r>
        <w:rPr>
          <w:rFonts w:hint="default" w:ascii="Times New Roman" w:hAnsi="Times New Roman" w:eastAsia="宋体" w:cs="Times New Roman"/>
          <w:color w:val="auto"/>
          <w:sz w:val="24"/>
          <w:szCs w:val="24"/>
          <w:highlight w:val="none"/>
          <w:u w:val="single"/>
        </w:rPr>
        <w:t>cm/s，或参考GB16689执行。</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rPr>
        <w:t>③</w:t>
      </w:r>
      <w:r>
        <w:rPr>
          <w:rFonts w:hint="default" w:ascii="Times New Roman" w:hAnsi="Times New Roman" w:eastAsia="宋体" w:cs="Times New Roman"/>
          <w:color w:val="auto"/>
          <w:sz w:val="24"/>
          <w:szCs w:val="24"/>
          <w:highlight w:val="none"/>
          <w:u w:val="single"/>
          <w:lang w:val="en-US" w:eastAsia="zh-CN"/>
        </w:rPr>
        <w:t>非污染防治</w:t>
      </w:r>
      <w:r>
        <w:rPr>
          <w:rFonts w:hint="default" w:ascii="Times New Roman" w:hAnsi="Times New Roman" w:eastAsia="宋体" w:cs="Times New Roman"/>
          <w:color w:val="auto"/>
          <w:sz w:val="24"/>
          <w:szCs w:val="24"/>
          <w:highlight w:val="none"/>
          <w:u w:val="single"/>
        </w:rPr>
        <w:t>区：不采取专门针对地下水污染的防治措施，地基处理应分层压实或一般地面硬化措施。</w:t>
      </w:r>
    </w:p>
    <w:p>
      <w:pPr>
        <w:pStyle w:val="4"/>
        <w:bidi w:val="0"/>
        <w:rPr>
          <w:rFonts w:hint="default"/>
          <w:color w:val="auto"/>
          <w:highlight w:val="none"/>
          <w:u w:val="single"/>
          <w:lang w:val="en-US" w:eastAsia="zh-CN"/>
        </w:rPr>
      </w:pPr>
      <w:bookmarkStart w:id="74" w:name="_Toc18432"/>
      <w:r>
        <w:rPr>
          <w:rFonts w:hint="default"/>
          <w:color w:val="auto"/>
          <w:highlight w:val="none"/>
          <w:u w:val="single"/>
          <w:lang w:val="en-US" w:eastAsia="zh-CN"/>
        </w:rPr>
        <w:t>污染监控</w:t>
      </w:r>
      <w:bookmarkEnd w:id="74"/>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建议建设单位要建立和完善地下水</w:t>
      </w:r>
      <w:r>
        <w:rPr>
          <w:rFonts w:hint="eastAsia" w:eastAsia="宋体" w:cs="Times New Roman"/>
          <w:color w:val="auto"/>
          <w:sz w:val="24"/>
          <w:szCs w:val="24"/>
          <w:highlight w:val="none"/>
          <w:u w:val="single"/>
          <w:lang w:val="en-US" w:eastAsia="zh-CN"/>
        </w:rPr>
        <w:t>与土壤</w:t>
      </w:r>
      <w:r>
        <w:rPr>
          <w:rFonts w:hint="default" w:ascii="Times New Roman" w:hAnsi="Times New Roman" w:eastAsia="宋体" w:cs="Times New Roman"/>
          <w:color w:val="auto"/>
          <w:sz w:val="24"/>
          <w:szCs w:val="24"/>
          <w:highlight w:val="none"/>
          <w:u w:val="single"/>
        </w:rPr>
        <w:t>环境监测制度，对厂区及周边地下水</w:t>
      </w:r>
      <w:r>
        <w:rPr>
          <w:rFonts w:hint="eastAsia" w:eastAsia="宋体" w:cs="Times New Roman"/>
          <w:color w:val="auto"/>
          <w:sz w:val="24"/>
          <w:szCs w:val="24"/>
          <w:highlight w:val="none"/>
          <w:u w:val="single"/>
          <w:lang w:val="en-US" w:eastAsia="zh-CN"/>
        </w:rPr>
        <w:t>与土壤</w:t>
      </w:r>
      <w:r>
        <w:rPr>
          <w:rFonts w:hint="default" w:ascii="Times New Roman" w:hAnsi="Times New Roman" w:eastAsia="宋体" w:cs="Times New Roman"/>
          <w:color w:val="auto"/>
          <w:sz w:val="24"/>
          <w:szCs w:val="24"/>
          <w:highlight w:val="none"/>
          <w:u w:val="single"/>
        </w:rPr>
        <w:t>进行监测，一旦发生地下水</w:t>
      </w:r>
      <w:r>
        <w:rPr>
          <w:rFonts w:hint="eastAsia" w:eastAsia="宋体" w:cs="Times New Roman"/>
          <w:color w:val="auto"/>
          <w:sz w:val="24"/>
          <w:szCs w:val="24"/>
          <w:highlight w:val="none"/>
          <w:u w:val="single"/>
          <w:lang w:val="en-US" w:eastAsia="zh-CN"/>
        </w:rPr>
        <w:t>与土壤</w:t>
      </w:r>
      <w:r>
        <w:rPr>
          <w:rFonts w:hint="default" w:ascii="Times New Roman" w:hAnsi="Times New Roman" w:eastAsia="宋体" w:cs="Times New Roman"/>
          <w:color w:val="auto"/>
          <w:sz w:val="24"/>
          <w:szCs w:val="24"/>
          <w:highlight w:val="none"/>
          <w:u w:val="single"/>
        </w:rPr>
        <w:t>污染，应立即停止生产，查明污染来源。建议在厂区</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上游及下游设置监测井，按照地下水环境监测相关要求对监测井进行维护、管理和监控，一旦下游水质发生异常，应增加监测频率。</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依据地下水监测原则，参照《环境影响评价技术导则 地下水环境》（HJ610-2016）要求，结合研究区水文地址条件，在厂区内布设地下水水质监测井。结合区域地质资料分析，在天然状态下，区域地下水流向为由</w:t>
      </w:r>
      <w:r>
        <w:rPr>
          <w:rFonts w:hint="eastAsia" w:eastAsia="宋体" w:cs="Times New Roman"/>
          <w:color w:val="auto"/>
          <w:sz w:val="24"/>
          <w:szCs w:val="24"/>
          <w:highlight w:val="none"/>
          <w:u w:val="single"/>
          <w:lang w:val="en-US" w:eastAsia="zh-CN"/>
        </w:rPr>
        <w:t>东北向西南</w:t>
      </w:r>
      <w:r>
        <w:rPr>
          <w:rFonts w:hint="default" w:ascii="Times New Roman" w:hAnsi="Times New Roman" w:eastAsia="宋体" w:cs="Times New Roman"/>
          <w:color w:val="auto"/>
          <w:sz w:val="24"/>
          <w:szCs w:val="24"/>
          <w:highlight w:val="none"/>
          <w:u w:val="single"/>
        </w:rPr>
        <w:t>流动，以此为地下水长期监测井布设依据。</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拟共布设地下水污染监控点3个。在厂址区的地下水水流上游设1眼地下水背景监控点，在厂址区内主要污染物产生装置区下游设置监测井</w:t>
      </w:r>
      <w:r>
        <w:rPr>
          <w:rFonts w:hint="default" w:ascii="Times New Roman" w:hAnsi="Times New Roman" w:eastAsia="宋体" w:cs="Times New Roman"/>
          <w:color w:val="auto"/>
          <w:sz w:val="24"/>
          <w:szCs w:val="24"/>
          <w:highlight w:val="none"/>
          <w:u w:val="single"/>
          <w:lang w:val="en-US" w:eastAsia="zh-CN"/>
        </w:rPr>
        <w:t>1</w:t>
      </w:r>
      <w:r>
        <w:rPr>
          <w:rFonts w:hint="default" w:ascii="Times New Roman" w:hAnsi="Times New Roman" w:eastAsia="宋体" w:cs="Times New Roman"/>
          <w:color w:val="auto"/>
          <w:sz w:val="24"/>
          <w:szCs w:val="24"/>
          <w:highlight w:val="none"/>
          <w:u w:val="single"/>
        </w:rPr>
        <w:t>眼，</w:t>
      </w:r>
      <w:r>
        <w:rPr>
          <w:rFonts w:hint="default" w:ascii="Times New Roman" w:hAnsi="Times New Roman" w:eastAsia="宋体" w:cs="Times New Roman"/>
          <w:color w:val="auto"/>
          <w:sz w:val="24"/>
          <w:szCs w:val="24"/>
          <w:highlight w:val="none"/>
          <w:u w:val="single"/>
          <w:lang w:val="en-US" w:eastAsia="zh-CN"/>
        </w:rPr>
        <w:t>下游敏感点处设置监测井一眼</w:t>
      </w:r>
      <w:r>
        <w:rPr>
          <w:rFonts w:hint="default" w:ascii="Times New Roman" w:hAnsi="Times New Roman" w:eastAsia="宋体" w:cs="Times New Roman"/>
          <w:color w:val="auto"/>
          <w:sz w:val="24"/>
          <w:szCs w:val="24"/>
          <w:highlight w:val="none"/>
          <w:u w:val="single"/>
        </w:rPr>
        <w:t>。</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地下水监测孔位置、监测计划、监测层位、监测项目、监测频率等详见</w:t>
      </w:r>
      <w:r>
        <w:rPr>
          <w:rFonts w:hint="default" w:ascii="Times New Roman" w:hAnsi="Times New Roman" w:eastAsia="宋体" w:cs="Times New Roman"/>
          <w:color w:val="auto"/>
          <w:sz w:val="24"/>
          <w:szCs w:val="24"/>
          <w:highlight w:val="none"/>
          <w:u w:val="single"/>
          <w:lang w:val="en-US" w:eastAsia="zh-CN"/>
        </w:rPr>
        <w:t>环境管理与监测计划章节</w:t>
      </w:r>
      <w:r>
        <w:rPr>
          <w:rFonts w:hint="default" w:ascii="Times New Roman" w:hAnsi="Times New Roman" w:eastAsia="宋体" w:cs="Times New Roman"/>
          <w:color w:val="auto"/>
          <w:sz w:val="24"/>
          <w:szCs w:val="24"/>
          <w:highlight w:val="none"/>
          <w:u w:val="single"/>
        </w:rPr>
        <w:t>。</w:t>
      </w:r>
    </w:p>
    <w:p>
      <w:pPr>
        <w:pStyle w:val="4"/>
        <w:bidi w:val="0"/>
        <w:rPr>
          <w:rFonts w:hint="default"/>
          <w:color w:val="auto"/>
          <w:highlight w:val="none"/>
          <w:u w:val="single"/>
          <w:lang w:val="en-US" w:eastAsia="zh-CN"/>
        </w:rPr>
      </w:pPr>
      <w:bookmarkStart w:id="75" w:name="_Toc6562"/>
      <w:r>
        <w:rPr>
          <w:rFonts w:hint="default"/>
          <w:color w:val="auto"/>
          <w:highlight w:val="none"/>
          <w:u w:val="single"/>
          <w:lang w:val="en-US" w:eastAsia="zh-CN"/>
        </w:rPr>
        <w:t>风险事故应急预案</w:t>
      </w:r>
      <w:bookmarkEnd w:id="75"/>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对于罐区及污水站泄漏事故，应制定地下水风险事故应急预案，明确在风险事故状态下应采取的封闭、截留等措施。如果罐区发生</w:t>
      </w:r>
      <w:r>
        <w:rPr>
          <w:rFonts w:hint="eastAsia" w:eastAsia="宋体" w:cs="Times New Roman"/>
          <w:color w:val="auto"/>
          <w:sz w:val="24"/>
          <w:szCs w:val="24"/>
          <w:highlight w:val="none"/>
          <w:u w:val="single"/>
          <w:lang w:eastAsia="zh-CN"/>
        </w:rPr>
        <w:t>泄漏</w:t>
      </w:r>
      <w:r>
        <w:rPr>
          <w:rFonts w:hint="default" w:ascii="Times New Roman" w:hAnsi="Times New Roman" w:eastAsia="宋体" w:cs="Times New Roman"/>
          <w:color w:val="auto"/>
          <w:sz w:val="24"/>
          <w:szCs w:val="24"/>
          <w:highlight w:val="none"/>
          <w:u w:val="single"/>
        </w:rPr>
        <w:t>，将物料转入事故池内，立即关闭生产系统进行处理；一旦发生渗漏事故，造成</w:t>
      </w:r>
      <w:r>
        <w:rPr>
          <w:rFonts w:hint="default" w:ascii="Times New Roman" w:hAnsi="Times New Roman" w:eastAsia="宋体" w:cs="Times New Roman"/>
          <w:color w:val="auto"/>
          <w:sz w:val="24"/>
          <w:szCs w:val="24"/>
          <w:highlight w:val="none"/>
          <w:u w:val="single"/>
          <w:lang w:val="en-US" w:eastAsia="zh-CN"/>
        </w:rPr>
        <w:t>地下水</w:t>
      </w:r>
      <w:r>
        <w:rPr>
          <w:rFonts w:hint="eastAsia" w:eastAsia="宋体" w:cs="Times New Roman"/>
          <w:color w:val="auto"/>
          <w:sz w:val="24"/>
          <w:szCs w:val="24"/>
          <w:highlight w:val="none"/>
          <w:u w:val="single"/>
          <w:lang w:val="en-US" w:eastAsia="zh-CN"/>
        </w:rPr>
        <w:t>与土壤</w:t>
      </w:r>
      <w:r>
        <w:rPr>
          <w:rFonts w:hint="default" w:ascii="Times New Roman" w:hAnsi="Times New Roman" w:eastAsia="宋体" w:cs="Times New Roman"/>
          <w:color w:val="auto"/>
          <w:sz w:val="24"/>
          <w:szCs w:val="24"/>
          <w:highlight w:val="none"/>
          <w:u w:val="single"/>
        </w:rPr>
        <w:t>污染的，应立即停止生产，并上报当地环境主管部门，并按照主管部门的要求对污染的地表土壤进行处理；对于生产厂区泄漏等造成地下水污染的，已经发现，应当停止生产，对污染源进行补漏，并应上报当地环境主管部门，并按照主管部门的要求将污染的地下水抽出进行处理，将污染降至最低。</w:t>
      </w:r>
    </w:p>
    <w:p>
      <w:pPr>
        <w:tabs>
          <w:tab w:val="left" w:pos="630"/>
          <w:tab w:val="left" w:pos="1260"/>
        </w:tabs>
        <w:adjustRightInd w:val="0"/>
        <w:snapToGrid w:val="0"/>
        <w:spacing w:line="52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single"/>
        </w:rPr>
        <w:t>评价认为厂区按照工程设计的防渗措施可防止工艺废水下渗或面源污染地下水，有利于保护区域浅层地下水。评价建议企业应不断提高清洁生产水平，加强设备管理和维修，减少物料跑、冒、滴、漏。同时企业应严格按照规范进行施工，运营期间加强管理，在此基础上本工程运营期间不会加深对区域地下水</w:t>
      </w:r>
      <w:r>
        <w:rPr>
          <w:rFonts w:hint="eastAsia" w:eastAsia="宋体" w:cs="Times New Roman"/>
          <w:color w:val="auto"/>
          <w:sz w:val="24"/>
          <w:szCs w:val="24"/>
          <w:highlight w:val="none"/>
          <w:u w:val="single"/>
          <w:lang w:val="en-US" w:eastAsia="zh-CN"/>
        </w:rPr>
        <w:t>与土壤</w:t>
      </w:r>
      <w:r>
        <w:rPr>
          <w:rFonts w:hint="default" w:ascii="Times New Roman" w:hAnsi="Times New Roman" w:eastAsia="宋体" w:cs="Times New Roman"/>
          <w:color w:val="auto"/>
          <w:sz w:val="24"/>
          <w:szCs w:val="24"/>
          <w:highlight w:val="none"/>
          <w:u w:val="single"/>
        </w:rPr>
        <w:t>质量的影响，地下水质量仍将维持现有水平。</w:t>
      </w:r>
    </w:p>
    <w:p>
      <w:pPr>
        <w:pStyle w:val="4"/>
        <w:bidi w:val="0"/>
        <w:rPr>
          <w:rFonts w:hint="default"/>
          <w:color w:val="auto"/>
          <w:highlight w:val="none"/>
          <w:lang w:val="en-US" w:eastAsia="zh-CN"/>
        </w:rPr>
      </w:pPr>
      <w:r>
        <w:rPr>
          <w:rFonts w:hint="eastAsia"/>
          <w:color w:val="auto"/>
          <w:highlight w:val="none"/>
          <w:lang w:val="en-US" w:eastAsia="zh-CN"/>
        </w:rPr>
        <w:t>对现有污水站的防渗加强措施</w:t>
      </w:r>
    </w:p>
    <w:p>
      <w:pPr>
        <w:bidi w:val="0"/>
        <w:spacing w:line="480" w:lineRule="exact"/>
        <w:ind w:firstLine="602"/>
        <w:rPr>
          <w:rFonts w:hint="default" w:eastAsia="宋体" w:cs="Times New Roman"/>
          <w:color w:val="auto"/>
          <w:szCs w:val="20"/>
          <w:highlight w:val="none"/>
          <w:lang w:val="en-US" w:eastAsia="zh-CN"/>
        </w:rPr>
      </w:pPr>
      <w:r>
        <w:rPr>
          <w:rFonts w:hint="eastAsia" w:eastAsia="宋体" w:cs="Times New Roman"/>
          <w:color w:val="auto"/>
          <w:szCs w:val="20"/>
          <w:highlight w:val="none"/>
          <w:u w:val="single"/>
          <w:lang w:val="en-US" w:eastAsia="zh-CN"/>
        </w:rPr>
        <w:t>污水站南侧厂区范围内设监控井，每半年对监控井地下水进行监测，如污水站出现泄漏可及时发现。每年对污水站进行检修，如发现泄漏及时停产进行防渗修补。在污水站大修期间，对各个构筑物池底与池壁进行检查，修补裂缝与破损，采取涂刷防腐、防渗材料等防渗加强措施。</w:t>
      </w:r>
    </w:p>
    <w:p>
      <w:pPr>
        <w:pStyle w:val="3"/>
        <w:bidi w:val="0"/>
        <w:rPr>
          <w:rFonts w:hint="default"/>
          <w:color w:val="auto"/>
          <w:highlight w:val="none"/>
          <w:u w:val="none"/>
          <w:lang w:val="en-US" w:eastAsia="zh-CN"/>
        </w:rPr>
      </w:pPr>
      <w:bookmarkStart w:id="76" w:name="_Toc1980"/>
      <w:bookmarkStart w:id="77" w:name="_Toc5395"/>
      <w:bookmarkStart w:id="78" w:name="_Toc393394470"/>
      <w:bookmarkStart w:id="79" w:name="_Toc13848"/>
      <w:bookmarkStart w:id="80" w:name="_Toc20957"/>
      <w:bookmarkStart w:id="81" w:name="_Toc23082"/>
      <w:bookmarkStart w:id="82" w:name="_Toc26649"/>
      <w:bookmarkStart w:id="83" w:name="_Toc24212"/>
      <w:bookmarkStart w:id="84" w:name="_Toc387150154"/>
      <w:bookmarkStart w:id="85" w:name="_Toc394944469"/>
      <w:bookmarkStart w:id="86" w:name="_Toc9596"/>
      <w:bookmarkStart w:id="87" w:name="_Toc4988"/>
      <w:bookmarkStart w:id="88" w:name="_Toc393394497"/>
      <w:bookmarkStart w:id="89" w:name="_Toc30548"/>
      <w:bookmarkStart w:id="90" w:name="_Toc16031"/>
      <w:bookmarkStart w:id="91" w:name="_Toc387151241"/>
      <w:bookmarkStart w:id="92" w:name="_Toc394944496"/>
      <w:bookmarkStart w:id="93" w:name="_Toc18644"/>
      <w:bookmarkStart w:id="94" w:name="_Toc27113"/>
      <w:r>
        <w:rPr>
          <w:rFonts w:hint="default"/>
          <w:color w:val="auto"/>
          <w:highlight w:val="none"/>
          <w:u w:val="none"/>
          <w:lang w:val="en-US" w:eastAsia="zh-CN"/>
        </w:rPr>
        <w:t>环保投资估算</w:t>
      </w:r>
      <w:bookmarkEnd w:id="76"/>
      <w:bookmarkEnd w:id="77"/>
      <w:bookmarkEnd w:id="78"/>
      <w:bookmarkEnd w:id="79"/>
      <w:bookmarkEnd w:id="80"/>
      <w:bookmarkEnd w:id="81"/>
      <w:bookmarkEnd w:id="82"/>
      <w:bookmarkEnd w:id="83"/>
      <w:bookmarkEnd w:id="84"/>
      <w:bookmarkEnd w:id="85"/>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本项目总投资</w:t>
      </w:r>
      <w:r>
        <w:rPr>
          <w:rFonts w:hint="eastAsia" w:eastAsia="宋体" w:cs="Times New Roman"/>
          <w:color w:val="auto"/>
          <w:sz w:val="24"/>
          <w:szCs w:val="24"/>
          <w:highlight w:val="none"/>
          <w:u w:val="none"/>
          <w:lang w:val="en-US" w:eastAsia="zh-CN"/>
        </w:rPr>
        <w:t>26000</w:t>
      </w:r>
      <w:r>
        <w:rPr>
          <w:rFonts w:hint="default" w:ascii="Times New Roman" w:hAnsi="Times New Roman" w:eastAsia="宋体" w:cs="Times New Roman"/>
          <w:color w:val="auto"/>
          <w:sz w:val="24"/>
          <w:szCs w:val="24"/>
          <w:highlight w:val="none"/>
          <w:u w:val="none"/>
          <w:lang w:eastAsia="zh-CN"/>
        </w:rPr>
        <w:t>万元</w:t>
      </w:r>
      <w:r>
        <w:rPr>
          <w:rFonts w:hint="default" w:ascii="Times New Roman" w:hAnsi="Times New Roman" w:eastAsia="宋体" w:cs="Times New Roman"/>
          <w:color w:val="auto"/>
          <w:sz w:val="24"/>
          <w:szCs w:val="24"/>
          <w:highlight w:val="none"/>
          <w:u w:val="none"/>
        </w:rPr>
        <w:t>，其中环保投资约为</w:t>
      </w:r>
      <w:r>
        <w:rPr>
          <w:rFonts w:hint="eastAsia" w:eastAsia="宋体" w:cs="Times New Roman"/>
          <w:color w:val="auto"/>
          <w:sz w:val="24"/>
          <w:szCs w:val="24"/>
          <w:highlight w:val="none"/>
          <w:u w:val="none"/>
          <w:lang w:val="en-US" w:eastAsia="zh-CN"/>
        </w:rPr>
        <w:t>1126</w:t>
      </w:r>
      <w:r>
        <w:rPr>
          <w:rFonts w:hint="default" w:ascii="Times New Roman" w:hAnsi="Times New Roman" w:eastAsia="宋体" w:cs="Times New Roman"/>
          <w:color w:val="auto"/>
          <w:sz w:val="24"/>
          <w:szCs w:val="24"/>
          <w:highlight w:val="none"/>
          <w:u w:val="none"/>
        </w:rPr>
        <w:t>万元，占总投资的</w:t>
      </w:r>
      <w:r>
        <w:rPr>
          <w:rFonts w:hint="eastAsia" w:eastAsia="宋体" w:cs="Times New Roman"/>
          <w:color w:val="auto"/>
          <w:sz w:val="24"/>
          <w:szCs w:val="24"/>
          <w:highlight w:val="none"/>
          <w:u w:val="none"/>
          <w:lang w:val="en-US" w:eastAsia="zh-CN"/>
        </w:rPr>
        <w:t>5.63</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，具体估算投资详见</w:t>
      </w:r>
      <w:r>
        <w:rPr>
          <w:rFonts w:hint="default" w:ascii="Times New Roman" w:hAnsi="Times New Roman" w:eastAsia="宋体" w:cs="Times New Roman"/>
          <w:color w:val="auto"/>
          <w:sz w:val="24"/>
          <w:szCs w:val="24"/>
          <w:highlight w:val="none"/>
          <w:u w:val="none"/>
        </w:rPr>
        <w:fldChar w:fldCharType="begin"/>
      </w:r>
      <w:r>
        <w:rPr>
          <w:rFonts w:hint="default" w:ascii="Times New Roman" w:hAnsi="Times New Roman" w:eastAsia="宋体" w:cs="Times New Roman"/>
          <w:color w:val="auto"/>
          <w:sz w:val="24"/>
          <w:szCs w:val="24"/>
          <w:highlight w:val="none"/>
          <w:u w:val="none"/>
        </w:rPr>
        <w:instrText xml:space="preserve"> REF _Ref23152 \h </w:instrText>
      </w:r>
      <w:r>
        <w:rPr>
          <w:rFonts w:hint="default" w:ascii="Times New Roman" w:hAnsi="Times New Roman" w:eastAsia="宋体" w:cs="Times New Roman"/>
          <w:color w:val="auto"/>
          <w:sz w:val="24"/>
          <w:szCs w:val="24"/>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8.7</w:t>
      </w:r>
      <w:r>
        <w:rPr>
          <w:color w:val="auto"/>
          <w:highlight w:val="none"/>
          <w:u w:val="none"/>
        </w:rPr>
        <w:fldChar w:fldCharType="end"/>
      </w:r>
      <w:r>
        <w:rPr>
          <w:rFonts w:hint="eastAsia" w:eastAsiaTheme="minorEastAsia"/>
          <w:color w:val="auto"/>
          <w:highlight w:val="none"/>
          <w:u w:val="none"/>
          <w:lang w:eastAsia="zh-CN"/>
        </w:rPr>
        <w:t>-</w:t>
      </w:r>
      <w:r>
        <w:rPr>
          <w:color w:val="auto"/>
          <w:highlight w:val="none"/>
          <w:u w:val="none"/>
        </w:rPr>
        <w:t>1</w:t>
      </w:r>
      <w:r>
        <w:rPr>
          <w:rFonts w:hint="default" w:ascii="Times New Roman" w:hAnsi="Times New Roman" w:eastAsia="宋体" w:cs="Times New Roman"/>
          <w:color w:val="auto"/>
          <w:sz w:val="24"/>
          <w:szCs w:val="24"/>
          <w:highlight w:val="none"/>
          <w:u w:val="none"/>
        </w:rPr>
        <w:fldChar w:fldCharType="end"/>
      </w:r>
      <w:r>
        <w:rPr>
          <w:rFonts w:hint="default" w:ascii="Times New Roman" w:hAnsi="Times New Roman" w:eastAsia="宋体" w:cs="Times New Roman"/>
          <w:color w:val="auto"/>
          <w:sz w:val="24"/>
          <w:szCs w:val="24"/>
          <w:highlight w:val="none"/>
          <w:u w:val="none"/>
        </w:rPr>
        <w:t>。</w:t>
      </w:r>
    </w:p>
    <w:p>
      <w:pPr>
        <w:pStyle w:val="9"/>
        <w:bidi w:val="0"/>
        <w:rPr>
          <w:rFonts w:hint="default" w:ascii="Times New Roman" w:hAnsi="Times New Roman" w:eastAsia="宋体" w:cs="Times New Roman"/>
          <w:b/>
          <w:bCs/>
          <w:snapToGrid w:val="0"/>
          <w:color w:val="auto"/>
          <w:kern w:val="0"/>
          <w:sz w:val="24"/>
          <w:szCs w:val="22"/>
          <w:highlight w:val="none"/>
          <w:u w:val="none"/>
          <w:lang w:val="en-US" w:eastAsia="zh-CN" w:bidi="ar-SA"/>
        </w:rPr>
      </w:pPr>
      <w:bookmarkStart w:id="95" w:name="_Ref23152"/>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8.7</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bookmarkEnd w:id="95"/>
      <w:r>
        <w:rPr>
          <w:rFonts w:hint="default" w:ascii="Times New Roman" w:hAnsi="Times New Roman" w:eastAsia="宋体" w:cs="Times New Roman"/>
          <w:b/>
          <w:bCs/>
          <w:snapToGrid w:val="0"/>
          <w:color w:val="auto"/>
          <w:kern w:val="0"/>
          <w:sz w:val="24"/>
          <w:szCs w:val="22"/>
          <w:highlight w:val="none"/>
          <w:u w:val="none"/>
          <w:lang w:val="en-US" w:eastAsia="zh-CN" w:bidi="ar-SA"/>
        </w:rPr>
        <w:t xml:space="preserve">  本项目运营期环保投资估算一览表</w:t>
      </w:r>
    </w:p>
    <w:tbl>
      <w:tblPr>
        <w:tblStyle w:val="15"/>
        <w:tblW w:w="50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6"/>
        <w:gridCol w:w="1059"/>
        <w:gridCol w:w="1819"/>
        <w:gridCol w:w="684"/>
        <w:gridCol w:w="169"/>
        <w:gridCol w:w="1443"/>
        <w:gridCol w:w="623"/>
        <w:gridCol w:w="1278"/>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4" w:hRule="atLeast"/>
          <w:jc w:val="center"/>
        </w:trPr>
        <w:tc>
          <w:tcPr>
            <w:tcW w:w="905" w:type="pct"/>
            <w:gridSpan w:val="2"/>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产污环节</w:t>
            </w:r>
          </w:p>
        </w:tc>
        <w:tc>
          <w:tcPr>
            <w:tcW w:w="1066"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污染物</w:t>
            </w:r>
          </w:p>
        </w:tc>
        <w:tc>
          <w:tcPr>
            <w:tcW w:w="2460" w:type="pct"/>
            <w:gridSpan w:val="5"/>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处理措施</w:t>
            </w:r>
          </w:p>
        </w:tc>
        <w:tc>
          <w:tcPr>
            <w:tcW w:w="566"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环保投资（万元）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4" w:hRule="atLeast"/>
          <w:jc w:val="center"/>
        </w:trPr>
        <w:tc>
          <w:tcPr>
            <w:tcW w:w="284" w:type="pct"/>
            <w:vMerge w:val="restart"/>
            <w:noWrap w:val="0"/>
            <w:vAlign w:val="center"/>
          </w:tcPr>
          <w:p>
            <w:pPr>
              <w:widowControl w:val="0"/>
              <w:bidi w:val="0"/>
              <w:adjustRightInd w:val="0"/>
              <w:snapToGrid w:val="0"/>
              <w:spacing w:line="240" w:lineRule="auto"/>
              <w:ind w:firstLine="0" w:firstLineChars="0"/>
              <w:jc w:val="center"/>
              <w:rPr>
                <w:rFonts w:hint="eastAsia" w:eastAsia="宋体" w:cs="Times New Roman"/>
                <w:color w:val="auto"/>
                <w:kern w:val="2"/>
                <w:sz w:val="21"/>
                <w:szCs w:val="21"/>
                <w:highlight w:val="none"/>
                <w:u w:val="none"/>
                <w:lang w:val="en-US" w:eastAsia="zh-CN" w:bidi="ar-SA"/>
              </w:rPr>
            </w:pPr>
          </w:p>
        </w:tc>
        <w:tc>
          <w:tcPr>
            <w:tcW w:w="620"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包装废气</w:t>
            </w:r>
          </w:p>
        </w:tc>
        <w:tc>
          <w:tcPr>
            <w:tcW w:w="1066"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颗粒物</w:t>
            </w:r>
          </w:p>
        </w:tc>
        <w:tc>
          <w:tcPr>
            <w:tcW w:w="1711" w:type="pct"/>
            <w:gridSpan w:val="4"/>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袋式除尘器（新建）</w:t>
            </w:r>
          </w:p>
        </w:tc>
        <w:tc>
          <w:tcPr>
            <w:tcW w:w="749" w:type="pct"/>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15</w:t>
            </w:r>
            <w:r>
              <w:rPr>
                <w:rFonts w:hint="default" w:ascii="Times New Roman" w:hAnsi="Times New Roman" w:eastAsia="宋体" w:cs="Times New Roman"/>
                <w:color w:val="auto"/>
                <w:kern w:val="2"/>
                <w:sz w:val="21"/>
                <w:szCs w:val="21"/>
                <w:highlight w:val="none"/>
                <w:u w:val="none"/>
                <w:lang w:val="en-US" w:eastAsia="zh-CN" w:bidi="ar-SA"/>
              </w:rPr>
              <w:t>m排气筒（</w:t>
            </w:r>
            <w:r>
              <w:rPr>
                <w:rFonts w:hint="eastAsia" w:eastAsia="宋体" w:cs="Times New Roman"/>
                <w:color w:val="auto"/>
                <w:kern w:val="2"/>
                <w:sz w:val="21"/>
                <w:szCs w:val="21"/>
                <w:highlight w:val="none"/>
                <w:u w:val="none"/>
                <w:lang w:val="en-US" w:eastAsia="zh-CN" w:bidi="ar-SA"/>
              </w:rPr>
              <w:t>DA006</w:t>
            </w:r>
            <w:r>
              <w:rPr>
                <w:rFonts w:hint="default" w:ascii="Times New Roman" w:hAnsi="Times New Roman" w:eastAsia="宋体" w:cs="Times New Roman"/>
                <w:color w:val="auto"/>
                <w:kern w:val="2"/>
                <w:sz w:val="21"/>
                <w:szCs w:val="21"/>
                <w:highlight w:val="none"/>
                <w:u w:val="none"/>
                <w:lang w:val="en-US" w:eastAsia="zh-CN" w:bidi="ar-SA"/>
              </w:rPr>
              <w:t>）</w:t>
            </w:r>
          </w:p>
        </w:tc>
        <w:tc>
          <w:tcPr>
            <w:tcW w:w="566" w:type="pct"/>
            <w:noWrap w:val="0"/>
            <w:vAlign w:val="center"/>
          </w:tcPr>
          <w:p>
            <w:pPr>
              <w:widowControl w:val="0"/>
              <w:bidi w:val="0"/>
              <w:adjustRightInd w:val="0"/>
              <w:snapToGrid w:val="0"/>
              <w:spacing w:line="240" w:lineRule="auto"/>
              <w:ind w:firstLine="0" w:firstLineChars="0"/>
              <w:jc w:val="center"/>
              <w:rPr>
                <w:rFonts w:hint="default"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4" w:hRule="atLeast"/>
          <w:jc w:val="center"/>
        </w:trPr>
        <w:tc>
          <w:tcPr>
            <w:tcW w:w="284" w:type="pct"/>
            <w:vMerge w:val="continue"/>
            <w:noWrap w:val="0"/>
            <w:vAlign w:val="center"/>
          </w:tcPr>
          <w:p>
            <w:pPr>
              <w:widowControl w:val="0"/>
              <w:bidi w:val="0"/>
              <w:adjustRightInd w:val="0"/>
              <w:snapToGrid w:val="0"/>
              <w:spacing w:line="240" w:lineRule="auto"/>
              <w:ind w:firstLine="0" w:firstLineChars="0"/>
              <w:jc w:val="center"/>
              <w:rPr>
                <w:rFonts w:hint="eastAsia" w:eastAsia="宋体" w:cs="Times New Roman"/>
                <w:color w:val="auto"/>
                <w:kern w:val="2"/>
                <w:sz w:val="21"/>
                <w:szCs w:val="21"/>
                <w:highlight w:val="none"/>
                <w:u w:val="none"/>
                <w:lang w:val="en-US" w:eastAsia="zh-CN" w:bidi="ar-SA"/>
              </w:rPr>
            </w:pPr>
          </w:p>
        </w:tc>
        <w:tc>
          <w:tcPr>
            <w:tcW w:w="620" w:type="pct"/>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eastAsiaTheme="minorEastAsia"/>
                <w:color w:val="auto"/>
                <w:sz w:val="21"/>
                <w:szCs w:val="21"/>
                <w:highlight w:val="none"/>
                <w:u w:val="none"/>
                <w:lang w:val="en-US" w:eastAsia="zh-CN"/>
              </w:rPr>
              <w:t>危废焚烧废气</w:t>
            </w:r>
          </w:p>
        </w:tc>
        <w:tc>
          <w:tcPr>
            <w:tcW w:w="1066"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颗粒物</w:t>
            </w:r>
            <w:r>
              <w:rPr>
                <w:rFonts w:hint="eastAsia" w:ascii="Times New Roman" w:hAnsi="Times New Roman" w:eastAsia="宋体" w:cs="Times New Roman"/>
                <w:color w:val="auto"/>
                <w:kern w:val="2"/>
                <w:sz w:val="21"/>
                <w:szCs w:val="21"/>
                <w:highlight w:val="none"/>
                <w:u w:val="none"/>
                <w:lang w:val="en-US" w:eastAsia="zh-CN" w:bidi="ar-SA"/>
              </w:rPr>
              <w:t>、</w:t>
            </w:r>
            <w:r>
              <w:rPr>
                <w:rFonts w:hint="default" w:ascii="Times New Roman" w:hAnsi="Times New Roman" w:eastAsia="宋体" w:cs="Times New Roman"/>
                <w:color w:val="auto"/>
                <w:kern w:val="2"/>
                <w:sz w:val="21"/>
                <w:szCs w:val="21"/>
                <w:highlight w:val="none"/>
                <w:u w:val="none"/>
                <w:lang w:val="en-US" w:eastAsia="zh-CN" w:bidi="ar-SA"/>
              </w:rPr>
              <w:t>二氧化硫</w:t>
            </w:r>
            <w:r>
              <w:rPr>
                <w:rFonts w:hint="eastAsia" w:ascii="Times New Roman" w:hAnsi="Times New Roman" w:eastAsia="宋体" w:cs="Times New Roman"/>
                <w:color w:val="auto"/>
                <w:kern w:val="2"/>
                <w:sz w:val="21"/>
                <w:szCs w:val="21"/>
                <w:highlight w:val="none"/>
                <w:u w:val="none"/>
                <w:lang w:val="en-US" w:eastAsia="zh-CN" w:bidi="ar-SA"/>
              </w:rPr>
              <w:t>、</w:t>
            </w:r>
            <w:r>
              <w:rPr>
                <w:rFonts w:hint="default" w:ascii="Times New Roman" w:hAnsi="Times New Roman" w:eastAsia="宋体" w:cs="Times New Roman"/>
                <w:color w:val="auto"/>
                <w:kern w:val="2"/>
                <w:sz w:val="21"/>
                <w:szCs w:val="21"/>
                <w:highlight w:val="none"/>
                <w:u w:val="none"/>
                <w:lang w:val="en-US" w:eastAsia="zh-CN" w:bidi="ar-SA"/>
              </w:rPr>
              <w:t>氮氧化物</w:t>
            </w:r>
            <w:r>
              <w:rPr>
                <w:rFonts w:hint="eastAsia" w:ascii="Times New Roman" w:hAnsi="Times New Roman" w:eastAsia="宋体" w:cs="Times New Roman"/>
                <w:color w:val="auto"/>
                <w:kern w:val="2"/>
                <w:sz w:val="21"/>
                <w:szCs w:val="21"/>
                <w:highlight w:val="none"/>
                <w:u w:val="none"/>
                <w:lang w:val="en-US" w:eastAsia="zh-CN" w:bidi="ar-SA"/>
              </w:rPr>
              <w:t>、</w:t>
            </w:r>
            <w:r>
              <w:rPr>
                <w:rFonts w:hint="default" w:ascii="Times New Roman" w:hAnsi="Times New Roman" w:eastAsia="宋体" w:cs="Times New Roman"/>
                <w:color w:val="auto"/>
                <w:kern w:val="2"/>
                <w:sz w:val="21"/>
                <w:szCs w:val="21"/>
                <w:highlight w:val="none"/>
                <w:u w:val="none"/>
                <w:lang w:val="en-US" w:eastAsia="zh-CN" w:bidi="ar-SA"/>
              </w:rPr>
              <w:t>氟化氢</w:t>
            </w:r>
          </w:p>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氯化氢</w:t>
            </w:r>
            <w:r>
              <w:rPr>
                <w:rFonts w:hint="eastAsia" w:ascii="Times New Roman" w:hAnsi="Times New Roman" w:eastAsia="宋体" w:cs="Times New Roman"/>
                <w:color w:val="auto"/>
                <w:kern w:val="2"/>
                <w:sz w:val="21"/>
                <w:szCs w:val="21"/>
                <w:highlight w:val="none"/>
                <w:u w:val="none"/>
                <w:lang w:val="en-US" w:eastAsia="zh-CN" w:bidi="ar-SA"/>
              </w:rPr>
              <w:t>、</w:t>
            </w:r>
            <w:r>
              <w:rPr>
                <w:rFonts w:hint="default" w:ascii="Times New Roman" w:hAnsi="Times New Roman" w:eastAsia="宋体" w:cs="Times New Roman"/>
                <w:color w:val="auto"/>
                <w:kern w:val="2"/>
                <w:sz w:val="21"/>
                <w:szCs w:val="21"/>
                <w:highlight w:val="none"/>
                <w:u w:val="none"/>
                <w:lang w:val="en-US" w:eastAsia="zh-CN" w:bidi="ar-SA"/>
              </w:rPr>
              <w:t>一氧化碳</w:t>
            </w:r>
            <w:r>
              <w:rPr>
                <w:rFonts w:hint="eastAsia" w:ascii="Times New Roman" w:hAnsi="Times New Roman" w:eastAsia="宋体" w:cs="Times New Roman"/>
                <w:color w:val="auto"/>
                <w:kern w:val="2"/>
                <w:sz w:val="21"/>
                <w:szCs w:val="21"/>
                <w:highlight w:val="none"/>
                <w:u w:val="none"/>
                <w:lang w:val="en-US" w:eastAsia="zh-CN" w:bidi="ar-SA"/>
              </w:rPr>
              <w:t>、</w:t>
            </w:r>
            <w:r>
              <w:rPr>
                <w:rFonts w:hint="default" w:ascii="Times New Roman" w:hAnsi="Times New Roman" w:eastAsia="宋体" w:cs="Times New Roman"/>
                <w:color w:val="auto"/>
                <w:kern w:val="2"/>
                <w:sz w:val="21"/>
                <w:szCs w:val="21"/>
                <w:highlight w:val="none"/>
                <w:u w:val="none"/>
                <w:lang w:val="en-US" w:eastAsia="zh-CN" w:bidi="ar-SA"/>
              </w:rPr>
              <w:t>二噁英类</w:t>
            </w:r>
          </w:p>
        </w:tc>
        <w:tc>
          <w:tcPr>
            <w:tcW w:w="1711" w:type="pct"/>
            <w:gridSpan w:val="4"/>
            <w:noWrap w:val="0"/>
            <w:vAlign w:val="center"/>
          </w:tcPr>
          <w:p>
            <w:pPr>
              <w:widowControl w:val="0"/>
              <w:bidi w:val="0"/>
              <w:adjustRightInd w:val="0"/>
              <w:snapToGrid w:val="0"/>
              <w:spacing w:line="240" w:lineRule="auto"/>
              <w:ind w:firstLine="0" w:firstLineChars="0"/>
              <w:jc w:val="center"/>
              <w:rPr>
                <w:rFonts w:hint="default"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“3T+E”</w:t>
            </w:r>
            <w:r>
              <w:rPr>
                <w:rFonts w:hint="eastAsia" w:ascii="Times New Roman" w:hAnsi="Times New Roman" w:cs="Times New Roman"/>
                <w:color w:val="auto"/>
                <w:sz w:val="21"/>
                <w:szCs w:val="21"/>
                <w:highlight w:val="none"/>
                <w:u w:val="none"/>
                <w:lang w:val="en-US" w:eastAsia="zh-CN"/>
              </w:rPr>
              <w:t>燃烧控制+SNCR脱销+急冷+干式吸收+两级碱喷淋（利旧</w:t>
            </w:r>
            <w:r>
              <w:rPr>
                <w:rFonts w:hint="eastAsia" w:cs="Times New Roman"/>
                <w:color w:val="auto"/>
                <w:sz w:val="21"/>
                <w:szCs w:val="21"/>
                <w:highlight w:val="none"/>
                <w:u w:val="none"/>
                <w:lang w:val="en-US" w:eastAsia="zh-CN"/>
              </w:rPr>
              <w:t>，上料区升级改造</w:t>
            </w:r>
            <w:r>
              <w:rPr>
                <w:rFonts w:hint="eastAsia" w:ascii="Times New Roman" w:hAnsi="Times New Roman" w:cs="Times New Roman"/>
                <w:color w:val="auto"/>
                <w:sz w:val="21"/>
                <w:szCs w:val="21"/>
                <w:highlight w:val="none"/>
                <w:u w:val="none"/>
                <w:lang w:val="en-US" w:eastAsia="zh-CN"/>
              </w:rPr>
              <w:t>）</w:t>
            </w:r>
          </w:p>
        </w:tc>
        <w:tc>
          <w:tcPr>
            <w:tcW w:w="749" w:type="pct"/>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35</w:t>
            </w:r>
            <w:r>
              <w:rPr>
                <w:rFonts w:hint="default" w:ascii="Times New Roman" w:hAnsi="Times New Roman" w:eastAsia="宋体" w:cs="Times New Roman"/>
                <w:color w:val="auto"/>
                <w:kern w:val="2"/>
                <w:sz w:val="21"/>
                <w:szCs w:val="21"/>
                <w:highlight w:val="none"/>
                <w:u w:val="none"/>
                <w:lang w:val="en-US" w:eastAsia="zh-CN" w:bidi="ar-SA"/>
              </w:rPr>
              <w:t>m排气筒（</w:t>
            </w:r>
            <w:r>
              <w:rPr>
                <w:rFonts w:hint="eastAsia" w:eastAsia="宋体" w:cs="Times New Roman"/>
                <w:color w:val="auto"/>
                <w:kern w:val="2"/>
                <w:sz w:val="21"/>
                <w:szCs w:val="21"/>
                <w:highlight w:val="none"/>
                <w:u w:val="none"/>
                <w:lang w:val="en-US" w:eastAsia="zh-CN" w:bidi="ar-SA"/>
              </w:rPr>
              <w:t>DA004</w:t>
            </w:r>
            <w:r>
              <w:rPr>
                <w:rFonts w:hint="default" w:ascii="Times New Roman" w:hAnsi="Times New Roman" w:eastAsia="宋体" w:cs="Times New Roman"/>
                <w:color w:val="auto"/>
                <w:kern w:val="2"/>
                <w:sz w:val="21"/>
                <w:szCs w:val="21"/>
                <w:highlight w:val="none"/>
                <w:u w:val="none"/>
                <w:lang w:val="en-US" w:eastAsia="zh-CN" w:bidi="ar-SA"/>
              </w:rPr>
              <w:t>）</w:t>
            </w:r>
          </w:p>
        </w:tc>
        <w:tc>
          <w:tcPr>
            <w:tcW w:w="566" w:type="pct"/>
            <w:noWrap w:val="0"/>
            <w:vAlign w:val="center"/>
          </w:tcPr>
          <w:p>
            <w:pPr>
              <w:widowControl w:val="0"/>
              <w:bidi w:val="0"/>
              <w:adjustRightInd w:val="0"/>
              <w:snapToGrid w:val="0"/>
              <w:spacing w:line="240" w:lineRule="auto"/>
              <w:ind w:firstLine="0" w:firstLineChars="0"/>
              <w:jc w:val="center"/>
              <w:rPr>
                <w:rFonts w:hint="default"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28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620"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1车间</w:t>
            </w:r>
          </w:p>
        </w:tc>
        <w:tc>
          <w:tcPr>
            <w:tcW w:w="1066" w:type="pct"/>
            <w:vMerge w:val="restar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color w:val="auto"/>
                <w:sz w:val="21"/>
                <w:szCs w:val="21"/>
                <w:highlight w:val="none"/>
                <w:u w:val="none"/>
                <w:lang w:val="en-US" w:eastAsia="zh-CN"/>
              </w:rPr>
              <w:t>NMHC</w:t>
            </w:r>
            <w:r>
              <w:rPr>
                <w:rFonts w:hint="eastAsia" w:ascii="Times New Roman" w:eastAsiaTheme="minorEastAsia"/>
                <w:color w:val="auto"/>
                <w:sz w:val="21"/>
                <w:szCs w:val="21"/>
                <w:highlight w:val="none"/>
                <w:u w:val="none"/>
                <w:lang w:val="en-US" w:eastAsia="zh-CN"/>
              </w:rPr>
              <w:t>、甲苯、丙酮、甲醇、颗粒物、氯化氢等</w:t>
            </w:r>
          </w:p>
        </w:tc>
        <w:tc>
          <w:tcPr>
            <w:tcW w:w="401" w:type="pct"/>
            <w:vMerge w:val="restar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各车间反应釜上方冷凝器</w:t>
            </w:r>
          </w:p>
        </w:tc>
        <w:tc>
          <w:tcPr>
            <w:tcW w:w="945" w:type="pct"/>
            <w:gridSpan w:val="2"/>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二级碱洗</w:t>
            </w:r>
            <w:r>
              <w:rPr>
                <w:rFonts w:hint="eastAsia" w:cs="Times New Roman"/>
                <w:color w:val="auto"/>
                <w:sz w:val="21"/>
                <w:szCs w:val="21"/>
                <w:highlight w:val="none"/>
                <w:u w:val="none"/>
                <w:vertAlign w:val="baseline"/>
                <w:lang w:val="en-US" w:eastAsia="zh-CN"/>
              </w:rPr>
              <w:t>（新建）</w:t>
            </w:r>
          </w:p>
        </w:tc>
        <w:tc>
          <w:tcPr>
            <w:tcW w:w="365" w:type="pct"/>
            <w:vMerge w:val="restart"/>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新建RTO</w:t>
            </w:r>
          </w:p>
        </w:tc>
        <w:tc>
          <w:tcPr>
            <w:tcW w:w="749" w:type="pct"/>
            <w:vMerge w:val="restar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35</w:t>
            </w:r>
            <w:r>
              <w:rPr>
                <w:rFonts w:hint="default" w:ascii="Times New Roman" w:hAnsi="Times New Roman" w:eastAsia="宋体" w:cs="Times New Roman"/>
                <w:color w:val="auto"/>
                <w:kern w:val="2"/>
                <w:sz w:val="21"/>
                <w:szCs w:val="21"/>
                <w:highlight w:val="none"/>
                <w:u w:val="none"/>
                <w:lang w:val="en-US" w:eastAsia="zh-CN" w:bidi="ar-SA"/>
              </w:rPr>
              <w:t>m排气筒（</w:t>
            </w:r>
            <w:r>
              <w:rPr>
                <w:rFonts w:hint="eastAsia" w:eastAsia="宋体" w:cs="Times New Roman"/>
                <w:color w:val="auto"/>
                <w:kern w:val="2"/>
                <w:sz w:val="21"/>
                <w:szCs w:val="21"/>
                <w:highlight w:val="none"/>
                <w:u w:val="none"/>
                <w:lang w:val="en-US" w:eastAsia="zh-CN" w:bidi="ar-SA"/>
              </w:rPr>
              <w:t>DA005</w:t>
            </w:r>
            <w:r>
              <w:rPr>
                <w:rFonts w:hint="default" w:ascii="Times New Roman" w:hAnsi="Times New Roman" w:eastAsia="宋体" w:cs="Times New Roman"/>
                <w:color w:val="auto"/>
                <w:kern w:val="2"/>
                <w:sz w:val="21"/>
                <w:szCs w:val="21"/>
                <w:highlight w:val="none"/>
                <w:u w:val="none"/>
                <w:lang w:val="en-US" w:eastAsia="zh-CN" w:bidi="ar-SA"/>
              </w:rPr>
              <w:t>）</w:t>
            </w:r>
          </w:p>
        </w:tc>
        <w:tc>
          <w:tcPr>
            <w:tcW w:w="566" w:type="pct"/>
            <w:vMerge w:val="restar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620" w:type="pct"/>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2车间</w:t>
            </w:r>
          </w:p>
        </w:tc>
        <w:tc>
          <w:tcPr>
            <w:tcW w:w="1066"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401"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945" w:type="pct"/>
            <w:gridSpan w:val="2"/>
            <w:noWrap w:val="0"/>
            <w:vAlign w:val="center"/>
          </w:tcPr>
          <w:p>
            <w:pPr>
              <w:numPr>
                <w:ilvl w:val="0"/>
                <w:numId w:val="0"/>
              </w:numPr>
              <w:spacing w:line="240" w:lineRule="auto"/>
              <w:ind w:left="0" w:leftChars="0" w:firstLine="0" w:firstLineChars="0"/>
              <w:jc w:val="center"/>
              <w:rPr>
                <w:rFonts w:hint="eastAsia" w:cs="Times New Roman"/>
                <w:color w:val="auto"/>
                <w:sz w:val="21"/>
                <w:szCs w:val="21"/>
                <w:highlight w:val="none"/>
                <w:u w:val="none"/>
                <w:vertAlign w:val="baseline"/>
                <w:lang w:val="en-US" w:eastAsia="zh-CN"/>
              </w:rPr>
            </w:pPr>
            <w:r>
              <w:rPr>
                <w:rFonts w:hint="eastAsia" w:cs="Times New Roman"/>
                <w:color w:val="auto"/>
                <w:sz w:val="21"/>
                <w:szCs w:val="21"/>
                <w:highlight w:val="none"/>
                <w:u w:val="none"/>
                <w:vertAlign w:val="baseline"/>
                <w:lang w:val="en-US" w:eastAsia="zh-CN"/>
              </w:rPr>
              <w:t>/</w:t>
            </w:r>
          </w:p>
        </w:tc>
        <w:tc>
          <w:tcPr>
            <w:tcW w:w="365"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none"/>
                <w:vertAlign w:val="baseline"/>
                <w:lang w:val="en-US" w:eastAsia="zh-CN"/>
              </w:rPr>
            </w:pPr>
          </w:p>
        </w:tc>
        <w:tc>
          <w:tcPr>
            <w:tcW w:w="74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566"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620" w:type="pct"/>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3车间</w:t>
            </w:r>
          </w:p>
        </w:tc>
        <w:tc>
          <w:tcPr>
            <w:tcW w:w="1066"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401"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945" w:type="pct"/>
            <w:gridSpan w:val="2"/>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二级碱洗</w:t>
            </w:r>
            <w:r>
              <w:rPr>
                <w:rFonts w:hint="eastAsia" w:cs="Times New Roman"/>
                <w:color w:val="auto"/>
                <w:sz w:val="21"/>
                <w:szCs w:val="21"/>
                <w:highlight w:val="none"/>
                <w:u w:val="none"/>
                <w:vertAlign w:val="baseline"/>
                <w:lang w:val="en-US" w:eastAsia="zh-CN"/>
              </w:rPr>
              <w:t>（利旧）</w:t>
            </w:r>
          </w:p>
        </w:tc>
        <w:tc>
          <w:tcPr>
            <w:tcW w:w="365"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none"/>
                <w:vertAlign w:val="baseline"/>
                <w:lang w:val="en-US" w:eastAsia="zh-CN"/>
              </w:rPr>
            </w:pPr>
          </w:p>
        </w:tc>
        <w:tc>
          <w:tcPr>
            <w:tcW w:w="74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566"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620" w:type="pct"/>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5车间</w:t>
            </w:r>
          </w:p>
        </w:tc>
        <w:tc>
          <w:tcPr>
            <w:tcW w:w="1066"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401"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945" w:type="pct"/>
            <w:gridSpan w:val="2"/>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降膜吸收+二级碱洗</w:t>
            </w:r>
            <w:r>
              <w:rPr>
                <w:rFonts w:hint="eastAsia" w:cs="Times New Roman"/>
                <w:color w:val="auto"/>
                <w:sz w:val="21"/>
                <w:szCs w:val="21"/>
                <w:highlight w:val="none"/>
                <w:u w:val="none"/>
                <w:vertAlign w:val="baseline"/>
                <w:lang w:val="en-US" w:eastAsia="zh-CN"/>
              </w:rPr>
              <w:t>（利旧）</w:t>
            </w:r>
          </w:p>
        </w:tc>
        <w:tc>
          <w:tcPr>
            <w:tcW w:w="365"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none"/>
                <w:vertAlign w:val="baseline"/>
                <w:lang w:val="en-US" w:eastAsia="zh-CN"/>
              </w:rPr>
            </w:pPr>
          </w:p>
        </w:tc>
        <w:tc>
          <w:tcPr>
            <w:tcW w:w="74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566"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620" w:type="pct"/>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7车间</w:t>
            </w:r>
          </w:p>
        </w:tc>
        <w:tc>
          <w:tcPr>
            <w:tcW w:w="1066"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401"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945" w:type="pct"/>
            <w:gridSpan w:val="2"/>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降膜吸收+二级碱洗</w:t>
            </w:r>
            <w:r>
              <w:rPr>
                <w:rFonts w:hint="eastAsia" w:cs="Times New Roman"/>
                <w:color w:val="auto"/>
                <w:sz w:val="21"/>
                <w:szCs w:val="21"/>
                <w:highlight w:val="none"/>
                <w:u w:val="none"/>
                <w:vertAlign w:val="baseline"/>
                <w:lang w:val="en-US" w:eastAsia="zh-CN"/>
              </w:rPr>
              <w:t>（利旧）</w:t>
            </w:r>
          </w:p>
        </w:tc>
        <w:tc>
          <w:tcPr>
            <w:tcW w:w="365"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none"/>
                <w:vertAlign w:val="baseline"/>
                <w:lang w:val="en-US" w:eastAsia="zh-CN"/>
              </w:rPr>
            </w:pPr>
          </w:p>
        </w:tc>
        <w:tc>
          <w:tcPr>
            <w:tcW w:w="74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566"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620" w:type="pct"/>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9车间</w:t>
            </w:r>
          </w:p>
        </w:tc>
        <w:tc>
          <w:tcPr>
            <w:tcW w:w="1066"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401"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945" w:type="pct"/>
            <w:gridSpan w:val="2"/>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降膜吸收+二级碱洗</w:t>
            </w:r>
            <w:r>
              <w:rPr>
                <w:rFonts w:hint="eastAsia" w:cs="Times New Roman"/>
                <w:color w:val="auto"/>
                <w:sz w:val="21"/>
                <w:szCs w:val="21"/>
                <w:highlight w:val="none"/>
                <w:u w:val="none"/>
                <w:vertAlign w:val="baseline"/>
                <w:lang w:val="en-US" w:eastAsia="zh-CN"/>
              </w:rPr>
              <w:t>（新建）</w:t>
            </w:r>
          </w:p>
        </w:tc>
        <w:tc>
          <w:tcPr>
            <w:tcW w:w="365"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none"/>
                <w:vertAlign w:val="baseline"/>
                <w:lang w:val="en-US" w:eastAsia="zh-CN"/>
              </w:rPr>
            </w:pPr>
          </w:p>
        </w:tc>
        <w:tc>
          <w:tcPr>
            <w:tcW w:w="74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566"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620" w:type="pct"/>
            <w:noWrap w:val="0"/>
            <w:vAlign w:val="center"/>
          </w:tcPr>
          <w:p>
            <w:pPr>
              <w:widowControl w:val="0"/>
              <w:bidi w:val="0"/>
              <w:adjustRightInd w:val="0"/>
              <w:snapToGrid w:val="0"/>
              <w:spacing w:line="240" w:lineRule="auto"/>
              <w:ind w:firstLine="0" w:firstLineChars="0"/>
              <w:jc w:val="center"/>
              <w:rPr>
                <w:rFonts w:hint="eastAsia"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10车间</w:t>
            </w:r>
          </w:p>
        </w:tc>
        <w:tc>
          <w:tcPr>
            <w:tcW w:w="1066"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401"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945" w:type="pct"/>
            <w:gridSpan w:val="2"/>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vertAlign w:val="baseline"/>
                <w:lang w:val="en-US" w:eastAsia="zh-CN"/>
              </w:rPr>
              <w:t>降膜吸收+二级碱洗</w:t>
            </w:r>
            <w:r>
              <w:rPr>
                <w:rFonts w:hint="eastAsia" w:cs="Times New Roman"/>
                <w:color w:val="auto"/>
                <w:sz w:val="21"/>
                <w:szCs w:val="21"/>
                <w:highlight w:val="none"/>
                <w:u w:val="none"/>
                <w:vertAlign w:val="baseline"/>
                <w:lang w:val="en-US" w:eastAsia="zh-CN"/>
              </w:rPr>
              <w:t>（新建）</w:t>
            </w:r>
          </w:p>
        </w:tc>
        <w:tc>
          <w:tcPr>
            <w:tcW w:w="365"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none"/>
                <w:vertAlign w:val="baseline"/>
                <w:lang w:val="en-US" w:eastAsia="zh-CN"/>
              </w:rPr>
            </w:pPr>
          </w:p>
        </w:tc>
        <w:tc>
          <w:tcPr>
            <w:tcW w:w="74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566"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620" w:type="pct"/>
            <w:noWrap w:val="0"/>
            <w:vAlign w:val="center"/>
          </w:tcPr>
          <w:p>
            <w:pPr>
              <w:widowControl w:val="0"/>
              <w:bidi w:val="0"/>
              <w:adjustRightInd w:val="0"/>
              <w:snapToGrid w:val="0"/>
              <w:spacing w:line="240" w:lineRule="auto"/>
              <w:ind w:firstLine="0" w:firstLineChars="0"/>
              <w:jc w:val="center"/>
              <w:rPr>
                <w:rFonts w:hint="eastAsia" w:eastAsia="宋体" w:cs="Times New Roman"/>
                <w:color w:val="auto"/>
                <w:kern w:val="2"/>
                <w:sz w:val="21"/>
                <w:szCs w:val="21"/>
                <w:highlight w:val="none"/>
                <w:u w:val="none"/>
                <w:lang w:val="en-US" w:eastAsia="zh-CN" w:bidi="ar-SA"/>
              </w:rPr>
            </w:pPr>
            <w:r>
              <w:rPr>
                <w:rFonts w:hint="default"/>
                <w:color w:val="auto"/>
                <w:sz w:val="21"/>
                <w:szCs w:val="21"/>
                <w:highlight w:val="none"/>
                <w:u w:val="none"/>
                <w:lang w:val="en-US" w:eastAsia="zh-CN"/>
              </w:rPr>
              <w:t>MVR</w:t>
            </w:r>
          </w:p>
        </w:tc>
        <w:tc>
          <w:tcPr>
            <w:tcW w:w="1066"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color w:val="auto"/>
                <w:sz w:val="21"/>
                <w:szCs w:val="21"/>
                <w:highlight w:val="none"/>
                <w:u w:val="none"/>
                <w:lang w:val="en-US" w:eastAsia="zh-CN"/>
              </w:rPr>
              <w:t>NMHC</w:t>
            </w:r>
            <w:r>
              <w:rPr>
                <w:rFonts w:hint="eastAsia" w:ascii="Times New Roman" w:eastAsiaTheme="minorEastAsia"/>
                <w:color w:val="auto"/>
                <w:sz w:val="21"/>
                <w:szCs w:val="21"/>
                <w:highlight w:val="none"/>
                <w:u w:val="none"/>
                <w:lang w:val="en-US" w:eastAsia="zh-CN"/>
              </w:rPr>
              <w:t>、丙酮、甲醇等</w:t>
            </w:r>
          </w:p>
        </w:tc>
        <w:tc>
          <w:tcPr>
            <w:tcW w:w="1346" w:type="pct"/>
            <w:gridSpan w:val="3"/>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w:t>
            </w:r>
          </w:p>
        </w:tc>
        <w:tc>
          <w:tcPr>
            <w:tcW w:w="365" w:type="pct"/>
            <w:vMerge w:val="continue"/>
            <w:noWrap w:val="0"/>
            <w:vAlign w:val="center"/>
          </w:tcPr>
          <w:p>
            <w:pPr>
              <w:numPr>
                <w:ilvl w:val="0"/>
                <w:numId w:val="0"/>
              </w:numPr>
              <w:spacing w:line="240" w:lineRule="auto"/>
              <w:ind w:left="0" w:leftChars="0" w:firstLine="0" w:firstLineChars="0"/>
              <w:jc w:val="center"/>
              <w:rPr>
                <w:rFonts w:hint="eastAsia" w:eastAsia="宋体" w:cs="Times New Roman"/>
                <w:color w:val="auto"/>
                <w:kern w:val="2"/>
                <w:sz w:val="21"/>
                <w:szCs w:val="21"/>
                <w:highlight w:val="none"/>
                <w:u w:val="none"/>
                <w:lang w:val="en-US" w:eastAsia="zh-CN" w:bidi="ar-SA"/>
              </w:rPr>
            </w:pPr>
          </w:p>
        </w:tc>
        <w:tc>
          <w:tcPr>
            <w:tcW w:w="74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566"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620" w:type="pct"/>
            <w:noWrap w:val="0"/>
            <w:vAlign w:val="center"/>
          </w:tcPr>
          <w:p>
            <w:pPr>
              <w:widowControl w:val="0"/>
              <w:bidi w:val="0"/>
              <w:adjustRightInd w:val="0"/>
              <w:snapToGrid w:val="0"/>
              <w:spacing w:line="240" w:lineRule="auto"/>
              <w:ind w:firstLine="0" w:firstLineChars="0"/>
              <w:jc w:val="center"/>
              <w:rPr>
                <w:rFonts w:hint="default"/>
                <w:color w:val="auto"/>
                <w:sz w:val="21"/>
                <w:szCs w:val="21"/>
                <w:highlight w:val="none"/>
                <w:u w:val="none"/>
                <w:lang w:val="en-US" w:eastAsia="zh-CN"/>
              </w:rPr>
            </w:pPr>
            <w:r>
              <w:rPr>
                <w:rFonts w:hint="eastAsia" w:ascii="Times New Roman" w:eastAsiaTheme="minorEastAsia"/>
                <w:color w:val="auto"/>
                <w:sz w:val="21"/>
                <w:szCs w:val="21"/>
                <w:highlight w:val="none"/>
                <w:u w:val="none"/>
                <w:lang w:val="en-US" w:eastAsia="zh-CN"/>
              </w:rPr>
              <w:t>污水站</w:t>
            </w:r>
          </w:p>
        </w:tc>
        <w:tc>
          <w:tcPr>
            <w:tcW w:w="1066"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臭气浓度、</w:t>
            </w:r>
            <w:r>
              <w:rPr>
                <w:rFonts w:hint="default"/>
                <w:color w:val="auto"/>
                <w:sz w:val="21"/>
                <w:szCs w:val="21"/>
                <w:highlight w:val="none"/>
                <w:u w:val="none"/>
                <w:lang w:val="en-US" w:eastAsia="zh-CN"/>
              </w:rPr>
              <w:t>NMHC</w:t>
            </w:r>
            <w:r>
              <w:rPr>
                <w:rFonts w:hint="eastAsia" w:ascii="Times New Roman" w:eastAsiaTheme="minorEastAsia"/>
                <w:color w:val="auto"/>
                <w:sz w:val="21"/>
                <w:szCs w:val="21"/>
                <w:highlight w:val="none"/>
                <w:u w:val="none"/>
                <w:lang w:val="en-US" w:eastAsia="zh-CN"/>
              </w:rPr>
              <w:t>、氨、硫化氢</w:t>
            </w:r>
          </w:p>
        </w:tc>
        <w:tc>
          <w:tcPr>
            <w:tcW w:w="1346" w:type="pct"/>
            <w:gridSpan w:val="3"/>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碱喷淋（利旧）</w:t>
            </w:r>
          </w:p>
        </w:tc>
        <w:tc>
          <w:tcPr>
            <w:tcW w:w="365" w:type="pct"/>
            <w:vMerge w:val="continue"/>
            <w:noWrap w:val="0"/>
            <w:vAlign w:val="center"/>
          </w:tcPr>
          <w:p>
            <w:pPr>
              <w:numPr>
                <w:ilvl w:val="0"/>
                <w:numId w:val="0"/>
              </w:numPr>
              <w:spacing w:line="240" w:lineRule="auto"/>
              <w:ind w:left="0" w:leftChars="0" w:firstLine="0" w:firstLineChars="0"/>
              <w:jc w:val="center"/>
              <w:rPr>
                <w:rFonts w:hint="eastAsia" w:eastAsia="宋体" w:cs="Times New Roman"/>
                <w:color w:val="auto"/>
                <w:kern w:val="2"/>
                <w:sz w:val="21"/>
                <w:szCs w:val="21"/>
                <w:highlight w:val="none"/>
                <w:u w:val="none"/>
                <w:lang w:val="en-US" w:eastAsia="zh-CN" w:bidi="ar-SA"/>
              </w:rPr>
            </w:pPr>
          </w:p>
        </w:tc>
        <w:tc>
          <w:tcPr>
            <w:tcW w:w="74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566"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620" w:type="pct"/>
            <w:noWrap w:val="0"/>
            <w:vAlign w:val="center"/>
          </w:tcPr>
          <w:p>
            <w:pPr>
              <w:widowControl w:val="0"/>
              <w:bidi w:val="0"/>
              <w:adjustRightInd w:val="0"/>
              <w:snapToGrid w:val="0"/>
              <w:spacing w:line="240" w:lineRule="auto"/>
              <w:ind w:firstLine="0" w:firstLineChars="0"/>
              <w:jc w:val="center"/>
              <w:rPr>
                <w:rFonts w:hint="default"/>
                <w:color w:val="auto"/>
                <w:sz w:val="21"/>
                <w:szCs w:val="21"/>
                <w:highlight w:val="none"/>
                <w:u w:val="none"/>
                <w:lang w:val="en-US" w:eastAsia="zh-CN"/>
              </w:rPr>
            </w:pPr>
            <w:r>
              <w:rPr>
                <w:rFonts w:hint="eastAsia" w:ascii="Times New Roman" w:eastAsiaTheme="minorEastAsia"/>
                <w:color w:val="auto"/>
                <w:sz w:val="21"/>
                <w:szCs w:val="21"/>
                <w:highlight w:val="none"/>
                <w:u w:val="none"/>
                <w:lang w:val="en-US" w:eastAsia="zh-CN"/>
              </w:rPr>
              <w:t>危废间、原料库1及化验室</w:t>
            </w:r>
          </w:p>
        </w:tc>
        <w:tc>
          <w:tcPr>
            <w:tcW w:w="1066"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color w:val="auto"/>
                <w:sz w:val="21"/>
                <w:szCs w:val="21"/>
                <w:highlight w:val="none"/>
                <w:u w:val="none"/>
                <w:lang w:val="en-US" w:eastAsia="zh-CN"/>
              </w:rPr>
              <w:t>NMHC</w:t>
            </w:r>
          </w:p>
        </w:tc>
        <w:tc>
          <w:tcPr>
            <w:tcW w:w="1346" w:type="pct"/>
            <w:gridSpan w:val="3"/>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w:t>
            </w:r>
          </w:p>
        </w:tc>
        <w:tc>
          <w:tcPr>
            <w:tcW w:w="365" w:type="pct"/>
            <w:vMerge w:val="continue"/>
            <w:noWrap w:val="0"/>
            <w:vAlign w:val="center"/>
          </w:tcPr>
          <w:p>
            <w:pPr>
              <w:widowControl w:val="0"/>
              <w:bidi w:val="0"/>
              <w:adjustRightInd w:val="0"/>
              <w:snapToGrid w:val="0"/>
              <w:spacing w:line="240" w:lineRule="auto"/>
              <w:ind w:firstLine="0" w:firstLineChars="0"/>
              <w:jc w:val="center"/>
              <w:rPr>
                <w:rFonts w:hint="eastAsia" w:eastAsia="宋体" w:cs="Times New Roman"/>
                <w:color w:val="auto"/>
                <w:kern w:val="2"/>
                <w:sz w:val="21"/>
                <w:szCs w:val="21"/>
                <w:highlight w:val="none"/>
                <w:u w:val="none"/>
                <w:lang w:val="en-US" w:eastAsia="zh-CN" w:bidi="ar-SA"/>
              </w:rPr>
            </w:pPr>
          </w:p>
        </w:tc>
        <w:tc>
          <w:tcPr>
            <w:tcW w:w="74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566"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0" w:hRule="atLeast"/>
          <w:jc w:val="center"/>
        </w:trPr>
        <w:tc>
          <w:tcPr>
            <w:tcW w:w="28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620"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eastAsiaTheme="minorEastAsia"/>
                <w:color w:val="auto"/>
                <w:sz w:val="21"/>
                <w:szCs w:val="21"/>
                <w:highlight w:val="none"/>
                <w:u w:val="none"/>
                <w:lang w:val="en-US" w:eastAsia="zh-CN"/>
              </w:rPr>
              <w:t>精馏废气</w:t>
            </w:r>
          </w:p>
        </w:tc>
        <w:tc>
          <w:tcPr>
            <w:tcW w:w="1066"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color w:val="auto"/>
                <w:sz w:val="21"/>
                <w:szCs w:val="21"/>
                <w:highlight w:val="none"/>
                <w:u w:val="none"/>
                <w:lang w:val="en-US" w:eastAsia="zh-CN"/>
              </w:rPr>
              <w:t>NMHC</w:t>
            </w:r>
            <w:r>
              <w:rPr>
                <w:rFonts w:hint="eastAsia" w:ascii="Times New Roman" w:eastAsiaTheme="minorEastAsia"/>
                <w:color w:val="auto"/>
                <w:sz w:val="21"/>
                <w:szCs w:val="21"/>
                <w:highlight w:val="none"/>
                <w:u w:val="none"/>
                <w:lang w:val="en-US" w:eastAsia="zh-CN"/>
              </w:rPr>
              <w:t>、甲醇等</w:t>
            </w:r>
          </w:p>
        </w:tc>
        <w:tc>
          <w:tcPr>
            <w:tcW w:w="1346" w:type="pct"/>
            <w:gridSpan w:val="3"/>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w:t>
            </w:r>
          </w:p>
        </w:tc>
        <w:tc>
          <w:tcPr>
            <w:tcW w:w="365" w:type="pct"/>
            <w:vMerge w:val="continue"/>
            <w:noWrap w:val="0"/>
            <w:vAlign w:val="center"/>
          </w:tcPr>
          <w:p>
            <w:pPr>
              <w:widowControl w:val="0"/>
              <w:bidi w:val="0"/>
              <w:adjustRightInd w:val="0"/>
              <w:snapToGrid w:val="0"/>
              <w:spacing w:line="240" w:lineRule="auto"/>
              <w:ind w:firstLine="0" w:firstLineChars="0"/>
              <w:jc w:val="center"/>
              <w:rPr>
                <w:rFonts w:hint="eastAsia" w:eastAsia="宋体" w:cs="Times New Roman"/>
                <w:color w:val="auto"/>
                <w:kern w:val="2"/>
                <w:sz w:val="21"/>
                <w:szCs w:val="21"/>
                <w:highlight w:val="none"/>
                <w:u w:val="none"/>
                <w:lang w:val="en-US" w:eastAsia="zh-CN" w:bidi="ar-SA"/>
              </w:rPr>
            </w:pPr>
          </w:p>
        </w:tc>
        <w:tc>
          <w:tcPr>
            <w:tcW w:w="74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566"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9" w:hRule="atLeast"/>
          <w:jc w:val="center"/>
        </w:trPr>
        <w:tc>
          <w:tcPr>
            <w:tcW w:w="28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620"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食堂</w:t>
            </w:r>
          </w:p>
        </w:tc>
        <w:tc>
          <w:tcPr>
            <w:tcW w:w="1066"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食堂油烟</w:t>
            </w:r>
          </w:p>
        </w:tc>
        <w:tc>
          <w:tcPr>
            <w:tcW w:w="1711" w:type="pct"/>
            <w:gridSpan w:val="4"/>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复合式油烟净化器</w:t>
            </w:r>
          </w:p>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（新建）</w:t>
            </w:r>
          </w:p>
        </w:tc>
        <w:tc>
          <w:tcPr>
            <w:tcW w:w="749"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专用烟道</w:t>
            </w:r>
            <w:r>
              <w:rPr>
                <w:rFonts w:hint="default" w:ascii="Times New Roman" w:hAnsi="Times New Roman" w:eastAsia="宋体" w:cs="Times New Roman"/>
                <w:color w:val="auto"/>
                <w:kern w:val="2"/>
                <w:sz w:val="21"/>
                <w:szCs w:val="21"/>
                <w:highlight w:val="none"/>
                <w:u w:val="none"/>
                <w:lang w:val="en-US" w:eastAsia="zh-CN" w:bidi="ar-SA"/>
              </w:rPr>
              <w:t>（DA00</w:t>
            </w:r>
            <w:r>
              <w:rPr>
                <w:rFonts w:hint="eastAsia" w:eastAsia="宋体" w:cs="Times New Roman"/>
                <w:color w:val="auto"/>
                <w:kern w:val="2"/>
                <w:sz w:val="21"/>
                <w:szCs w:val="21"/>
                <w:highlight w:val="none"/>
                <w:u w:val="none"/>
                <w:lang w:val="en-US" w:eastAsia="zh-CN" w:bidi="ar-SA"/>
              </w:rPr>
              <w:t>7</w:t>
            </w:r>
            <w:r>
              <w:rPr>
                <w:rFonts w:hint="default" w:ascii="Times New Roman" w:hAnsi="Times New Roman" w:eastAsia="宋体" w:cs="Times New Roman"/>
                <w:color w:val="auto"/>
                <w:kern w:val="2"/>
                <w:sz w:val="21"/>
                <w:szCs w:val="21"/>
                <w:highlight w:val="none"/>
                <w:u w:val="none"/>
                <w:lang w:val="en-US" w:eastAsia="zh-CN" w:bidi="ar-SA"/>
              </w:rPr>
              <w:t>）</w:t>
            </w:r>
          </w:p>
        </w:tc>
        <w:tc>
          <w:tcPr>
            <w:tcW w:w="566"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7" w:hRule="atLeast"/>
          <w:jc w:val="center"/>
        </w:trPr>
        <w:tc>
          <w:tcPr>
            <w:tcW w:w="284" w:type="pct"/>
            <w:vMerge w:val="restar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废水</w:t>
            </w:r>
          </w:p>
        </w:tc>
        <w:tc>
          <w:tcPr>
            <w:tcW w:w="620"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工艺废水</w:t>
            </w:r>
          </w:p>
        </w:tc>
        <w:tc>
          <w:tcPr>
            <w:tcW w:w="1066"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预处理罐（3车间、5车间、7车间利旧，1车间、2车间、9车间、10车间新建）</w:t>
            </w:r>
          </w:p>
        </w:tc>
        <w:tc>
          <w:tcPr>
            <w:tcW w:w="500" w:type="pct"/>
            <w:gridSpan w:val="2"/>
            <w:vMerge w:val="restar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eastAsia"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MVR（新建）</w:t>
            </w:r>
          </w:p>
        </w:tc>
        <w:tc>
          <w:tcPr>
            <w:tcW w:w="846" w:type="pct"/>
            <w:vMerge w:val="restar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eastAsia"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铁碳微电解（依托现有）</w:t>
            </w:r>
          </w:p>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1114" w:type="pct"/>
            <w:gridSpan w:val="2"/>
            <w:vMerge w:val="restar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综合处理站（依托现有）</w:t>
            </w:r>
          </w:p>
        </w:tc>
        <w:tc>
          <w:tcPr>
            <w:tcW w:w="566" w:type="pct"/>
            <w:vMerge w:val="restar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6</w:t>
            </w:r>
            <w:r>
              <w:rPr>
                <w:rFonts w:hint="default" w:ascii="Times New Roman" w:hAnsi="Times New Roman" w:eastAsia="宋体" w:cs="Times New Roman"/>
                <w:color w:val="auto"/>
                <w:kern w:val="2"/>
                <w:sz w:val="21"/>
                <w:szCs w:val="21"/>
                <w:highlight w:val="none"/>
                <w:u w:val="none"/>
                <w:lang w:val="en-US" w:eastAsia="zh-CN" w:bidi="ar-SA"/>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8" w:hRule="atLeast"/>
          <w:jc w:val="center"/>
        </w:trPr>
        <w:tc>
          <w:tcPr>
            <w:tcW w:w="284" w:type="pct"/>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620"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eastAsia"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废气喷淋</w:t>
            </w:r>
          </w:p>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废水</w:t>
            </w:r>
          </w:p>
        </w:tc>
        <w:tc>
          <w:tcPr>
            <w:tcW w:w="1066"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w:t>
            </w:r>
          </w:p>
        </w:tc>
        <w:tc>
          <w:tcPr>
            <w:tcW w:w="500" w:type="pct"/>
            <w:gridSpan w:val="2"/>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eastAsia" w:eastAsia="宋体" w:cs="Times New Roman"/>
                <w:color w:val="auto"/>
                <w:kern w:val="2"/>
                <w:sz w:val="21"/>
                <w:szCs w:val="21"/>
                <w:highlight w:val="none"/>
                <w:u w:val="none"/>
                <w:lang w:val="en-US" w:eastAsia="zh-CN" w:bidi="ar-SA"/>
              </w:rPr>
            </w:pPr>
          </w:p>
        </w:tc>
        <w:tc>
          <w:tcPr>
            <w:tcW w:w="846" w:type="pct"/>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1114" w:type="pct"/>
            <w:gridSpan w:val="2"/>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566" w:type="pct"/>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8" w:hRule="atLeast"/>
          <w:jc w:val="center"/>
        </w:trPr>
        <w:tc>
          <w:tcPr>
            <w:tcW w:w="284" w:type="pct"/>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620"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设备清洗废水、地面清洗废水、真空泵排水</w:t>
            </w:r>
          </w:p>
        </w:tc>
        <w:tc>
          <w:tcPr>
            <w:tcW w:w="1066"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w:t>
            </w:r>
          </w:p>
        </w:tc>
        <w:tc>
          <w:tcPr>
            <w:tcW w:w="500" w:type="pct"/>
            <w:gridSpan w:val="2"/>
            <w:vMerge w:val="restar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846" w:type="pct"/>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1114" w:type="pct"/>
            <w:gridSpan w:val="2"/>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566" w:type="pct"/>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8" w:hRule="atLeast"/>
          <w:jc w:val="center"/>
        </w:trPr>
        <w:tc>
          <w:tcPr>
            <w:tcW w:w="284" w:type="pct"/>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620"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储罐冷却水、循环水排污水、办公生活污水、化验废水、初期雨水</w:t>
            </w:r>
          </w:p>
        </w:tc>
        <w:tc>
          <w:tcPr>
            <w:tcW w:w="1066"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w:t>
            </w:r>
          </w:p>
        </w:tc>
        <w:tc>
          <w:tcPr>
            <w:tcW w:w="500" w:type="pct"/>
            <w:gridSpan w:val="2"/>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846" w:type="pct"/>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1114" w:type="pct"/>
            <w:gridSpan w:val="2"/>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566" w:type="pct"/>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0" w:hRule="atLeast"/>
          <w:jc w:val="center"/>
        </w:trPr>
        <w:tc>
          <w:tcPr>
            <w:tcW w:w="284" w:type="pct"/>
            <w:vMerge w:val="restar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固废</w:t>
            </w:r>
          </w:p>
        </w:tc>
        <w:tc>
          <w:tcPr>
            <w:tcW w:w="4148" w:type="pct"/>
            <w:gridSpan w:val="7"/>
            <w:tcBorders>
              <w:left w:val="single" w:color="auto" w:sz="4" w:space="0"/>
              <w:right w:val="single" w:color="auto" w:sz="4" w:space="0"/>
            </w:tcBorders>
            <w:noWrap w:val="0"/>
            <w:vAlign w:val="center"/>
          </w:tcPr>
          <w:p>
            <w:pPr>
              <w:bidi w:val="0"/>
              <w:adjustRightInd w:val="0"/>
              <w:snapToGrid w:val="0"/>
              <w:spacing w:line="240" w:lineRule="auto"/>
              <w:ind w:left="0" w:leftChars="0" w:firstLine="0" w:firstLineChars="0"/>
              <w:rPr>
                <w:rFonts w:hint="default" w:ascii="Times New Roman" w:hAnsi="Times New Roman" w:eastAsia="宋体" w:cs="Times New Roman"/>
                <w:color w:val="auto"/>
                <w:sz w:val="21"/>
                <w:szCs w:val="21"/>
                <w:highlight w:val="none"/>
                <w:u w:val="none"/>
                <w:lang w:val="en-US" w:eastAsia="zh-CN"/>
              </w:rPr>
            </w:pPr>
            <w:r>
              <w:rPr>
                <w:rFonts w:hint="eastAsia" w:eastAsia="宋体" w:cs="Times New Roman"/>
                <w:color w:val="auto"/>
                <w:sz w:val="21"/>
                <w:szCs w:val="21"/>
                <w:highlight w:val="none"/>
                <w:u w:val="none"/>
                <w:lang w:val="en-US" w:eastAsia="zh-CN"/>
              </w:rPr>
              <w:t>依托现有5</w:t>
            </w:r>
            <w:r>
              <w:rPr>
                <w:rFonts w:hint="default" w:ascii="Times New Roman" w:hAnsi="Times New Roman" w:eastAsia="宋体" w:cs="Times New Roman"/>
                <w:color w:val="auto"/>
                <w:sz w:val="21"/>
                <w:szCs w:val="21"/>
                <w:highlight w:val="none"/>
                <w:u w:val="none"/>
                <w:lang w:val="en-US" w:eastAsia="zh-CN"/>
              </w:rPr>
              <w:t>0m</w:t>
            </w:r>
            <w:r>
              <w:rPr>
                <w:rFonts w:hint="default" w:ascii="Times New Roman" w:hAnsi="Times New Roman" w:eastAsia="宋体" w:cs="Times New Roman"/>
                <w:color w:val="auto"/>
                <w:sz w:val="21"/>
                <w:szCs w:val="21"/>
                <w:highlight w:val="none"/>
                <w:u w:val="none"/>
                <w:vertAlign w:val="superscript"/>
                <w:lang w:val="en-US" w:eastAsia="zh-CN"/>
              </w:rPr>
              <w:t>2</w:t>
            </w:r>
            <w:r>
              <w:rPr>
                <w:rFonts w:hint="default" w:ascii="Times New Roman" w:hAnsi="Times New Roman" w:eastAsia="宋体" w:cs="Times New Roman"/>
                <w:color w:val="auto"/>
                <w:sz w:val="21"/>
                <w:szCs w:val="21"/>
                <w:highlight w:val="none"/>
                <w:u w:val="none"/>
                <w:lang w:val="en-US" w:eastAsia="zh-CN"/>
              </w:rPr>
              <w:t>的一般固废间暂存。</w:t>
            </w:r>
            <w:r>
              <w:rPr>
                <w:rFonts w:hint="eastAsia" w:eastAsia="宋体" w:cs="Times New Roman"/>
                <w:color w:val="auto"/>
                <w:sz w:val="21"/>
                <w:szCs w:val="21"/>
                <w:highlight w:val="none"/>
                <w:u w:val="none"/>
                <w:lang w:val="en-US" w:eastAsia="zh-CN"/>
              </w:rPr>
              <w:t>项目产生的一般固废中，</w:t>
            </w:r>
            <w:r>
              <w:rPr>
                <w:rFonts w:hint="default" w:ascii="Times New Roman" w:hAnsi="Times New Roman" w:eastAsia="宋体" w:cs="Times New Roman"/>
                <w:color w:val="auto"/>
                <w:sz w:val="21"/>
                <w:szCs w:val="21"/>
                <w:highlight w:val="none"/>
                <w:u w:val="none"/>
                <w:lang w:val="en-US" w:eastAsia="zh-CN"/>
              </w:rPr>
              <w:t>纯水装置产生的废滤材，在达到使用时限后由供应商负责更换滤材，废滤材由供应商当即回收。一般原料包装袋</w:t>
            </w:r>
            <w:r>
              <w:rPr>
                <w:rFonts w:hint="eastAsia" w:eastAsia="宋体" w:cs="Times New Roman"/>
                <w:color w:val="auto"/>
                <w:sz w:val="21"/>
                <w:szCs w:val="21"/>
                <w:highlight w:val="none"/>
                <w:u w:val="none"/>
                <w:lang w:val="en-US" w:eastAsia="zh-CN"/>
              </w:rPr>
              <w:t>等</w:t>
            </w:r>
            <w:r>
              <w:rPr>
                <w:rFonts w:hint="default" w:ascii="Times New Roman" w:hAnsi="Times New Roman" w:eastAsia="宋体" w:cs="Times New Roman"/>
                <w:color w:val="auto"/>
                <w:sz w:val="21"/>
                <w:szCs w:val="21"/>
                <w:highlight w:val="none"/>
                <w:u w:val="none"/>
                <w:lang w:val="en-US" w:eastAsia="zh-CN"/>
              </w:rPr>
              <w:t>暂存于50m</w:t>
            </w:r>
            <w:r>
              <w:rPr>
                <w:rFonts w:hint="default" w:ascii="Times New Roman" w:hAnsi="Times New Roman" w:eastAsia="宋体" w:cs="Times New Roman"/>
                <w:color w:val="auto"/>
                <w:sz w:val="21"/>
                <w:szCs w:val="21"/>
                <w:highlight w:val="none"/>
                <w:u w:val="none"/>
                <w:vertAlign w:val="superscript"/>
                <w:lang w:val="en-US" w:eastAsia="zh-CN"/>
              </w:rPr>
              <w:t>2</w:t>
            </w:r>
            <w:r>
              <w:rPr>
                <w:rFonts w:hint="default" w:ascii="Times New Roman" w:hAnsi="Times New Roman" w:eastAsia="宋体" w:cs="Times New Roman"/>
                <w:color w:val="auto"/>
                <w:sz w:val="21"/>
                <w:szCs w:val="21"/>
                <w:highlight w:val="none"/>
                <w:u w:val="none"/>
                <w:lang w:val="en-US" w:eastAsia="zh-CN"/>
              </w:rPr>
              <w:t>的一般固废间定期外售或交原料厂家，</w:t>
            </w:r>
            <w:r>
              <w:rPr>
                <w:rFonts w:hint="eastAsia" w:eastAsia="宋体" w:cs="Times New Roman"/>
                <w:color w:val="auto"/>
                <w:sz w:val="21"/>
                <w:szCs w:val="21"/>
                <w:highlight w:val="none"/>
                <w:u w:val="none"/>
                <w:lang w:val="en-US" w:eastAsia="zh-CN"/>
              </w:rPr>
              <w:t>生化污泥与</w:t>
            </w:r>
            <w:r>
              <w:rPr>
                <w:rFonts w:hint="default" w:ascii="Times New Roman" w:hAnsi="Times New Roman" w:eastAsia="宋体" w:cs="Times New Roman"/>
                <w:color w:val="auto"/>
                <w:sz w:val="21"/>
                <w:szCs w:val="21"/>
                <w:highlight w:val="none"/>
                <w:u w:val="none"/>
                <w:lang w:val="en-US" w:eastAsia="zh-CN"/>
              </w:rPr>
              <w:t>生活垃圾</w:t>
            </w:r>
            <w:r>
              <w:rPr>
                <w:rFonts w:hint="eastAsia" w:eastAsia="宋体" w:cs="Times New Roman"/>
                <w:color w:val="auto"/>
                <w:sz w:val="21"/>
                <w:szCs w:val="21"/>
                <w:highlight w:val="none"/>
                <w:u w:val="none"/>
                <w:lang w:val="en-US" w:eastAsia="zh-CN"/>
              </w:rPr>
              <w:t>一同</w:t>
            </w:r>
            <w:r>
              <w:rPr>
                <w:rFonts w:hint="default" w:ascii="Times New Roman" w:hAnsi="Times New Roman" w:eastAsia="宋体" w:cs="Times New Roman"/>
                <w:color w:val="auto"/>
                <w:sz w:val="21"/>
                <w:szCs w:val="21"/>
                <w:highlight w:val="none"/>
                <w:u w:val="none"/>
                <w:lang w:val="en-US" w:eastAsia="zh-CN"/>
              </w:rPr>
              <w:t>交市政部门送垃圾发电厂处置。</w:t>
            </w:r>
          </w:p>
        </w:tc>
        <w:tc>
          <w:tcPr>
            <w:tcW w:w="566"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62" w:hRule="atLeast"/>
          <w:jc w:val="center"/>
        </w:trPr>
        <w:tc>
          <w:tcPr>
            <w:tcW w:w="284" w:type="pct"/>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c>
          <w:tcPr>
            <w:tcW w:w="4148" w:type="pct"/>
            <w:gridSpan w:val="7"/>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建设一座1</w:t>
            </w:r>
            <w:r>
              <w:rPr>
                <w:rFonts w:hint="eastAsia" w:eastAsia="宋体" w:cs="Times New Roman"/>
                <w:color w:val="auto"/>
                <w:kern w:val="2"/>
                <w:sz w:val="21"/>
                <w:szCs w:val="21"/>
                <w:highlight w:val="none"/>
                <w:u w:val="none"/>
                <w:lang w:val="en-US" w:eastAsia="zh-CN" w:bidi="ar-SA"/>
              </w:rPr>
              <w:t>00</w:t>
            </w:r>
            <w:r>
              <w:rPr>
                <w:rFonts w:hint="default" w:ascii="Times New Roman" w:hAnsi="Times New Roman" w:eastAsia="宋体" w:cs="Times New Roman"/>
                <w:color w:val="auto"/>
                <w:kern w:val="2"/>
                <w:sz w:val="21"/>
                <w:szCs w:val="21"/>
                <w:highlight w:val="none"/>
                <w:u w:val="none"/>
                <w:lang w:val="en-US" w:eastAsia="zh-CN" w:bidi="ar-SA"/>
              </w:rPr>
              <w:t>m</w:t>
            </w:r>
            <w:r>
              <w:rPr>
                <w:rFonts w:hint="default" w:ascii="Times New Roman" w:hAnsi="Times New Roman" w:eastAsia="宋体" w:cs="Times New Roman"/>
                <w:color w:val="auto"/>
                <w:kern w:val="2"/>
                <w:sz w:val="21"/>
                <w:szCs w:val="21"/>
                <w:highlight w:val="none"/>
                <w:u w:val="none"/>
                <w:vertAlign w:val="superscript"/>
                <w:lang w:val="en-US" w:eastAsia="zh-CN" w:bidi="ar-SA"/>
              </w:rPr>
              <w:t>2</w:t>
            </w:r>
            <w:r>
              <w:rPr>
                <w:rFonts w:hint="default" w:ascii="Times New Roman" w:hAnsi="Times New Roman" w:eastAsia="宋体" w:cs="Times New Roman"/>
                <w:color w:val="auto"/>
                <w:kern w:val="2"/>
                <w:sz w:val="21"/>
                <w:szCs w:val="21"/>
                <w:highlight w:val="none"/>
                <w:u w:val="none"/>
                <w:lang w:val="en-US" w:eastAsia="zh-CN" w:bidi="ar-SA"/>
              </w:rPr>
              <w:t>危废间暂存。</w:t>
            </w:r>
            <w:r>
              <w:rPr>
                <w:rFonts w:hint="eastAsia" w:eastAsia="宋体" w:cs="Times New Roman"/>
                <w:color w:val="auto"/>
                <w:kern w:val="2"/>
                <w:sz w:val="21"/>
                <w:szCs w:val="21"/>
                <w:highlight w:val="none"/>
                <w:u w:val="none"/>
                <w:lang w:val="en-US" w:eastAsia="zh-CN" w:bidi="ar-SA"/>
              </w:rPr>
              <w:t>改建</w:t>
            </w:r>
            <w:r>
              <w:rPr>
                <w:rFonts w:hint="default" w:ascii="Times New Roman" w:hAnsi="Times New Roman" w:eastAsia="宋体" w:cs="Times New Roman"/>
                <w:color w:val="auto"/>
                <w:kern w:val="2"/>
                <w:sz w:val="21"/>
                <w:szCs w:val="21"/>
                <w:highlight w:val="none"/>
                <w:u w:val="none"/>
                <w:lang w:val="en-US" w:eastAsia="zh-CN" w:bidi="ar-SA"/>
              </w:rPr>
              <w:t>工程产生的蒸馏残渣（液）、物化污泥、废矿物油等，进入现有的危废焚烧炉处置，焚烧产生的炉渣以及有毒有害包装材料、废催化剂</w:t>
            </w:r>
            <w:r>
              <w:rPr>
                <w:rFonts w:hint="eastAsia" w:ascii="Times New Roman" w:hAnsi="Times New Roman" w:eastAsia="宋体" w:cs="Times New Roman"/>
                <w:color w:val="auto"/>
                <w:kern w:val="2"/>
                <w:sz w:val="21"/>
                <w:szCs w:val="21"/>
                <w:highlight w:val="none"/>
                <w:u w:val="none"/>
                <w:lang w:val="en-US" w:eastAsia="zh-CN" w:bidi="ar-SA"/>
              </w:rPr>
              <w:t>、过滤残渣、MVR污盐及废盐分离母液</w:t>
            </w:r>
            <w:r>
              <w:rPr>
                <w:rFonts w:hint="default" w:ascii="Times New Roman" w:hAnsi="Times New Roman" w:eastAsia="宋体" w:cs="Times New Roman"/>
                <w:color w:val="auto"/>
                <w:kern w:val="2"/>
                <w:sz w:val="21"/>
                <w:szCs w:val="21"/>
                <w:highlight w:val="none"/>
                <w:u w:val="none"/>
                <w:lang w:val="en-US" w:eastAsia="zh-CN" w:bidi="ar-SA"/>
              </w:rPr>
              <w:t>等，暂存于本次工程新建的100</w:t>
            </w:r>
            <w:r>
              <w:rPr>
                <w:rFonts w:hint="eastAsia" w:eastAsia="宋体" w:cs="Times New Roman"/>
                <w:color w:val="auto"/>
                <w:kern w:val="2"/>
                <w:sz w:val="21"/>
                <w:szCs w:val="21"/>
                <w:highlight w:val="none"/>
                <w:u w:val="none"/>
                <w:lang w:val="en-US" w:eastAsia="zh-CN" w:bidi="ar-SA"/>
              </w:rPr>
              <w:t>m</w:t>
            </w:r>
            <w:r>
              <w:rPr>
                <w:rFonts w:hint="eastAsia" w:eastAsia="宋体" w:cs="Times New Roman"/>
                <w:strike w:val="0"/>
                <w:dstrike w:val="0"/>
                <w:color w:val="auto"/>
                <w:kern w:val="2"/>
                <w:sz w:val="21"/>
                <w:szCs w:val="21"/>
                <w:highlight w:val="none"/>
                <w:u w:val="none"/>
                <w:vertAlign w:val="superscript"/>
                <w:lang w:val="en-US" w:eastAsia="zh-CN" w:bidi="ar-SA"/>
              </w:rPr>
              <w:t>2</w:t>
            </w:r>
            <w:r>
              <w:rPr>
                <w:rFonts w:hint="default" w:ascii="Times New Roman" w:hAnsi="Times New Roman" w:eastAsia="宋体" w:cs="Times New Roman"/>
                <w:color w:val="auto"/>
                <w:kern w:val="2"/>
                <w:sz w:val="21"/>
                <w:szCs w:val="21"/>
                <w:highlight w:val="none"/>
                <w:u w:val="none"/>
                <w:lang w:val="en-US" w:eastAsia="zh-CN" w:bidi="ar-SA"/>
              </w:rPr>
              <w:t>危险废物暂存间</w:t>
            </w:r>
            <w:r>
              <w:rPr>
                <w:rFonts w:hint="eastAsia" w:ascii="Times New Roman" w:hAnsi="Times New Roman" w:eastAsia="宋体" w:cs="Times New Roman"/>
                <w:color w:val="auto"/>
                <w:kern w:val="2"/>
                <w:sz w:val="21"/>
                <w:szCs w:val="21"/>
                <w:highlight w:val="none"/>
                <w:u w:val="none"/>
                <w:lang w:val="en-US" w:eastAsia="zh-CN" w:bidi="ar-SA"/>
              </w:rPr>
              <w:t>，并定期委托有资质单位处置</w:t>
            </w:r>
            <w:r>
              <w:rPr>
                <w:rFonts w:hint="default" w:ascii="Times New Roman" w:hAnsi="Times New Roman" w:eastAsia="宋体" w:cs="Times New Roman"/>
                <w:color w:val="auto"/>
                <w:kern w:val="2"/>
                <w:sz w:val="21"/>
                <w:szCs w:val="21"/>
                <w:highlight w:val="none"/>
                <w:u w:val="none"/>
                <w:lang w:val="en-US" w:eastAsia="zh-CN" w:bidi="ar-SA"/>
              </w:rPr>
              <w:t>。</w:t>
            </w:r>
          </w:p>
        </w:tc>
        <w:tc>
          <w:tcPr>
            <w:tcW w:w="566"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9" w:hRule="atLeast"/>
          <w:jc w:val="center"/>
        </w:trPr>
        <w:tc>
          <w:tcPr>
            <w:tcW w:w="284"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地下水、土壤</w:t>
            </w:r>
          </w:p>
        </w:tc>
        <w:tc>
          <w:tcPr>
            <w:tcW w:w="4148" w:type="pct"/>
            <w:gridSpan w:val="7"/>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分区防渗</w:t>
            </w:r>
            <w:r>
              <w:rPr>
                <w:rFonts w:hint="eastAsia" w:eastAsia="宋体" w:cs="Times New Roman"/>
                <w:color w:val="auto"/>
                <w:kern w:val="2"/>
                <w:sz w:val="21"/>
                <w:szCs w:val="21"/>
                <w:highlight w:val="none"/>
                <w:u w:val="none"/>
                <w:lang w:val="en-US" w:eastAsia="zh-CN" w:bidi="ar-SA"/>
              </w:rPr>
              <w:t>，其中污水站及其地下管道、初期雨水管网、储罐区、1、3、5车间等中转罐区、</w:t>
            </w:r>
            <w:r>
              <w:rPr>
                <w:rFonts w:hint="eastAsia" w:ascii="Times New Roman" w:hAnsi="Times New Roman" w:eastAsia="宋体" w:cs="Times New Roman"/>
                <w:bCs/>
                <w:snapToGrid w:val="0"/>
                <w:color w:val="auto"/>
                <w:kern w:val="0"/>
                <w:sz w:val="21"/>
                <w:szCs w:val="21"/>
                <w:highlight w:val="none"/>
                <w:u w:val="none"/>
                <w:lang w:val="en-US" w:eastAsia="zh-CN"/>
              </w:rPr>
              <w:t>危废焚烧炉</w:t>
            </w:r>
            <w:r>
              <w:rPr>
                <w:rFonts w:hint="eastAsia" w:eastAsia="宋体" w:cs="Times New Roman"/>
                <w:bCs/>
                <w:snapToGrid w:val="0"/>
                <w:color w:val="auto"/>
                <w:kern w:val="0"/>
                <w:sz w:val="21"/>
                <w:szCs w:val="21"/>
                <w:highlight w:val="none"/>
                <w:u w:val="none"/>
                <w:lang w:val="en-US" w:eastAsia="zh-CN"/>
              </w:rPr>
              <w:t>界区及其</w:t>
            </w:r>
            <w:r>
              <w:rPr>
                <w:rFonts w:hint="eastAsia" w:ascii="Times New Roman" w:hAnsi="Times New Roman" w:eastAsia="宋体" w:cs="Times New Roman"/>
                <w:bCs/>
                <w:snapToGrid w:val="0"/>
                <w:color w:val="auto"/>
                <w:kern w:val="0"/>
                <w:sz w:val="21"/>
                <w:szCs w:val="21"/>
                <w:highlight w:val="none"/>
                <w:u w:val="none"/>
                <w:lang w:val="en-US" w:eastAsia="zh-CN"/>
              </w:rPr>
              <w:t>循环水池</w:t>
            </w:r>
            <w:r>
              <w:rPr>
                <w:rFonts w:hint="eastAsia" w:eastAsia="宋体" w:cs="Times New Roman"/>
                <w:bCs/>
                <w:snapToGrid w:val="0"/>
                <w:color w:val="auto"/>
                <w:kern w:val="0"/>
                <w:sz w:val="21"/>
                <w:szCs w:val="21"/>
                <w:highlight w:val="none"/>
                <w:u w:val="none"/>
                <w:lang w:val="en-US" w:eastAsia="zh-CN"/>
              </w:rPr>
              <w:t>、</w:t>
            </w:r>
            <w:r>
              <w:rPr>
                <w:rFonts w:hint="default" w:ascii="Times New Roman" w:hAnsi="Times New Roman" w:eastAsia="宋体" w:cs="Times New Roman"/>
                <w:bCs/>
                <w:snapToGrid w:val="0"/>
                <w:color w:val="auto"/>
                <w:kern w:val="0"/>
                <w:sz w:val="21"/>
                <w:szCs w:val="21"/>
                <w:highlight w:val="none"/>
                <w:u w:val="none"/>
                <w:lang w:val="en-US" w:eastAsia="zh-CN"/>
              </w:rPr>
              <w:t>事故池、循环水池</w:t>
            </w:r>
            <w:r>
              <w:rPr>
                <w:rFonts w:hint="eastAsia" w:eastAsia="宋体" w:cs="Times New Roman"/>
                <w:bCs/>
                <w:snapToGrid w:val="0"/>
                <w:color w:val="auto"/>
                <w:kern w:val="0"/>
                <w:sz w:val="21"/>
                <w:szCs w:val="21"/>
                <w:highlight w:val="none"/>
                <w:u w:val="none"/>
                <w:lang w:val="en-US" w:eastAsia="zh-CN"/>
              </w:rPr>
              <w:t>、生产车间、精馏塔界区、生产车间、</w:t>
            </w:r>
            <w:r>
              <w:rPr>
                <w:rFonts w:hint="eastAsia" w:eastAsia="宋体" w:cs="Times New Roman"/>
                <w:bCs/>
                <w:color w:val="auto"/>
                <w:kern w:val="2"/>
                <w:sz w:val="21"/>
                <w:szCs w:val="21"/>
                <w:highlight w:val="none"/>
                <w:u w:val="none"/>
                <w:lang w:val="en-US" w:eastAsia="zh-CN"/>
              </w:rPr>
              <w:t>原料</w:t>
            </w:r>
            <w:r>
              <w:rPr>
                <w:rFonts w:hint="default" w:ascii="Times New Roman" w:hAnsi="Times New Roman" w:eastAsia="宋体" w:cs="Times New Roman"/>
                <w:bCs/>
                <w:color w:val="auto"/>
                <w:kern w:val="2"/>
                <w:sz w:val="21"/>
                <w:szCs w:val="21"/>
                <w:highlight w:val="none"/>
                <w:u w:val="none"/>
                <w:lang w:val="en-US" w:eastAsia="zh-CN"/>
              </w:rPr>
              <w:t>库、检测中心</w:t>
            </w:r>
            <w:r>
              <w:rPr>
                <w:rFonts w:hint="default" w:ascii="Times New Roman" w:hAnsi="Times New Roman" w:eastAsia="宋体" w:cs="Times New Roman"/>
                <w:bCs/>
                <w:snapToGrid w:val="0"/>
                <w:color w:val="auto"/>
                <w:kern w:val="0"/>
                <w:sz w:val="21"/>
                <w:szCs w:val="21"/>
                <w:highlight w:val="none"/>
                <w:u w:val="none"/>
                <w:lang w:val="en-US" w:eastAsia="zh-CN"/>
              </w:rPr>
              <w:t>、固废间、维修间</w:t>
            </w:r>
            <w:r>
              <w:rPr>
                <w:rFonts w:hint="eastAsia" w:eastAsia="宋体" w:cs="Times New Roman"/>
                <w:bCs/>
                <w:snapToGrid w:val="0"/>
                <w:color w:val="auto"/>
                <w:kern w:val="0"/>
                <w:sz w:val="21"/>
                <w:szCs w:val="21"/>
                <w:highlight w:val="none"/>
                <w:u w:val="none"/>
                <w:lang w:val="en-US" w:eastAsia="zh-CN"/>
              </w:rPr>
              <w:t>等利旧，危废暂存间、危废焚烧炉上料间、事故废水与消防废水收集管线、部分车间中转罐区、MVR及原水缓存池等新建、</w:t>
            </w:r>
            <w:r>
              <w:rPr>
                <w:rFonts w:hint="default" w:ascii="Times New Roman" w:hAnsi="Times New Roman" w:eastAsia="宋体" w:cs="Times New Roman"/>
                <w:color w:val="auto"/>
                <w:kern w:val="2"/>
                <w:sz w:val="21"/>
                <w:szCs w:val="21"/>
                <w:highlight w:val="none"/>
                <w:u w:val="none"/>
                <w:lang w:val="en-US" w:eastAsia="zh-CN" w:bidi="ar-SA"/>
              </w:rPr>
              <w:t>厂区内污染监控井</w:t>
            </w:r>
            <w:r>
              <w:rPr>
                <w:rFonts w:hint="eastAsia" w:eastAsia="宋体" w:cs="Times New Roman"/>
                <w:color w:val="auto"/>
                <w:kern w:val="2"/>
                <w:sz w:val="21"/>
                <w:szCs w:val="21"/>
                <w:highlight w:val="none"/>
                <w:u w:val="none"/>
                <w:lang w:val="en-US" w:eastAsia="zh-CN" w:bidi="ar-SA"/>
              </w:rPr>
              <w:t>等新建</w:t>
            </w:r>
          </w:p>
        </w:tc>
        <w:tc>
          <w:tcPr>
            <w:tcW w:w="566"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1" w:hRule="atLeast"/>
          <w:jc w:val="center"/>
        </w:trPr>
        <w:tc>
          <w:tcPr>
            <w:tcW w:w="284"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噪声</w:t>
            </w:r>
          </w:p>
        </w:tc>
        <w:tc>
          <w:tcPr>
            <w:tcW w:w="4148" w:type="pct"/>
            <w:gridSpan w:val="7"/>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厂房隔声、减震、消声</w:t>
            </w:r>
            <w:r>
              <w:rPr>
                <w:rFonts w:hint="eastAsia" w:eastAsia="宋体" w:cs="Times New Roman"/>
                <w:color w:val="auto"/>
                <w:kern w:val="2"/>
                <w:sz w:val="21"/>
                <w:szCs w:val="21"/>
                <w:highlight w:val="none"/>
                <w:u w:val="none"/>
                <w:lang w:val="en-US" w:eastAsia="zh-CN" w:bidi="ar-SA"/>
              </w:rPr>
              <w:t>（部分利旧、部分新建）</w:t>
            </w:r>
          </w:p>
        </w:tc>
        <w:tc>
          <w:tcPr>
            <w:tcW w:w="566"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9" w:hRule="atLeast"/>
          <w:jc w:val="center"/>
        </w:trPr>
        <w:tc>
          <w:tcPr>
            <w:tcW w:w="284"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环境风险</w:t>
            </w:r>
          </w:p>
        </w:tc>
        <w:tc>
          <w:tcPr>
            <w:tcW w:w="4148" w:type="pct"/>
            <w:gridSpan w:val="7"/>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left"/>
              <w:rPr>
                <w:rFonts w:hint="eastAsia"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利旧的措施：</w:t>
            </w:r>
            <w:r>
              <w:rPr>
                <w:rFonts w:hint="default" w:ascii="Times New Roman" w:hAnsi="Times New Roman" w:eastAsia="宋体" w:cs="Times New Roman"/>
                <w:color w:val="auto"/>
                <w:kern w:val="2"/>
                <w:sz w:val="21"/>
                <w:szCs w:val="21"/>
                <w:highlight w:val="none"/>
                <w:u w:val="none"/>
                <w:lang w:val="en-US" w:eastAsia="zh-CN" w:bidi="ar-SA"/>
              </w:rPr>
              <w:t>1</w:t>
            </w:r>
            <w:r>
              <w:rPr>
                <w:rFonts w:hint="eastAsia" w:eastAsia="宋体" w:cs="Times New Roman"/>
                <w:color w:val="auto"/>
                <w:kern w:val="2"/>
                <w:sz w:val="21"/>
                <w:szCs w:val="21"/>
                <w:highlight w:val="none"/>
                <w:u w:val="none"/>
                <w:lang w:val="en-US" w:eastAsia="zh-CN" w:bidi="ar-SA"/>
              </w:rPr>
              <w:t>0</w:t>
            </w:r>
            <w:r>
              <w:rPr>
                <w:rFonts w:hint="default" w:ascii="Times New Roman" w:hAnsi="Times New Roman" w:eastAsia="宋体" w:cs="Times New Roman"/>
                <w:color w:val="auto"/>
                <w:kern w:val="2"/>
                <w:sz w:val="21"/>
                <w:szCs w:val="21"/>
                <w:highlight w:val="none"/>
                <w:u w:val="none"/>
                <w:lang w:val="en-US" w:eastAsia="zh-CN" w:bidi="ar-SA"/>
              </w:rPr>
              <w:t>00m</w:t>
            </w:r>
            <w:r>
              <w:rPr>
                <w:rFonts w:hint="default" w:ascii="Times New Roman" w:hAnsi="Times New Roman" w:eastAsia="宋体" w:cs="Times New Roman"/>
                <w:color w:val="auto"/>
                <w:kern w:val="2"/>
                <w:sz w:val="21"/>
                <w:szCs w:val="21"/>
                <w:highlight w:val="none"/>
                <w:u w:val="none"/>
                <w:vertAlign w:val="superscript"/>
                <w:lang w:val="en-US" w:eastAsia="zh-CN" w:bidi="ar-SA"/>
              </w:rPr>
              <w:t>3</w:t>
            </w:r>
            <w:r>
              <w:rPr>
                <w:rFonts w:hint="default" w:ascii="Times New Roman" w:hAnsi="Times New Roman" w:eastAsia="宋体" w:cs="Times New Roman"/>
                <w:color w:val="auto"/>
                <w:kern w:val="2"/>
                <w:sz w:val="21"/>
                <w:szCs w:val="21"/>
                <w:highlight w:val="none"/>
                <w:u w:val="none"/>
                <w:lang w:val="en-US" w:eastAsia="zh-CN" w:bidi="ar-SA"/>
              </w:rPr>
              <w:t>事故水池</w:t>
            </w:r>
            <w:r>
              <w:rPr>
                <w:rFonts w:hint="eastAsia" w:eastAsia="宋体" w:cs="Times New Roman"/>
                <w:color w:val="auto"/>
                <w:kern w:val="2"/>
                <w:sz w:val="21"/>
                <w:szCs w:val="21"/>
                <w:highlight w:val="none"/>
                <w:u w:val="none"/>
                <w:lang w:val="en-US" w:eastAsia="zh-CN" w:bidi="ar-SA"/>
              </w:rPr>
              <w:t>，初期雨水管网，事故三级防控措施，应急沙袋、防毒面具、活性炭等</w:t>
            </w:r>
            <w:r>
              <w:rPr>
                <w:rFonts w:hint="default" w:ascii="Times New Roman" w:hAnsi="Times New Roman" w:eastAsia="宋体" w:cs="Times New Roman"/>
                <w:color w:val="auto"/>
                <w:kern w:val="2"/>
                <w:sz w:val="21"/>
                <w:szCs w:val="21"/>
                <w:highlight w:val="none"/>
                <w:u w:val="none"/>
                <w:lang w:val="en-US" w:eastAsia="zh-CN" w:bidi="ar-SA"/>
              </w:rPr>
              <w:t>事故应急</w:t>
            </w:r>
            <w:r>
              <w:rPr>
                <w:rFonts w:hint="eastAsia" w:eastAsia="宋体" w:cs="Times New Roman"/>
                <w:color w:val="auto"/>
                <w:kern w:val="2"/>
                <w:sz w:val="21"/>
                <w:szCs w:val="21"/>
                <w:highlight w:val="none"/>
                <w:u w:val="none"/>
                <w:lang w:val="en-US" w:eastAsia="zh-CN" w:bidi="ar-SA"/>
              </w:rPr>
              <w:t>设施，储罐区、中转罐区（1、3、5等车间）围堰，消防装置等；</w:t>
            </w:r>
          </w:p>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auto"/>
                <w:kern w:val="2"/>
                <w:sz w:val="21"/>
                <w:szCs w:val="21"/>
                <w:highlight w:val="none"/>
                <w:u w:val="none"/>
                <w:lang w:val="en-US" w:eastAsia="zh-CN" w:bidi="ar-SA"/>
              </w:rPr>
              <w:t>新建的措施：车间、库房缓坡，事故消防废水收集管线，</w:t>
            </w:r>
            <w:r>
              <w:rPr>
                <w:rFonts w:hint="default" w:ascii="Times New Roman" w:hAnsi="Times New Roman" w:eastAsia="宋体" w:cs="Times New Roman"/>
                <w:color w:val="auto"/>
                <w:kern w:val="2"/>
                <w:sz w:val="21"/>
                <w:szCs w:val="21"/>
                <w:highlight w:val="none"/>
                <w:u w:val="none"/>
                <w:lang w:val="en-US" w:eastAsia="zh-CN" w:bidi="ar-SA"/>
              </w:rPr>
              <w:t>事故应急预案</w:t>
            </w:r>
            <w:r>
              <w:rPr>
                <w:rFonts w:hint="eastAsia" w:eastAsia="宋体" w:cs="Times New Roman"/>
                <w:color w:val="auto"/>
                <w:kern w:val="2"/>
                <w:sz w:val="21"/>
                <w:szCs w:val="21"/>
                <w:highlight w:val="none"/>
                <w:u w:val="none"/>
                <w:lang w:val="en-US" w:eastAsia="zh-CN" w:bidi="ar-SA"/>
              </w:rPr>
              <w:t>（修订）</w:t>
            </w:r>
            <w:r>
              <w:rPr>
                <w:rFonts w:hint="default" w:ascii="Times New Roman" w:hAnsi="Times New Roman" w:eastAsia="宋体" w:cs="Times New Roman"/>
                <w:color w:val="auto"/>
                <w:kern w:val="2"/>
                <w:sz w:val="21"/>
                <w:szCs w:val="21"/>
                <w:highlight w:val="none"/>
                <w:u w:val="none"/>
                <w:lang w:val="en-US" w:eastAsia="zh-CN" w:bidi="ar-SA"/>
              </w:rPr>
              <w:t>、</w:t>
            </w:r>
            <w:r>
              <w:rPr>
                <w:rFonts w:hint="eastAsia" w:eastAsia="宋体" w:cs="Times New Roman"/>
                <w:color w:val="auto"/>
                <w:kern w:val="2"/>
                <w:sz w:val="21"/>
                <w:szCs w:val="21"/>
                <w:highlight w:val="none"/>
                <w:u w:val="none"/>
                <w:lang w:val="en-US" w:eastAsia="zh-CN" w:bidi="ar-SA"/>
              </w:rPr>
              <w:t>应急演练措施，有毒有害易燃易爆气体报警</w:t>
            </w:r>
            <w:r>
              <w:rPr>
                <w:rFonts w:hint="default" w:ascii="Times New Roman" w:hAnsi="Times New Roman" w:eastAsia="宋体" w:cs="Times New Roman"/>
                <w:color w:val="auto"/>
                <w:kern w:val="2"/>
                <w:sz w:val="21"/>
                <w:szCs w:val="21"/>
                <w:highlight w:val="none"/>
                <w:u w:val="none"/>
                <w:lang w:val="en-US" w:eastAsia="zh-CN" w:bidi="ar-SA"/>
              </w:rPr>
              <w:t>装置</w:t>
            </w:r>
            <w:r>
              <w:rPr>
                <w:rFonts w:hint="eastAsia" w:eastAsia="宋体" w:cs="Times New Roman"/>
                <w:color w:val="auto"/>
                <w:kern w:val="2"/>
                <w:sz w:val="21"/>
                <w:szCs w:val="21"/>
                <w:highlight w:val="none"/>
                <w:u w:val="none"/>
                <w:lang w:val="en-US" w:eastAsia="zh-CN" w:bidi="ar-SA"/>
              </w:rPr>
              <w:t>、500m</w:t>
            </w:r>
            <w:r>
              <w:rPr>
                <w:rFonts w:hint="eastAsia" w:eastAsia="宋体" w:cs="Times New Roman"/>
                <w:color w:val="auto"/>
                <w:kern w:val="2"/>
                <w:sz w:val="21"/>
                <w:szCs w:val="21"/>
                <w:highlight w:val="none"/>
                <w:u w:val="none"/>
                <w:vertAlign w:val="superscript"/>
                <w:lang w:val="en-US" w:eastAsia="zh-CN" w:bidi="ar-SA"/>
              </w:rPr>
              <w:t>3</w:t>
            </w:r>
            <w:r>
              <w:rPr>
                <w:rFonts w:hint="eastAsia" w:eastAsia="宋体" w:cs="Times New Roman"/>
                <w:color w:val="auto"/>
                <w:kern w:val="2"/>
                <w:sz w:val="21"/>
                <w:szCs w:val="21"/>
                <w:highlight w:val="none"/>
                <w:u w:val="none"/>
                <w:lang w:val="en-US" w:eastAsia="zh-CN" w:bidi="ar-SA"/>
              </w:rPr>
              <w:t>初期雨水池等</w:t>
            </w:r>
          </w:p>
        </w:tc>
        <w:tc>
          <w:tcPr>
            <w:tcW w:w="566"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lang w:val="en-US" w:eastAsia="zh-CN" w:bidi="ar-SA"/>
              </w:rPr>
            </w:pPr>
            <w:r>
              <w:rPr>
                <w:rFonts w:hint="eastAsia" w:eastAsia="宋体" w:cs="Times New Roman"/>
                <w:b w:val="0"/>
                <w:bCs/>
                <w:color w:val="auto"/>
                <w:kern w:val="2"/>
                <w:sz w:val="21"/>
                <w:szCs w:val="21"/>
                <w:highlight w:val="none"/>
                <w:u w:val="no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9" w:hRule="atLeast"/>
          <w:jc w:val="center"/>
        </w:trPr>
        <w:tc>
          <w:tcPr>
            <w:tcW w:w="4433" w:type="pct"/>
            <w:gridSpan w:val="8"/>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合计</w:t>
            </w:r>
          </w:p>
        </w:tc>
        <w:tc>
          <w:tcPr>
            <w:tcW w:w="566"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lang w:val="en-US" w:eastAsia="zh-CN" w:bidi="ar-SA"/>
              </w:rPr>
            </w:pPr>
            <w:r>
              <w:rPr>
                <w:rFonts w:hint="default" w:ascii="Times New Roman" w:hAnsi="Times New Roman" w:eastAsia="宋体" w:cs="Times New Roman"/>
                <w:b w:val="0"/>
                <w:bCs/>
                <w:color w:val="auto"/>
                <w:kern w:val="2"/>
                <w:sz w:val="21"/>
                <w:szCs w:val="21"/>
                <w:highlight w:val="none"/>
                <w:u w:val="none"/>
                <w:lang w:val="en-US" w:eastAsia="zh-CN" w:bidi="ar-SA"/>
              </w:rPr>
              <w:t>1</w:t>
            </w:r>
            <w:r>
              <w:rPr>
                <w:rFonts w:hint="eastAsia" w:eastAsia="宋体" w:cs="Times New Roman"/>
                <w:b w:val="0"/>
                <w:bCs/>
                <w:color w:val="auto"/>
                <w:kern w:val="2"/>
                <w:sz w:val="21"/>
                <w:szCs w:val="21"/>
                <w:highlight w:val="none"/>
                <w:u w:val="none"/>
                <w:lang w:val="en-US" w:eastAsia="zh-CN" w:bidi="ar-SA"/>
              </w:rPr>
              <w:t>126</w:t>
            </w:r>
          </w:p>
        </w:tc>
      </w:tr>
    </w:tbl>
    <w:p>
      <w:pPr>
        <w:pStyle w:val="2"/>
        <w:bidi w:val="0"/>
        <w:rPr>
          <w:rFonts w:hint="default"/>
          <w:color w:val="auto"/>
          <w:highlight w:val="none"/>
          <w:u w:val="none"/>
          <w:lang w:val="en-US" w:eastAsia="zh-CN"/>
        </w:rPr>
      </w:pPr>
      <w:bookmarkStart w:id="96" w:name="_Toc12573"/>
      <w:r>
        <w:rPr>
          <w:rFonts w:hint="default"/>
          <w:color w:val="auto"/>
          <w:highlight w:val="none"/>
          <w:u w:val="none"/>
          <w:lang w:val="en-US" w:eastAsia="zh-CN"/>
        </w:rPr>
        <w:t>环境经济损益分析</w:t>
      </w:r>
      <w:bookmarkEnd w:id="86"/>
      <w:bookmarkEnd w:id="87"/>
      <w:bookmarkEnd w:id="88"/>
      <w:bookmarkEnd w:id="89"/>
      <w:bookmarkEnd w:id="90"/>
      <w:bookmarkEnd w:id="91"/>
      <w:bookmarkEnd w:id="92"/>
      <w:bookmarkEnd w:id="93"/>
      <w:bookmarkEnd w:id="94"/>
      <w:bookmarkEnd w:id="96"/>
    </w:p>
    <w:p>
      <w:pPr>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环境影响的经济损益分析，就是衡量建设项目需要投入环保投资所能收到的环境效果，以及建设项目对外界产生的社会影响、经济影响和环境影响。负面的环境影响，估算出环境成本；正面的环境影响，估算出环境效益。其中包括对项目建设的社会、经济和环境效益的简要分析，重点是对项目环保措施费用效益进行分析论证，从而评价整个项目实施后对环境的总体影响及环保措施方案的经济合理性，为工程的合理性建设提供依据。</w:t>
      </w:r>
    </w:p>
    <w:p>
      <w:pPr>
        <w:pStyle w:val="3"/>
        <w:bidi w:val="0"/>
        <w:rPr>
          <w:rFonts w:hint="default"/>
          <w:color w:val="auto"/>
          <w:highlight w:val="none"/>
          <w:u w:val="none"/>
          <w:lang w:val="en-US" w:eastAsia="zh-CN"/>
        </w:rPr>
      </w:pPr>
      <w:bookmarkStart w:id="97" w:name="_Toc25944"/>
      <w:bookmarkStart w:id="98" w:name="_Toc25618"/>
      <w:bookmarkStart w:id="99" w:name="_Toc13354"/>
      <w:bookmarkStart w:id="100" w:name="_Toc11567"/>
      <w:bookmarkStart w:id="101" w:name="_Toc13483"/>
      <w:bookmarkStart w:id="102" w:name="_Toc27716"/>
      <w:bookmarkStart w:id="103" w:name="_Toc248"/>
      <w:bookmarkStart w:id="104" w:name="_Toc394944497"/>
      <w:bookmarkStart w:id="105" w:name="_Toc387151242"/>
      <w:bookmarkStart w:id="106" w:name="_Toc393394498"/>
      <w:r>
        <w:rPr>
          <w:rFonts w:hint="eastAsia"/>
          <w:color w:val="auto"/>
          <w:highlight w:val="none"/>
          <w:u w:val="none"/>
          <w:lang w:val="en-US" w:eastAsia="zh-CN"/>
        </w:rPr>
        <w:t>项目</w:t>
      </w:r>
      <w:r>
        <w:rPr>
          <w:rFonts w:hint="default"/>
          <w:color w:val="auto"/>
          <w:highlight w:val="none"/>
          <w:u w:val="none"/>
          <w:lang w:val="en-US" w:eastAsia="zh-CN"/>
        </w:rPr>
        <w:t>经济效益分析</w:t>
      </w:r>
      <w:bookmarkEnd w:id="97"/>
      <w:bookmarkEnd w:id="98"/>
      <w:bookmarkEnd w:id="99"/>
      <w:bookmarkEnd w:id="100"/>
      <w:bookmarkEnd w:id="101"/>
      <w:bookmarkEnd w:id="102"/>
      <w:bookmarkEnd w:id="103"/>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lang w:val="en-US" w:eastAsia="zh-CN"/>
        </w:rPr>
        <w:t>本项目总投资</w:t>
      </w:r>
      <w:r>
        <w:rPr>
          <w:rFonts w:hint="eastAsia" w:eastAsia="宋体" w:cs="Times New Roman"/>
          <w:color w:val="auto"/>
          <w:sz w:val="24"/>
          <w:szCs w:val="24"/>
          <w:highlight w:val="none"/>
          <w:u w:val="none"/>
          <w:lang w:val="en-US" w:eastAsia="zh-CN"/>
        </w:rPr>
        <w:t>26000</w:t>
      </w:r>
      <w:r>
        <w:rPr>
          <w:rFonts w:hint="default" w:ascii="Times New Roman" w:hAnsi="Times New Roman" w:eastAsia="宋体" w:cs="Times New Roman"/>
          <w:color w:val="auto"/>
          <w:sz w:val="24"/>
          <w:szCs w:val="24"/>
          <w:highlight w:val="none"/>
          <w:u w:val="none"/>
          <w:lang w:val="en-US" w:eastAsia="zh-CN"/>
        </w:rPr>
        <w:t>万元人民币，</w:t>
      </w:r>
      <w:r>
        <w:rPr>
          <w:rFonts w:hint="default" w:ascii="Times New Roman" w:hAnsi="Times New Roman" w:eastAsia="宋体" w:cs="Times New Roman"/>
          <w:bCs/>
          <w:color w:val="auto"/>
          <w:spacing w:val="10"/>
          <w:sz w:val="24"/>
          <w:szCs w:val="24"/>
          <w:highlight w:val="none"/>
          <w:u w:val="none"/>
        </w:rPr>
        <w:t>采用国产技术，依托原有工程生产厂房、公辅设施、部分设备进行</w:t>
      </w:r>
      <w:r>
        <w:rPr>
          <w:rFonts w:hint="eastAsia" w:eastAsia="宋体" w:cs="Times New Roman"/>
          <w:bCs/>
          <w:color w:val="auto"/>
          <w:spacing w:val="10"/>
          <w:sz w:val="24"/>
          <w:szCs w:val="24"/>
          <w:highlight w:val="none"/>
          <w:u w:val="none"/>
          <w:lang w:eastAsia="zh-CN"/>
        </w:rPr>
        <w:t>改建</w:t>
      </w:r>
      <w:r>
        <w:rPr>
          <w:rFonts w:hint="default" w:ascii="Times New Roman" w:hAnsi="Times New Roman" w:eastAsia="宋体" w:cs="Times New Roman"/>
          <w:bCs/>
          <w:color w:val="auto"/>
          <w:spacing w:val="10"/>
          <w:sz w:val="24"/>
          <w:szCs w:val="24"/>
          <w:highlight w:val="none"/>
          <w:u w:val="none"/>
        </w:rPr>
        <w:t>，建设年产70吨坎地沙坦酯、30吨马来酸依那普利、700吨替米沙坦、420吨索洛索芬钠、80吨阿奇沙坦酯、200吨奥美沙坦酯及其中间体</w:t>
      </w:r>
      <w:r>
        <w:rPr>
          <w:rFonts w:hint="eastAsia" w:eastAsia="宋体" w:cs="Times New Roman"/>
          <w:bCs/>
          <w:color w:val="auto"/>
          <w:spacing w:val="10"/>
          <w:sz w:val="24"/>
          <w:szCs w:val="24"/>
          <w:highlight w:val="none"/>
          <w:u w:val="none"/>
          <w:lang w:val="en-US" w:eastAsia="zh-CN"/>
        </w:rPr>
        <w:t>生产线</w:t>
      </w:r>
      <w:r>
        <w:rPr>
          <w:rFonts w:hint="default" w:ascii="Times New Roman" w:hAnsi="Times New Roman" w:eastAsia="宋体" w:cs="Times New Roman"/>
          <w:color w:val="auto"/>
          <w:sz w:val="24"/>
          <w:szCs w:val="24"/>
          <w:highlight w:val="none"/>
          <w:u w:val="none"/>
          <w:lang w:val="en-US" w:eastAsia="zh-CN"/>
        </w:rPr>
        <w:t>。项目经济效益见</w:t>
      </w:r>
      <w:r>
        <w:rPr>
          <w:rFonts w:hint="default" w:ascii="Times New Roman" w:hAnsi="Times New Roman" w:eastAsia="宋体" w:cs="Times New Roman"/>
          <w:color w:val="auto"/>
          <w:sz w:val="24"/>
          <w:szCs w:val="24"/>
          <w:highlight w:val="none"/>
          <w:u w:val="none"/>
          <w:lang w:val="en-US" w:eastAsia="zh-CN"/>
        </w:rPr>
        <w:fldChar w:fldCharType="begin"/>
      </w:r>
      <w:r>
        <w:rPr>
          <w:rFonts w:hint="default" w:ascii="Times New Roman" w:hAnsi="Times New Roman" w:eastAsia="宋体" w:cs="Times New Roman"/>
          <w:color w:val="auto"/>
          <w:sz w:val="24"/>
          <w:szCs w:val="24"/>
          <w:highlight w:val="none"/>
          <w:u w:val="none"/>
          <w:lang w:val="en-US" w:eastAsia="zh-CN"/>
        </w:rPr>
        <w:instrText xml:space="preserve"> REF _Ref23247 \h </w:instrText>
      </w:r>
      <w:r>
        <w:rPr>
          <w:rFonts w:hint="default" w:ascii="Times New Roman" w:hAnsi="Times New Roman" w:eastAsia="宋体" w:cs="Times New Roman"/>
          <w:color w:val="auto"/>
          <w:sz w:val="24"/>
          <w:szCs w:val="24"/>
          <w:highlight w:val="none"/>
          <w:u w:val="none"/>
          <w:lang w:val="en-US" w:eastAsia="zh-CN"/>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9.1</w:t>
      </w:r>
      <w:r>
        <w:rPr>
          <w:color w:val="auto"/>
          <w:highlight w:val="none"/>
          <w:u w:val="none"/>
        </w:rPr>
        <w:fldChar w:fldCharType="end"/>
      </w:r>
      <w:r>
        <w:rPr>
          <w:rFonts w:hint="eastAsia"/>
          <w:color w:val="auto"/>
          <w:highlight w:val="none"/>
          <w:u w:val="none"/>
          <w:lang w:eastAsia="zh-CN"/>
        </w:rPr>
        <w:t>-</w:t>
      </w:r>
      <w:r>
        <w:rPr>
          <w:color w:val="auto"/>
          <w:highlight w:val="none"/>
          <w:u w:val="none"/>
        </w:rPr>
        <w:t>1</w:t>
      </w:r>
      <w:r>
        <w:rPr>
          <w:rFonts w:hint="default" w:ascii="Times New Roman" w:hAnsi="Times New Roman" w:eastAsia="宋体" w:cs="Times New Roman"/>
          <w:color w:val="auto"/>
          <w:sz w:val="24"/>
          <w:szCs w:val="24"/>
          <w:highlight w:val="none"/>
          <w:u w:val="none"/>
          <w:lang w:val="en-US" w:eastAsia="zh-CN"/>
        </w:rPr>
        <w:fldChar w:fldCharType="end"/>
      </w:r>
      <w:r>
        <w:rPr>
          <w:rFonts w:hint="default" w:ascii="Times New Roman" w:hAnsi="Times New Roman" w:eastAsia="宋体" w:cs="Times New Roman"/>
          <w:color w:val="auto"/>
          <w:sz w:val="24"/>
          <w:szCs w:val="24"/>
          <w:highlight w:val="none"/>
          <w:u w:val="none"/>
          <w:lang w:val="en-US" w:eastAsia="zh-CN"/>
        </w:rPr>
        <w:t>。</w:t>
      </w:r>
    </w:p>
    <w:p>
      <w:pPr>
        <w:pStyle w:val="9"/>
        <w:bidi w:val="0"/>
        <w:rPr>
          <w:rFonts w:hint="default" w:ascii="Times New Roman" w:hAnsi="Times New Roman" w:eastAsia="宋体" w:cs="Times New Roman"/>
          <w:b/>
          <w:bCs/>
          <w:color w:val="auto"/>
          <w:kern w:val="2"/>
          <w:sz w:val="24"/>
          <w:szCs w:val="24"/>
          <w:highlight w:val="none"/>
          <w:u w:val="none"/>
          <w:lang w:val="en-US" w:eastAsia="zh-CN" w:bidi="ar-SA"/>
        </w:rPr>
      </w:pPr>
      <w:r>
        <w:rPr>
          <w:rFonts w:hint="eastAsia" w:eastAsia="宋体" w:cs="Times New Roman"/>
          <w:b/>
          <w:bCs/>
          <w:color w:val="auto"/>
          <w:kern w:val="2"/>
          <w:sz w:val="24"/>
          <w:szCs w:val="24"/>
          <w:highlight w:val="none"/>
          <w:u w:val="none"/>
          <w:lang w:val="en-US" w:eastAsia="zh-CN" w:bidi="ar-SA"/>
        </w:rPr>
        <w:t xml:space="preserve"> </w:t>
      </w:r>
      <w:bookmarkStart w:id="107" w:name="_Ref23247"/>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9.1</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bookmarkEnd w:id="107"/>
      <w:r>
        <w:rPr>
          <w:rFonts w:hint="eastAsia" w:eastAsia="宋体" w:cs="Times New Roman"/>
          <w:b/>
          <w:bCs/>
          <w:color w:val="auto"/>
          <w:kern w:val="2"/>
          <w:sz w:val="24"/>
          <w:szCs w:val="24"/>
          <w:highlight w:val="none"/>
          <w:u w:val="none"/>
          <w:lang w:val="en-US" w:eastAsia="zh-CN" w:bidi="ar-SA"/>
        </w:rPr>
        <w:t xml:space="preserve">    </w:t>
      </w:r>
      <w:r>
        <w:rPr>
          <w:rFonts w:hint="default" w:ascii="Times New Roman" w:hAnsi="Times New Roman" w:eastAsia="宋体" w:cs="Times New Roman"/>
          <w:b/>
          <w:bCs/>
          <w:color w:val="auto"/>
          <w:kern w:val="2"/>
          <w:sz w:val="24"/>
          <w:szCs w:val="24"/>
          <w:highlight w:val="none"/>
          <w:u w:val="none"/>
          <w:lang w:val="en-US" w:eastAsia="zh-CN" w:bidi="ar-SA"/>
        </w:rPr>
        <w:t xml:space="preserve"> 本项目工程经济效益一览表 </w:t>
      </w:r>
    </w:p>
    <w:tbl>
      <w:tblPr>
        <w:tblStyle w:val="15"/>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95"/>
        <w:gridCol w:w="3726"/>
        <w:gridCol w:w="1948"/>
        <w:gridCol w:w="194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72"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default" w:ascii="Times New Roman" w:hAnsi="Times New Roman" w:eastAsia="宋体" w:cs="Times New Roman"/>
                <w:snapToGrid w:val="0"/>
                <w:color w:val="auto"/>
                <w:kern w:val="0"/>
                <w:sz w:val="21"/>
                <w:szCs w:val="24"/>
                <w:highlight w:val="none"/>
                <w:u w:val="none"/>
                <w:lang w:val="en-US" w:eastAsia="zh-CN" w:bidi="ar-SA"/>
              </w:rPr>
              <w:t>序号</w:t>
            </w:r>
          </w:p>
        </w:tc>
        <w:tc>
          <w:tcPr>
            <w:tcW w:w="2213"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default" w:ascii="Times New Roman" w:hAnsi="Times New Roman" w:eastAsia="宋体" w:cs="Times New Roman"/>
                <w:snapToGrid w:val="0"/>
                <w:color w:val="auto"/>
                <w:kern w:val="0"/>
                <w:sz w:val="21"/>
                <w:szCs w:val="24"/>
                <w:highlight w:val="none"/>
                <w:u w:val="none"/>
                <w:lang w:val="en-US" w:eastAsia="zh-CN" w:bidi="ar-SA"/>
              </w:rPr>
              <w:t>项目</w:t>
            </w:r>
          </w:p>
        </w:tc>
        <w:tc>
          <w:tcPr>
            <w:tcW w:w="1157"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default" w:ascii="Times New Roman" w:hAnsi="Times New Roman" w:eastAsia="宋体" w:cs="Times New Roman"/>
                <w:snapToGrid w:val="0"/>
                <w:color w:val="auto"/>
                <w:kern w:val="0"/>
                <w:sz w:val="21"/>
                <w:szCs w:val="24"/>
                <w:highlight w:val="none"/>
                <w:u w:val="none"/>
                <w:lang w:val="en-US" w:eastAsia="zh-CN" w:bidi="ar-SA"/>
              </w:rPr>
              <w:t>单位</w:t>
            </w:r>
          </w:p>
        </w:tc>
        <w:tc>
          <w:tcPr>
            <w:tcW w:w="1156"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default" w:ascii="Times New Roman" w:hAnsi="Times New Roman" w:eastAsia="宋体" w:cs="Times New Roman"/>
                <w:snapToGrid w:val="0"/>
                <w:color w:val="auto"/>
                <w:kern w:val="0"/>
                <w:sz w:val="21"/>
                <w:szCs w:val="24"/>
                <w:highlight w:val="none"/>
                <w:u w:val="none"/>
                <w:lang w:val="en-US" w:eastAsia="zh-CN" w:bidi="ar-SA"/>
              </w:rPr>
              <w:t>数值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72"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default" w:ascii="Times New Roman" w:hAnsi="Times New Roman" w:eastAsia="宋体" w:cs="Times New Roman"/>
                <w:snapToGrid w:val="0"/>
                <w:color w:val="auto"/>
                <w:kern w:val="0"/>
                <w:sz w:val="21"/>
                <w:szCs w:val="24"/>
                <w:highlight w:val="none"/>
                <w:u w:val="none"/>
                <w:lang w:val="en-US" w:eastAsia="zh-CN" w:bidi="ar-SA"/>
              </w:rPr>
              <w:t>1</w:t>
            </w:r>
          </w:p>
        </w:tc>
        <w:tc>
          <w:tcPr>
            <w:tcW w:w="2213"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default" w:ascii="Times New Roman" w:hAnsi="Times New Roman" w:eastAsia="宋体" w:cs="Times New Roman"/>
                <w:snapToGrid w:val="0"/>
                <w:color w:val="auto"/>
                <w:kern w:val="0"/>
                <w:sz w:val="21"/>
                <w:szCs w:val="24"/>
                <w:highlight w:val="none"/>
                <w:u w:val="none"/>
                <w:lang w:val="en-US" w:eastAsia="zh-CN" w:bidi="ar-SA"/>
              </w:rPr>
              <w:t>总投资</w:t>
            </w:r>
          </w:p>
        </w:tc>
        <w:tc>
          <w:tcPr>
            <w:tcW w:w="1157"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default" w:ascii="Times New Roman" w:hAnsi="Times New Roman" w:eastAsia="宋体" w:cs="Times New Roman"/>
                <w:snapToGrid w:val="0"/>
                <w:color w:val="auto"/>
                <w:kern w:val="0"/>
                <w:sz w:val="21"/>
                <w:szCs w:val="24"/>
                <w:highlight w:val="none"/>
                <w:u w:val="none"/>
                <w:lang w:val="en-US" w:eastAsia="zh-CN" w:bidi="ar-SA"/>
              </w:rPr>
              <w:t>万元</w:t>
            </w:r>
          </w:p>
        </w:tc>
        <w:tc>
          <w:tcPr>
            <w:tcW w:w="1156"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eastAsia" w:eastAsia="宋体" w:cs="Times New Roman"/>
                <w:snapToGrid w:val="0"/>
                <w:color w:val="auto"/>
                <w:kern w:val="0"/>
                <w:sz w:val="21"/>
                <w:szCs w:val="24"/>
                <w:highlight w:val="none"/>
                <w:u w:val="none"/>
                <w:lang w:val="en-US" w:eastAsia="zh-CN" w:bidi="ar-SA"/>
              </w:rPr>
              <w:t>26</w:t>
            </w:r>
            <w:r>
              <w:rPr>
                <w:rFonts w:hint="default" w:ascii="Times New Roman" w:hAnsi="Times New Roman" w:eastAsia="宋体" w:cs="Times New Roman"/>
                <w:snapToGrid w:val="0"/>
                <w:color w:val="auto"/>
                <w:kern w:val="0"/>
                <w:sz w:val="21"/>
                <w:szCs w:val="24"/>
                <w:highlight w:val="none"/>
                <w:u w:val="none"/>
                <w:lang w:val="en-US" w:eastAsia="zh-CN" w:bidi="ar-SA"/>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472"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default" w:ascii="Times New Roman" w:hAnsi="Times New Roman" w:eastAsia="宋体" w:cs="Times New Roman"/>
                <w:snapToGrid w:val="0"/>
                <w:color w:val="auto"/>
                <w:kern w:val="0"/>
                <w:sz w:val="21"/>
                <w:szCs w:val="24"/>
                <w:highlight w:val="none"/>
                <w:u w:val="none"/>
                <w:lang w:val="en-US" w:eastAsia="zh-CN" w:bidi="ar-SA"/>
              </w:rPr>
              <w:t>2</w:t>
            </w:r>
          </w:p>
        </w:tc>
        <w:tc>
          <w:tcPr>
            <w:tcW w:w="2213"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default" w:ascii="Times New Roman" w:hAnsi="Times New Roman" w:eastAsia="宋体" w:cs="Times New Roman"/>
                <w:snapToGrid w:val="0"/>
                <w:color w:val="auto"/>
                <w:kern w:val="0"/>
                <w:sz w:val="21"/>
                <w:szCs w:val="24"/>
                <w:highlight w:val="none"/>
                <w:u w:val="none"/>
                <w:lang w:val="en-US" w:eastAsia="zh-CN" w:bidi="ar-SA"/>
              </w:rPr>
              <w:t>年销售收入</w:t>
            </w:r>
          </w:p>
        </w:tc>
        <w:tc>
          <w:tcPr>
            <w:tcW w:w="1157"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default" w:ascii="Times New Roman" w:hAnsi="Times New Roman" w:eastAsia="宋体" w:cs="Times New Roman"/>
                <w:snapToGrid w:val="0"/>
                <w:color w:val="auto"/>
                <w:kern w:val="0"/>
                <w:sz w:val="21"/>
                <w:szCs w:val="24"/>
                <w:highlight w:val="none"/>
                <w:u w:val="none"/>
                <w:lang w:val="en-US" w:eastAsia="zh-CN" w:bidi="ar-SA"/>
              </w:rPr>
              <w:t>万元</w:t>
            </w:r>
          </w:p>
        </w:tc>
        <w:tc>
          <w:tcPr>
            <w:tcW w:w="1156"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eastAsia" w:eastAsia="宋体" w:cs="Times New Roman"/>
                <w:snapToGrid w:val="0"/>
                <w:color w:val="auto"/>
                <w:kern w:val="0"/>
                <w:sz w:val="21"/>
                <w:szCs w:val="24"/>
                <w:highlight w:val="none"/>
                <w:u w:val="none"/>
                <w:lang w:val="en-US" w:eastAsia="zh-CN" w:bidi="ar-SA"/>
              </w:rPr>
              <w:t>16</w:t>
            </w:r>
            <w:r>
              <w:rPr>
                <w:rFonts w:hint="default" w:ascii="Times New Roman" w:hAnsi="Times New Roman" w:eastAsia="宋体" w:cs="Times New Roman"/>
                <w:snapToGrid w:val="0"/>
                <w:color w:val="auto"/>
                <w:kern w:val="0"/>
                <w:sz w:val="21"/>
                <w:szCs w:val="24"/>
                <w:highlight w:val="none"/>
                <w:u w:val="none"/>
                <w:lang w:val="en-US" w:eastAsia="zh-CN" w:bidi="ar-SA"/>
              </w:rPr>
              <w:t>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72"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default" w:ascii="Times New Roman" w:hAnsi="Times New Roman" w:eastAsia="宋体" w:cs="Times New Roman"/>
                <w:snapToGrid w:val="0"/>
                <w:color w:val="auto"/>
                <w:kern w:val="0"/>
                <w:sz w:val="21"/>
                <w:szCs w:val="24"/>
                <w:highlight w:val="none"/>
                <w:u w:val="none"/>
                <w:lang w:val="en-US" w:eastAsia="zh-CN" w:bidi="ar-SA"/>
              </w:rPr>
              <w:t>3</w:t>
            </w:r>
          </w:p>
        </w:tc>
        <w:tc>
          <w:tcPr>
            <w:tcW w:w="2213"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default" w:ascii="Times New Roman" w:hAnsi="Times New Roman" w:eastAsia="宋体" w:cs="Times New Roman"/>
                <w:snapToGrid w:val="0"/>
                <w:color w:val="auto"/>
                <w:kern w:val="0"/>
                <w:sz w:val="21"/>
                <w:szCs w:val="24"/>
                <w:highlight w:val="none"/>
                <w:u w:val="none"/>
                <w:lang w:val="en-US" w:eastAsia="zh-CN" w:bidi="ar-SA"/>
              </w:rPr>
              <w:t>年均净利润总额</w:t>
            </w:r>
          </w:p>
        </w:tc>
        <w:tc>
          <w:tcPr>
            <w:tcW w:w="1157"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default" w:ascii="Times New Roman" w:hAnsi="Times New Roman" w:eastAsia="宋体" w:cs="Times New Roman"/>
                <w:snapToGrid w:val="0"/>
                <w:color w:val="auto"/>
                <w:kern w:val="0"/>
                <w:sz w:val="21"/>
                <w:szCs w:val="24"/>
                <w:highlight w:val="none"/>
                <w:u w:val="none"/>
                <w:lang w:val="en-US" w:eastAsia="zh-CN" w:bidi="ar-SA"/>
              </w:rPr>
              <w:t>万元</w:t>
            </w:r>
          </w:p>
        </w:tc>
        <w:tc>
          <w:tcPr>
            <w:tcW w:w="1156"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eastAsia" w:eastAsia="宋体" w:cs="Times New Roman"/>
                <w:snapToGrid w:val="0"/>
                <w:color w:val="auto"/>
                <w:kern w:val="0"/>
                <w:sz w:val="21"/>
                <w:szCs w:val="24"/>
                <w:highlight w:val="none"/>
                <w:u w:val="none"/>
                <w:lang w:val="en-US" w:eastAsia="zh-CN" w:bidi="ar-SA"/>
              </w:rPr>
              <w:t>12800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72"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default" w:ascii="Times New Roman" w:hAnsi="Times New Roman" w:eastAsia="宋体" w:cs="Times New Roman"/>
                <w:snapToGrid w:val="0"/>
                <w:color w:val="auto"/>
                <w:kern w:val="0"/>
                <w:sz w:val="21"/>
                <w:szCs w:val="24"/>
                <w:highlight w:val="none"/>
                <w:u w:val="none"/>
                <w:lang w:val="en-US" w:eastAsia="zh-CN" w:bidi="ar-SA"/>
              </w:rPr>
              <w:t>4</w:t>
            </w:r>
          </w:p>
        </w:tc>
        <w:tc>
          <w:tcPr>
            <w:tcW w:w="2213"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default" w:ascii="Times New Roman" w:hAnsi="Times New Roman" w:eastAsia="宋体" w:cs="Times New Roman"/>
                <w:snapToGrid w:val="0"/>
                <w:color w:val="auto"/>
                <w:kern w:val="0"/>
                <w:sz w:val="21"/>
                <w:szCs w:val="24"/>
                <w:highlight w:val="none"/>
                <w:u w:val="none"/>
                <w:lang w:val="en-US" w:eastAsia="zh-CN" w:bidi="ar-SA"/>
              </w:rPr>
              <w:t>年税收总额</w:t>
            </w:r>
          </w:p>
        </w:tc>
        <w:tc>
          <w:tcPr>
            <w:tcW w:w="1157"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default" w:ascii="Times New Roman" w:hAnsi="Times New Roman" w:eastAsia="宋体" w:cs="Times New Roman"/>
                <w:snapToGrid w:val="0"/>
                <w:color w:val="auto"/>
                <w:kern w:val="0"/>
                <w:sz w:val="21"/>
                <w:szCs w:val="24"/>
                <w:highlight w:val="none"/>
                <w:u w:val="none"/>
                <w:lang w:val="en-US" w:eastAsia="zh-CN" w:bidi="ar-SA"/>
              </w:rPr>
              <w:t>万元</w:t>
            </w:r>
          </w:p>
        </w:tc>
        <w:tc>
          <w:tcPr>
            <w:tcW w:w="1156"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eastAsia" w:eastAsia="宋体" w:cs="Times New Roman"/>
                <w:snapToGrid w:val="0"/>
                <w:color w:val="auto"/>
                <w:kern w:val="0"/>
                <w:sz w:val="21"/>
                <w:szCs w:val="24"/>
                <w:highlight w:val="none"/>
                <w:u w:val="none"/>
                <w:lang w:val="en-US" w:eastAsia="zh-CN" w:bidi="ar-SA"/>
              </w:rPr>
              <w:t>8</w:t>
            </w:r>
            <w:r>
              <w:rPr>
                <w:rFonts w:hint="default" w:ascii="Times New Roman" w:hAnsi="Times New Roman" w:eastAsia="宋体" w:cs="Times New Roman"/>
                <w:snapToGrid w:val="0"/>
                <w:color w:val="auto"/>
                <w:kern w:val="0"/>
                <w:sz w:val="21"/>
                <w:szCs w:val="24"/>
                <w:highlight w:val="none"/>
                <w:u w:val="none"/>
                <w:lang w:val="en-US" w:eastAsia="zh-CN" w:bidi="ar-SA"/>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72"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default" w:ascii="Times New Roman" w:hAnsi="Times New Roman" w:eastAsia="宋体" w:cs="Times New Roman"/>
                <w:snapToGrid w:val="0"/>
                <w:color w:val="auto"/>
                <w:kern w:val="0"/>
                <w:sz w:val="21"/>
                <w:szCs w:val="24"/>
                <w:highlight w:val="none"/>
                <w:u w:val="none"/>
                <w:lang w:val="en-US" w:eastAsia="zh-CN" w:bidi="ar-SA"/>
              </w:rPr>
              <w:t>5</w:t>
            </w:r>
          </w:p>
        </w:tc>
        <w:tc>
          <w:tcPr>
            <w:tcW w:w="2213"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default" w:ascii="Times New Roman" w:hAnsi="Times New Roman" w:eastAsia="宋体" w:cs="Times New Roman"/>
                <w:snapToGrid w:val="0"/>
                <w:color w:val="auto"/>
                <w:kern w:val="0"/>
                <w:sz w:val="21"/>
                <w:szCs w:val="24"/>
                <w:highlight w:val="none"/>
                <w:u w:val="none"/>
                <w:lang w:val="en-US" w:eastAsia="zh-CN" w:bidi="ar-SA"/>
              </w:rPr>
              <w:t>经营活动净流量</w:t>
            </w:r>
          </w:p>
        </w:tc>
        <w:tc>
          <w:tcPr>
            <w:tcW w:w="1157"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default" w:ascii="Times New Roman" w:hAnsi="Times New Roman" w:eastAsia="宋体" w:cs="Times New Roman"/>
                <w:snapToGrid w:val="0"/>
                <w:color w:val="auto"/>
                <w:kern w:val="0"/>
                <w:sz w:val="21"/>
                <w:szCs w:val="24"/>
                <w:highlight w:val="none"/>
                <w:u w:val="none"/>
                <w:lang w:val="en-US" w:eastAsia="zh-CN" w:bidi="ar-SA"/>
              </w:rPr>
              <w:t>万元</w:t>
            </w:r>
          </w:p>
        </w:tc>
        <w:tc>
          <w:tcPr>
            <w:tcW w:w="1156"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eastAsia" w:eastAsia="宋体" w:cs="Times New Roman"/>
                <w:snapToGrid w:val="0"/>
                <w:color w:val="auto"/>
                <w:kern w:val="0"/>
                <w:sz w:val="21"/>
                <w:szCs w:val="24"/>
                <w:highlight w:val="none"/>
                <w:u w:val="none"/>
                <w:lang w:val="en-US" w:eastAsia="zh-CN" w:bidi="ar-SA"/>
              </w:rPr>
              <w:t>8950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72"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default" w:ascii="Times New Roman" w:hAnsi="Times New Roman" w:eastAsia="宋体" w:cs="Times New Roman"/>
                <w:snapToGrid w:val="0"/>
                <w:color w:val="auto"/>
                <w:kern w:val="0"/>
                <w:sz w:val="21"/>
                <w:szCs w:val="24"/>
                <w:highlight w:val="none"/>
                <w:u w:val="none"/>
                <w:lang w:val="en-US" w:eastAsia="zh-CN" w:bidi="ar-SA"/>
              </w:rPr>
              <w:t>6</w:t>
            </w:r>
          </w:p>
        </w:tc>
        <w:tc>
          <w:tcPr>
            <w:tcW w:w="2213"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default" w:ascii="Times New Roman" w:hAnsi="Times New Roman" w:eastAsia="宋体" w:cs="Times New Roman"/>
                <w:snapToGrid w:val="0"/>
                <w:color w:val="auto"/>
                <w:kern w:val="0"/>
                <w:sz w:val="21"/>
                <w:szCs w:val="24"/>
                <w:highlight w:val="none"/>
                <w:u w:val="none"/>
                <w:lang w:val="en-US" w:eastAsia="zh-CN" w:bidi="ar-SA"/>
              </w:rPr>
              <w:t>项目投资回收期</w:t>
            </w:r>
          </w:p>
        </w:tc>
        <w:tc>
          <w:tcPr>
            <w:tcW w:w="1157"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default" w:ascii="Times New Roman" w:hAnsi="Times New Roman" w:eastAsia="宋体" w:cs="Times New Roman"/>
                <w:snapToGrid w:val="0"/>
                <w:color w:val="auto"/>
                <w:kern w:val="0"/>
                <w:sz w:val="21"/>
                <w:szCs w:val="24"/>
                <w:highlight w:val="none"/>
                <w:u w:val="none"/>
                <w:lang w:val="en-US" w:eastAsia="zh-CN" w:bidi="ar-SA"/>
              </w:rPr>
              <w:t>年</w:t>
            </w:r>
          </w:p>
        </w:tc>
        <w:tc>
          <w:tcPr>
            <w:tcW w:w="1156" w:type="pct"/>
            <w:noWrap w:val="0"/>
            <w:tcMar>
              <w:top w:w="85" w:type="dxa"/>
              <w:left w:w="57" w:type="dxa"/>
              <w:bottom w:w="85" w:type="dxa"/>
              <w:right w:w="57" w:type="dxa"/>
            </w:tcMar>
            <w:vAlign w:val="center"/>
          </w:tcPr>
          <w:p>
            <w:pPr>
              <w:widowControl w:val="0"/>
              <w:bidi w:val="0"/>
              <w:adjustRightInd w:val="0"/>
              <w:snapToGrid w:val="0"/>
              <w:spacing w:line="300" w:lineRule="exact"/>
              <w:ind w:firstLine="0" w:firstLineChars="0"/>
              <w:jc w:val="center"/>
              <w:rPr>
                <w:rFonts w:hint="default" w:ascii="Times New Roman" w:hAnsi="Times New Roman" w:eastAsia="宋体" w:cs="Times New Roman"/>
                <w:snapToGrid w:val="0"/>
                <w:color w:val="auto"/>
                <w:kern w:val="0"/>
                <w:sz w:val="21"/>
                <w:szCs w:val="24"/>
                <w:highlight w:val="none"/>
                <w:u w:val="none"/>
                <w:lang w:val="en-US" w:eastAsia="zh-CN" w:bidi="ar-SA"/>
              </w:rPr>
            </w:pPr>
            <w:r>
              <w:rPr>
                <w:rFonts w:hint="eastAsia" w:eastAsia="宋体" w:cs="Times New Roman"/>
                <w:snapToGrid w:val="0"/>
                <w:color w:val="auto"/>
                <w:kern w:val="0"/>
                <w:sz w:val="21"/>
                <w:szCs w:val="24"/>
                <w:highlight w:val="none"/>
                <w:u w:val="none"/>
                <w:lang w:val="en-US" w:eastAsia="zh-CN" w:bidi="ar-SA"/>
              </w:rPr>
              <w:t>2</w:t>
            </w:r>
          </w:p>
        </w:tc>
      </w:tr>
    </w:tbl>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lang w:val="en-US" w:eastAsia="zh-CN"/>
        </w:rPr>
        <w:t>由此可见，由上表可以看出，本项目总投资</w:t>
      </w:r>
      <w:r>
        <w:rPr>
          <w:rFonts w:hint="eastAsia" w:eastAsia="宋体" w:cs="Times New Roman"/>
          <w:color w:val="auto"/>
          <w:sz w:val="24"/>
          <w:szCs w:val="24"/>
          <w:highlight w:val="none"/>
          <w:u w:val="none"/>
          <w:lang w:val="en-US" w:eastAsia="zh-CN"/>
        </w:rPr>
        <w:t>26</w:t>
      </w:r>
      <w:r>
        <w:rPr>
          <w:rFonts w:hint="default" w:ascii="Times New Roman" w:hAnsi="Times New Roman" w:eastAsia="宋体" w:cs="Times New Roman"/>
          <w:color w:val="auto"/>
          <w:sz w:val="24"/>
          <w:szCs w:val="24"/>
          <w:highlight w:val="none"/>
          <w:u w:val="none"/>
          <w:lang w:val="en-US" w:eastAsia="zh-CN"/>
        </w:rPr>
        <w:t>000万元，年销售收入</w:t>
      </w:r>
      <w:r>
        <w:rPr>
          <w:rFonts w:hint="eastAsia" w:eastAsia="宋体" w:cs="Times New Roman"/>
          <w:color w:val="auto"/>
          <w:sz w:val="24"/>
          <w:szCs w:val="24"/>
          <w:highlight w:val="none"/>
          <w:u w:val="none"/>
          <w:lang w:val="en-US" w:eastAsia="zh-CN"/>
        </w:rPr>
        <w:t>16</w:t>
      </w:r>
      <w:r>
        <w:rPr>
          <w:rFonts w:hint="default" w:ascii="Times New Roman" w:hAnsi="Times New Roman" w:eastAsia="宋体" w:cs="Times New Roman"/>
          <w:color w:val="auto"/>
          <w:sz w:val="24"/>
          <w:szCs w:val="24"/>
          <w:highlight w:val="none"/>
          <w:u w:val="none"/>
          <w:lang w:val="en-US" w:eastAsia="zh-CN"/>
        </w:rPr>
        <w:t>0000万元，项目投资回收期</w:t>
      </w:r>
      <w:r>
        <w:rPr>
          <w:rFonts w:hint="eastAsia" w:eastAsia="宋体" w:cs="Times New Roman"/>
          <w:color w:val="auto"/>
          <w:sz w:val="24"/>
          <w:szCs w:val="24"/>
          <w:highlight w:val="none"/>
          <w:u w:val="none"/>
          <w:lang w:val="en-US" w:eastAsia="zh-CN"/>
        </w:rPr>
        <w:t>2.0</w:t>
      </w:r>
      <w:r>
        <w:rPr>
          <w:rFonts w:hint="default" w:ascii="Times New Roman" w:hAnsi="Times New Roman" w:eastAsia="宋体" w:cs="Times New Roman"/>
          <w:color w:val="auto"/>
          <w:sz w:val="24"/>
          <w:szCs w:val="24"/>
          <w:highlight w:val="none"/>
          <w:u w:val="none"/>
          <w:lang w:val="en-US" w:eastAsia="zh-CN"/>
        </w:rPr>
        <w:t>年。项目盈利能力良好，本项目从经济角度讲是可行的。</w:t>
      </w:r>
    </w:p>
    <w:p>
      <w:pPr>
        <w:pStyle w:val="3"/>
        <w:bidi w:val="0"/>
        <w:rPr>
          <w:rFonts w:hint="default"/>
          <w:color w:val="auto"/>
          <w:highlight w:val="none"/>
          <w:u w:val="none"/>
          <w:lang w:val="en-US" w:eastAsia="zh-CN"/>
        </w:rPr>
      </w:pPr>
      <w:bookmarkStart w:id="108" w:name="_Toc10297"/>
      <w:bookmarkStart w:id="109" w:name="_Toc7102"/>
      <w:bookmarkStart w:id="110" w:name="_Toc15669"/>
      <w:bookmarkStart w:id="111" w:name="_Toc14173"/>
      <w:bookmarkStart w:id="112" w:name="_Toc15594"/>
      <w:bookmarkStart w:id="113" w:name="_Toc29943"/>
      <w:bookmarkStart w:id="114" w:name="_Toc22701"/>
      <w:r>
        <w:rPr>
          <w:rFonts w:hint="default"/>
          <w:color w:val="auto"/>
          <w:highlight w:val="none"/>
          <w:u w:val="none"/>
          <w:lang w:val="en-US" w:eastAsia="zh-CN"/>
        </w:rPr>
        <w:t>项目社会效益分析</w:t>
      </w:r>
      <w:bookmarkEnd w:id="104"/>
      <w:bookmarkEnd w:id="105"/>
      <w:bookmarkEnd w:id="106"/>
      <w:bookmarkEnd w:id="108"/>
      <w:bookmarkEnd w:id="109"/>
      <w:bookmarkEnd w:id="110"/>
      <w:bookmarkEnd w:id="111"/>
      <w:bookmarkEnd w:id="112"/>
      <w:bookmarkEnd w:id="113"/>
      <w:bookmarkEnd w:id="114"/>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lang w:val="en-US" w:eastAsia="zh-CN"/>
        </w:rPr>
        <w:t xml:space="preserve">本项目在取得一定的经济效益的同时，也会带来一定的社会效益，本项目建设完成后，由此而产生的社会经济效益主要体现在以下几个方面： </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项目能够充分利用当地丰富的劳动力资源，项目实施后能够提供就业机会，吸收当地居民参与第二产业，带动和发展第三产业，可以明显地提高当地居民的收入。项目建设的生产线可以提供</w:t>
      </w:r>
      <w:r>
        <w:rPr>
          <w:rFonts w:hint="eastAsia" w:eastAsia="宋体" w:cs="Times New Roman"/>
          <w:color w:val="auto"/>
          <w:sz w:val="24"/>
          <w:szCs w:val="24"/>
          <w:highlight w:val="none"/>
          <w:u w:val="none"/>
          <w:lang w:val="en-US" w:eastAsia="zh-CN"/>
        </w:rPr>
        <w:t>200</w:t>
      </w:r>
      <w:r>
        <w:rPr>
          <w:rFonts w:hint="default" w:ascii="Times New Roman" w:hAnsi="Times New Roman" w:eastAsia="宋体" w:cs="Times New Roman"/>
          <w:color w:val="auto"/>
          <w:sz w:val="24"/>
          <w:szCs w:val="24"/>
          <w:highlight w:val="none"/>
          <w:u w:val="none"/>
          <w:lang w:val="en-US" w:eastAsia="zh-CN"/>
        </w:rPr>
        <w:t>多个工人岗位，</w:t>
      </w:r>
      <w:r>
        <w:rPr>
          <w:rFonts w:hint="eastAsia" w:eastAsia="宋体" w:cs="Times New Roman"/>
          <w:color w:val="auto"/>
          <w:sz w:val="24"/>
          <w:szCs w:val="24"/>
          <w:highlight w:val="none"/>
          <w:u w:val="none"/>
          <w:lang w:val="en-US" w:eastAsia="zh-CN"/>
        </w:rPr>
        <w:t>并</w:t>
      </w:r>
      <w:r>
        <w:rPr>
          <w:rFonts w:hint="default" w:ascii="Times New Roman" w:hAnsi="Times New Roman" w:eastAsia="宋体" w:cs="Times New Roman"/>
          <w:color w:val="auto"/>
          <w:sz w:val="24"/>
          <w:szCs w:val="24"/>
          <w:highlight w:val="none"/>
          <w:u w:val="none"/>
          <w:lang w:val="en-US" w:eastAsia="zh-CN"/>
        </w:rPr>
        <w:t>可以提供多个研发、设计、工程、检测与</w:t>
      </w:r>
      <w:r>
        <w:rPr>
          <w:rFonts w:hint="eastAsia" w:eastAsia="宋体" w:cs="Times New Roman"/>
          <w:color w:val="auto"/>
          <w:sz w:val="24"/>
          <w:szCs w:val="24"/>
          <w:highlight w:val="none"/>
          <w:u w:val="none"/>
          <w:lang w:val="en-US" w:eastAsia="zh-CN"/>
        </w:rPr>
        <w:t>医药</w:t>
      </w:r>
      <w:r>
        <w:rPr>
          <w:rFonts w:hint="default" w:ascii="Times New Roman" w:hAnsi="Times New Roman" w:eastAsia="宋体" w:cs="Times New Roman"/>
          <w:color w:val="auto"/>
          <w:sz w:val="24"/>
          <w:szCs w:val="24"/>
          <w:highlight w:val="none"/>
          <w:u w:val="none"/>
          <w:lang w:val="en-US" w:eastAsia="zh-CN"/>
        </w:rPr>
        <w:t>服务等专业技术岗位，更好汇集高端人才，形成人才虹吸效应，改善当地人才结构。</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项目实施后有利于当地加快经济发展的速度，优化当地城市产业结构，有利于加强项目建设地的工业实力，促进区域经济发展，从而提升区域综合经济竞争力，同时可为社会提供就业岗位，为构建和谐城市创造条件。本项目建设能极大的增强地方税收，</w:t>
      </w:r>
      <w:r>
        <w:rPr>
          <w:rFonts w:hint="eastAsia" w:eastAsia="宋体" w:cs="Times New Roman"/>
          <w:color w:val="auto"/>
          <w:sz w:val="24"/>
          <w:szCs w:val="24"/>
          <w:highlight w:val="none"/>
          <w:u w:val="none"/>
          <w:lang w:val="en-US" w:eastAsia="zh-CN"/>
        </w:rPr>
        <w:t>对</w:t>
      </w:r>
      <w:r>
        <w:rPr>
          <w:rFonts w:hint="default" w:ascii="Times New Roman" w:hAnsi="Times New Roman" w:eastAsia="宋体" w:cs="Times New Roman"/>
          <w:color w:val="auto"/>
          <w:sz w:val="24"/>
          <w:szCs w:val="24"/>
          <w:highlight w:val="none"/>
          <w:u w:val="none"/>
          <w:lang w:val="en-US" w:eastAsia="zh-CN"/>
        </w:rPr>
        <w:t>提升人民群众生活质量将起到积极的促进作用，并将为</w:t>
      </w:r>
      <w:r>
        <w:rPr>
          <w:rFonts w:hint="eastAsia" w:eastAsia="宋体" w:cs="Times New Roman"/>
          <w:color w:val="auto"/>
          <w:sz w:val="24"/>
          <w:szCs w:val="24"/>
          <w:highlight w:val="none"/>
          <w:u w:val="none"/>
          <w:lang w:val="en-US" w:eastAsia="zh-CN"/>
        </w:rPr>
        <w:t>柘城县</w:t>
      </w:r>
      <w:r>
        <w:rPr>
          <w:rFonts w:hint="default" w:ascii="Times New Roman" w:hAnsi="Times New Roman" w:eastAsia="宋体" w:cs="Times New Roman"/>
          <w:color w:val="auto"/>
          <w:sz w:val="24"/>
          <w:szCs w:val="24"/>
          <w:highlight w:val="none"/>
          <w:u w:val="none"/>
          <w:lang w:val="en-US" w:eastAsia="zh-CN"/>
        </w:rPr>
        <w:t>经济高质量发展起到示范引领和推动作用。项目</w:t>
      </w:r>
      <w:r>
        <w:rPr>
          <w:rFonts w:hint="eastAsia" w:eastAsia="宋体" w:cs="Times New Roman"/>
          <w:color w:val="auto"/>
          <w:sz w:val="24"/>
          <w:szCs w:val="24"/>
          <w:highlight w:val="none"/>
          <w:u w:val="none"/>
          <w:lang w:val="en-US" w:eastAsia="zh-CN"/>
        </w:rPr>
        <w:t>实施后</w:t>
      </w:r>
      <w:r>
        <w:rPr>
          <w:rFonts w:hint="default" w:ascii="Times New Roman" w:hAnsi="Times New Roman" w:eastAsia="宋体" w:cs="Times New Roman"/>
          <w:color w:val="auto"/>
          <w:sz w:val="24"/>
          <w:szCs w:val="24"/>
          <w:highlight w:val="none"/>
          <w:u w:val="none"/>
          <w:lang w:val="en-US" w:eastAsia="zh-CN"/>
        </w:rPr>
        <w:t>，</w:t>
      </w:r>
      <w:r>
        <w:rPr>
          <w:rFonts w:hint="eastAsia" w:eastAsia="宋体" w:cs="Times New Roman"/>
          <w:color w:val="auto"/>
          <w:sz w:val="24"/>
          <w:szCs w:val="24"/>
          <w:highlight w:val="none"/>
          <w:u w:val="none"/>
          <w:lang w:val="en-US" w:eastAsia="zh-CN"/>
        </w:rPr>
        <w:t>有利于扩展华商药业公司产业链，补全公司技术短板，提升公司核心竞争力</w:t>
      </w:r>
      <w:r>
        <w:rPr>
          <w:rFonts w:hint="default" w:ascii="Times New Roman" w:hAnsi="Times New Roman" w:eastAsia="宋体" w:cs="Times New Roman"/>
          <w:color w:val="auto"/>
          <w:sz w:val="24"/>
          <w:szCs w:val="24"/>
          <w:highlight w:val="none"/>
          <w:u w:val="none"/>
          <w:lang w:val="en-US" w:eastAsia="zh-CN"/>
        </w:rPr>
        <w:t>。</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lang w:val="en-US" w:eastAsia="zh-CN"/>
        </w:rPr>
        <w:t>综上所述，本项目的建设有利于当地经济发展，增加财政税收和当地人的就业机会，具有明显的社会效益。</w:t>
      </w:r>
    </w:p>
    <w:p>
      <w:pPr>
        <w:pStyle w:val="3"/>
        <w:bidi w:val="0"/>
        <w:rPr>
          <w:rFonts w:hint="default"/>
          <w:color w:val="auto"/>
          <w:highlight w:val="none"/>
          <w:u w:val="none"/>
          <w:lang w:val="en-US" w:eastAsia="zh-CN"/>
        </w:rPr>
      </w:pPr>
      <w:bookmarkStart w:id="115" w:name="_Toc17890"/>
      <w:bookmarkStart w:id="116" w:name="_Toc387151243"/>
      <w:bookmarkStart w:id="117" w:name="_Toc29189"/>
      <w:bookmarkStart w:id="118" w:name="_Toc393394499"/>
      <w:bookmarkStart w:id="119" w:name="_Toc13747"/>
      <w:bookmarkStart w:id="120" w:name="_Toc2559"/>
      <w:bookmarkStart w:id="121" w:name="_Toc15190"/>
      <w:bookmarkStart w:id="122" w:name="_Toc394944498"/>
      <w:bookmarkStart w:id="123" w:name="_Toc12411"/>
      <w:bookmarkStart w:id="124" w:name="_Toc31780"/>
      <w:r>
        <w:rPr>
          <w:rFonts w:hint="default"/>
          <w:color w:val="auto"/>
          <w:highlight w:val="none"/>
          <w:u w:val="none"/>
          <w:lang w:val="en-US" w:eastAsia="zh-CN"/>
        </w:rPr>
        <w:t>项目环境效益分析</w:t>
      </w:r>
      <w:bookmarkEnd w:id="115"/>
      <w:bookmarkEnd w:id="116"/>
      <w:bookmarkEnd w:id="117"/>
      <w:bookmarkEnd w:id="118"/>
      <w:bookmarkEnd w:id="119"/>
      <w:bookmarkEnd w:id="120"/>
      <w:bookmarkEnd w:id="121"/>
      <w:bookmarkEnd w:id="122"/>
      <w:bookmarkEnd w:id="123"/>
      <w:bookmarkEnd w:id="124"/>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本项目污染防治措施实施后，可以实现的环境效益见</w:t>
      </w:r>
      <w:r>
        <w:rPr>
          <w:rFonts w:hint="default" w:ascii="Times New Roman" w:hAnsi="Times New Roman" w:eastAsia="宋体" w:cs="Times New Roman"/>
          <w:color w:val="auto"/>
          <w:sz w:val="24"/>
          <w:szCs w:val="24"/>
          <w:highlight w:val="none"/>
          <w:u w:val="none"/>
        </w:rPr>
        <w:fldChar w:fldCharType="begin"/>
      </w:r>
      <w:r>
        <w:rPr>
          <w:rFonts w:hint="default" w:ascii="Times New Roman" w:hAnsi="Times New Roman" w:eastAsia="宋体" w:cs="Times New Roman"/>
          <w:color w:val="auto"/>
          <w:sz w:val="24"/>
          <w:szCs w:val="24"/>
          <w:highlight w:val="none"/>
          <w:u w:val="none"/>
        </w:rPr>
        <w:instrText xml:space="preserve"> REF _Ref23299 \h </w:instrText>
      </w:r>
      <w:r>
        <w:rPr>
          <w:rFonts w:hint="default" w:ascii="Times New Roman" w:hAnsi="Times New Roman" w:eastAsia="宋体" w:cs="Times New Roman"/>
          <w:color w:val="auto"/>
          <w:sz w:val="24"/>
          <w:szCs w:val="24"/>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9.3</w:t>
      </w:r>
      <w:r>
        <w:rPr>
          <w:color w:val="auto"/>
          <w:highlight w:val="none"/>
          <w:u w:val="none"/>
        </w:rPr>
        <w:fldChar w:fldCharType="end"/>
      </w:r>
      <w:r>
        <w:rPr>
          <w:rFonts w:hint="eastAsia"/>
          <w:color w:val="auto"/>
          <w:highlight w:val="none"/>
          <w:u w:val="none"/>
          <w:lang w:eastAsia="zh-CN"/>
        </w:rPr>
        <w:t>-</w:t>
      </w:r>
      <w:r>
        <w:rPr>
          <w:color w:val="auto"/>
          <w:highlight w:val="none"/>
          <w:u w:val="none"/>
        </w:rPr>
        <w:t>1</w:t>
      </w:r>
      <w:r>
        <w:rPr>
          <w:rFonts w:hint="default" w:ascii="Times New Roman" w:hAnsi="Times New Roman" w:eastAsia="宋体" w:cs="Times New Roman"/>
          <w:color w:val="auto"/>
          <w:sz w:val="24"/>
          <w:szCs w:val="24"/>
          <w:highlight w:val="none"/>
          <w:u w:val="none"/>
        </w:rPr>
        <w:fldChar w:fldCharType="end"/>
      </w:r>
      <w:r>
        <w:rPr>
          <w:rFonts w:hint="default" w:ascii="Times New Roman" w:hAnsi="Times New Roman" w:eastAsia="宋体" w:cs="Times New Roman"/>
          <w:color w:val="auto"/>
          <w:sz w:val="24"/>
          <w:szCs w:val="24"/>
          <w:highlight w:val="none"/>
          <w:u w:val="none"/>
        </w:rPr>
        <w:t>。</w:t>
      </w:r>
    </w:p>
    <w:p>
      <w:pPr>
        <w:pStyle w:val="9"/>
        <w:bidi w:val="0"/>
        <w:rPr>
          <w:rFonts w:hint="default" w:ascii="Times New Roman" w:hAnsi="Times New Roman" w:eastAsia="宋体" w:cs="Times New Roman"/>
          <w:b/>
          <w:bCs/>
          <w:color w:val="auto"/>
          <w:kern w:val="2"/>
          <w:sz w:val="24"/>
          <w:szCs w:val="24"/>
          <w:highlight w:val="none"/>
          <w:u w:val="none"/>
          <w:lang w:val="en-US" w:eastAsia="zh-CN" w:bidi="ar-SA"/>
        </w:rPr>
      </w:pPr>
      <w:r>
        <w:rPr>
          <w:rFonts w:hint="eastAsia" w:eastAsia="宋体" w:cs="Times New Roman"/>
          <w:b/>
          <w:bCs/>
          <w:color w:val="auto"/>
          <w:kern w:val="2"/>
          <w:sz w:val="24"/>
          <w:szCs w:val="24"/>
          <w:highlight w:val="none"/>
          <w:u w:val="none"/>
          <w:lang w:val="en-US" w:eastAsia="zh-CN" w:bidi="ar-SA"/>
        </w:rPr>
        <w:t xml:space="preserve"> </w:t>
      </w:r>
      <w:bookmarkStart w:id="125" w:name="_Ref23299"/>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9.3</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bookmarkEnd w:id="125"/>
      <w:r>
        <w:rPr>
          <w:rFonts w:hint="default" w:ascii="Times New Roman" w:hAnsi="Times New Roman" w:eastAsia="宋体" w:cs="Times New Roman"/>
          <w:b/>
          <w:bCs/>
          <w:color w:val="auto"/>
          <w:kern w:val="2"/>
          <w:sz w:val="24"/>
          <w:szCs w:val="24"/>
          <w:highlight w:val="none"/>
          <w:u w:val="none"/>
          <w:lang w:val="en-US" w:eastAsia="zh-CN" w:bidi="ar-SA"/>
        </w:rPr>
        <w:t xml:space="preserve">  本项目污染防治措施实施后实现的环境效益一览表</w:t>
      </w:r>
    </w:p>
    <w:tbl>
      <w:tblPr>
        <w:tblStyle w:val="15"/>
        <w:tblW w:w="50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729"/>
        <w:gridCol w:w="5475"/>
        <w:gridCol w:w="1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357" w:type="pct"/>
            <w:noWrap w:val="0"/>
            <w:tcMar>
              <w:top w:w="74" w:type="dxa"/>
              <w:left w:w="57" w:type="dxa"/>
              <w:bottom w:w="74" w:type="dxa"/>
              <w:right w:w="57"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序号</w:t>
            </w:r>
          </w:p>
        </w:tc>
        <w:tc>
          <w:tcPr>
            <w:tcW w:w="423" w:type="pct"/>
            <w:noWrap w:val="0"/>
            <w:tcMar>
              <w:top w:w="74" w:type="dxa"/>
              <w:left w:w="57" w:type="dxa"/>
              <w:bottom w:w="74" w:type="dxa"/>
              <w:right w:w="57"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项目</w:t>
            </w:r>
          </w:p>
        </w:tc>
        <w:tc>
          <w:tcPr>
            <w:tcW w:w="3175" w:type="pct"/>
            <w:noWrap w:val="0"/>
            <w:tcMar>
              <w:top w:w="74" w:type="dxa"/>
              <w:left w:w="57" w:type="dxa"/>
              <w:bottom w:w="74" w:type="dxa"/>
              <w:right w:w="57"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环保措施</w:t>
            </w:r>
          </w:p>
        </w:tc>
        <w:tc>
          <w:tcPr>
            <w:tcW w:w="1042" w:type="pct"/>
            <w:noWrap w:val="0"/>
            <w:tcMar>
              <w:top w:w="74" w:type="dxa"/>
              <w:bottom w:w="74"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环境效益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357" w:type="pct"/>
            <w:noWrap w:val="0"/>
            <w:tcMar>
              <w:top w:w="74" w:type="dxa"/>
              <w:left w:w="57" w:type="dxa"/>
              <w:bottom w:w="74" w:type="dxa"/>
              <w:right w:w="57"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1</w:t>
            </w:r>
          </w:p>
        </w:tc>
        <w:tc>
          <w:tcPr>
            <w:tcW w:w="423" w:type="pct"/>
            <w:noWrap w:val="0"/>
            <w:tcMar>
              <w:top w:w="74" w:type="dxa"/>
              <w:left w:w="57" w:type="dxa"/>
              <w:bottom w:w="74" w:type="dxa"/>
              <w:right w:w="57"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废水</w:t>
            </w:r>
          </w:p>
        </w:tc>
        <w:tc>
          <w:tcPr>
            <w:tcW w:w="3175" w:type="pct"/>
            <w:noWrap w:val="0"/>
            <w:tcMar>
              <w:top w:w="74" w:type="dxa"/>
              <w:left w:w="57" w:type="dxa"/>
              <w:bottom w:w="74" w:type="dxa"/>
              <w:right w:w="57"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项目废水分类分质预处理后，汇入现有综合废水处理站进行生化处理。工艺废水经蒸发驱离二氯甲烷后，与废气喷淋废水一同进入MVR蒸发除盐；除盐后的废水与</w:t>
            </w:r>
            <w:r>
              <w:rPr>
                <w:rFonts w:hint="eastAsia" w:eastAsia="宋体" w:cs="Times New Roman"/>
                <w:color w:val="auto"/>
                <w:kern w:val="2"/>
                <w:sz w:val="21"/>
                <w:szCs w:val="21"/>
                <w:highlight w:val="none"/>
                <w:u w:val="none"/>
                <w:lang w:val="en-US" w:eastAsia="zh-CN" w:bidi="ar-SA"/>
              </w:rPr>
              <w:t>设备清洗废水、地面清洗废水、真空泵排水、储罐冷却水、循环水排污水、办公生活污水、化验废水、初期雨水一同进入现有铁碳微电解进行高级氧化预处理；经氧化预处理的废水进入现有废水综合处理站进行生化处理，处理工艺为“调节池+铁碳微电解池+沉淀池+调节池+水解酸化池+沉淀池+UASB+三级A/O+臭氧氧化+沉淀池”</w:t>
            </w:r>
            <w:r>
              <w:rPr>
                <w:rFonts w:hint="eastAsia" w:eastAsia="宋体" w:cs="Times New Roman"/>
                <w:color w:val="auto"/>
                <w:kern w:val="2"/>
                <w:sz w:val="21"/>
                <w:szCs w:val="24"/>
                <w:highlight w:val="none"/>
                <w:u w:val="none"/>
                <w:lang w:val="en-US" w:eastAsia="zh-CN" w:bidi="ar-SA"/>
              </w:rPr>
              <w:t>；污水站出水与清净下水</w:t>
            </w:r>
            <w:r>
              <w:rPr>
                <w:rFonts w:hint="default" w:ascii="Times New Roman" w:hAnsi="Times New Roman" w:eastAsia="宋体" w:cs="Times New Roman"/>
                <w:color w:val="auto"/>
                <w:kern w:val="2"/>
                <w:sz w:val="21"/>
                <w:szCs w:val="24"/>
                <w:highlight w:val="none"/>
                <w:u w:val="none"/>
                <w:lang w:val="en-US" w:eastAsia="zh-CN" w:bidi="ar-SA"/>
              </w:rPr>
              <w:t>一同送</w:t>
            </w:r>
            <w:r>
              <w:rPr>
                <w:rFonts w:hint="eastAsia" w:eastAsia="宋体" w:cs="Times New Roman"/>
                <w:color w:val="auto"/>
                <w:kern w:val="2"/>
                <w:sz w:val="21"/>
                <w:szCs w:val="24"/>
                <w:highlight w:val="none"/>
                <w:u w:val="none"/>
                <w:lang w:val="en-US" w:eastAsia="zh-CN" w:bidi="ar-SA"/>
              </w:rPr>
              <w:t>柘城县第二污水处理厂</w:t>
            </w:r>
            <w:r>
              <w:rPr>
                <w:rFonts w:hint="default" w:ascii="Times New Roman" w:hAnsi="Times New Roman" w:eastAsia="宋体" w:cs="Times New Roman"/>
                <w:color w:val="auto"/>
                <w:kern w:val="2"/>
                <w:sz w:val="21"/>
                <w:szCs w:val="24"/>
                <w:highlight w:val="none"/>
                <w:u w:val="none"/>
                <w:lang w:val="en-US" w:eastAsia="zh-CN" w:bidi="ar-SA"/>
              </w:rPr>
              <w:t>进一步处理。</w:t>
            </w:r>
          </w:p>
        </w:tc>
        <w:tc>
          <w:tcPr>
            <w:tcW w:w="1042" w:type="pct"/>
            <w:vMerge w:val="restart"/>
            <w:noWrap w:val="0"/>
            <w:tcMar>
              <w:top w:w="74" w:type="dxa"/>
              <w:bottom w:w="74"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最大限度</w:t>
            </w:r>
            <w:r>
              <w:rPr>
                <w:rFonts w:hint="eastAsia" w:eastAsia="宋体" w:cs="Times New Roman"/>
                <w:color w:val="auto"/>
                <w:kern w:val="2"/>
                <w:sz w:val="21"/>
                <w:szCs w:val="24"/>
                <w:highlight w:val="none"/>
                <w:u w:val="none"/>
                <w:lang w:val="en-US" w:eastAsia="zh-CN" w:bidi="ar-SA"/>
              </w:rPr>
              <w:t>减少</w:t>
            </w:r>
            <w:r>
              <w:rPr>
                <w:rFonts w:hint="default" w:ascii="Times New Roman" w:hAnsi="Times New Roman" w:eastAsia="宋体" w:cs="Times New Roman"/>
                <w:color w:val="auto"/>
                <w:kern w:val="2"/>
                <w:sz w:val="21"/>
                <w:szCs w:val="24"/>
                <w:highlight w:val="none"/>
                <w:u w:val="none"/>
                <w:lang w:val="en-US" w:eastAsia="zh-CN" w:bidi="ar-SA"/>
              </w:rPr>
              <w:t>废水与废气污染物的排放，实现经济效益与环境效益统一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57" w:type="pct"/>
            <w:noWrap w:val="0"/>
            <w:tcMar>
              <w:top w:w="74" w:type="dxa"/>
              <w:left w:w="57" w:type="dxa"/>
              <w:bottom w:w="74" w:type="dxa"/>
              <w:right w:w="57"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2</w:t>
            </w:r>
          </w:p>
        </w:tc>
        <w:tc>
          <w:tcPr>
            <w:tcW w:w="423" w:type="pct"/>
            <w:noWrap w:val="0"/>
            <w:tcMar>
              <w:top w:w="74" w:type="dxa"/>
              <w:left w:w="57" w:type="dxa"/>
              <w:bottom w:w="74" w:type="dxa"/>
              <w:right w:w="57"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废气</w:t>
            </w:r>
          </w:p>
        </w:tc>
        <w:tc>
          <w:tcPr>
            <w:tcW w:w="3175" w:type="pct"/>
            <w:noWrap w:val="0"/>
            <w:tcMar>
              <w:top w:w="74" w:type="dxa"/>
              <w:left w:w="57" w:type="dxa"/>
              <w:bottom w:w="74" w:type="dxa"/>
              <w:right w:w="57"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工艺废气经冷凝回收溶剂后进入预处理装置，一、三车间工艺废气采用</w:t>
            </w:r>
            <w:r>
              <w:rPr>
                <w:rFonts w:hint="default" w:ascii="Times New Roman" w:hAnsi="Times New Roman" w:cs="Times New Roman"/>
                <w:color w:val="auto"/>
                <w:sz w:val="21"/>
                <w:szCs w:val="21"/>
                <w:highlight w:val="none"/>
                <w:u w:val="none"/>
                <w:vertAlign w:val="baseline"/>
                <w:lang w:val="en-US" w:eastAsia="zh-CN"/>
              </w:rPr>
              <w:t>二级碱洗</w:t>
            </w:r>
            <w:r>
              <w:rPr>
                <w:rFonts w:hint="eastAsia" w:cs="Times New Roman"/>
                <w:color w:val="auto"/>
                <w:sz w:val="21"/>
                <w:szCs w:val="21"/>
                <w:highlight w:val="none"/>
                <w:u w:val="none"/>
                <w:vertAlign w:val="baseline"/>
                <w:lang w:val="en-US" w:eastAsia="zh-CN"/>
              </w:rPr>
              <w:t>进行预处理，五、七、九、十车间的工艺废气采用</w:t>
            </w:r>
            <w:r>
              <w:rPr>
                <w:rFonts w:hint="default" w:ascii="Times New Roman" w:hAnsi="Times New Roman" w:cs="Times New Roman"/>
                <w:color w:val="auto"/>
                <w:sz w:val="21"/>
                <w:szCs w:val="21"/>
                <w:highlight w:val="none"/>
                <w:u w:val="none"/>
                <w:vertAlign w:val="baseline"/>
                <w:lang w:val="en-US" w:eastAsia="zh-CN"/>
              </w:rPr>
              <w:t>降膜吸收+二级碱洗</w:t>
            </w:r>
            <w:r>
              <w:rPr>
                <w:rFonts w:hint="eastAsia" w:cs="Times New Roman"/>
                <w:color w:val="auto"/>
                <w:sz w:val="21"/>
                <w:szCs w:val="21"/>
                <w:highlight w:val="none"/>
                <w:u w:val="none"/>
                <w:vertAlign w:val="baseline"/>
                <w:lang w:val="en-US" w:eastAsia="zh-CN"/>
              </w:rPr>
              <w:t>进行预处理，预处理后的工艺废气与MVR废气、污水站废气、危废间废气、化验室废气、精馏塔废气一同进入新建RTO处理后由35m排气筒排放；</w:t>
            </w:r>
            <w:r>
              <w:rPr>
                <w:rFonts w:hint="eastAsia" w:eastAsia="宋体" w:cs="Times New Roman"/>
                <w:color w:val="auto"/>
                <w:kern w:val="2"/>
                <w:sz w:val="21"/>
                <w:szCs w:val="24"/>
                <w:highlight w:val="none"/>
                <w:u w:val="none"/>
                <w:lang w:val="en-US" w:eastAsia="zh-CN" w:bidi="ar-SA"/>
              </w:rPr>
              <w:t>包装废气采用袋式除尘器处理后由15m排气筒排放；</w:t>
            </w:r>
            <w:r>
              <w:rPr>
                <w:rFonts w:hint="eastAsia"/>
                <w:color w:val="auto"/>
                <w:sz w:val="21"/>
                <w:szCs w:val="21"/>
                <w:highlight w:val="none"/>
                <w:u w:val="none"/>
                <w:lang w:val="en-US" w:eastAsia="zh-CN"/>
              </w:rPr>
              <w:t>危废焚烧废气采用</w:t>
            </w:r>
            <w:r>
              <w:rPr>
                <w:rFonts w:hint="default" w:ascii="Times New Roman" w:hAnsi="Times New Roman" w:cs="Times New Roman"/>
                <w:color w:val="auto"/>
                <w:sz w:val="21"/>
                <w:szCs w:val="21"/>
                <w:highlight w:val="none"/>
                <w:u w:val="none"/>
                <w:lang w:val="en-US" w:eastAsia="zh-CN"/>
              </w:rPr>
              <w:t>“3T+E”</w:t>
            </w:r>
            <w:r>
              <w:rPr>
                <w:rFonts w:hint="eastAsia" w:ascii="Times New Roman" w:hAnsi="Times New Roman" w:cs="Times New Roman"/>
                <w:color w:val="auto"/>
                <w:sz w:val="21"/>
                <w:szCs w:val="21"/>
                <w:highlight w:val="none"/>
                <w:u w:val="none"/>
                <w:lang w:val="en-US" w:eastAsia="zh-CN"/>
              </w:rPr>
              <w:t>燃烧控制+SNCR脱销+急冷+干式吸收+两级碱喷淋</w:t>
            </w:r>
            <w:r>
              <w:rPr>
                <w:rFonts w:hint="eastAsia" w:cs="Times New Roman"/>
                <w:color w:val="auto"/>
                <w:sz w:val="21"/>
                <w:szCs w:val="21"/>
                <w:highlight w:val="none"/>
                <w:u w:val="none"/>
                <w:lang w:val="en-US" w:eastAsia="zh-CN"/>
              </w:rPr>
              <w:t>处理后由35m排气筒排放；</w:t>
            </w:r>
            <w:r>
              <w:rPr>
                <w:rFonts w:hint="eastAsia" w:eastAsia="宋体" w:cs="Times New Roman"/>
                <w:color w:val="auto"/>
                <w:kern w:val="2"/>
                <w:sz w:val="21"/>
                <w:szCs w:val="21"/>
                <w:highlight w:val="none"/>
                <w:u w:val="none"/>
                <w:lang w:val="en-US" w:eastAsia="zh-CN" w:bidi="ar-SA"/>
              </w:rPr>
              <w:t>食堂油烟经</w:t>
            </w:r>
            <w:r>
              <w:rPr>
                <w:rFonts w:hint="default" w:ascii="Times New Roman" w:hAnsi="Times New Roman" w:eastAsia="宋体" w:cs="Times New Roman"/>
                <w:color w:val="auto"/>
                <w:kern w:val="2"/>
                <w:sz w:val="21"/>
                <w:szCs w:val="21"/>
                <w:highlight w:val="none"/>
                <w:u w:val="none"/>
                <w:lang w:val="en-US" w:eastAsia="zh-CN" w:bidi="ar-SA"/>
              </w:rPr>
              <w:t>复合式油烟净化器</w:t>
            </w:r>
            <w:r>
              <w:rPr>
                <w:rFonts w:hint="eastAsia" w:eastAsia="宋体" w:cs="Times New Roman"/>
                <w:color w:val="auto"/>
                <w:kern w:val="2"/>
                <w:sz w:val="21"/>
                <w:szCs w:val="21"/>
                <w:highlight w:val="none"/>
                <w:u w:val="none"/>
                <w:lang w:val="en-US" w:eastAsia="zh-CN" w:bidi="ar-SA"/>
              </w:rPr>
              <w:t>处理后由专用烟道排放。</w:t>
            </w:r>
          </w:p>
        </w:tc>
        <w:tc>
          <w:tcPr>
            <w:tcW w:w="1042" w:type="pct"/>
            <w:vMerge w:val="continue"/>
            <w:noWrap w:val="0"/>
            <w:tcMar>
              <w:top w:w="74" w:type="dxa"/>
              <w:bottom w:w="74"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noWrap w:val="0"/>
            <w:tcMar>
              <w:top w:w="74" w:type="dxa"/>
              <w:left w:w="57" w:type="dxa"/>
              <w:bottom w:w="74" w:type="dxa"/>
              <w:right w:w="57"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3</w:t>
            </w:r>
          </w:p>
        </w:tc>
        <w:tc>
          <w:tcPr>
            <w:tcW w:w="423" w:type="pct"/>
            <w:noWrap w:val="0"/>
            <w:tcMar>
              <w:top w:w="74" w:type="dxa"/>
              <w:left w:w="57" w:type="dxa"/>
              <w:bottom w:w="74" w:type="dxa"/>
              <w:right w:w="57"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噪声</w:t>
            </w:r>
          </w:p>
        </w:tc>
        <w:tc>
          <w:tcPr>
            <w:tcW w:w="3175" w:type="pct"/>
            <w:noWrap w:val="0"/>
            <w:tcMar>
              <w:top w:w="74" w:type="dxa"/>
              <w:left w:w="57" w:type="dxa"/>
              <w:bottom w:w="74" w:type="dxa"/>
              <w:right w:w="57"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厂房阻隔、设备隔声、减振等措施</w:t>
            </w:r>
          </w:p>
        </w:tc>
        <w:tc>
          <w:tcPr>
            <w:tcW w:w="1042" w:type="pct"/>
            <w:noWrap w:val="0"/>
            <w:tcMar>
              <w:top w:w="74" w:type="dxa"/>
              <w:bottom w:w="74"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降低噪声，减少对周边声环境的影响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57" w:type="pct"/>
            <w:noWrap w:val="0"/>
            <w:tcMar>
              <w:top w:w="74" w:type="dxa"/>
              <w:left w:w="57" w:type="dxa"/>
              <w:bottom w:w="74" w:type="dxa"/>
              <w:right w:w="57"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4</w:t>
            </w:r>
          </w:p>
        </w:tc>
        <w:tc>
          <w:tcPr>
            <w:tcW w:w="423" w:type="pct"/>
            <w:noWrap w:val="0"/>
            <w:tcMar>
              <w:top w:w="74" w:type="dxa"/>
              <w:left w:w="57" w:type="dxa"/>
              <w:bottom w:w="74" w:type="dxa"/>
              <w:right w:w="57"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固体</w:t>
            </w:r>
          </w:p>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废物</w:t>
            </w:r>
          </w:p>
        </w:tc>
        <w:tc>
          <w:tcPr>
            <w:tcW w:w="3175" w:type="pct"/>
            <w:noWrap w:val="0"/>
            <w:tcMar>
              <w:top w:w="74" w:type="dxa"/>
              <w:left w:w="57" w:type="dxa"/>
              <w:bottom w:w="74" w:type="dxa"/>
              <w:right w:w="57"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项目产生的一般固废中，纯水装置产生的废滤材，在达到使用时限后由供应商负责更换滤材，废滤材由供应商当即回收。一般原料包装袋暂存于50m</w:t>
            </w:r>
            <w:r>
              <w:rPr>
                <w:rFonts w:hint="default" w:ascii="Times New Roman" w:hAnsi="Times New Roman" w:eastAsia="宋体" w:cs="Times New Roman"/>
                <w:color w:val="auto"/>
                <w:kern w:val="2"/>
                <w:sz w:val="21"/>
                <w:szCs w:val="24"/>
                <w:highlight w:val="none"/>
                <w:u w:val="none"/>
                <w:vertAlign w:val="superscript"/>
                <w:lang w:val="en-US" w:eastAsia="zh-CN" w:bidi="ar-SA"/>
              </w:rPr>
              <w:t>2</w:t>
            </w:r>
            <w:r>
              <w:rPr>
                <w:rFonts w:hint="default" w:ascii="Times New Roman" w:hAnsi="Times New Roman" w:eastAsia="宋体" w:cs="Times New Roman"/>
                <w:color w:val="auto"/>
                <w:kern w:val="2"/>
                <w:sz w:val="21"/>
                <w:szCs w:val="24"/>
                <w:highlight w:val="none"/>
                <w:u w:val="none"/>
                <w:lang w:val="en-US" w:eastAsia="zh-CN" w:bidi="ar-SA"/>
              </w:rPr>
              <w:t>的一般固废间定期外售或交原料厂家</w:t>
            </w:r>
            <w:r>
              <w:rPr>
                <w:rFonts w:hint="eastAsia" w:eastAsia="宋体" w:cs="Times New Roman"/>
                <w:color w:val="auto"/>
                <w:kern w:val="2"/>
                <w:sz w:val="21"/>
                <w:szCs w:val="24"/>
                <w:highlight w:val="none"/>
                <w:u w:val="none"/>
                <w:lang w:val="en-US" w:eastAsia="zh-CN" w:bidi="ar-SA"/>
              </w:rPr>
              <w:t>，</w:t>
            </w:r>
            <w:r>
              <w:rPr>
                <w:rFonts w:hint="default" w:ascii="Times New Roman" w:hAnsi="Times New Roman" w:eastAsia="宋体" w:cs="Times New Roman"/>
                <w:color w:val="auto"/>
                <w:kern w:val="2"/>
                <w:sz w:val="21"/>
                <w:szCs w:val="24"/>
                <w:highlight w:val="none"/>
                <w:u w:val="none"/>
                <w:lang w:val="en-US" w:eastAsia="zh-CN" w:bidi="ar-SA"/>
              </w:rPr>
              <w:t>生化污泥</w:t>
            </w:r>
            <w:r>
              <w:rPr>
                <w:rFonts w:hint="eastAsia" w:eastAsia="宋体" w:cs="Times New Roman"/>
                <w:color w:val="auto"/>
                <w:kern w:val="2"/>
                <w:sz w:val="21"/>
                <w:szCs w:val="24"/>
                <w:highlight w:val="none"/>
                <w:u w:val="none"/>
                <w:lang w:val="en-US" w:eastAsia="zh-CN" w:bidi="ar-SA"/>
              </w:rPr>
              <w:t>与</w:t>
            </w:r>
            <w:r>
              <w:rPr>
                <w:rFonts w:hint="default" w:ascii="Times New Roman" w:hAnsi="Times New Roman" w:eastAsia="宋体" w:cs="Times New Roman"/>
                <w:color w:val="auto"/>
                <w:kern w:val="2"/>
                <w:sz w:val="21"/>
                <w:szCs w:val="24"/>
                <w:highlight w:val="none"/>
                <w:u w:val="none"/>
                <w:lang w:val="en-US" w:eastAsia="zh-CN" w:bidi="ar-SA"/>
              </w:rPr>
              <w:t>生活垃圾由</w:t>
            </w:r>
            <w:r>
              <w:rPr>
                <w:rFonts w:hint="eastAsia" w:eastAsia="宋体" w:cs="Times New Roman"/>
                <w:color w:val="auto"/>
                <w:kern w:val="2"/>
                <w:sz w:val="21"/>
                <w:szCs w:val="24"/>
                <w:highlight w:val="none"/>
                <w:u w:val="none"/>
                <w:lang w:val="en-US" w:eastAsia="zh-CN" w:bidi="ar-SA"/>
              </w:rPr>
              <w:t>市政部门</w:t>
            </w:r>
            <w:r>
              <w:rPr>
                <w:rFonts w:hint="default" w:ascii="Times New Roman" w:hAnsi="Times New Roman" w:eastAsia="宋体" w:cs="Times New Roman"/>
                <w:color w:val="auto"/>
                <w:kern w:val="2"/>
                <w:sz w:val="21"/>
                <w:szCs w:val="24"/>
                <w:highlight w:val="none"/>
                <w:u w:val="none"/>
                <w:lang w:val="en-US" w:eastAsia="zh-CN" w:bidi="ar-SA"/>
              </w:rPr>
              <w:t>清运</w:t>
            </w:r>
            <w:r>
              <w:rPr>
                <w:rFonts w:hint="eastAsia" w:eastAsia="宋体" w:cs="Times New Roman"/>
                <w:color w:val="auto"/>
                <w:kern w:val="2"/>
                <w:sz w:val="21"/>
                <w:szCs w:val="24"/>
                <w:highlight w:val="none"/>
                <w:u w:val="none"/>
                <w:lang w:val="en-US" w:eastAsia="zh-CN" w:bidi="ar-SA"/>
              </w:rPr>
              <w:t>，交市政部门送垃圾发电厂处置</w:t>
            </w:r>
            <w:r>
              <w:rPr>
                <w:rFonts w:hint="default" w:ascii="Times New Roman" w:hAnsi="Times New Roman" w:eastAsia="宋体" w:cs="Times New Roman"/>
                <w:color w:val="auto"/>
                <w:kern w:val="2"/>
                <w:sz w:val="21"/>
                <w:szCs w:val="24"/>
                <w:highlight w:val="none"/>
                <w:u w:val="none"/>
                <w:lang w:val="en-US" w:eastAsia="zh-CN" w:bidi="ar-SA"/>
              </w:rPr>
              <w:t>。</w:t>
            </w:r>
          </w:p>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改建</w:t>
            </w:r>
            <w:r>
              <w:rPr>
                <w:rFonts w:hint="default" w:ascii="Times New Roman" w:hAnsi="Times New Roman" w:eastAsia="宋体" w:cs="Times New Roman"/>
                <w:color w:val="auto"/>
                <w:kern w:val="2"/>
                <w:sz w:val="21"/>
                <w:szCs w:val="24"/>
                <w:highlight w:val="none"/>
                <w:u w:val="none"/>
                <w:lang w:val="en-US" w:eastAsia="zh-CN" w:bidi="ar-SA"/>
              </w:rPr>
              <w:t>工程产生的蒸馏残渣（液）、物化污泥、废矿物油等，进入现有的危废焚烧炉处置，焚烧产生的炉渣以及生产过程产生的废包装、废催化剂、过滤残渣、废催化剂、废盐等，暂存于本次工程新建的100m</w:t>
            </w:r>
            <w:r>
              <w:rPr>
                <w:rFonts w:hint="default" w:ascii="Times New Roman" w:hAnsi="Times New Roman" w:eastAsia="宋体" w:cs="Times New Roman"/>
                <w:color w:val="auto"/>
                <w:kern w:val="2"/>
                <w:sz w:val="21"/>
                <w:szCs w:val="24"/>
                <w:highlight w:val="none"/>
                <w:u w:val="none"/>
                <w:vertAlign w:val="superscript"/>
                <w:lang w:val="en-US" w:eastAsia="zh-CN" w:bidi="ar-SA"/>
              </w:rPr>
              <w:t>2</w:t>
            </w:r>
            <w:r>
              <w:rPr>
                <w:rFonts w:hint="default" w:ascii="Times New Roman" w:hAnsi="Times New Roman" w:eastAsia="宋体" w:cs="Times New Roman"/>
                <w:color w:val="auto"/>
                <w:kern w:val="2"/>
                <w:sz w:val="21"/>
                <w:szCs w:val="24"/>
                <w:highlight w:val="none"/>
                <w:u w:val="none"/>
                <w:lang w:val="en-US" w:eastAsia="zh-CN" w:bidi="ar-SA"/>
              </w:rPr>
              <w:t>危险废物暂存间，并定期委托有资质单位处置。。</w:t>
            </w:r>
          </w:p>
        </w:tc>
        <w:tc>
          <w:tcPr>
            <w:tcW w:w="1042" w:type="pct"/>
            <w:noWrap w:val="0"/>
            <w:tcMar>
              <w:top w:w="74" w:type="dxa"/>
              <w:bottom w:w="74"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制水滤材等固废交供应商综合利用，蒸馏残渣（液）等进现有危废炉焚烧，</w:t>
            </w:r>
            <w:r>
              <w:rPr>
                <w:rFonts w:hint="default" w:ascii="Times New Roman" w:hAnsi="Times New Roman" w:eastAsia="宋体" w:cs="Times New Roman"/>
                <w:color w:val="auto"/>
                <w:kern w:val="2"/>
                <w:sz w:val="21"/>
                <w:szCs w:val="24"/>
                <w:highlight w:val="none"/>
                <w:u w:val="none"/>
                <w:lang w:val="en-US" w:eastAsia="zh-CN" w:bidi="ar-SA"/>
              </w:rPr>
              <w:t>实现固废资源化、减量化，其他固废均妥善处置，减少二次污染风险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57" w:type="pct"/>
            <w:noWrap w:val="0"/>
            <w:tcMar>
              <w:top w:w="74" w:type="dxa"/>
              <w:left w:w="57" w:type="dxa"/>
              <w:bottom w:w="74" w:type="dxa"/>
              <w:right w:w="57"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5</w:t>
            </w:r>
          </w:p>
        </w:tc>
        <w:tc>
          <w:tcPr>
            <w:tcW w:w="423" w:type="pct"/>
            <w:noWrap w:val="0"/>
            <w:tcMar>
              <w:top w:w="74" w:type="dxa"/>
              <w:left w:w="57" w:type="dxa"/>
              <w:bottom w:w="74" w:type="dxa"/>
              <w:right w:w="57"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环境风险</w:t>
            </w:r>
          </w:p>
        </w:tc>
        <w:tc>
          <w:tcPr>
            <w:tcW w:w="3175" w:type="pct"/>
            <w:noWrap w:val="0"/>
            <w:tcMar>
              <w:top w:w="74" w:type="dxa"/>
              <w:left w:w="57" w:type="dxa"/>
              <w:bottom w:w="74" w:type="dxa"/>
              <w:right w:w="57"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1</w:t>
            </w:r>
            <w:r>
              <w:rPr>
                <w:rFonts w:hint="eastAsia" w:eastAsia="宋体" w:cs="Times New Roman"/>
                <w:color w:val="auto"/>
                <w:kern w:val="2"/>
                <w:sz w:val="21"/>
                <w:szCs w:val="21"/>
                <w:highlight w:val="none"/>
                <w:u w:val="none"/>
                <w:lang w:val="en-US" w:eastAsia="zh-CN" w:bidi="ar-SA"/>
              </w:rPr>
              <w:t>0</w:t>
            </w:r>
            <w:r>
              <w:rPr>
                <w:rFonts w:hint="default" w:ascii="Times New Roman" w:hAnsi="Times New Roman" w:eastAsia="宋体" w:cs="Times New Roman"/>
                <w:color w:val="auto"/>
                <w:kern w:val="2"/>
                <w:sz w:val="21"/>
                <w:szCs w:val="21"/>
                <w:highlight w:val="none"/>
                <w:u w:val="none"/>
                <w:lang w:val="en-US" w:eastAsia="zh-CN" w:bidi="ar-SA"/>
              </w:rPr>
              <w:t>00m</w:t>
            </w:r>
            <w:r>
              <w:rPr>
                <w:rFonts w:hint="default" w:ascii="Times New Roman" w:hAnsi="Times New Roman" w:eastAsia="宋体" w:cs="Times New Roman"/>
                <w:color w:val="auto"/>
                <w:kern w:val="2"/>
                <w:sz w:val="21"/>
                <w:szCs w:val="21"/>
                <w:highlight w:val="none"/>
                <w:u w:val="none"/>
                <w:vertAlign w:val="superscript"/>
                <w:lang w:val="en-US" w:eastAsia="zh-CN" w:bidi="ar-SA"/>
              </w:rPr>
              <w:t>3</w:t>
            </w:r>
            <w:r>
              <w:rPr>
                <w:rFonts w:hint="default" w:ascii="Times New Roman" w:hAnsi="Times New Roman" w:eastAsia="宋体" w:cs="Times New Roman"/>
                <w:color w:val="auto"/>
                <w:kern w:val="2"/>
                <w:sz w:val="21"/>
                <w:szCs w:val="21"/>
                <w:highlight w:val="none"/>
                <w:u w:val="none"/>
                <w:lang w:val="en-US" w:eastAsia="zh-CN" w:bidi="ar-SA"/>
              </w:rPr>
              <w:t>事故水池、</w:t>
            </w:r>
            <w:r>
              <w:rPr>
                <w:rFonts w:hint="eastAsia" w:eastAsia="宋体" w:cs="Times New Roman"/>
                <w:color w:val="auto"/>
                <w:kern w:val="2"/>
                <w:sz w:val="21"/>
                <w:szCs w:val="21"/>
                <w:highlight w:val="none"/>
                <w:u w:val="none"/>
                <w:lang w:val="en-US" w:eastAsia="zh-CN" w:bidi="ar-SA"/>
              </w:rPr>
              <w:t>三级防控、</w:t>
            </w:r>
            <w:r>
              <w:rPr>
                <w:rFonts w:hint="default" w:ascii="Times New Roman" w:hAnsi="Times New Roman" w:eastAsia="宋体" w:cs="Times New Roman"/>
                <w:color w:val="auto"/>
                <w:kern w:val="2"/>
                <w:sz w:val="21"/>
                <w:szCs w:val="21"/>
                <w:highlight w:val="none"/>
                <w:u w:val="none"/>
                <w:lang w:val="en-US" w:eastAsia="zh-CN" w:bidi="ar-SA"/>
              </w:rPr>
              <w:t>事故应急设施、事故应急预案、</w:t>
            </w:r>
            <w:r>
              <w:rPr>
                <w:rFonts w:hint="eastAsia" w:eastAsia="宋体" w:cs="Times New Roman"/>
                <w:color w:val="auto"/>
                <w:kern w:val="2"/>
                <w:sz w:val="21"/>
                <w:szCs w:val="21"/>
                <w:highlight w:val="none"/>
                <w:u w:val="none"/>
                <w:lang w:val="en-US" w:eastAsia="zh-CN" w:bidi="ar-SA"/>
              </w:rPr>
              <w:t>应急演练、有毒有害气体报警</w:t>
            </w:r>
            <w:r>
              <w:rPr>
                <w:rFonts w:hint="default" w:ascii="Times New Roman" w:hAnsi="Times New Roman" w:eastAsia="宋体" w:cs="Times New Roman"/>
                <w:color w:val="auto"/>
                <w:kern w:val="2"/>
                <w:sz w:val="21"/>
                <w:szCs w:val="21"/>
                <w:highlight w:val="none"/>
                <w:u w:val="none"/>
                <w:lang w:val="en-US" w:eastAsia="zh-CN" w:bidi="ar-SA"/>
              </w:rPr>
              <w:t>装置等</w:t>
            </w:r>
          </w:p>
        </w:tc>
        <w:tc>
          <w:tcPr>
            <w:tcW w:w="1042" w:type="pct"/>
            <w:noWrap w:val="0"/>
            <w:tcMar>
              <w:top w:w="74" w:type="dxa"/>
              <w:bottom w:w="74" w:type="dxa"/>
            </w:tcMar>
            <w:vAlign w:val="center"/>
          </w:tcPr>
          <w:p>
            <w:pPr>
              <w:widowControl w:val="0"/>
              <w:bidi w:val="0"/>
              <w:adjustRightInd w:val="0"/>
              <w:snapToGrid w:val="0"/>
              <w:spacing w:line="240" w:lineRule="auto"/>
              <w:ind w:firstLine="0" w:firstLineChars="0"/>
              <w:jc w:val="center"/>
              <w:rPr>
                <w:rFonts w:hint="default"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采取措施后环境风险可接收</w:t>
            </w:r>
          </w:p>
        </w:tc>
      </w:tr>
    </w:tbl>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由上表可以看出，本项目在采取以上各项污染防治措施后，工程存在的环境问题得以解决，减小了本项目排污对外环境的不利影响，存在明显的环境效益</w:t>
      </w:r>
      <w:r>
        <w:rPr>
          <w:rFonts w:hint="default" w:ascii="Times New Roman" w:hAnsi="Times New Roman" w:eastAsia="宋体" w:cs="Times New Roman"/>
          <w:color w:val="auto"/>
          <w:sz w:val="24"/>
          <w:szCs w:val="24"/>
          <w:highlight w:val="none"/>
          <w:u w:val="none"/>
          <w:lang w:eastAsia="zh-CN"/>
        </w:rPr>
        <w:t>。</w:t>
      </w:r>
    </w:p>
    <w:p>
      <w:pPr>
        <w:pStyle w:val="3"/>
        <w:bidi w:val="0"/>
        <w:rPr>
          <w:rFonts w:hint="default"/>
          <w:color w:val="auto"/>
          <w:highlight w:val="none"/>
          <w:u w:val="none"/>
          <w:lang w:val="en-US" w:eastAsia="zh-CN"/>
        </w:rPr>
      </w:pPr>
      <w:bookmarkStart w:id="126" w:name="_Toc15345"/>
      <w:bookmarkStart w:id="127" w:name="_Toc8215"/>
      <w:bookmarkStart w:id="128" w:name="_Toc30419"/>
      <w:bookmarkStart w:id="129" w:name="_Toc19055"/>
      <w:bookmarkStart w:id="130" w:name="_Toc2444"/>
      <w:bookmarkStart w:id="131" w:name="_Toc12578"/>
      <w:bookmarkStart w:id="132" w:name="_Toc193113563"/>
      <w:bookmarkStart w:id="133" w:name="_Toc510"/>
      <w:bookmarkStart w:id="134" w:name="_Toc28362"/>
      <w:r>
        <w:rPr>
          <w:rFonts w:hint="default"/>
          <w:color w:val="auto"/>
          <w:highlight w:val="none"/>
          <w:u w:val="none"/>
          <w:lang w:val="en-US" w:eastAsia="zh-CN"/>
        </w:rPr>
        <w:t>工程经济损益分析</w:t>
      </w:r>
      <w:bookmarkEnd w:id="126"/>
      <w:bookmarkEnd w:id="127"/>
      <w:bookmarkEnd w:id="128"/>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bookmarkStart w:id="135" w:name="_Toc234382257"/>
      <w:bookmarkStart w:id="136" w:name="_Toc224455698"/>
      <w:r>
        <w:rPr>
          <w:rFonts w:hint="default" w:ascii="Times New Roman" w:hAnsi="Times New Roman" w:eastAsia="宋体" w:cs="Times New Roman"/>
          <w:color w:val="auto"/>
          <w:sz w:val="24"/>
          <w:szCs w:val="24"/>
          <w:highlight w:val="none"/>
          <w:u w:val="none"/>
        </w:rPr>
        <w:t>本评价主要从环境保护投资比例系数、产值环境系数、环境经济损益系数等几项指标进行环境经济损益分析。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环保投资比例系数Hz</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 xml:space="preserve">环保投资比例系数是指环保建设投资与企业建设总投资的比值，它体现了企业对环保工作的重视程度。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 xml:space="preserve">Hz=(E0 / ER)×100%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 xml:space="preserve">式中：E0——环保建设投资，万元 </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 xml:space="preserve">ER——工程总投资，万元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工程各项环保投资费用为</w:t>
      </w:r>
      <w:r>
        <w:rPr>
          <w:rFonts w:hint="default" w:ascii="Times New Roman" w:hAnsi="Times New Roman" w:eastAsia="宋体" w:cs="Times New Roman"/>
          <w:color w:val="auto"/>
          <w:sz w:val="24"/>
          <w:szCs w:val="24"/>
          <w:highlight w:val="none"/>
          <w:u w:val="none"/>
          <w:lang w:val="en-US" w:eastAsia="zh-CN"/>
        </w:rPr>
        <w:t>1126</w:t>
      </w:r>
      <w:r>
        <w:rPr>
          <w:rFonts w:hint="default" w:ascii="Times New Roman" w:hAnsi="Times New Roman" w:eastAsia="宋体" w:cs="Times New Roman"/>
          <w:color w:val="auto"/>
          <w:sz w:val="24"/>
          <w:szCs w:val="24"/>
          <w:highlight w:val="none"/>
          <w:u w:val="none"/>
        </w:rPr>
        <w:t>万元，工程总投资为</w:t>
      </w:r>
      <w:r>
        <w:rPr>
          <w:rFonts w:hint="eastAsia" w:eastAsia="宋体" w:cs="Times New Roman"/>
          <w:color w:val="auto"/>
          <w:sz w:val="24"/>
          <w:szCs w:val="24"/>
          <w:highlight w:val="none"/>
          <w:u w:val="none"/>
          <w:lang w:val="en-US" w:eastAsia="zh-CN"/>
        </w:rPr>
        <w:t>26</w:t>
      </w:r>
      <w:r>
        <w:rPr>
          <w:rFonts w:hint="default" w:ascii="Times New Roman" w:hAnsi="Times New Roman" w:eastAsia="宋体" w:cs="Times New Roman"/>
          <w:color w:val="auto"/>
          <w:sz w:val="24"/>
          <w:szCs w:val="24"/>
          <w:highlight w:val="none"/>
          <w:u w:val="none"/>
        </w:rPr>
        <w:t>0</w:t>
      </w:r>
      <w:r>
        <w:rPr>
          <w:rFonts w:hint="eastAsia" w:eastAsia="宋体" w:cs="Times New Roman"/>
          <w:color w:val="auto"/>
          <w:sz w:val="24"/>
          <w:szCs w:val="24"/>
          <w:highlight w:val="none"/>
          <w:u w:val="none"/>
          <w:lang w:val="en-US" w:eastAsia="zh-CN"/>
        </w:rPr>
        <w:t>0</w:t>
      </w:r>
      <w:r>
        <w:rPr>
          <w:rFonts w:hint="default" w:ascii="Times New Roman" w:hAnsi="Times New Roman" w:eastAsia="宋体" w:cs="Times New Roman"/>
          <w:color w:val="auto"/>
          <w:sz w:val="24"/>
          <w:szCs w:val="24"/>
          <w:highlight w:val="none"/>
          <w:u w:val="none"/>
        </w:rPr>
        <w:t>0万元人民币，环保投资占工程总投资的</w:t>
      </w:r>
      <w:r>
        <w:rPr>
          <w:rFonts w:hint="eastAsia" w:eastAsia="宋体" w:cs="Times New Roman"/>
          <w:color w:val="auto"/>
          <w:sz w:val="24"/>
          <w:szCs w:val="24"/>
          <w:highlight w:val="none"/>
          <w:u w:val="none"/>
          <w:lang w:val="en-US" w:eastAsia="zh-CN"/>
        </w:rPr>
        <w:t>4.33</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。本工程在采取相应的废气、废水、固废和噪声污染防治措施后，各种污染物达标排放，减轻污染物对周围环境的影响。因此，本项目的环保投资系数是合适的。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（2）环保运行费用占工程总经济效益比例（环境成本率）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项目环保设施运行费用</w:t>
      </w:r>
      <w:r>
        <w:rPr>
          <w:rFonts w:hint="eastAsia" w:eastAsia="宋体" w:cs="Times New Roman"/>
          <w:color w:val="auto"/>
          <w:sz w:val="24"/>
          <w:szCs w:val="24"/>
          <w:highlight w:val="none"/>
          <w:u w:val="none"/>
          <w:lang w:val="en-US" w:eastAsia="zh-CN"/>
        </w:rPr>
        <w:t>中，废水新增运行费用约450万元/a，废气运行成本约250万元/a，合计</w:t>
      </w:r>
      <w:r>
        <w:rPr>
          <w:rFonts w:hint="default" w:ascii="Times New Roman" w:hAnsi="Times New Roman" w:eastAsia="宋体" w:cs="Times New Roman"/>
          <w:color w:val="auto"/>
          <w:sz w:val="24"/>
          <w:szCs w:val="24"/>
          <w:highlight w:val="none"/>
          <w:u w:val="none"/>
        </w:rPr>
        <w:t>约为</w:t>
      </w:r>
      <w:r>
        <w:rPr>
          <w:rFonts w:hint="eastAsia" w:eastAsia="宋体" w:cs="Times New Roman"/>
          <w:color w:val="auto"/>
          <w:sz w:val="24"/>
          <w:szCs w:val="24"/>
          <w:highlight w:val="none"/>
          <w:u w:val="none"/>
          <w:lang w:val="en-US" w:eastAsia="zh-CN"/>
        </w:rPr>
        <w:t>70</w:t>
      </w:r>
      <w:r>
        <w:rPr>
          <w:rFonts w:hint="default" w:ascii="Times New Roman" w:hAnsi="Times New Roman" w:eastAsia="宋体" w:cs="Times New Roman"/>
          <w:color w:val="auto"/>
          <w:sz w:val="24"/>
          <w:szCs w:val="24"/>
          <w:highlight w:val="none"/>
          <w:u w:val="none"/>
          <w:lang w:val="en-US" w:eastAsia="zh-CN"/>
        </w:rPr>
        <w:t>0</w:t>
      </w:r>
      <w:r>
        <w:rPr>
          <w:rFonts w:hint="default" w:ascii="Times New Roman" w:hAnsi="Times New Roman" w:eastAsia="宋体" w:cs="Times New Roman"/>
          <w:color w:val="auto"/>
          <w:sz w:val="24"/>
          <w:szCs w:val="24"/>
          <w:highlight w:val="none"/>
          <w:u w:val="none"/>
        </w:rPr>
        <w:t>万元/年，占工程年销售收入（</w:t>
      </w:r>
      <w:r>
        <w:rPr>
          <w:rFonts w:hint="eastAsia" w:eastAsia="宋体" w:cs="Times New Roman"/>
          <w:color w:val="auto"/>
          <w:sz w:val="24"/>
          <w:szCs w:val="24"/>
          <w:highlight w:val="none"/>
          <w:u w:val="none"/>
          <w:lang w:val="en-US" w:eastAsia="zh-CN"/>
        </w:rPr>
        <w:t>16</w:t>
      </w:r>
      <w:r>
        <w:rPr>
          <w:rFonts w:hint="default" w:ascii="Times New Roman" w:hAnsi="Times New Roman" w:eastAsia="宋体" w:cs="Times New Roman"/>
          <w:color w:val="auto"/>
          <w:sz w:val="24"/>
          <w:szCs w:val="24"/>
          <w:highlight w:val="none"/>
          <w:u w:val="none"/>
          <w:lang w:val="en-US" w:eastAsia="zh-CN"/>
        </w:rPr>
        <w:t>0000</w:t>
      </w:r>
      <w:r>
        <w:rPr>
          <w:rFonts w:hint="default" w:ascii="Times New Roman" w:hAnsi="Times New Roman" w:eastAsia="宋体" w:cs="Times New Roman"/>
          <w:color w:val="auto"/>
          <w:sz w:val="24"/>
          <w:szCs w:val="24"/>
          <w:highlight w:val="none"/>
          <w:u w:val="none"/>
        </w:rPr>
        <w:t xml:space="preserve">万元）的 </w:t>
      </w:r>
      <w:r>
        <w:rPr>
          <w:rFonts w:hint="default" w:ascii="Times New Roman" w:hAnsi="Times New Roman" w:eastAsia="宋体" w:cs="Times New Roman"/>
          <w:color w:val="auto"/>
          <w:sz w:val="24"/>
          <w:szCs w:val="24"/>
          <w:highlight w:val="none"/>
          <w:u w:val="none"/>
          <w:lang w:val="en-US" w:eastAsia="zh-CN"/>
        </w:rPr>
        <w:t>0.</w:t>
      </w:r>
      <w:r>
        <w:rPr>
          <w:rFonts w:hint="eastAsia" w:eastAsia="宋体" w:cs="Times New Roman"/>
          <w:color w:val="auto"/>
          <w:sz w:val="24"/>
          <w:szCs w:val="24"/>
          <w:highlight w:val="none"/>
          <w:u w:val="none"/>
          <w:lang w:val="en-US" w:eastAsia="zh-CN"/>
        </w:rPr>
        <w:t>44</w:t>
      </w:r>
      <w:r>
        <w:rPr>
          <w:rFonts w:hint="default" w:ascii="Times New Roman" w:hAnsi="Times New Roman" w:eastAsia="宋体" w:cs="Times New Roman"/>
          <w:color w:val="auto"/>
          <w:sz w:val="24"/>
          <w:szCs w:val="24"/>
          <w:highlight w:val="none"/>
          <w:u w:val="none"/>
        </w:rPr>
        <w:t>%，占工程年利润总额（</w:t>
      </w:r>
      <w:r>
        <w:rPr>
          <w:rFonts w:hint="eastAsia" w:eastAsia="宋体" w:cs="Times New Roman"/>
          <w:color w:val="auto"/>
          <w:sz w:val="24"/>
          <w:szCs w:val="24"/>
          <w:highlight w:val="none"/>
          <w:u w:val="none"/>
          <w:lang w:val="en-US" w:eastAsia="zh-CN"/>
        </w:rPr>
        <w:t>12800</w:t>
      </w:r>
      <w:r>
        <w:rPr>
          <w:rFonts w:hint="default" w:ascii="Times New Roman" w:hAnsi="Times New Roman" w:eastAsia="宋体" w:cs="Times New Roman"/>
          <w:color w:val="auto"/>
          <w:sz w:val="24"/>
          <w:szCs w:val="24"/>
          <w:highlight w:val="none"/>
          <w:u w:val="none"/>
        </w:rPr>
        <w:t>万元）的5.</w:t>
      </w:r>
      <w:r>
        <w:rPr>
          <w:rFonts w:hint="eastAsia" w:eastAsia="宋体" w:cs="Times New Roman"/>
          <w:color w:val="auto"/>
          <w:sz w:val="24"/>
          <w:szCs w:val="24"/>
          <w:highlight w:val="none"/>
          <w:u w:val="none"/>
          <w:lang w:val="en-US" w:eastAsia="zh-CN"/>
        </w:rPr>
        <w:t>5</w:t>
      </w:r>
      <w:r>
        <w:rPr>
          <w:rFonts w:hint="default" w:ascii="Times New Roman" w:hAnsi="Times New Roman" w:eastAsia="宋体" w:cs="Times New Roman"/>
          <w:color w:val="auto"/>
          <w:sz w:val="24"/>
          <w:szCs w:val="24"/>
          <w:highlight w:val="none"/>
          <w:u w:val="none"/>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环保设施运行费用所占比例不大，企业盈利资金能够保障环保投资和设施的正常运行，预防和减轻工程对环境的影响，满足环境管理的要求。</w:t>
      </w:r>
    </w:p>
    <w:bookmarkEnd w:id="135"/>
    <w:bookmarkEnd w:id="136"/>
    <w:p>
      <w:pPr>
        <w:pStyle w:val="3"/>
        <w:bidi w:val="0"/>
        <w:rPr>
          <w:rFonts w:hint="default"/>
          <w:color w:val="auto"/>
          <w:highlight w:val="none"/>
          <w:u w:val="none"/>
          <w:lang w:val="en-US" w:eastAsia="zh-CN"/>
        </w:rPr>
      </w:pPr>
      <w:bookmarkStart w:id="137" w:name="_Toc26514"/>
      <w:bookmarkStart w:id="138" w:name="_Toc387151246"/>
      <w:bookmarkStart w:id="139" w:name="_Toc18980"/>
      <w:bookmarkStart w:id="140" w:name="_Toc31882"/>
      <w:bookmarkStart w:id="141" w:name="_Toc11624"/>
      <w:bookmarkStart w:id="142" w:name="_Toc28601"/>
      <w:bookmarkStart w:id="143" w:name="_Toc394944501"/>
      <w:bookmarkStart w:id="144" w:name="_Toc393394502"/>
      <w:bookmarkStart w:id="145" w:name="_Toc11986"/>
      <w:bookmarkStart w:id="146" w:name="_Toc28090"/>
      <w:r>
        <w:rPr>
          <w:rFonts w:hint="default"/>
          <w:color w:val="auto"/>
          <w:highlight w:val="none"/>
          <w:u w:val="none"/>
          <w:lang w:val="en-US" w:eastAsia="zh-CN"/>
        </w:rPr>
        <w:t>小结</w:t>
      </w:r>
      <w:bookmarkEnd w:id="137"/>
      <w:bookmarkEnd w:id="138"/>
      <w:bookmarkEnd w:id="139"/>
      <w:bookmarkEnd w:id="140"/>
      <w:bookmarkEnd w:id="141"/>
      <w:bookmarkEnd w:id="142"/>
      <w:bookmarkEnd w:id="143"/>
      <w:bookmarkEnd w:id="144"/>
      <w:bookmarkEnd w:id="145"/>
      <w:bookmarkEnd w:id="146"/>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综合上述环境损益分析、经济效益分析及社会效益分析可知，本工程严格执行“总量控制、清洁生产、达标排放”的原则，污染物排放可以得到有效的治理，对区域环境质量现状影响较小，因此，本项目建设对社会和经济的正效益远大于其环境损失，其综合效益较明显，本项目的建设是可行的。</w:t>
      </w:r>
    </w:p>
    <w:p>
      <w:pPr>
        <w:rPr>
          <w:rFonts w:hint="default" w:ascii="Times New Roman" w:hAnsi="Times New Roman" w:eastAsia="宋体" w:cs="Times New Roman"/>
          <w:color w:val="auto"/>
          <w:highlight w:val="none"/>
          <w:u w:val="none"/>
          <w:lang w:val="en-US" w:eastAsia="zh-CN"/>
        </w:rPr>
        <w:sectPr>
          <w:headerReference r:id="rId12" w:type="default"/>
          <w:footerReference r:id="rId13" w:type="default"/>
          <w:footerReference r:id="rId14" w:type="even"/>
          <w:pgSz w:w="11905" w:h="16838"/>
          <w:pgMar w:top="1440" w:right="1800" w:bottom="1440" w:left="1800"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2"/>
        <w:bidi w:val="0"/>
        <w:rPr>
          <w:rFonts w:hint="default"/>
          <w:color w:val="auto"/>
          <w:highlight w:val="none"/>
          <w:u w:val="none"/>
          <w:lang w:val="en-US" w:eastAsia="zh-CN"/>
        </w:rPr>
      </w:pPr>
      <w:bookmarkStart w:id="147" w:name="_Toc366185700"/>
      <w:bookmarkStart w:id="148" w:name="_Toc394944502"/>
      <w:bookmarkStart w:id="149" w:name="_Toc23478"/>
      <w:bookmarkStart w:id="150" w:name="_Toc387151395"/>
      <w:bookmarkStart w:id="151" w:name="_Toc28825"/>
      <w:bookmarkStart w:id="152" w:name="_Toc31668"/>
      <w:bookmarkStart w:id="153" w:name="_Toc24036"/>
      <w:bookmarkStart w:id="154" w:name="_Toc26925"/>
      <w:bookmarkStart w:id="155" w:name="_Toc3767"/>
      <w:bookmarkStart w:id="156" w:name="_Toc393394503"/>
      <w:bookmarkStart w:id="157" w:name="_Toc31911"/>
      <w:r>
        <w:rPr>
          <w:rFonts w:hint="default"/>
          <w:color w:val="auto"/>
          <w:highlight w:val="none"/>
          <w:u w:val="none"/>
          <w:lang w:val="en-US" w:eastAsia="zh-CN"/>
        </w:rPr>
        <w:t>环境管理与监测计划</w:t>
      </w:r>
      <w:bookmarkEnd w:id="147"/>
      <w:bookmarkEnd w:id="148"/>
      <w:bookmarkEnd w:id="149"/>
      <w:bookmarkEnd w:id="150"/>
      <w:bookmarkEnd w:id="151"/>
      <w:bookmarkEnd w:id="152"/>
      <w:bookmarkEnd w:id="153"/>
      <w:bookmarkEnd w:id="154"/>
      <w:bookmarkEnd w:id="155"/>
      <w:bookmarkEnd w:id="156"/>
      <w:bookmarkEnd w:id="157"/>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环境管理与本项目的运营管理、安全管理等各专项管理一样，是项目日常管理的一个重要组成部分，它同环保设施、环保技术、环境应急、专业人员及基础设施建设等方面都有密切的关系。有效的环境管理可以促进污染防治措施的完善、生物多样性的改善以及水资源、能源等消耗和成本的降低。减轻项目产生的污染物对生态环境的影响程度。</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2"/>
          <w:highlight w:val="none"/>
          <w:u w:val="none"/>
        </w:rPr>
      </w:pPr>
      <w:r>
        <w:rPr>
          <w:rFonts w:hint="default" w:ascii="Times New Roman" w:hAnsi="Times New Roman" w:eastAsia="宋体" w:cs="Times New Roman"/>
          <w:color w:val="auto"/>
          <w:sz w:val="24"/>
          <w:szCs w:val="24"/>
          <w:highlight w:val="none"/>
          <w:u w:val="none"/>
        </w:rPr>
        <w:t>环境监测也是本项目环境管理的一个重要组成部分。通过对监测数据进行综合分析，可以掌握各种污染物含量和排放规律，指导制定有效的污染控制和治理方案。为此，建设单位在项目建设的同时应配备相应的管理人员，制定相应的环境管理方案与环境监测计划。</w:t>
      </w:r>
    </w:p>
    <w:p>
      <w:pPr>
        <w:pStyle w:val="3"/>
        <w:bidi w:val="0"/>
        <w:rPr>
          <w:rFonts w:hint="default"/>
          <w:color w:val="auto"/>
          <w:highlight w:val="none"/>
          <w:u w:val="none"/>
          <w:lang w:val="en-US" w:eastAsia="zh-CN"/>
        </w:rPr>
      </w:pPr>
      <w:bookmarkStart w:id="158" w:name="_Toc394944503"/>
      <w:bookmarkStart w:id="159" w:name="_Toc13461"/>
      <w:bookmarkStart w:id="160" w:name="_Toc666"/>
      <w:bookmarkStart w:id="161" w:name="_Toc366185701"/>
      <w:bookmarkStart w:id="162" w:name="_Toc7424"/>
      <w:bookmarkStart w:id="163" w:name="_Toc15785"/>
      <w:bookmarkStart w:id="164" w:name="_Toc393394504"/>
      <w:bookmarkStart w:id="165" w:name="_Toc12778"/>
      <w:bookmarkStart w:id="166" w:name="_Toc387151396"/>
      <w:bookmarkStart w:id="167" w:name="_Toc26289"/>
      <w:bookmarkStart w:id="168" w:name="_Toc1895"/>
      <w:r>
        <w:rPr>
          <w:rFonts w:hint="default"/>
          <w:color w:val="auto"/>
          <w:highlight w:val="none"/>
          <w:u w:val="none"/>
          <w:lang w:val="en-US" w:eastAsia="zh-CN"/>
        </w:rPr>
        <w:t>环境管理</w:t>
      </w:r>
      <w:bookmarkEnd w:id="158"/>
      <w:bookmarkEnd w:id="159"/>
      <w:bookmarkEnd w:id="160"/>
      <w:bookmarkEnd w:id="161"/>
      <w:bookmarkEnd w:id="162"/>
      <w:bookmarkEnd w:id="163"/>
      <w:bookmarkEnd w:id="164"/>
      <w:bookmarkEnd w:id="165"/>
      <w:bookmarkEnd w:id="166"/>
      <w:bookmarkEnd w:id="167"/>
      <w:bookmarkEnd w:id="168"/>
    </w:p>
    <w:p>
      <w:pPr>
        <w:pStyle w:val="4"/>
        <w:bidi w:val="0"/>
        <w:rPr>
          <w:rFonts w:hint="default"/>
          <w:color w:val="auto"/>
          <w:highlight w:val="none"/>
          <w:u w:val="none"/>
          <w:lang w:val="en-US" w:eastAsia="zh-CN"/>
        </w:rPr>
      </w:pPr>
      <w:bookmarkStart w:id="169" w:name="_Toc29786"/>
      <w:bookmarkStart w:id="170" w:name="_Toc1359"/>
      <w:bookmarkStart w:id="171" w:name="_Toc31624"/>
      <w:bookmarkStart w:id="172" w:name="_Toc193113589"/>
      <w:bookmarkStart w:id="173" w:name="_Toc8417"/>
      <w:bookmarkStart w:id="174" w:name="_Toc9369"/>
      <w:r>
        <w:rPr>
          <w:rFonts w:hint="default"/>
          <w:color w:val="auto"/>
          <w:highlight w:val="none"/>
          <w:u w:val="none"/>
          <w:lang w:val="en-US" w:eastAsia="zh-CN"/>
        </w:rPr>
        <w:t>环境管理的必要性</w:t>
      </w:r>
      <w:bookmarkEnd w:id="169"/>
      <w:bookmarkEnd w:id="170"/>
      <w:bookmarkEnd w:id="171"/>
      <w:bookmarkEnd w:id="172"/>
      <w:bookmarkEnd w:id="173"/>
      <w:bookmarkEnd w:id="174"/>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环境管理是企业管理中一项重要内容，加大环境力度、管理力度是实现企业环境效益、经济效益、社会效益协调发展和走可持续发展道路的重要措施，是企业生存和发展的重要保障之一。</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本项目环境影响因素主要为废水、废气、固废以及噪声，为了保护当地人居环境，同时为了企业能够持续化发展，必然要求该企业有一套完善的环境保护管理体系，并将环境管理和环境监控纳入日常生产管理中，在搞好生产的同时，确保各种污染治理措施的正常运行和污染物的达标排放。</w:t>
      </w:r>
    </w:p>
    <w:p>
      <w:pPr>
        <w:pStyle w:val="4"/>
        <w:bidi w:val="0"/>
        <w:rPr>
          <w:rFonts w:hint="default"/>
          <w:color w:val="auto"/>
          <w:highlight w:val="none"/>
          <w:u w:val="none"/>
          <w:lang w:val="en-US" w:eastAsia="zh-CN"/>
        </w:rPr>
      </w:pPr>
      <w:bookmarkStart w:id="175" w:name="_Toc4147"/>
      <w:bookmarkStart w:id="176" w:name="_Toc4836"/>
      <w:bookmarkStart w:id="177" w:name="_Toc30454"/>
      <w:bookmarkStart w:id="178" w:name="_Toc193113590"/>
      <w:bookmarkStart w:id="179" w:name="_Toc31398"/>
      <w:bookmarkStart w:id="180" w:name="_Toc32592"/>
      <w:r>
        <w:rPr>
          <w:rFonts w:hint="default"/>
          <w:color w:val="auto"/>
          <w:highlight w:val="none"/>
          <w:u w:val="none"/>
          <w:lang w:val="en-US" w:eastAsia="zh-CN"/>
        </w:rPr>
        <w:t>环境管理机构的设置</w:t>
      </w:r>
      <w:bookmarkEnd w:id="175"/>
      <w:bookmarkEnd w:id="176"/>
      <w:bookmarkEnd w:id="177"/>
      <w:bookmarkEnd w:id="178"/>
      <w:bookmarkEnd w:id="179"/>
      <w:bookmarkEnd w:id="180"/>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根据国家和河南省的有关环保法规及《建设项目环境保护设计规定》，项目应设置环境管理机构，来负责、落实、监督企业的环保工作。</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企业自成立以来，就设有安全和环保管理机构（安环部），目前安环部有专职环保人员8人，兼职环保人员8人。</w:t>
      </w:r>
    </w:p>
    <w:p>
      <w:pPr>
        <w:pStyle w:val="5"/>
        <w:rPr>
          <w:rFonts w:hint="default" w:ascii="Times New Roman" w:hAnsi="Times New Roman" w:eastAsia="宋体" w:cs="Times New Roman"/>
          <w:color w:val="auto"/>
          <w:sz w:val="24"/>
          <w:szCs w:val="24"/>
          <w:highlight w:val="none"/>
          <w:u w:val="none"/>
        </w:rPr>
      </w:pPr>
    </w:p>
    <w:p>
      <w:pPr>
        <w:jc w:val="center"/>
        <w:rPr>
          <w:rFonts w:hint="default"/>
          <w:color w:val="auto"/>
          <w:highlight w:val="none"/>
          <w:u w:val="none"/>
        </w:rPr>
      </w:pPr>
      <w:r>
        <w:rPr>
          <w:rFonts w:hint="eastAsia" w:ascii="方正宋体" w:hAnsi="方正宋体" w:eastAsia="方正宋体" w:cs="方正宋体"/>
          <w:color w:val="auto"/>
          <w:highlight w:val="none"/>
          <w:u w:val="none"/>
        </w:rPr>
        <w:drawing>
          <wp:inline distT="0" distB="0" distL="114300" distR="114300">
            <wp:extent cx="3858260" cy="4161155"/>
            <wp:effectExtent l="9525" t="9525" r="18415" b="203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8"/>
                    <a:stretch>
                      <a:fillRect/>
                    </a:stretch>
                  </pic:blipFill>
                  <pic:spPr>
                    <a:xfrm>
                      <a:off x="0" y="0"/>
                      <a:ext cx="3858260" cy="4161155"/>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9"/>
        <w:bidi w:val="0"/>
        <w:rPr>
          <w:rFonts w:hint="default"/>
          <w:color w:val="auto"/>
          <w:highlight w:val="none"/>
          <w:u w:val="none"/>
          <w:lang w:val="en-US" w:eastAsia="zh-CN"/>
        </w:rPr>
      </w:pPr>
      <w:r>
        <w:rPr>
          <w:rFonts w:hint="eastAsia"/>
          <w:color w:val="auto"/>
          <w:highlight w:val="none"/>
          <w:u w:val="none"/>
          <w:lang w:val="en-US" w:eastAsia="zh-CN"/>
        </w:rPr>
        <w:t xml:space="preserve"> </w:t>
      </w:r>
      <w:r>
        <w:rPr>
          <w:color w:val="auto"/>
          <w:highlight w:val="none"/>
          <w:u w:val="none"/>
        </w:rPr>
        <w:t xml:space="preserve">图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10.1</w:t>
      </w:r>
      <w:r>
        <w:rPr>
          <w:color w:val="auto"/>
          <w:highlight w:val="none"/>
          <w:u w:val="none"/>
        </w:rPr>
        <w:fldChar w:fldCharType="end"/>
      </w:r>
      <w:r>
        <w:rPr>
          <w:rFonts w:hint="eastAsia" w:eastAsia="宋体"/>
          <w:color w:val="auto"/>
          <w:highlight w:val="none"/>
          <w:u w:val="none"/>
          <w:lang w:eastAsia="zh-CN"/>
        </w:rPr>
        <w:t>-</w:t>
      </w:r>
      <w:r>
        <w:rPr>
          <w:color w:val="auto"/>
          <w:highlight w:val="none"/>
          <w:u w:val="none"/>
        </w:rPr>
        <w:fldChar w:fldCharType="begin"/>
      </w:r>
      <w:r>
        <w:rPr>
          <w:color w:val="auto"/>
          <w:highlight w:val="none"/>
          <w:u w:val="none"/>
        </w:rPr>
        <w:instrText xml:space="preserve"> SEQ 图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r>
        <w:rPr>
          <w:rFonts w:hint="eastAsia"/>
          <w:color w:val="auto"/>
          <w:highlight w:val="none"/>
          <w:u w:val="none"/>
          <w:lang w:val="en-US" w:eastAsia="zh-CN"/>
        </w:rPr>
        <w:t xml:space="preserve"> 公司现有环境管理机构设置情况示意图</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安全环保部负责全公司的环境管理及环境统计工作，并接受当地环境保护管理部门的技术指导和业务监督；环保工作人员应由责任心强、熟悉企业生产工艺、有一定的化验经验和环保基础知识的人员担任，把环境管理落实到生产的每一个单元，严格监督管理，防患于未然。以随时掌握企业生产状况和各项环保设施的运行情况，同时也有利于环保措施和清洁生产措施的落实。</w:t>
      </w:r>
    </w:p>
    <w:p>
      <w:pPr>
        <w:pStyle w:val="4"/>
        <w:bidi w:val="0"/>
        <w:rPr>
          <w:rFonts w:hint="default"/>
          <w:color w:val="auto"/>
          <w:highlight w:val="none"/>
          <w:u w:val="none"/>
          <w:lang w:val="en-US" w:eastAsia="zh-CN"/>
        </w:rPr>
      </w:pPr>
      <w:bookmarkStart w:id="181" w:name="_Toc193113591"/>
      <w:bookmarkStart w:id="182" w:name="_Toc25851"/>
      <w:bookmarkStart w:id="183" w:name="_Toc13785"/>
      <w:bookmarkStart w:id="184" w:name="_Toc22523"/>
      <w:bookmarkStart w:id="185" w:name="_Toc7562"/>
      <w:bookmarkStart w:id="186" w:name="_Toc20358"/>
      <w:r>
        <w:rPr>
          <w:rFonts w:hint="default"/>
          <w:color w:val="auto"/>
          <w:highlight w:val="none"/>
          <w:u w:val="none"/>
          <w:lang w:val="en-US" w:eastAsia="zh-CN"/>
        </w:rPr>
        <w:t>环境管理机构的职能</w:t>
      </w:r>
      <w:bookmarkEnd w:id="181"/>
      <w:bookmarkEnd w:id="182"/>
      <w:bookmarkEnd w:id="183"/>
      <w:bookmarkEnd w:id="184"/>
      <w:bookmarkEnd w:id="185"/>
      <w:bookmarkEnd w:id="186"/>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本项目环境管理机构职责见</w:t>
      </w:r>
      <w:r>
        <w:rPr>
          <w:rFonts w:hint="default" w:ascii="Times New Roman" w:hAnsi="Times New Roman" w:eastAsia="宋体" w:cs="Times New Roman"/>
          <w:color w:val="auto"/>
          <w:sz w:val="24"/>
          <w:szCs w:val="24"/>
          <w:highlight w:val="none"/>
          <w:u w:val="none"/>
        </w:rPr>
        <w:fldChar w:fldCharType="begin"/>
      </w:r>
      <w:r>
        <w:rPr>
          <w:rFonts w:hint="default" w:ascii="Times New Roman" w:hAnsi="Times New Roman" w:eastAsia="宋体" w:cs="Times New Roman"/>
          <w:color w:val="auto"/>
          <w:sz w:val="24"/>
          <w:szCs w:val="24"/>
          <w:highlight w:val="none"/>
          <w:u w:val="none"/>
        </w:rPr>
        <w:instrText xml:space="preserve"> REF _Ref23361 \h </w:instrText>
      </w:r>
      <w:r>
        <w:rPr>
          <w:rFonts w:hint="default" w:ascii="Times New Roman" w:hAnsi="Times New Roman" w:eastAsia="宋体" w:cs="Times New Roman"/>
          <w:color w:val="auto"/>
          <w:sz w:val="24"/>
          <w:szCs w:val="24"/>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10.1</w:t>
      </w:r>
      <w:r>
        <w:rPr>
          <w:color w:val="auto"/>
          <w:highlight w:val="none"/>
          <w:u w:val="none"/>
        </w:rPr>
        <w:fldChar w:fldCharType="end"/>
      </w:r>
      <w:r>
        <w:rPr>
          <w:rFonts w:hint="eastAsia"/>
          <w:color w:val="auto"/>
          <w:highlight w:val="none"/>
          <w:u w:val="none"/>
          <w:lang w:eastAsia="zh-CN"/>
        </w:rPr>
        <w:t>-</w:t>
      </w:r>
      <w:r>
        <w:rPr>
          <w:color w:val="auto"/>
          <w:highlight w:val="none"/>
          <w:u w:val="none"/>
        </w:rPr>
        <w:t>1</w:t>
      </w:r>
      <w:r>
        <w:rPr>
          <w:rFonts w:hint="default" w:ascii="Times New Roman" w:hAnsi="Times New Roman" w:eastAsia="宋体" w:cs="Times New Roman"/>
          <w:color w:val="auto"/>
          <w:sz w:val="24"/>
          <w:szCs w:val="24"/>
          <w:highlight w:val="none"/>
          <w:u w:val="none"/>
        </w:rPr>
        <w:fldChar w:fldCharType="end"/>
      </w:r>
      <w:r>
        <w:rPr>
          <w:rFonts w:hint="default" w:ascii="Times New Roman" w:hAnsi="Times New Roman" w:eastAsia="宋体" w:cs="Times New Roman"/>
          <w:color w:val="auto"/>
          <w:sz w:val="24"/>
          <w:szCs w:val="24"/>
          <w:highlight w:val="none"/>
          <w:u w:val="none"/>
        </w:rPr>
        <w:t>。</w:t>
      </w:r>
    </w:p>
    <w:p>
      <w:pPr>
        <w:pStyle w:val="9"/>
        <w:bidi w:val="0"/>
        <w:rPr>
          <w:rFonts w:hint="default" w:ascii="Times New Roman" w:hAnsi="Times New Roman" w:eastAsia="宋体" w:cs="Times New Roman"/>
          <w:b/>
          <w:bCs/>
          <w:color w:val="auto"/>
          <w:kern w:val="2"/>
          <w:sz w:val="24"/>
          <w:szCs w:val="24"/>
          <w:highlight w:val="none"/>
          <w:u w:val="none"/>
          <w:lang w:val="en-US" w:eastAsia="zh-CN" w:bidi="ar-SA"/>
        </w:rPr>
      </w:pPr>
      <w:bookmarkStart w:id="187" w:name="_Ref23361"/>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10.1</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bookmarkEnd w:id="187"/>
      <w:r>
        <w:rPr>
          <w:rFonts w:hint="default" w:ascii="Times New Roman" w:hAnsi="Times New Roman" w:eastAsia="宋体" w:cs="Times New Roman"/>
          <w:b/>
          <w:bCs/>
          <w:color w:val="auto"/>
          <w:kern w:val="2"/>
          <w:sz w:val="24"/>
          <w:szCs w:val="24"/>
          <w:highlight w:val="none"/>
          <w:u w:val="none"/>
          <w:lang w:val="en-US" w:eastAsia="zh-CN" w:bidi="ar-SA"/>
        </w:rPr>
        <w:t xml:space="preserve">  公司环境管理机构职责一览表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
      <w:tblGrid>
        <w:gridCol w:w="745"/>
        <w:gridCol w:w="7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c>
          <w:tcPr>
            <w:tcW w:w="744" w:type="dxa"/>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项目</w:t>
            </w:r>
          </w:p>
        </w:tc>
        <w:tc>
          <w:tcPr>
            <w:tcW w:w="7772" w:type="dxa"/>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管    理    职    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c>
          <w:tcPr>
            <w:tcW w:w="744" w:type="dxa"/>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施工期管理</w:t>
            </w:r>
          </w:p>
        </w:tc>
        <w:tc>
          <w:tcPr>
            <w:tcW w:w="7772" w:type="dxa"/>
            <w:noWrap w:val="0"/>
            <w:vAlign w:val="center"/>
          </w:tcPr>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本次</w:t>
            </w:r>
            <w:r>
              <w:rPr>
                <w:rFonts w:hint="eastAsia" w:eastAsia="宋体" w:cs="Times New Roman"/>
                <w:color w:val="auto"/>
                <w:kern w:val="2"/>
                <w:sz w:val="21"/>
                <w:szCs w:val="24"/>
                <w:highlight w:val="none"/>
                <w:u w:val="none"/>
                <w:lang w:val="en-US" w:eastAsia="zh-CN" w:bidi="ar-SA"/>
              </w:rPr>
              <w:t>改建</w:t>
            </w:r>
            <w:r>
              <w:rPr>
                <w:rFonts w:hint="default" w:ascii="Times New Roman" w:hAnsi="Times New Roman" w:eastAsia="宋体" w:cs="Times New Roman"/>
                <w:color w:val="auto"/>
                <w:kern w:val="2"/>
                <w:sz w:val="21"/>
                <w:szCs w:val="24"/>
                <w:highlight w:val="none"/>
                <w:u w:val="none"/>
                <w:lang w:val="en-US" w:eastAsia="zh-CN" w:bidi="ar-SA"/>
              </w:rPr>
              <w:t>工程依托现有工程已建厂房及生产线进行改造，不进行土建施工，只进行部分设备的改造安装</w:t>
            </w:r>
            <w:r>
              <w:rPr>
                <w:rFonts w:hint="eastAsia" w:eastAsia="宋体" w:cs="Times New Roman"/>
                <w:color w:val="auto"/>
                <w:kern w:val="2"/>
                <w:sz w:val="21"/>
                <w:szCs w:val="24"/>
                <w:highlight w:val="none"/>
                <w:u w:val="none"/>
                <w:lang w:val="en-US" w:eastAsia="zh-CN" w:bidi="ar-SA"/>
              </w:rPr>
              <w:t>，施工期环境影响微小，施工期环境管理机构主要职责包括：</w:t>
            </w:r>
          </w:p>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（1）</w:t>
            </w:r>
            <w:r>
              <w:rPr>
                <w:rFonts w:hint="default" w:ascii="Times New Roman" w:hAnsi="Times New Roman" w:eastAsia="宋体" w:cs="Times New Roman"/>
                <w:color w:val="auto"/>
                <w:kern w:val="2"/>
                <w:sz w:val="21"/>
                <w:szCs w:val="24"/>
                <w:highlight w:val="none"/>
                <w:u w:val="none"/>
                <w:lang w:val="en-US" w:eastAsia="zh-CN" w:bidi="ar-SA"/>
              </w:rPr>
              <w:t>认真执行环评提出的建设期污染治理措施；</w:t>
            </w:r>
          </w:p>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（2）</w:t>
            </w:r>
            <w:r>
              <w:rPr>
                <w:rFonts w:hint="default" w:ascii="Times New Roman" w:hAnsi="Times New Roman" w:eastAsia="宋体" w:cs="Times New Roman"/>
                <w:color w:val="auto"/>
                <w:kern w:val="2"/>
                <w:sz w:val="21"/>
                <w:szCs w:val="24"/>
                <w:highlight w:val="none"/>
                <w:u w:val="none"/>
                <w:lang w:val="en-US" w:eastAsia="zh-CN" w:bidi="ar-SA"/>
              </w:rPr>
              <w:t>按照环评提出的分区防渗</w:t>
            </w:r>
            <w:r>
              <w:rPr>
                <w:rFonts w:hint="eastAsia" w:eastAsia="宋体" w:cs="Times New Roman"/>
                <w:color w:val="auto"/>
                <w:kern w:val="2"/>
                <w:sz w:val="21"/>
                <w:szCs w:val="24"/>
                <w:highlight w:val="none"/>
                <w:u w:val="none"/>
                <w:lang w:val="en-US" w:eastAsia="zh-CN" w:bidi="ar-SA"/>
              </w:rPr>
              <w:t>要求</w:t>
            </w:r>
            <w:r>
              <w:rPr>
                <w:rFonts w:hint="default" w:ascii="Times New Roman" w:hAnsi="Times New Roman" w:eastAsia="宋体" w:cs="Times New Roman"/>
                <w:color w:val="auto"/>
                <w:kern w:val="2"/>
                <w:sz w:val="21"/>
                <w:szCs w:val="24"/>
                <w:highlight w:val="none"/>
                <w:u w:val="none"/>
                <w:lang w:val="en-US" w:eastAsia="zh-CN" w:bidi="ar-SA"/>
              </w:rPr>
              <w:t>，落实各个分区的防渗要求，并留存影像资料，以便于后期验收检查；</w:t>
            </w:r>
          </w:p>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（3）</w:t>
            </w:r>
            <w:r>
              <w:rPr>
                <w:rFonts w:hint="default" w:ascii="Times New Roman" w:hAnsi="Times New Roman" w:eastAsia="宋体" w:cs="Times New Roman"/>
                <w:color w:val="auto"/>
                <w:kern w:val="2"/>
                <w:sz w:val="21"/>
                <w:szCs w:val="24"/>
                <w:highlight w:val="none"/>
                <w:u w:val="none"/>
                <w:lang w:val="en-US" w:eastAsia="zh-CN" w:bidi="ar-SA"/>
              </w:rPr>
              <w:t>要特别监督、检查配套工程、环境保护治理设施和装置是否按计划与主体工程同时施工，质量是否达到设计要求，以保证主体工程建成后，环境保护措施能及时发挥环境效益；</w:t>
            </w:r>
          </w:p>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（4）</w:t>
            </w:r>
            <w:r>
              <w:rPr>
                <w:rFonts w:hint="default" w:ascii="Times New Roman" w:hAnsi="Times New Roman" w:eastAsia="宋体" w:cs="Times New Roman"/>
                <w:color w:val="auto"/>
                <w:kern w:val="2"/>
                <w:sz w:val="21"/>
                <w:szCs w:val="24"/>
                <w:highlight w:val="none"/>
                <w:u w:val="none"/>
                <w:lang w:val="en-US" w:eastAsia="zh-CN" w:bidi="ar-SA"/>
              </w:rPr>
              <w:t>在工程投入运行前，检查施工现场恢复情况，未恢复的及时恢复。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c>
          <w:tcPr>
            <w:tcW w:w="744" w:type="dxa"/>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竣工验收管理</w:t>
            </w:r>
          </w:p>
        </w:tc>
        <w:tc>
          <w:tcPr>
            <w:tcW w:w="7772" w:type="dxa"/>
            <w:noWrap w:val="0"/>
            <w:vAlign w:val="center"/>
          </w:tcPr>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项目竣工后，建设单位应当按照国务院环境保护行政主管部门规定的标准和程序，对配套建设的环境保护设施进行验收，编制验收报告</w:t>
            </w:r>
          </w:p>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项目配套建设的环境保护设施经验收合格，方可投入生产或者使用；未经验收或者验收不合格的，不得投入生产或者使用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c>
          <w:tcPr>
            <w:tcW w:w="744" w:type="dxa"/>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运行期管理</w:t>
            </w:r>
          </w:p>
        </w:tc>
        <w:tc>
          <w:tcPr>
            <w:tcW w:w="7772" w:type="dxa"/>
            <w:noWrap w:val="0"/>
            <w:vAlign w:val="center"/>
          </w:tcPr>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认真贯彻执行国家、省、及行业部门制定的环保法规和各项规章制度及具体要求；</w:t>
            </w:r>
          </w:p>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制定本企业切实可行的环境保护管理制度并监督执行，编制环保规划，并按计划实施、落实环保要求；</w:t>
            </w:r>
          </w:p>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制定并负责实施环保设备的运行管理计划、操作规程；</w:t>
            </w:r>
          </w:p>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对环保设施的运行情况进行监控，负责环保设施及设备的常规维护，确保其正常、高效运转，及时解决其运行中出现的问题，制定事故风险应急预案；</w:t>
            </w:r>
          </w:p>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领导本厂监测站完成本厂污染源的监控，并对监测工作进行监督，保证监测工作的确实开展以及监测数据的真实有效；积极配合有关部门的审查工作；</w:t>
            </w:r>
          </w:p>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监督、管理本厂环境监测站的日常监测工作，负责环境监测资料管理；</w:t>
            </w:r>
          </w:p>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负责环保排污管理、审定工作，处理全厂的环境污染事故，随时做好应急准备，对已发生的事故应及时处理并上报有关部门；</w:t>
            </w:r>
          </w:p>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研究开发污染治理和综合利用技术，收集、推广和应用先进的环境保护经验和技术；</w:t>
            </w:r>
          </w:p>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加强企业职工的清洁生产教育和培训，提高企业推行清洁生产的自觉性，对生产实施全过程清洁生产和环境管理；</w:t>
            </w:r>
          </w:p>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负责向周围群众宣传本企业的环保工作，接受群众监督；</w:t>
            </w:r>
          </w:p>
        </w:tc>
      </w:tr>
    </w:tbl>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rPr>
        <w:t>根据项目特点，公司拟制定一系列行之有效的环境保护管理规章制度，并编制《突发环境事件应急预案》、建立环境监测报表、台账等。评价建议每年制定环境保护资金计划，拨付足额的资金，确保全厂各项环境保护设施和措施的建设、运行及维护能稳定运行。</w:t>
      </w:r>
    </w:p>
    <w:p>
      <w:pPr>
        <w:pStyle w:val="4"/>
        <w:bidi w:val="0"/>
        <w:rPr>
          <w:rFonts w:hint="default"/>
          <w:color w:val="auto"/>
          <w:highlight w:val="none"/>
          <w:u w:val="none"/>
          <w:lang w:val="en-US" w:eastAsia="zh-CN"/>
        </w:rPr>
      </w:pPr>
      <w:bookmarkStart w:id="188" w:name="_Toc5014"/>
      <w:bookmarkStart w:id="189" w:name="_Toc394944504"/>
      <w:bookmarkStart w:id="190" w:name="_Toc393394505"/>
      <w:bookmarkStart w:id="191" w:name="_Toc366185702"/>
      <w:bookmarkStart w:id="192" w:name="_Toc387151397"/>
      <w:r>
        <w:rPr>
          <w:rFonts w:hint="default"/>
          <w:color w:val="auto"/>
          <w:highlight w:val="none"/>
          <w:u w:val="none"/>
          <w:lang w:val="en-US" w:eastAsia="zh-CN"/>
        </w:rPr>
        <w:t>污染物排放清单及排放管理要求</w:t>
      </w:r>
      <w:bookmarkEnd w:id="188"/>
    </w:p>
    <w:p>
      <w:pPr>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eastAsia" w:eastAsia="宋体" w:cs="Times New Roman"/>
          <w:color w:val="auto"/>
          <w:sz w:val="24"/>
          <w:szCs w:val="24"/>
          <w:highlight w:val="none"/>
          <w:u w:val="none"/>
          <w:lang w:val="en-US" w:eastAsia="zh-CN"/>
        </w:rPr>
        <w:t>本次改建工程项目组成一览表见</w:t>
      </w:r>
      <w:r>
        <w:rPr>
          <w:rFonts w:hint="eastAsia" w:eastAsia="宋体" w:cs="Times New Roman"/>
          <w:color w:val="auto"/>
          <w:sz w:val="24"/>
          <w:szCs w:val="24"/>
          <w:highlight w:val="none"/>
          <w:u w:val="none"/>
          <w:lang w:val="en-US" w:eastAsia="zh-CN"/>
        </w:rPr>
        <w:fldChar w:fldCharType="begin"/>
      </w:r>
      <w:r>
        <w:rPr>
          <w:rFonts w:hint="eastAsia" w:eastAsia="宋体" w:cs="Times New Roman"/>
          <w:color w:val="auto"/>
          <w:sz w:val="24"/>
          <w:szCs w:val="24"/>
          <w:highlight w:val="none"/>
          <w:u w:val="none"/>
          <w:lang w:val="en-US" w:eastAsia="zh-CN"/>
        </w:rPr>
        <w:instrText xml:space="preserve"> REF _Ref23414 \h </w:instrText>
      </w:r>
      <w:r>
        <w:rPr>
          <w:rFonts w:hint="eastAsia" w:eastAsia="宋体" w:cs="Times New Roman"/>
          <w:color w:val="auto"/>
          <w:sz w:val="24"/>
          <w:szCs w:val="24"/>
          <w:highlight w:val="none"/>
          <w:u w:val="none"/>
          <w:lang w:val="en-US" w:eastAsia="zh-CN"/>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10.1</w:t>
      </w:r>
      <w:r>
        <w:rPr>
          <w:color w:val="auto"/>
          <w:highlight w:val="none"/>
          <w:u w:val="none"/>
        </w:rPr>
        <w:fldChar w:fldCharType="end"/>
      </w:r>
      <w:r>
        <w:rPr>
          <w:rFonts w:hint="eastAsia"/>
          <w:color w:val="auto"/>
          <w:highlight w:val="none"/>
          <w:u w:val="none"/>
          <w:lang w:eastAsia="zh-CN"/>
        </w:rPr>
        <w:t>-</w:t>
      </w:r>
      <w:r>
        <w:rPr>
          <w:color w:val="auto"/>
          <w:highlight w:val="none"/>
          <w:u w:val="none"/>
        </w:rPr>
        <w:t>2</w:t>
      </w:r>
      <w:r>
        <w:rPr>
          <w:rFonts w:hint="eastAsia" w:eastAsia="宋体" w:cs="Times New Roman"/>
          <w:color w:val="auto"/>
          <w:sz w:val="24"/>
          <w:szCs w:val="24"/>
          <w:highlight w:val="none"/>
          <w:u w:val="none"/>
          <w:lang w:val="en-US" w:eastAsia="zh-CN"/>
        </w:rPr>
        <w:fldChar w:fldCharType="end"/>
      </w:r>
      <w:r>
        <w:rPr>
          <w:rFonts w:hint="eastAsia" w:eastAsia="宋体"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原辅材料</w:t>
      </w:r>
      <w:r>
        <w:rPr>
          <w:rFonts w:hint="eastAsia" w:eastAsia="宋体" w:cs="Times New Roman"/>
          <w:color w:val="auto"/>
          <w:sz w:val="24"/>
          <w:szCs w:val="24"/>
          <w:highlight w:val="none"/>
          <w:u w:val="none"/>
          <w:lang w:val="en-US" w:eastAsia="zh-CN"/>
        </w:rPr>
        <w:t>及组分要求</w:t>
      </w:r>
      <w:r>
        <w:rPr>
          <w:rFonts w:hint="default" w:ascii="Times New Roman" w:hAnsi="Times New Roman" w:eastAsia="宋体" w:cs="Times New Roman"/>
          <w:color w:val="auto"/>
          <w:sz w:val="24"/>
          <w:szCs w:val="24"/>
          <w:highlight w:val="none"/>
          <w:u w:val="none"/>
        </w:rPr>
        <w:t>见</w:t>
      </w:r>
      <w:r>
        <w:rPr>
          <w:rFonts w:hint="default" w:ascii="Times New Roman" w:hAnsi="Times New Roman" w:eastAsia="宋体" w:cs="Times New Roman"/>
          <w:color w:val="auto"/>
          <w:sz w:val="24"/>
          <w:szCs w:val="24"/>
          <w:highlight w:val="none"/>
          <w:u w:val="none"/>
        </w:rPr>
        <w:fldChar w:fldCharType="begin"/>
      </w:r>
      <w:r>
        <w:rPr>
          <w:rFonts w:hint="default" w:ascii="Times New Roman" w:hAnsi="Times New Roman" w:eastAsia="宋体" w:cs="Times New Roman"/>
          <w:color w:val="auto"/>
          <w:sz w:val="24"/>
          <w:szCs w:val="24"/>
          <w:highlight w:val="none"/>
          <w:u w:val="none"/>
        </w:rPr>
        <w:instrText xml:space="preserve"> REF _Ref23528 \h </w:instrText>
      </w:r>
      <w:r>
        <w:rPr>
          <w:rFonts w:hint="default" w:ascii="Times New Roman" w:hAnsi="Times New Roman" w:eastAsia="宋体" w:cs="Times New Roman"/>
          <w:color w:val="auto"/>
          <w:sz w:val="24"/>
          <w:szCs w:val="24"/>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10.1</w:t>
      </w:r>
      <w:r>
        <w:rPr>
          <w:color w:val="auto"/>
          <w:highlight w:val="none"/>
          <w:u w:val="none"/>
        </w:rPr>
        <w:fldChar w:fldCharType="end"/>
      </w:r>
      <w:r>
        <w:rPr>
          <w:rFonts w:hint="eastAsia"/>
          <w:color w:val="auto"/>
          <w:highlight w:val="none"/>
          <w:u w:val="none"/>
          <w:lang w:eastAsia="zh-CN"/>
        </w:rPr>
        <w:t>-</w:t>
      </w:r>
      <w:r>
        <w:rPr>
          <w:color w:val="auto"/>
          <w:highlight w:val="none"/>
          <w:u w:val="none"/>
        </w:rPr>
        <w:t>3</w:t>
      </w:r>
      <w:r>
        <w:rPr>
          <w:rFonts w:hint="default" w:ascii="Times New Roman" w:hAnsi="Times New Roman" w:eastAsia="宋体" w:cs="Times New Roman"/>
          <w:color w:val="auto"/>
          <w:sz w:val="24"/>
          <w:szCs w:val="24"/>
          <w:highlight w:val="none"/>
          <w:u w:val="none"/>
        </w:rPr>
        <w:fldChar w:fldCharType="end"/>
      </w:r>
      <w:r>
        <w:rPr>
          <w:rFonts w:hint="default" w:ascii="Times New Roman" w:hAnsi="Times New Roman" w:eastAsia="宋体" w:cs="Times New Roman"/>
          <w:color w:val="auto"/>
          <w:sz w:val="24"/>
          <w:szCs w:val="24"/>
          <w:highlight w:val="none"/>
          <w:u w:val="none"/>
        </w:rPr>
        <w:t>，污染源排放清单见</w:t>
      </w:r>
      <w:r>
        <w:rPr>
          <w:rFonts w:hint="default" w:ascii="Times New Roman" w:hAnsi="Times New Roman" w:eastAsia="宋体" w:cs="Times New Roman"/>
          <w:color w:val="auto"/>
          <w:sz w:val="24"/>
          <w:szCs w:val="24"/>
          <w:highlight w:val="none"/>
          <w:u w:val="none"/>
        </w:rPr>
        <w:fldChar w:fldCharType="begin"/>
      </w:r>
      <w:r>
        <w:rPr>
          <w:rFonts w:hint="default" w:ascii="Times New Roman" w:hAnsi="Times New Roman" w:eastAsia="宋体" w:cs="Times New Roman"/>
          <w:color w:val="auto"/>
          <w:sz w:val="24"/>
          <w:szCs w:val="24"/>
          <w:highlight w:val="none"/>
          <w:u w:val="none"/>
        </w:rPr>
        <w:instrText xml:space="preserve"> REF _Ref23570 \h </w:instrText>
      </w:r>
      <w:r>
        <w:rPr>
          <w:rFonts w:hint="default" w:ascii="Times New Roman" w:hAnsi="Times New Roman" w:eastAsia="宋体" w:cs="Times New Roman"/>
          <w:color w:val="auto"/>
          <w:sz w:val="24"/>
          <w:szCs w:val="24"/>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10.1</w:t>
      </w:r>
      <w:r>
        <w:rPr>
          <w:color w:val="auto"/>
          <w:highlight w:val="none"/>
          <w:u w:val="none"/>
        </w:rPr>
        <w:fldChar w:fldCharType="end"/>
      </w:r>
      <w:r>
        <w:rPr>
          <w:rFonts w:hint="eastAsia"/>
          <w:color w:val="auto"/>
          <w:highlight w:val="none"/>
          <w:u w:val="none"/>
          <w:lang w:eastAsia="zh-CN"/>
        </w:rPr>
        <w:t>-</w:t>
      </w:r>
      <w:r>
        <w:rPr>
          <w:color w:val="auto"/>
          <w:highlight w:val="none"/>
          <w:u w:val="none"/>
        </w:rPr>
        <w:t>4</w:t>
      </w:r>
      <w:r>
        <w:rPr>
          <w:rFonts w:hint="default" w:ascii="Times New Roman" w:hAnsi="Times New Roman" w:eastAsia="宋体" w:cs="Times New Roman"/>
          <w:color w:val="auto"/>
          <w:sz w:val="24"/>
          <w:szCs w:val="24"/>
          <w:highlight w:val="none"/>
          <w:u w:val="none"/>
        </w:rPr>
        <w:fldChar w:fldCharType="end"/>
      </w:r>
      <w:r>
        <w:rPr>
          <w:rFonts w:hint="eastAsia" w:eastAsia="宋体" w:cs="Times New Roman"/>
          <w:color w:val="auto"/>
          <w:sz w:val="24"/>
          <w:szCs w:val="24"/>
          <w:highlight w:val="none"/>
          <w:u w:val="none"/>
          <w:lang w:eastAsia="zh-CN"/>
        </w:rPr>
        <w:t>、</w:t>
      </w:r>
      <w:r>
        <w:rPr>
          <w:rFonts w:hint="eastAsia" w:eastAsia="宋体" w:cs="Times New Roman"/>
          <w:color w:val="auto"/>
          <w:sz w:val="24"/>
          <w:szCs w:val="24"/>
          <w:highlight w:val="none"/>
          <w:u w:val="none"/>
          <w:lang w:eastAsia="zh-CN"/>
        </w:rPr>
        <w:fldChar w:fldCharType="begin"/>
      </w:r>
      <w:r>
        <w:rPr>
          <w:rFonts w:hint="eastAsia" w:eastAsia="宋体" w:cs="Times New Roman"/>
          <w:color w:val="auto"/>
          <w:sz w:val="24"/>
          <w:szCs w:val="24"/>
          <w:highlight w:val="none"/>
          <w:u w:val="none"/>
          <w:lang w:eastAsia="zh-CN"/>
        </w:rPr>
        <w:instrText xml:space="preserve"> REF _Ref23587 \h </w:instrText>
      </w:r>
      <w:r>
        <w:rPr>
          <w:rFonts w:hint="eastAsia" w:eastAsia="宋体" w:cs="Times New Roman"/>
          <w:color w:val="auto"/>
          <w:sz w:val="24"/>
          <w:szCs w:val="24"/>
          <w:highlight w:val="none"/>
          <w:u w:val="none"/>
          <w:lang w:eastAsia="zh-CN"/>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10.1</w:t>
      </w:r>
      <w:r>
        <w:rPr>
          <w:color w:val="auto"/>
          <w:highlight w:val="none"/>
          <w:u w:val="none"/>
        </w:rPr>
        <w:fldChar w:fldCharType="end"/>
      </w:r>
      <w:r>
        <w:rPr>
          <w:rFonts w:hint="eastAsia"/>
          <w:color w:val="auto"/>
          <w:highlight w:val="none"/>
          <w:u w:val="none"/>
          <w:lang w:eastAsia="zh-CN"/>
        </w:rPr>
        <w:t>-</w:t>
      </w:r>
      <w:r>
        <w:rPr>
          <w:color w:val="auto"/>
          <w:highlight w:val="none"/>
          <w:u w:val="none"/>
        </w:rPr>
        <w:t>5</w:t>
      </w:r>
      <w:r>
        <w:rPr>
          <w:rFonts w:hint="eastAsia" w:eastAsia="宋体" w:cs="Times New Roman"/>
          <w:color w:val="auto"/>
          <w:sz w:val="24"/>
          <w:szCs w:val="24"/>
          <w:highlight w:val="none"/>
          <w:u w:val="none"/>
          <w:lang w:eastAsia="zh-CN"/>
        </w:rPr>
        <w:fldChar w:fldCharType="end"/>
      </w:r>
      <w:r>
        <w:rPr>
          <w:rFonts w:hint="default" w:ascii="Times New Roman" w:hAnsi="Times New Roman" w:eastAsia="宋体" w:cs="Times New Roman"/>
          <w:color w:val="auto"/>
          <w:sz w:val="24"/>
          <w:szCs w:val="24"/>
          <w:highlight w:val="none"/>
          <w:u w:val="none"/>
        </w:rPr>
        <w:t>。</w:t>
      </w:r>
    </w:p>
    <w:p>
      <w:pPr>
        <w:pStyle w:val="9"/>
        <w:bidi w:val="0"/>
        <w:rPr>
          <w:rFonts w:hint="default" w:ascii="Times New Roman" w:hAnsi="Times New Roman" w:eastAsia="宋体" w:cs="Times New Roman"/>
          <w:b/>
          <w:bCs/>
          <w:color w:val="auto"/>
          <w:kern w:val="2"/>
          <w:sz w:val="24"/>
          <w:szCs w:val="28"/>
          <w:highlight w:val="none"/>
          <w:u w:val="none"/>
          <w:lang w:val="en-US" w:eastAsia="zh-CN" w:bidi="ar-SA"/>
        </w:rPr>
      </w:pPr>
      <w:bookmarkStart w:id="193" w:name="_Ref23414"/>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10.1</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2</w:t>
      </w:r>
      <w:r>
        <w:rPr>
          <w:color w:val="auto"/>
          <w:highlight w:val="none"/>
          <w:u w:val="none"/>
        </w:rPr>
        <w:fldChar w:fldCharType="end"/>
      </w:r>
      <w:bookmarkEnd w:id="193"/>
      <w:r>
        <w:rPr>
          <w:rFonts w:hint="default" w:ascii="Times New Roman" w:hAnsi="Times New Roman" w:eastAsia="宋体" w:cs="Times New Roman"/>
          <w:b/>
          <w:bCs/>
          <w:color w:val="auto"/>
          <w:kern w:val="2"/>
          <w:sz w:val="24"/>
          <w:szCs w:val="28"/>
          <w:highlight w:val="none"/>
          <w:u w:val="none"/>
          <w:lang w:val="en-US" w:eastAsia="zh-CN" w:bidi="ar-SA"/>
        </w:rPr>
        <w:t xml:space="preserve">  项目建设内容一览表</w:t>
      </w:r>
    </w:p>
    <w:tbl>
      <w:tblPr>
        <w:tblStyle w:val="16"/>
        <w:tblW w:w="49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0"/>
        <w:gridCol w:w="395"/>
        <w:gridCol w:w="1099"/>
        <w:gridCol w:w="3670"/>
        <w:gridCol w:w="1236"/>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序号</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名称</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建设内容</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0" w:type="pct"/>
            <w:gridSpan w:val="6"/>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4"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1</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坎地沙坦酯</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利用现有空置的9车间，</w:t>
            </w:r>
            <w:r>
              <w:rPr>
                <w:rFonts w:hint="eastAsia" w:ascii="Times New Roman" w:hAnsi="Times New Roman" w:eastAsia="宋体" w:cs="Times New Roman"/>
                <w:color w:val="auto"/>
                <w:sz w:val="21"/>
                <w:szCs w:val="21"/>
                <w:highlight w:val="none"/>
                <w:u w:val="none"/>
                <w:lang w:val="en-US" w:eastAsia="zh-CN"/>
              </w:rPr>
              <w:t>建设</w:t>
            </w:r>
            <w:r>
              <w:rPr>
                <w:rFonts w:hint="default" w:ascii="Times New Roman" w:hAnsi="Times New Roman" w:eastAsia="Times New Roman" w:cs="Times New Roman"/>
                <w:color w:val="auto"/>
                <w:sz w:val="21"/>
                <w:szCs w:val="21"/>
                <w:highlight w:val="none"/>
                <w:u w:val="none"/>
              </w:rPr>
              <w:t>年产70t/a坎地沙坦酯生产线</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依托现有空置车间、新建生产线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2</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奥美沙坦酯</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利用1车间已停产的氨基酮生产设施，改造后用于奥美沙坦酯生产线</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利用现有车间及生产设施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3</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马来酸依那普利生产线</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利用2车间2F</w:t>
            </w:r>
            <w:r>
              <w:rPr>
                <w:rFonts w:hint="eastAsia" w:ascii="Times New Roman" w:hAnsi="Times New Roman" w:eastAsia="宋体" w:cs="Times New Roman"/>
                <w:color w:val="auto"/>
                <w:sz w:val="21"/>
                <w:szCs w:val="21"/>
                <w:highlight w:val="none"/>
                <w:u w:val="none"/>
                <w:lang w:eastAsia="zh-CN"/>
              </w:rPr>
              <w:t>精制</w:t>
            </w:r>
            <w:r>
              <w:rPr>
                <w:rFonts w:hint="default" w:ascii="Times New Roman" w:hAnsi="Times New Roman" w:eastAsia="Times New Roman" w:cs="Times New Roman"/>
                <w:color w:val="auto"/>
                <w:sz w:val="21"/>
                <w:szCs w:val="21"/>
                <w:highlight w:val="none"/>
                <w:u w:val="none"/>
              </w:rPr>
              <w:t>间的生产设施，改造后用于30t/a马来酸依那普利生产线</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利用现有车间及生产设施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4</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阿奇沙坦酯</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利用现有空置的9车间，</w:t>
            </w:r>
            <w:r>
              <w:rPr>
                <w:rFonts w:hint="eastAsia" w:ascii="Times New Roman" w:hAnsi="Times New Roman" w:eastAsia="宋体" w:cs="Times New Roman"/>
                <w:color w:val="auto"/>
                <w:sz w:val="21"/>
                <w:szCs w:val="21"/>
                <w:highlight w:val="none"/>
                <w:u w:val="none"/>
                <w:lang w:val="en-US" w:eastAsia="zh-CN"/>
              </w:rPr>
              <w:t>建设</w:t>
            </w:r>
            <w:r>
              <w:rPr>
                <w:rFonts w:hint="default" w:ascii="Times New Roman" w:hAnsi="Times New Roman" w:eastAsia="Times New Roman" w:cs="Times New Roman"/>
                <w:color w:val="auto"/>
                <w:sz w:val="21"/>
                <w:szCs w:val="21"/>
                <w:highlight w:val="none"/>
                <w:u w:val="none"/>
              </w:rPr>
              <w:t>80t/a阿奇沙坦酯生产线</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依托现有空置车间、新建生产线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5</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洛索洛芬钠</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利用现有空置的10车间，</w:t>
            </w:r>
            <w:r>
              <w:rPr>
                <w:rFonts w:hint="eastAsia" w:ascii="Times New Roman" w:hAnsi="Times New Roman" w:eastAsia="宋体" w:cs="Times New Roman"/>
                <w:color w:val="auto"/>
                <w:sz w:val="21"/>
                <w:szCs w:val="21"/>
                <w:highlight w:val="none"/>
                <w:u w:val="none"/>
                <w:lang w:val="en-US" w:eastAsia="zh-CN"/>
              </w:rPr>
              <w:t>建设</w:t>
            </w:r>
            <w:r>
              <w:rPr>
                <w:rFonts w:hint="default" w:ascii="Times New Roman" w:hAnsi="Times New Roman" w:eastAsia="Times New Roman" w:cs="Times New Roman"/>
                <w:color w:val="auto"/>
                <w:sz w:val="21"/>
                <w:szCs w:val="21"/>
                <w:highlight w:val="none"/>
                <w:u w:val="none"/>
              </w:rPr>
              <w:t>4</w:t>
            </w:r>
            <w:r>
              <w:rPr>
                <w:rFonts w:hint="eastAsia" w:ascii="Times New Roman" w:hAnsi="Times New Roman" w:eastAsia="宋体" w:cs="Times New Roman"/>
                <w:color w:val="auto"/>
                <w:sz w:val="21"/>
                <w:szCs w:val="21"/>
                <w:highlight w:val="none"/>
                <w:u w:val="none"/>
                <w:lang w:val="en-US" w:eastAsia="zh-CN"/>
              </w:rPr>
              <w:t>2</w:t>
            </w:r>
            <w:r>
              <w:rPr>
                <w:rFonts w:hint="default" w:ascii="Times New Roman" w:hAnsi="Times New Roman" w:eastAsia="Times New Roman" w:cs="Times New Roman"/>
                <w:color w:val="auto"/>
                <w:sz w:val="21"/>
                <w:szCs w:val="21"/>
                <w:highlight w:val="none"/>
                <w:u w:val="none"/>
              </w:rPr>
              <w:t>0t/a洛索洛芬钠生产线</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依托现有空置车间、新建生产线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6</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替米沙坦</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利用现有3车间、5车间、7车间，经改造后用于700t/a替米沙坦生产线</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利用现有车间及生产设施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7</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包装线</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依托现有工程2车间包装车间进行产品包装（对现有工程包装车间进行改造，在现有1台双锥回转真</w:t>
            </w:r>
          </w:p>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空干燥机的基础上新增3台，整体负压抽风并导入袋式除尘器处理后由15m高排气筒排放）</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现有设施改造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0" w:type="pct"/>
            <w:gridSpan w:val="6"/>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辅助工程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1</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循环水冷却水系统</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现有工程建有</w:t>
            </w:r>
            <w:r>
              <w:rPr>
                <w:rFonts w:hint="eastAsia" w:ascii="Times New Roman" w:hAnsi="Times New Roman" w:eastAsia="宋体" w:cs="Times New Roman"/>
                <w:color w:val="auto"/>
                <w:sz w:val="21"/>
                <w:szCs w:val="21"/>
                <w:highlight w:val="none"/>
                <w:u w:val="none"/>
                <w:lang w:eastAsia="zh-CN"/>
              </w:rPr>
              <w:t>八座</w:t>
            </w:r>
            <w:r>
              <w:rPr>
                <w:rFonts w:hint="default" w:ascii="Times New Roman" w:hAnsi="Times New Roman" w:eastAsia="宋体" w:cs="Times New Roman"/>
                <w:color w:val="auto"/>
                <w:sz w:val="21"/>
                <w:szCs w:val="21"/>
                <w:highlight w:val="none"/>
                <w:u w:val="none"/>
              </w:rPr>
              <w:t>冷却水塔，</w:t>
            </w:r>
            <w:r>
              <w:rPr>
                <w:rFonts w:hint="eastAsia" w:ascii="Times New Roman" w:hAnsi="Times New Roman" w:eastAsia="宋体" w:cs="Times New Roman"/>
                <w:color w:val="auto"/>
                <w:sz w:val="21"/>
                <w:szCs w:val="21"/>
                <w:highlight w:val="none"/>
                <w:u w:val="none"/>
                <w:lang w:val="en-US" w:eastAsia="zh-CN"/>
              </w:rPr>
              <w:t>其中</w:t>
            </w:r>
            <w:r>
              <w:rPr>
                <w:rFonts w:hint="default" w:ascii="Times New Roman" w:hAnsi="Times New Roman" w:eastAsia="宋体" w:cs="Times New Roman"/>
                <w:color w:val="auto"/>
                <w:sz w:val="21"/>
                <w:szCs w:val="21"/>
                <w:highlight w:val="none"/>
                <w:u w:val="none"/>
              </w:rPr>
              <w:t>冷盐水车间</w:t>
            </w:r>
            <w:r>
              <w:rPr>
                <w:rFonts w:hint="eastAsia" w:ascii="Times New Roman" w:hAnsi="Times New Roman" w:eastAsia="宋体" w:cs="Times New Roman"/>
                <w:color w:val="auto"/>
                <w:sz w:val="21"/>
                <w:szCs w:val="21"/>
                <w:highlight w:val="none"/>
                <w:u w:val="none"/>
                <w:lang w:val="en-US" w:eastAsia="zh-CN"/>
              </w:rPr>
              <w:t>3座</w:t>
            </w:r>
            <w:r>
              <w:rPr>
                <w:rFonts w:hint="default" w:ascii="Times New Roman" w:hAnsi="Times New Roman" w:eastAsia="宋体" w:cs="Times New Roman"/>
                <w:color w:val="auto"/>
                <w:sz w:val="21"/>
                <w:szCs w:val="21"/>
                <w:highlight w:val="none"/>
                <w:u w:val="none"/>
              </w:rPr>
              <w:t>（单</w:t>
            </w:r>
            <w:r>
              <w:rPr>
                <w:rFonts w:hint="eastAsia" w:ascii="Times New Roman" w:hAnsi="Times New Roman" w:eastAsia="宋体" w:cs="Times New Roman"/>
                <w:color w:val="auto"/>
                <w:sz w:val="21"/>
                <w:szCs w:val="21"/>
                <w:highlight w:val="none"/>
                <w:u w:val="none"/>
                <w:lang w:val="en-US" w:eastAsia="zh-CN"/>
              </w:rPr>
              <w:t>座4</w:t>
            </w:r>
            <w:r>
              <w:rPr>
                <w:rFonts w:hint="default" w:ascii="Times New Roman" w:hAnsi="Times New Roman" w:eastAsia="宋体" w:cs="Times New Roman"/>
                <w:color w:val="auto"/>
                <w:sz w:val="21"/>
                <w:szCs w:val="21"/>
                <w:highlight w:val="none"/>
                <w:u w:val="none"/>
              </w:rPr>
              <w:t>00m³/h）、生产区</w:t>
            </w:r>
            <w:r>
              <w:rPr>
                <w:rFonts w:hint="eastAsia" w:ascii="Times New Roman" w:hAnsi="Times New Roman" w:eastAsia="宋体" w:cs="Times New Roman"/>
                <w:color w:val="auto"/>
                <w:sz w:val="21"/>
                <w:szCs w:val="21"/>
                <w:highlight w:val="none"/>
                <w:u w:val="none"/>
                <w:lang w:val="en-US" w:eastAsia="zh-CN"/>
              </w:rPr>
              <w:t>4座</w:t>
            </w:r>
            <w:r>
              <w:rPr>
                <w:rFonts w:hint="default" w:ascii="Times New Roman" w:hAnsi="Times New Roman" w:eastAsia="宋体" w:cs="Times New Roman"/>
                <w:color w:val="auto"/>
                <w:sz w:val="21"/>
                <w:szCs w:val="21"/>
                <w:highlight w:val="none"/>
                <w:u w:val="none"/>
              </w:rPr>
              <w:t>（单</w:t>
            </w:r>
            <w:r>
              <w:rPr>
                <w:rFonts w:hint="eastAsia" w:ascii="Times New Roman" w:hAnsi="Times New Roman" w:eastAsia="宋体" w:cs="Times New Roman"/>
                <w:color w:val="auto"/>
                <w:sz w:val="21"/>
                <w:szCs w:val="21"/>
                <w:highlight w:val="none"/>
                <w:u w:val="none"/>
                <w:lang w:val="en-US" w:eastAsia="zh-CN"/>
              </w:rPr>
              <w:t>座</w:t>
            </w:r>
            <w:r>
              <w:rPr>
                <w:rFonts w:hint="default" w:ascii="Times New Roman" w:hAnsi="Times New Roman" w:eastAsia="宋体" w:cs="Times New Roman"/>
                <w:color w:val="auto"/>
                <w:sz w:val="21"/>
                <w:szCs w:val="21"/>
                <w:highlight w:val="none"/>
                <w:u w:val="none"/>
              </w:rPr>
              <w:t>400 m</w:t>
            </w:r>
            <w:r>
              <w:rPr>
                <w:rFonts w:hint="default" w:ascii="Times New Roman" w:hAnsi="Times New Roman" w:eastAsia="宋体" w:cs="Times New Roman"/>
                <w:color w:val="auto"/>
                <w:sz w:val="21"/>
                <w:szCs w:val="21"/>
                <w:highlight w:val="none"/>
                <w:u w:val="none"/>
                <w:vertAlign w:val="superscript"/>
              </w:rPr>
              <w:t>3</w:t>
            </w:r>
            <w:r>
              <w:rPr>
                <w:rFonts w:hint="default" w:ascii="Times New Roman" w:hAnsi="Times New Roman" w:eastAsia="宋体" w:cs="Times New Roman"/>
                <w:color w:val="auto"/>
                <w:sz w:val="21"/>
                <w:szCs w:val="21"/>
                <w:highlight w:val="none"/>
                <w:u w:val="none"/>
              </w:rPr>
              <w:t>/h），精馏塔与危废焚烧炉1</w:t>
            </w:r>
            <w:r>
              <w:rPr>
                <w:rFonts w:hint="eastAsia" w:ascii="Times New Roman" w:hAnsi="Times New Roman" w:eastAsia="宋体" w:cs="Times New Roman"/>
                <w:color w:val="auto"/>
                <w:sz w:val="21"/>
                <w:szCs w:val="21"/>
                <w:highlight w:val="none"/>
                <w:u w:val="none"/>
                <w:lang w:val="en-US" w:eastAsia="zh-CN"/>
              </w:rPr>
              <w:t>座</w:t>
            </w:r>
            <w:r>
              <w:rPr>
                <w:rFonts w:hint="default" w:ascii="Times New Roman" w:hAnsi="Times New Roman" w:eastAsia="宋体"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val="en-US" w:eastAsia="zh-CN"/>
              </w:rPr>
              <w:t>6</w:t>
            </w:r>
            <w:r>
              <w:rPr>
                <w:rFonts w:hint="default" w:ascii="Times New Roman" w:hAnsi="Times New Roman" w:eastAsia="宋体" w:cs="Times New Roman"/>
                <w:color w:val="auto"/>
                <w:sz w:val="21"/>
                <w:szCs w:val="21"/>
                <w:highlight w:val="none"/>
                <w:u w:val="none"/>
              </w:rPr>
              <w:t>00 m</w:t>
            </w:r>
            <w:r>
              <w:rPr>
                <w:rFonts w:hint="default" w:ascii="Times New Roman" w:hAnsi="Times New Roman" w:eastAsia="宋体" w:cs="Times New Roman"/>
                <w:color w:val="auto"/>
                <w:sz w:val="21"/>
                <w:szCs w:val="21"/>
                <w:highlight w:val="none"/>
                <w:u w:val="none"/>
                <w:vertAlign w:val="superscript"/>
              </w:rPr>
              <w:t>3</w:t>
            </w:r>
            <w:r>
              <w:rPr>
                <w:rFonts w:hint="default" w:ascii="Times New Roman" w:hAnsi="Times New Roman" w:eastAsia="宋体" w:cs="Times New Roman"/>
                <w:color w:val="auto"/>
                <w:sz w:val="21"/>
                <w:szCs w:val="21"/>
                <w:highlight w:val="none"/>
                <w:u w:val="none"/>
              </w:rPr>
              <w:t>/h），最大循环水量3400 m</w:t>
            </w:r>
            <w:r>
              <w:rPr>
                <w:rFonts w:hint="default" w:ascii="Times New Roman" w:hAnsi="Times New Roman" w:eastAsia="宋体" w:cs="Times New Roman"/>
                <w:color w:val="auto"/>
                <w:sz w:val="21"/>
                <w:szCs w:val="21"/>
                <w:highlight w:val="none"/>
                <w:u w:val="none"/>
                <w:vertAlign w:val="superscript"/>
              </w:rPr>
              <w:t>3</w:t>
            </w:r>
            <w:r>
              <w:rPr>
                <w:rFonts w:hint="default" w:ascii="Times New Roman" w:hAnsi="Times New Roman" w:eastAsia="宋体" w:cs="Times New Roman"/>
                <w:color w:val="auto"/>
                <w:sz w:val="21"/>
                <w:szCs w:val="21"/>
                <w:highlight w:val="none"/>
                <w:u w:val="none"/>
              </w:rPr>
              <w:t>/h，现有工程循环水</w:t>
            </w:r>
            <w:r>
              <w:rPr>
                <w:rFonts w:hint="eastAsia" w:ascii="Times New Roman" w:hAnsi="Times New Roman" w:eastAsia="宋体" w:cs="Times New Roman"/>
                <w:color w:val="auto"/>
                <w:sz w:val="21"/>
                <w:szCs w:val="21"/>
                <w:highlight w:val="none"/>
                <w:u w:val="none"/>
                <w:lang w:val="en-US" w:eastAsia="zh-CN"/>
              </w:rPr>
              <w:t>用</w:t>
            </w:r>
            <w:r>
              <w:rPr>
                <w:rFonts w:hint="default" w:ascii="Times New Roman" w:hAnsi="Times New Roman" w:eastAsia="宋体" w:cs="Times New Roman"/>
                <w:color w:val="auto"/>
                <w:sz w:val="21"/>
                <w:szCs w:val="21"/>
                <w:highlight w:val="none"/>
                <w:u w:val="none"/>
              </w:rPr>
              <w:t>量800m</w:t>
            </w:r>
            <w:r>
              <w:rPr>
                <w:rFonts w:hint="default" w:ascii="Times New Roman" w:hAnsi="Times New Roman" w:eastAsia="宋体" w:cs="Times New Roman"/>
                <w:color w:val="auto"/>
                <w:sz w:val="21"/>
                <w:szCs w:val="21"/>
                <w:highlight w:val="none"/>
                <w:u w:val="none"/>
                <w:vertAlign w:val="superscript"/>
              </w:rPr>
              <w:t>3</w:t>
            </w:r>
            <w:r>
              <w:rPr>
                <w:rFonts w:hint="default" w:ascii="Times New Roman" w:hAnsi="Times New Roman" w:eastAsia="宋体" w:cs="Times New Roman"/>
                <w:color w:val="auto"/>
                <w:sz w:val="21"/>
                <w:szCs w:val="21"/>
                <w:highlight w:val="none"/>
                <w:u w:val="none"/>
              </w:rPr>
              <w:t>/h</w:t>
            </w:r>
            <w:r>
              <w:rPr>
                <w:rFonts w:hint="default" w:ascii="Times New Roman" w:hAnsi="Times New Roman" w:eastAsia="Times New Roman"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eastAsia="zh-CN"/>
              </w:rPr>
              <w:t>改建工程</w:t>
            </w:r>
            <w:r>
              <w:rPr>
                <w:rFonts w:hint="default" w:ascii="Times New Roman" w:hAnsi="Times New Roman" w:eastAsia="Times New Roman" w:cs="Times New Roman"/>
                <w:color w:val="auto"/>
                <w:sz w:val="21"/>
                <w:szCs w:val="21"/>
                <w:highlight w:val="none"/>
                <w:u w:val="none"/>
              </w:rPr>
              <w:t>新增循环水量2500m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/h。</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2</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冷盐水</w:t>
            </w:r>
          </w:p>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系统</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现有工程盐水房建有2套冷盐水系统（制冷机2台）。其中一台出口温度-30℃（小盐水），盐水箱400m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，盐水循环量748m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/h；另一台出口温度-10℃，盐水箱110m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，盐水最大循环量1896m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/h，现有工程循环水量300m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/h，</w:t>
            </w:r>
            <w:r>
              <w:rPr>
                <w:rFonts w:hint="eastAsia" w:ascii="Times New Roman" w:hAnsi="Times New Roman" w:eastAsia="宋体" w:cs="Times New Roman"/>
                <w:color w:val="auto"/>
                <w:sz w:val="21"/>
                <w:szCs w:val="21"/>
                <w:highlight w:val="none"/>
                <w:u w:val="none"/>
                <w:lang w:eastAsia="zh-CN"/>
              </w:rPr>
              <w:t>改建</w:t>
            </w:r>
            <w:r>
              <w:rPr>
                <w:rFonts w:hint="default" w:ascii="Times New Roman" w:hAnsi="Times New Roman" w:eastAsia="Times New Roman" w:cs="Times New Roman"/>
                <w:color w:val="auto"/>
                <w:sz w:val="21"/>
                <w:szCs w:val="21"/>
                <w:highlight w:val="none"/>
                <w:u w:val="none"/>
              </w:rPr>
              <w:t>工程新增循环水量1200m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/h。</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3</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纯水制备系统</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新建一套纯水制备系统，纯水制备工艺为：石英砂吸附+活性炭吸附+反渗透，制水能力5m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/h</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5</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维修车间</w:t>
            </w:r>
          </w:p>
        </w:tc>
        <w:tc>
          <w:tcPr>
            <w:tcW w:w="2940" w:type="pct"/>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Times New Roman" w:cs="Times New Roman"/>
                <w:color w:val="auto"/>
                <w:sz w:val="21"/>
                <w:szCs w:val="21"/>
                <w:highlight w:val="none"/>
                <w:u w:val="none"/>
              </w:rPr>
              <w:t>用于设备的维修</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lang w:val="en-US" w:eastAsia="zh-CN"/>
              </w:rPr>
              <w:t>保养</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8" w:hRule="atLeast"/>
        </w:trPr>
        <w:tc>
          <w:tcPr>
            <w:tcW w:w="269" w:type="pct"/>
            <w:vMerge w:val="restar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6</w:t>
            </w:r>
          </w:p>
        </w:tc>
        <w:tc>
          <w:tcPr>
            <w:tcW w:w="895" w:type="pct"/>
            <w:gridSpan w:val="2"/>
            <w:vMerge w:val="restar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消防水池</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现有工程建有一座有效容积不小于850m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的消防水池（2车间东侧）</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6" w:hRule="atLeast"/>
        </w:trPr>
        <w:tc>
          <w:tcPr>
            <w:tcW w:w="269"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895" w:type="pct"/>
            <w:gridSpan w:val="2"/>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新增消防泵房及若干消防泵</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7</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精馏塔</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依托现有工程精馏塔进行溶剂的精馏回收，精馏塔处理能力40t/d，</w:t>
            </w:r>
            <w:r>
              <w:rPr>
                <w:rFonts w:hint="eastAsia" w:ascii="Times New Roman" w:hAnsi="Times New Roman" w:eastAsia="宋体" w:cs="Times New Roman"/>
                <w:color w:val="auto"/>
                <w:sz w:val="21"/>
                <w:szCs w:val="21"/>
                <w:highlight w:val="none"/>
                <w:u w:val="none"/>
                <w:lang w:eastAsia="zh-CN"/>
              </w:rPr>
              <w:t>改建</w:t>
            </w:r>
            <w:r>
              <w:rPr>
                <w:rFonts w:hint="default" w:ascii="Times New Roman" w:hAnsi="Times New Roman" w:eastAsia="Times New Roman" w:cs="Times New Roman"/>
                <w:color w:val="auto"/>
                <w:sz w:val="21"/>
                <w:szCs w:val="21"/>
                <w:highlight w:val="none"/>
                <w:u w:val="none"/>
              </w:rPr>
              <w:t>工程实施后溶剂回收总量24t/d</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58" w:hRule="atLeast"/>
        </w:trPr>
        <w:tc>
          <w:tcPr>
            <w:tcW w:w="269" w:type="pct"/>
            <w:vMerge w:val="restar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8</w:t>
            </w:r>
          </w:p>
        </w:tc>
        <w:tc>
          <w:tcPr>
            <w:tcW w:w="895" w:type="pct"/>
            <w:gridSpan w:val="2"/>
            <w:vMerge w:val="restar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制气</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现有工程制气房已设置3台空气压缩机（容积流量24m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/min型1台，容积流量13.1m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/min型1台，14.1 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/min型1台），出口压力均为0.8MPa，并设置三台冷冻式干燥装置及2台压缩空气储罐（单台容积3m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和1m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）。制气房还设置2台制氮机（120m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/h、0.8MPa），南侧现有1台氮气储罐（单台容积5m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eastAsia="zh-CN"/>
              </w:rPr>
              <w:t>改建</w:t>
            </w:r>
            <w:r>
              <w:rPr>
                <w:rFonts w:hint="default" w:ascii="Times New Roman" w:hAnsi="Times New Roman" w:eastAsia="Times New Roman" w:cs="Times New Roman"/>
                <w:color w:val="auto"/>
                <w:sz w:val="21"/>
                <w:szCs w:val="21"/>
                <w:highlight w:val="none"/>
                <w:u w:val="none"/>
              </w:rPr>
              <w:t>工程新增工艺氮气用量6.4万m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/a（现有设施制气能力95万m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/a，富余氮气55万m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/a。），厂区现有压缩空气、氮气设施可以满足DCS系统、生产用气需要。</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2" w:hRule="atLeast"/>
        </w:trPr>
        <w:tc>
          <w:tcPr>
            <w:tcW w:w="269"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895" w:type="pct"/>
            <w:gridSpan w:val="2"/>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eastAsia="zh-CN"/>
              </w:rPr>
              <w:t>改建</w:t>
            </w:r>
            <w:r>
              <w:rPr>
                <w:rFonts w:hint="default" w:ascii="Times New Roman" w:hAnsi="Times New Roman" w:eastAsia="Times New Roman" w:cs="Times New Roman"/>
                <w:color w:val="auto"/>
                <w:sz w:val="21"/>
                <w:szCs w:val="21"/>
                <w:highlight w:val="none"/>
                <w:u w:val="none"/>
              </w:rPr>
              <w:t>工程新增1个氮气储罐（单台容积20m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2"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9</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化验室</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占地面积200m</w:t>
            </w:r>
            <w:r>
              <w:rPr>
                <w:rFonts w:hint="default" w:ascii="Times New Roman" w:hAnsi="Times New Roman" w:eastAsia="Times New Roman" w:cs="Times New Roman"/>
                <w:color w:val="auto"/>
                <w:sz w:val="21"/>
                <w:szCs w:val="21"/>
                <w:highlight w:val="none"/>
                <w:u w:val="none"/>
                <w:vertAlign w:val="superscript"/>
              </w:rPr>
              <w:t>2</w:t>
            </w:r>
            <w:r>
              <w:rPr>
                <w:rFonts w:hint="default" w:ascii="Times New Roman" w:hAnsi="Times New Roman" w:eastAsia="Times New Roman" w:cs="Times New Roman"/>
                <w:color w:val="auto"/>
                <w:sz w:val="21"/>
                <w:szCs w:val="21"/>
                <w:highlight w:val="none"/>
                <w:u w:val="none"/>
              </w:rPr>
              <w:t>，砖混结构，</w:t>
            </w:r>
            <w:r>
              <w:rPr>
                <w:rFonts w:hint="eastAsia" w:ascii="Times New Roman" w:hAnsi="Times New Roman" w:eastAsia="宋体" w:cs="Times New Roman"/>
                <w:color w:val="auto"/>
                <w:sz w:val="21"/>
                <w:szCs w:val="21"/>
                <w:highlight w:val="none"/>
                <w:u w:val="none"/>
                <w:lang w:eastAsia="zh-CN"/>
              </w:rPr>
              <w:t>成品库</w:t>
            </w:r>
            <w:r>
              <w:rPr>
                <w:rFonts w:hint="default" w:ascii="Times New Roman" w:hAnsi="Times New Roman" w:eastAsia="Times New Roman" w:cs="Times New Roman"/>
                <w:color w:val="auto"/>
                <w:sz w:val="21"/>
                <w:szCs w:val="21"/>
                <w:highlight w:val="none"/>
                <w:u w:val="none"/>
              </w:rPr>
              <w:t>上方</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0" w:type="pct"/>
            <w:gridSpan w:val="6"/>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公用工程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1" w:hRule="atLeast"/>
        </w:trPr>
        <w:tc>
          <w:tcPr>
            <w:tcW w:w="269" w:type="pct"/>
            <w:vMerge w:val="restar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1</w:t>
            </w:r>
          </w:p>
        </w:tc>
        <w:tc>
          <w:tcPr>
            <w:tcW w:w="895" w:type="pct"/>
            <w:gridSpan w:val="2"/>
            <w:vMerge w:val="restar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供热</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依托园区集中供热</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依托园区供热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1" w:hRule="atLeast"/>
        </w:trPr>
        <w:tc>
          <w:tcPr>
            <w:tcW w:w="269"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895" w:type="pct"/>
            <w:gridSpan w:val="2"/>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现有工程危废焚烧炉可副产蒸汽0.6t/h</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2</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制冷</w:t>
            </w:r>
          </w:p>
        </w:tc>
        <w:tc>
          <w:tcPr>
            <w:tcW w:w="2940" w:type="pct"/>
            <w:gridSpan w:val="2"/>
            <w:vAlign w:val="center"/>
          </w:tcPr>
          <w:p>
            <w:pPr>
              <w:widowControl w:val="0"/>
              <w:spacing w:line="240" w:lineRule="auto"/>
              <w:ind w:firstLine="0" w:firstLineChars="0"/>
              <w:jc w:val="center"/>
              <w:rPr>
                <w:rFonts w:hint="default" w:ascii="Times New Roman" w:hAnsi="Times New Roman" w:eastAsia="Times New Roman" w:cs="Times New Roman"/>
                <w:color w:val="auto"/>
                <w:kern w:val="2"/>
                <w:sz w:val="21"/>
                <w:szCs w:val="21"/>
                <w:highlight w:val="none"/>
                <w:u w:val="none"/>
                <w:lang w:val="en-US" w:eastAsia="zh-CN" w:bidi="ar-SA"/>
              </w:rPr>
            </w:pPr>
            <w:r>
              <w:rPr>
                <w:rFonts w:hint="default" w:ascii="Times New Roman" w:hAnsi="Times New Roman" w:eastAsia="Times New Roman" w:cs="Times New Roman"/>
                <w:color w:val="auto"/>
                <w:kern w:val="2"/>
                <w:sz w:val="21"/>
                <w:highlight w:val="none"/>
                <w:u w:val="none"/>
                <w:lang w:val="en-US" w:eastAsia="zh-CN" w:bidi="ar-SA"/>
              </w:rPr>
              <w:t>为满足厂区生产用冷需求，车间生产装置设置了一座制冷机房（制冷剂为R134a氟利昂）。冷冻厂房内设置提供车间常规用冷生产装置的制冷机2台。其中一台为：出口温度-10℃，制冷量329kW*6/h，盐水箱400m</w:t>
            </w:r>
            <w:r>
              <w:rPr>
                <w:rFonts w:hint="default" w:ascii="Times New Roman" w:hAnsi="Times New Roman" w:eastAsia="Times New Roman" w:cs="Times New Roman"/>
                <w:color w:val="auto"/>
                <w:kern w:val="2"/>
                <w:sz w:val="21"/>
                <w:highlight w:val="none"/>
                <w:u w:val="none"/>
                <w:vertAlign w:val="superscript"/>
                <w:lang w:val="en-US" w:eastAsia="zh-CN" w:bidi="ar-SA"/>
              </w:rPr>
              <w:t>3</w:t>
            </w:r>
            <w:r>
              <w:rPr>
                <w:rFonts w:hint="default" w:ascii="Times New Roman" w:hAnsi="Times New Roman" w:eastAsia="Times New Roman" w:cs="Times New Roman"/>
                <w:color w:val="auto"/>
                <w:kern w:val="2"/>
                <w:sz w:val="21"/>
                <w:highlight w:val="none"/>
                <w:u w:val="none"/>
                <w:lang w:val="en-US" w:eastAsia="zh-CN" w:bidi="ar-SA"/>
              </w:rPr>
              <w:t>；车间低温用冷装置另一台为：出口温度-30℃，制冷量127kW*2/h，盐水箱110m</w:t>
            </w:r>
            <w:r>
              <w:rPr>
                <w:rFonts w:hint="default" w:ascii="Times New Roman" w:hAnsi="Times New Roman" w:eastAsia="Times New Roman" w:cs="Times New Roman"/>
                <w:color w:val="auto"/>
                <w:kern w:val="2"/>
                <w:sz w:val="21"/>
                <w:highlight w:val="none"/>
                <w:u w:val="none"/>
                <w:vertAlign w:val="superscript"/>
                <w:lang w:val="en-US" w:eastAsia="zh-CN" w:bidi="ar-SA"/>
              </w:rPr>
              <w:t>3</w:t>
            </w:r>
            <w:r>
              <w:rPr>
                <w:rFonts w:hint="default" w:ascii="Times New Roman" w:hAnsi="Times New Roman" w:eastAsia="Times New Roman" w:cs="Times New Roman"/>
                <w:color w:val="auto"/>
                <w:kern w:val="2"/>
                <w:sz w:val="21"/>
                <w:highlight w:val="none"/>
                <w:u w:val="none"/>
                <w:lang w:val="en-US" w:eastAsia="zh-CN" w:bidi="ar-SA"/>
              </w:rPr>
              <w:t>。</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3</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供电</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采用双电源供电，工作电源来自柘城县工业集聚区内35kV变电所，应急电源来自10kV韩楼变电站。电源经电缆沟引至厂区变电站，变电站设置两台35/10kV变压器（一台5000kVA、一台3500kVA变压器），工作电源经变压器降压至10kV后经4台SII型油浸式变压器（2000KVA）降为0.4kV ，通过电缆桥架向全厂用电设备供电。厂区总安装功率8000kW，视在功率6600kVA，原有供电系统可满足厂区生产需求。</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4</w:t>
            </w:r>
          </w:p>
        </w:tc>
        <w:tc>
          <w:tcPr>
            <w:tcW w:w="895" w:type="pct"/>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Times New Roman" w:cs="Times New Roman"/>
                <w:color w:val="auto"/>
                <w:sz w:val="21"/>
                <w:szCs w:val="21"/>
                <w:highlight w:val="none"/>
                <w:u w:val="none"/>
              </w:rPr>
              <w:t>供水</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lang w:val="en-US" w:eastAsia="zh-CN"/>
              </w:rPr>
              <w:t>供气</w:t>
            </w:r>
          </w:p>
        </w:tc>
        <w:tc>
          <w:tcPr>
            <w:tcW w:w="2940" w:type="pct"/>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Times New Roman" w:cs="Times New Roman"/>
                <w:color w:val="auto"/>
                <w:sz w:val="21"/>
                <w:szCs w:val="21"/>
                <w:highlight w:val="none"/>
                <w:u w:val="none"/>
              </w:rPr>
              <w:t>园区供水管网</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lang w:val="en-US" w:eastAsia="zh-CN"/>
              </w:rPr>
              <w:t>园区天然气供气管网</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0"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5</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办公楼</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占地43×14m</w:t>
            </w:r>
            <w:r>
              <w:rPr>
                <w:rFonts w:hint="default" w:ascii="Times New Roman" w:hAnsi="Times New Roman" w:eastAsia="Times New Roman" w:cs="Times New Roman"/>
                <w:color w:val="auto"/>
                <w:sz w:val="21"/>
                <w:szCs w:val="21"/>
                <w:highlight w:val="none"/>
                <w:u w:val="none"/>
                <w:vertAlign w:val="superscript"/>
              </w:rPr>
              <w:t>2</w:t>
            </w:r>
            <w:r>
              <w:rPr>
                <w:rFonts w:hint="default" w:ascii="Times New Roman" w:hAnsi="Times New Roman" w:eastAsia="Times New Roman" w:cs="Times New Roman"/>
                <w:color w:val="auto"/>
                <w:sz w:val="21"/>
                <w:szCs w:val="21"/>
                <w:highlight w:val="none"/>
                <w:u w:val="none"/>
              </w:rPr>
              <w:t>，砖混结构，地上5层</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4"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6</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住宿与食堂</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占地24×15m</w:t>
            </w:r>
            <w:r>
              <w:rPr>
                <w:rFonts w:hint="default" w:ascii="Times New Roman" w:hAnsi="Times New Roman" w:eastAsia="Times New Roman" w:cs="Times New Roman"/>
                <w:color w:val="auto"/>
                <w:sz w:val="21"/>
                <w:szCs w:val="21"/>
                <w:highlight w:val="none"/>
                <w:u w:val="none"/>
                <w:vertAlign w:val="superscript"/>
              </w:rPr>
              <w:t>2</w:t>
            </w:r>
            <w:r>
              <w:rPr>
                <w:rFonts w:hint="default" w:ascii="Times New Roman" w:hAnsi="Times New Roman" w:eastAsia="Times New Roman" w:cs="Times New Roman"/>
                <w:color w:val="auto"/>
                <w:sz w:val="21"/>
                <w:szCs w:val="21"/>
                <w:highlight w:val="none"/>
                <w:u w:val="none"/>
              </w:rPr>
              <w:t>，砖混结构，地上3层</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0" w:type="pct"/>
            <w:gridSpan w:val="6"/>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储运工程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1</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成品仓库</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占地面积1464m</w:t>
            </w:r>
            <w:r>
              <w:rPr>
                <w:rFonts w:hint="default" w:ascii="Times New Roman" w:hAnsi="Times New Roman" w:eastAsia="Times New Roman" w:cs="Times New Roman"/>
                <w:color w:val="auto"/>
                <w:sz w:val="21"/>
                <w:szCs w:val="21"/>
                <w:highlight w:val="none"/>
                <w:u w:val="none"/>
                <w:vertAlign w:val="superscript"/>
              </w:rPr>
              <w:t>2</w:t>
            </w:r>
            <w:r>
              <w:rPr>
                <w:rFonts w:hint="default" w:ascii="Times New Roman" w:hAnsi="Times New Roman" w:eastAsia="Times New Roman" w:cs="Times New Roman"/>
                <w:color w:val="auto"/>
                <w:sz w:val="21"/>
                <w:szCs w:val="21"/>
                <w:highlight w:val="none"/>
                <w:u w:val="none"/>
              </w:rPr>
              <w:t>，用于存放产品等</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2</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剧毒品仓库</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占地面积60m</w:t>
            </w:r>
            <w:r>
              <w:rPr>
                <w:rFonts w:hint="default" w:ascii="Times New Roman" w:hAnsi="Times New Roman" w:eastAsia="Times New Roman" w:cs="Times New Roman"/>
                <w:color w:val="auto"/>
                <w:sz w:val="21"/>
                <w:szCs w:val="21"/>
                <w:highlight w:val="none"/>
                <w:u w:val="none"/>
                <w:vertAlign w:val="superscript"/>
              </w:rPr>
              <w:t>2</w:t>
            </w:r>
            <w:r>
              <w:rPr>
                <w:rFonts w:hint="default" w:ascii="Times New Roman" w:hAnsi="Times New Roman" w:eastAsia="Times New Roman" w:cs="Times New Roman"/>
                <w:color w:val="auto"/>
                <w:sz w:val="21"/>
                <w:szCs w:val="21"/>
                <w:highlight w:val="none"/>
                <w:u w:val="none"/>
              </w:rPr>
              <w:t>，存放叠氮化钠等物料</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3</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甲类物品库一</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占地面积528m</w:t>
            </w:r>
            <w:r>
              <w:rPr>
                <w:rFonts w:hint="default" w:ascii="Times New Roman" w:hAnsi="Times New Roman" w:eastAsia="Times New Roman" w:cs="Times New Roman"/>
                <w:color w:val="auto"/>
                <w:sz w:val="21"/>
                <w:szCs w:val="21"/>
                <w:highlight w:val="none"/>
                <w:u w:val="none"/>
                <w:vertAlign w:val="superscript"/>
              </w:rPr>
              <w:t>2</w:t>
            </w:r>
            <w:r>
              <w:rPr>
                <w:rFonts w:hint="default" w:ascii="Times New Roman" w:hAnsi="Times New Roman" w:eastAsia="Times New Roman" w:cs="Times New Roman"/>
                <w:color w:val="auto"/>
                <w:sz w:val="21"/>
                <w:szCs w:val="21"/>
                <w:highlight w:val="none"/>
                <w:u w:val="none"/>
              </w:rPr>
              <w:t>，用于存放氢溴酸、双氧水等</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4</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甲类物品库二</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占地面积528m</w:t>
            </w:r>
            <w:r>
              <w:rPr>
                <w:rFonts w:hint="default" w:ascii="Times New Roman" w:hAnsi="Times New Roman" w:eastAsia="Times New Roman" w:cs="Times New Roman"/>
                <w:color w:val="auto"/>
                <w:sz w:val="21"/>
                <w:szCs w:val="21"/>
                <w:highlight w:val="none"/>
                <w:u w:val="none"/>
                <w:vertAlign w:val="superscript"/>
              </w:rPr>
              <w:t>2</w:t>
            </w:r>
            <w:r>
              <w:rPr>
                <w:rFonts w:hint="default" w:ascii="Times New Roman" w:hAnsi="Times New Roman" w:eastAsia="Times New Roman" w:cs="Times New Roman"/>
                <w:color w:val="auto"/>
                <w:sz w:val="21"/>
                <w:szCs w:val="21"/>
                <w:highlight w:val="none"/>
                <w:u w:val="none"/>
              </w:rPr>
              <w:t>，用于存放无水亚硫酸钠、碳酸氢钠等</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5</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储罐区</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长33m、宽13m，围堰高0.6m，共12个30m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的储罐，分别储存丙酮、甲苯、二甲苯、甲醇、二氯甲烷、乙醇、异丙醇、DMF、EA、液碱、</w:t>
            </w:r>
            <w:r>
              <w:rPr>
                <w:rFonts w:hint="eastAsia" w:ascii="Times New Roman" w:hAnsi="Times New Roman" w:eastAsia="宋体" w:cs="Times New Roman"/>
                <w:color w:val="auto"/>
                <w:sz w:val="21"/>
                <w:szCs w:val="21"/>
                <w:highlight w:val="none"/>
                <w:u w:val="none"/>
                <w:lang w:val="en-US" w:eastAsia="zh-CN"/>
              </w:rPr>
              <w:t>氯仿</w:t>
            </w:r>
            <w:r>
              <w:rPr>
                <w:rFonts w:hint="default" w:ascii="Times New Roman" w:hAnsi="Times New Roman" w:eastAsia="Times New Roman" w:cs="Times New Roman"/>
                <w:color w:val="auto"/>
                <w:sz w:val="21"/>
                <w:szCs w:val="21"/>
                <w:highlight w:val="none"/>
                <w:u w:val="none"/>
              </w:rPr>
              <w:t>、盐酸</w:t>
            </w:r>
          </w:p>
        </w:tc>
        <w:tc>
          <w:tcPr>
            <w:tcW w:w="894" w:type="pct"/>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6</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氢气库</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占地面积100m</w:t>
            </w:r>
            <w:r>
              <w:rPr>
                <w:rFonts w:hint="default" w:ascii="Times New Roman" w:hAnsi="Times New Roman" w:eastAsia="Times New Roman" w:cs="Times New Roman"/>
                <w:color w:val="auto"/>
                <w:sz w:val="21"/>
                <w:szCs w:val="21"/>
                <w:highlight w:val="none"/>
                <w:u w:val="none"/>
                <w:vertAlign w:val="superscript"/>
              </w:rPr>
              <w:t>2</w:t>
            </w:r>
            <w:r>
              <w:rPr>
                <w:rFonts w:hint="default" w:ascii="Times New Roman" w:hAnsi="Times New Roman" w:eastAsia="Times New Roman" w:cs="Times New Roman"/>
                <w:color w:val="auto"/>
                <w:sz w:val="21"/>
                <w:szCs w:val="21"/>
                <w:highlight w:val="none"/>
                <w:u w:val="none"/>
              </w:rPr>
              <w:t>，存放1000个氢气钢瓶，每个容量40L（折合重量0.492Kg）</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7</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1车间</w:t>
            </w:r>
          </w:p>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中转罐</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1车间外现有中转罐围堰40m</w:t>
            </w:r>
            <w:r>
              <w:rPr>
                <w:rFonts w:hint="default" w:ascii="Times New Roman" w:hAnsi="Times New Roman" w:eastAsia="Times New Roman" w:cs="Times New Roman"/>
                <w:color w:val="auto"/>
                <w:sz w:val="21"/>
                <w:szCs w:val="21"/>
                <w:highlight w:val="none"/>
                <w:u w:val="none"/>
                <w:vertAlign w:val="superscript"/>
              </w:rPr>
              <w:t>2</w:t>
            </w:r>
            <w:r>
              <w:rPr>
                <w:rFonts w:hint="default" w:ascii="Times New Roman" w:hAnsi="Times New Roman" w:eastAsia="Times New Roman" w:cs="Times New Roman"/>
                <w:color w:val="auto"/>
                <w:sz w:val="21"/>
                <w:szCs w:val="21"/>
                <w:highlight w:val="none"/>
                <w:u w:val="none"/>
              </w:rPr>
              <w:t>，围堰高0.3m，共4个中间罐，包括液碱（6000L）、二氯甲烷（6000L）、甲苯（2000L）、甲醇（1500L），拟新增2000L乙醇、丙酮、盐酸、乙酸乙酯中转罐各1各，新建40m</w:t>
            </w:r>
            <w:r>
              <w:rPr>
                <w:rFonts w:hint="default" w:ascii="Times New Roman" w:hAnsi="Times New Roman" w:eastAsia="Times New Roman" w:cs="Times New Roman"/>
                <w:color w:val="auto"/>
                <w:sz w:val="21"/>
                <w:szCs w:val="21"/>
                <w:highlight w:val="none"/>
                <w:u w:val="none"/>
                <w:vertAlign w:val="superscript"/>
              </w:rPr>
              <w:t>2</w:t>
            </w:r>
            <w:r>
              <w:rPr>
                <w:rFonts w:hint="default" w:ascii="Times New Roman" w:hAnsi="Times New Roman" w:eastAsia="Times New Roman" w:cs="Times New Roman"/>
                <w:color w:val="auto"/>
                <w:sz w:val="21"/>
                <w:szCs w:val="21"/>
                <w:highlight w:val="none"/>
                <w:u w:val="none"/>
              </w:rPr>
              <w:t>围堰</w:t>
            </w:r>
          </w:p>
        </w:tc>
        <w:tc>
          <w:tcPr>
            <w:tcW w:w="894" w:type="pct"/>
            <w:vAlign w:val="center"/>
          </w:tcPr>
          <w:p>
            <w:pPr>
              <w:widowControl w:val="0"/>
              <w:spacing w:line="240" w:lineRule="auto"/>
              <w:ind w:firstLine="0" w:firstLineChars="0"/>
              <w:jc w:val="center"/>
              <w:rPr>
                <w:rFonts w:hint="default" w:ascii="Times New Roman" w:hAnsi="Times New Roman" w:eastAsia="Times New Roman" w:cs="Times New Roman"/>
                <w:color w:val="auto"/>
                <w:kern w:val="2"/>
                <w:sz w:val="21"/>
                <w:highlight w:val="none"/>
                <w:u w:val="none"/>
                <w:lang w:val="en-US" w:eastAsia="zh-CN" w:bidi="ar-SA"/>
              </w:rPr>
            </w:pPr>
            <w:r>
              <w:rPr>
                <w:rFonts w:hint="default" w:ascii="Times New Roman" w:hAnsi="Times New Roman" w:eastAsia="Times New Roman" w:cs="Times New Roman"/>
                <w:color w:val="auto"/>
                <w:kern w:val="2"/>
                <w:sz w:val="21"/>
                <w:highlight w:val="none"/>
                <w:u w:val="none"/>
                <w:lang w:val="en-US" w:eastAsia="zh-CN" w:bidi="ar-SA"/>
              </w:rPr>
              <w:t>4台依托现有、4台新建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8</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2车间</w:t>
            </w:r>
          </w:p>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中转罐</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新建中间罐区，围堰面积10m</w:t>
            </w:r>
            <w:r>
              <w:rPr>
                <w:rFonts w:hint="default" w:ascii="Times New Roman" w:hAnsi="Times New Roman" w:eastAsia="Times New Roman" w:cs="Times New Roman"/>
                <w:color w:val="auto"/>
                <w:sz w:val="21"/>
                <w:szCs w:val="21"/>
                <w:highlight w:val="none"/>
                <w:u w:val="none"/>
                <w:vertAlign w:val="superscript"/>
              </w:rPr>
              <w:t>2</w:t>
            </w:r>
            <w:r>
              <w:rPr>
                <w:rFonts w:hint="default" w:ascii="Times New Roman" w:hAnsi="Times New Roman" w:eastAsia="Times New Roman" w:cs="Times New Roman"/>
                <w:color w:val="auto"/>
                <w:sz w:val="21"/>
                <w:szCs w:val="21"/>
                <w:highlight w:val="none"/>
                <w:u w:val="none"/>
              </w:rPr>
              <w:t>，设置2个2000L中转储罐（</w:t>
            </w:r>
            <w:r>
              <w:rPr>
                <w:rFonts w:hint="eastAsia" w:ascii="Times New Roman" w:hAnsi="Times New Roman" w:eastAsia="宋体" w:cs="Times New Roman"/>
                <w:color w:val="auto"/>
                <w:sz w:val="21"/>
                <w:szCs w:val="21"/>
                <w:highlight w:val="none"/>
                <w:u w:val="none"/>
                <w:lang w:val="en-US" w:eastAsia="zh-CN"/>
              </w:rPr>
              <w:t>乙酸乙酯</w:t>
            </w:r>
            <w:r>
              <w:rPr>
                <w:rFonts w:hint="default" w:ascii="Times New Roman" w:hAnsi="Times New Roman" w:eastAsia="Times New Roman"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val="en-US" w:eastAsia="zh-CN"/>
              </w:rPr>
              <w:t>乙醇</w:t>
            </w:r>
            <w:r>
              <w:rPr>
                <w:rFonts w:hint="default" w:ascii="Times New Roman" w:hAnsi="Times New Roman" w:eastAsia="Times New Roman" w:cs="Times New Roman"/>
                <w:color w:val="auto"/>
                <w:sz w:val="21"/>
                <w:szCs w:val="21"/>
                <w:highlight w:val="none"/>
                <w:u w:val="none"/>
              </w:rPr>
              <w:t>）</w:t>
            </w:r>
          </w:p>
        </w:tc>
        <w:tc>
          <w:tcPr>
            <w:tcW w:w="894" w:type="pct"/>
            <w:vAlign w:val="center"/>
          </w:tcPr>
          <w:p>
            <w:pPr>
              <w:widowControl w:val="0"/>
              <w:spacing w:line="240" w:lineRule="auto"/>
              <w:ind w:firstLine="0" w:firstLineChars="0"/>
              <w:jc w:val="center"/>
              <w:rPr>
                <w:rFonts w:hint="default" w:ascii="Times New Roman" w:hAnsi="Times New Roman" w:eastAsia="Times New Roman" w:cs="Times New Roman"/>
                <w:color w:val="auto"/>
                <w:kern w:val="2"/>
                <w:sz w:val="21"/>
                <w:highlight w:val="none"/>
                <w:u w:val="none"/>
                <w:lang w:val="en-US" w:eastAsia="zh-CN" w:bidi="ar-SA"/>
              </w:rPr>
            </w:pPr>
            <w:r>
              <w:rPr>
                <w:rFonts w:hint="default" w:ascii="Times New Roman" w:hAnsi="Times New Roman" w:eastAsia="Times New Roman" w:cs="Times New Roman"/>
                <w:color w:val="auto"/>
                <w:kern w:val="2"/>
                <w:sz w:val="21"/>
                <w:highlight w:val="none"/>
                <w:u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9</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3车间</w:t>
            </w:r>
          </w:p>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中转罐</w:t>
            </w:r>
          </w:p>
        </w:tc>
        <w:tc>
          <w:tcPr>
            <w:tcW w:w="2940" w:type="pct"/>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Times New Roman" w:cs="Times New Roman"/>
                <w:color w:val="auto"/>
                <w:sz w:val="21"/>
                <w:szCs w:val="21"/>
                <w:highlight w:val="none"/>
                <w:u w:val="none"/>
              </w:rPr>
              <w:t>车间外现有中转罐围堰50m</w:t>
            </w:r>
            <w:r>
              <w:rPr>
                <w:rFonts w:hint="default" w:ascii="Times New Roman" w:hAnsi="Times New Roman" w:eastAsia="Times New Roman" w:cs="Times New Roman"/>
                <w:color w:val="auto"/>
                <w:sz w:val="21"/>
                <w:szCs w:val="21"/>
                <w:highlight w:val="none"/>
                <w:u w:val="none"/>
                <w:vertAlign w:val="superscript"/>
              </w:rPr>
              <w:t>2</w:t>
            </w:r>
            <w:r>
              <w:rPr>
                <w:rFonts w:hint="default" w:ascii="Times New Roman" w:hAnsi="Times New Roman" w:eastAsia="Times New Roman" w:cs="Times New Roman"/>
                <w:color w:val="auto"/>
                <w:sz w:val="21"/>
                <w:szCs w:val="21"/>
                <w:highlight w:val="none"/>
                <w:u w:val="none"/>
              </w:rPr>
              <w:t>，围堰高0.3m，共4个中间罐，用于</w:t>
            </w:r>
            <w:r>
              <w:rPr>
                <w:rFonts w:hint="eastAsia" w:ascii="Times New Roman" w:hAnsi="Times New Roman" w:eastAsia="宋体" w:cs="Times New Roman"/>
                <w:color w:val="auto"/>
                <w:sz w:val="21"/>
                <w:szCs w:val="21"/>
                <w:highlight w:val="none"/>
                <w:u w:val="none"/>
                <w:lang w:eastAsia="zh-CN"/>
              </w:rPr>
              <w:t>改建</w:t>
            </w:r>
            <w:r>
              <w:rPr>
                <w:rFonts w:hint="default" w:ascii="Times New Roman" w:hAnsi="Times New Roman" w:eastAsia="Times New Roman" w:cs="Times New Roman"/>
                <w:color w:val="auto"/>
                <w:sz w:val="21"/>
                <w:szCs w:val="21"/>
                <w:highlight w:val="none"/>
                <w:u w:val="none"/>
              </w:rPr>
              <w:t>项目溶剂及酸碱的中转，包括液碱罐（6000L）、盐酸罐（6000L）、甲醇（4000L）、乙醇（10000L），新建一台二氯甲烷罐（4000L）</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lang w:val="en-US" w:eastAsia="zh-CN"/>
              </w:rPr>
              <w:t>1台乙酸乙酯罐（4000L）</w:t>
            </w:r>
          </w:p>
        </w:tc>
        <w:tc>
          <w:tcPr>
            <w:tcW w:w="894" w:type="pct"/>
            <w:vAlign w:val="center"/>
          </w:tcPr>
          <w:p>
            <w:pPr>
              <w:widowControl w:val="0"/>
              <w:spacing w:line="240" w:lineRule="auto"/>
              <w:ind w:firstLine="0" w:firstLineChars="0"/>
              <w:jc w:val="center"/>
              <w:rPr>
                <w:rFonts w:hint="default" w:ascii="Times New Roman" w:hAnsi="Times New Roman" w:eastAsia="Times New Roman" w:cs="Times New Roman"/>
                <w:color w:val="auto"/>
                <w:kern w:val="2"/>
                <w:sz w:val="21"/>
                <w:highlight w:val="none"/>
                <w:u w:val="none"/>
                <w:lang w:val="en-US" w:eastAsia="zh-CN" w:bidi="ar-SA"/>
              </w:rPr>
            </w:pPr>
            <w:r>
              <w:rPr>
                <w:rFonts w:hint="default" w:ascii="Times New Roman" w:hAnsi="Times New Roman" w:eastAsia="Times New Roman" w:cs="Times New Roman"/>
                <w:color w:val="auto"/>
                <w:kern w:val="2"/>
                <w:sz w:val="21"/>
                <w:highlight w:val="none"/>
                <w:u w:val="none"/>
                <w:lang w:val="en-US" w:eastAsia="zh-CN" w:bidi="ar-SA"/>
              </w:rPr>
              <w:t>利用拟转产的氰基联苯中间罐4台，新建</w:t>
            </w:r>
            <w:r>
              <w:rPr>
                <w:rFonts w:hint="eastAsia" w:ascii="Times New Roman" w:hAnsi="Times New Roman" w:eastAsia="宋体" w:cs="Times New Roman"/>
                <w:color w:val="auto"/>
                <w:kern w:val="2"/>
                <w:sz w:val="21"/>
                <w:highlight w:val="none"/>
                <w:u w:val="none"/>
                <w:lang w:val="en-US" w:eastAsia="zh-CN" w:bidi="ar-SA"/>
              </w:rPr>
              <w:t>2</w:t>
            </w:r>
            <w:r>
              <w:rPr>
                <w:rFonts w:hint="default" w:ascii="Times New Roman" w:hAnsi="Times New Roman" w:eastAsia="Times New Roman" w:cs="Times New Roman"/>
                <w:color w:val="auto"/>
                <w:kern w:val="2"/>
                <w:sz w:val="21"/>
                <w:highlight w:val="none"/>
                <w:u w:val="none"/>
                <w:lang w:val="en-US" w:eastAsia="zh-CN" w:bidi="ar-SA"/>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10</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5车间</w:t>
            </w:r>
          </w:p>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中转罐</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车间外现有中转罐围堰40m</w:t>
            </w:r>
            <w:r>
              <w:rPr>
                <w:rFonts w:hint="default" w:ascii="Times New Roman" w:hAnsi="Times New Roman" w:eastAsia="Times New Roman" w:cs="Times New Roman"/>
                <w:color w:val="auto"/>
                <w:sz w:val="21"/>
                <w:szCs w:val="21"/>
                <w:highlight w:val="none"/>
                <w:u w:val="none"/>
                <w:vertAlign w:val="superscript"/>
              </w:rPr>
              <w:t>2</w:t>
            </w:r>
            <w:r>
              <w:rPr>
                <w:rFonts w:hint="default" w:ascii="Times New Roman" w:hAnsi="Times New Roman" w:eastAsia="Times New Roman" w:cs="Times New Roman"/>
                <w:color w:val="auto"/>
                <w:sz w:val="21"/>
                <w:szCs w:val="21"/>
                <w:highlight w:val="none"/>
                <w:u w:val="none"/>
              </w:rPr>
              <w:t>，围堰高0.3m，共5个中间罐，利用其中三个用于</w:t>
            </w:r>
            <w:r>
              <w:rPr>
                <w:rFonts w:hint="eastAsia" w:ascii="Times New Roman" w:hAnsi="Times New Roman" w:eastAsia="宋体" w:cs="Times New Roman"/>
                <w:color w:val="auto"/>
                <w:sz w:val="21"/>
                <w:szCs w:val="21"/>
                <w:highlight w:val="none"/>
                <w:u w:val="none"/>
                <w:lang w:eastAsia="zh-CN"/>
              </w:rPr>
              <w:t>改建</w:t>
            </w:r>
            <w:r>
              <w:rPr>
                <w:rFonts w:hint="default" w:ascii="Times New Roman" w:hAnsi="Times New Roman" w:eastAsia="Times New Roman" w:cs="Times New Roman"/>
                <w:color w:val="auto"/>
                <w:sz w:val="21"/>
                <w:szCs w:val="21"/>
                <w:highlight w:val="none"/>
                <w:u w:val="none"/>
              </w:rPr>
              <w:t>项目溶剂的中转，其中</w:t>
            </w:r>
            <w:r>
              <w:rPr>
                <w:rFonts w:hint="eastAsia" w:ascii="Times New Roman" w:hAnsi="Times New Roman" w:eastAsia="宋体" w:cs="Times New Roman"/>
                <w:color w:val="auto"/>
                <w:sz w:val="21"/>
                <w:szCs w:val="21"/>
                <w:highlight w:val="none"/>
                <w:u w:val="none"/>
                <w:lang w:val="en-US" w:eastAsia="zh-CN"/>
              </w:rPr>
              <w:t>乙醇</w:t>
            </w:r>
            <w:r>
              <w:rPr>
                <w:rFonts w:hint="default" w:ascii="Times New Roman" w:hAnsi="Times New Roman" w:eastAsia="Times New Roman" w:cs="Times New Roman"/>
                <w:color w:val="auto"/>
                <w:sz w:val="21"/>
                <w:szCs w:val="21"/>
                <w:highlight w:val="none"/>
                <w:u w:val="none"/>
              </w:rPr>
              <w:t>（6000L）、</w:t>
            </w:r>
            <w:r>
              <w:rPr>
                <w:rFonts w:hint="eastAsia" w:ascii="Times New Roman" w:hAnsi="Times New Roman" w:eastAsia="宋体" w:cs="Times New Roman"/>
                <w:color w:val="auto"/>
                <w:sz w:val="21"/>
                <w:szCs w:val="21"/>
                <w:highlight w:val="none"/>
                <w:u w:val="none"/>
                <w:lang w:val="en-US" w:eastAsia="zh-CN"/>
              </w:rPr>
              <w:t>液碱</w:t>
            </w:r>
            <w:r>
              <w:rPr>
                <w:rFonts w:hint="default" w:ascii="Times New Roman" w:hAnsi="Times New Roman" w:eastAsia="Times New Roman" w:cs="Times New Roman"/>
                <w:color w:val="auto"/>
                <w:sz w:val="21"/>
                <w:szCs w:val="21"/>
                <w:highlight w:val="none"/>
                <w:u w:val="none"/>
              </w:rPr>
              <w:t>（4000L）、盐酸（10000L）</w:t>
            </w:r>
          </w:p>
        </w:tc>
        <w:tc>
          <w:tcPr>
            <w:tcW w:w="894" w:type="pct"/>
            <w:vAlign w:val="center"/>
          </w:tcPr>
          <w:p>
            <w:pPr>
              <w:widowControl w:val="0"/>
              <w:spacing w:line="240" w:lineRule="auto"/>
              <w:ind w:firstLine="0" w:firstLineChars="0"/>
              <w:jc w:val="center"/>
              <w:rPr>
                <w:rFonts w:hint="default" w:ascii="Times New Roman" w:hAnsi="Times New Roman" w:eastAsia="Times New Roman" w:cs="Times New Roman"/>
                <w:color w:val="auto"/>
                <w:kern w:val="2"/>
                <w:sz w:val="21"/>
                <w:highlight w:val="none"/>
                <w:u w:val="none"/>
                <w:lang w:val="en-US" w:eastAsia="zh-CN" w:bidi="ar-SA"/>
              </w:rPr>
            </w:pPr>
            <w:r>
              <w:rPr>
                <w:rFonts w:hint="default" w:ascii="Times New Roman" w:hAnsi="Times New Roman" w:eastAsia="Times New Roman" w:cs="Times New Roman"/>
                <w:color w:val="auto"/>
                <w:kern w:val="2"/>
                <w:sz w:val="21"/>
                <w:highlight w:val="none"/>
                <w:u w:val="none"/>
                <w:lang w:val="en-US" w:eastAsia="zh-CN" w:bidi="ar-SA"/>
              </w:rPr>
              <w:t>利用现有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11</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7车间</w:t>
            </w:r>
          </w:p>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中转罐</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车间外现有中转罐围堰50m</w:t>
            </w:r>
            <w:r>
              <w:rPr>
                <w:rFonts w:hint="default" w:ascii="Times New Roman" w:hAnsi="Times New Roman" w:eastAsia="Times New Roman" w:cs="Times New Roman"/>
                <w:color w:val="auto"/>
                <w:sz w:val="21"/>
                <w:szCs w:val="21"/>
                <w:highlight w:val="none"/>
                <w:u w:val="none"/>
                <w:vertAlign w:val="superscript"/>
              </w:rPr>
              <w:t>2</w:t>
            </w:r>
            <w:r>
              <w:rPr>
                <w:rFonts w:hint="default" w:ascii="Times New Roman" w:hAnsi="Times New Roman" w:eastAsia="Times New Roman" w:cs="Times New Roman"/>
                <w:color w:val="auto"/>
                <w:sz w:val="21"/>
                <w:szCs w:val="21"/>
                <w:highlight w:val="none"/>
                <w:u w:val="none"/>
              </w:rPr>
              <w:t>，围堰高0.3m，共11个中间罐，利用其中6个用于</w:t>
            </w:r>
            <w:r>
              <w:rPr>
                <w:rFonts w:hint="eastAsia" w:ascii="Times New Roman" w:hAnsi="Times New Roman" w:eastAsia="宋体" w:cs="Times New Roman"/>
                <w:color w:val="auto"/>
                <w:sz w:val="21"/>
                <w:szCs w:val="21"/>
                <w:highlight w:val="none"/>
                <w:u w:val="none"/>
                <w:lang w:eastAsia="zh-CN"/>
              </w:rPr>
              <w:t>改建</w:t>
            </w:r>
            <w:r>
              <w:rPr>
                <w:rFonts w:hint="default" w:ascii="Times New Roman" w:hAnsi="Times New Roman" w:eastAsia="Times New Roman" w:cs="Times New Roman"/>
                <w:color w:val="auto"/>
                <w:sz w:val="21"/>
                <w:szCs w:val="21"/>
                <w:highlight w:val="none"/>
                <w:u w:val="none"/>
              </w:rPr>
              <w:t>项目溶剂的中转，包括甲苯（10000L）、盐酸（2000L）、</w:t>
            </w:r>
            <w:r>
              <w:rPr>
                <w:rFonts w:hint="eastAsia" w:ascii="Times New Roman" w:hAnsi="Times New Roman" w:eastAsia="宋体" w:cs="Times New Roman"/>
                <w:color w:val="auto"/>
                <w:sz w:val="21"/>
                <w:szCs w:val="21"/>
                <w:highlight w:val="none"/>
                <w:u w:val="none"/>
                <w:lang w:val="en-US" w:eastAsia="zh-CN"/>
              </w:rPr>
              <w:t>液碱</w:t>
            </w:r>
            <w:r>
              <w:rPr>
                <w:rFonts w:hint="default" w:ascii="Times New Roman" w:hAnsi="Times New Roman" w:eastAsia="Times New Roman" w:cs="Times New Roman"/>
                <w:color w:val="auto"/>
                <w:sz w:val="21"/>
                <w:szCs w:val="21"/>
                <w:highlight w:val="none"/>
                <w:u w:val="none"/>
              </w:rPr>
              <w:t>（5000L）、液碱（10000L）、次氯酸钠（10000L）、异丙醇（10000L）</w:t>
            </w:r>
          </w:p>
        </w:tc>
        <w:tc>
          <w:tcPr>
            <w:tcW w:w="894" w:type="pct"/>
            <w:vAlign w:val="center"/>
          </w:tcPr>
          <w:p>
            <w:pPr>
              <w:widowControl w:val="0"/>
              <w:spacing w:line="240" w:lineRule="auto"/>
              <w:ind w:firstLine="0" w:firstLineChars="0"/>
              <w:jc w:val="center"/>
              <w:rPr>
                <w:rFonts w:hint="default" w:ascii="Times New Roman" w:hAnsi="Times New Roman" w:eastAsia="Times New Roman" w:cs="Times New Roman"/>
                <w:color w:val="auto"/>
                <w:kern w:val="2"/>
                <w:sz w:val="21"/>
                <w:highlight w:val="none"/>
                <w:u w:val="none"/>
                <w:lang w:val="en-US" w:eastAsia="zh-CN" w:bidi="ar-SA"/>
              </w:rPr>
            </w:pPr>
            <w:r>
              <w:rPr>
                <w:rFonts w:hint="default" w:ascii="Times New Roman" w:hAnsi="Times New Roman" w:eastAsia="Times New Roman" w:cs="Times New Roman"/>
                <w:color w:val="auto"/>
                <w:kern w:val="2"/>
                <w:sz w:val="21"/>
                <w:highlight w:val="none"/>
                <w:u w:val="none"/>
                <w:lang w:val="en-US" w:eastAsia="zh-CN" w:bidi="ar-SA"/>
              </w:rPr>
              <w:t>利用现有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12</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10车间</w:t>
            </w:r>
          </w:p>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中转罐</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新建中转罐区，围堰面积80m</w:t>
            </w:r>
            <w:r>
              <w:rPr>
                <w:rFonts w:hint="default" w:ascii="Times New Roman" w:hAnsi="Times New Roman" w:eastAsia="Times New Roman" w:cs="Times New Roman"/>
                <w:color w:val="auto"/>
                <w:sz w:val="21"/>
                <w:szCs w:val="21"/>
                <w:highlight w:val="none"/>
                <w:u w:val="none"/>
                <w:vertAlign w:val="superscript"/>
              </w:rPr>
              <w:t>2</w:t>
            </w:r>
            <w:r>
              <w:rPr>
                <w:rFonts w:hint="default" w:ascii="Times New Roman" w:hAnsi="Times New Roman" w:eastAsia="Times New Roman" w:cs="Times New Roman"/>
                <w:color w:val="auto"/>
                <w:sz w:val="21"/>
                <w:szCs w:val="21"/>
                <w:highlight w:val="none"/>
                <w:u w:val="none"/>
              </w:rPr>
              <w:t>，围堰高0.3m，含5个6000L中转罐，分别储存甲苯、液碱、二氯甲烷、盐酸、乙醇，2个2000L中转罐，分别储存乙腈、甲醇</w:t>
            </w:r>
          </w:p>
        </w:tc>
        <w:tc>
          <w:tcPr>
            <w:tcW w:w="894" w:type="pct"/>
            <w:vAlign w:val="center"/>
          </w:tcPr>
          <w:p>
            <w:pPr>
              <w:widowControl w:val="0"/>
              <w:spacing w:line="240" w:lineRule="auto"/>
              <w:ind w:firstLine="0" w:firstLineChars="0"/>
              <w:jc w:val="center"/>
              <w:rPr>
                <w:rFonts w:hint="default" w:ascii="Times New Roman" w:hAnsi="Times New Roman" w:eastAsia="Times New Roman" w:cs="Times New Roman"/>
                <w:color w:val="auto"/>
                <w:kern w:val="2"/>
                <w:sz w:val="21"/>
                <w:highlight w:val="none"/>
                <w:u w:val="none"/>
                <w:lang w:val="en-US" w:eastAsia="zh-CN" w:bidi="ar-SA"/>
              </w:rPr>
            </w:pPr>
            <w:r>
              <w:rPr>
                <w:rFonts w:hint="default" w:ascii="Times New Roman" w:hAnsi="Times New Roman" w:eastAsia="Times New Roman" w:cs="Times New Roman"/>
                <w:color w:val="auto"/>
                <w:kern w:val="2"/>
                <w:sz w:val="21"/>
                <w:highlight w:val="none"/>
                <w:u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13</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9车间</w:t>
            </w:r>
          </w:p>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中转罐</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新建中转罐区，围堰面积96m</w:t>
            </w:r>
            <w:r>
              <w:rPr>
                <w:rFonts w:hint="default" w:ascii="Times New Roman" w:hAnsi="Times New Roman" w:eastAsia="Times New Roman" w:cs="Times New Roman"/>
                <w:color w:val="auto"/>
                <w:sz w:val="21"/>
                <w:szCs w:val="21"/>
                <w:highlight w:val="none"/>
                <w:u w:val="none"/>
                <w:vertAlign w:val="superscript"/>
              </w:rPr>
              <w:t>2</w:t>
            </w:r>
            <w:r>
              <w:rPr>
                <w:rFonts w:hint="default" w:ascii="Times New Roman" w:hAnsi="Times New Roman" w:eastAsia="Times New Roman" w:cs="Times New Roman"/>
                <w:color w:val="auto"/>
                <w:sz w:val="21"/>
                <w:szCs w:val="21"/>
                <w:highlight w:val="none"/>
                <w:u w:val="none"/>
              </w:rPr>
              <w:t>，围堰高0.3m，含5个5000L中转罐，分别储存乙醇、二氯甲烷、乙酸乙酯、丙酮、甲醇；2个2000L中转罐，储存盐酸与甲苯</w:t>
            </w:r>
          </w:p>
        </w:tc>
        <w:tc>
          <w:tcPr>
            <w:tcW w:w="894" w:type="pct"/>
            <w:vAlign w:val="center"/>
          </w:tcPr>
          <w:p>
            <w:pPr>
              <w:widowControl w:val="0"/>
              <w:spacing w:line="240" w:lineRule="auto"/>
              <w:ind w:firstLine="0" w:firstLineChars="0"/>
              <w:jc w:val="center"/>
              <w:rPr>
                <w:rFonts w:hint="default" w:ascii="Times New Roman" w:hAnsi="Times New Roman" w:eastAsia="Times New Roman" w:cs="Times New Roman"/>
                <w:color w:val="auto"/>
                <w:kern w:val="2"/>
                <w:sz w:val="21"/>
                <w:highlight w:val="none"/>
                <w:u w:val="none"/>
                <w:lang w:val="en-US" w:eastAsia="zh-CN" w:bidi="ar-SA"/>
              </w:rPr>
            </w:pPr>
            <w:r>
              <w:rPr>
                <w:rFonts w:hint="default" w:ascii="Times New Roman" w:hAnsi="Times New Roman" w:eastAsia="Times New Roman" w:cs="Times New Roman"/>
                <w:color w:val="auto"/>
                <w:kern w:val="2"/>
                <w:sz w:val="21"/>
                <w:highlight w:val="none"/>
                <w:u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14</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原料运输</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汽运</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15</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产品运输</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汽运</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0" w:type="pct"/>
            <w:gridSpan w:val="6"/>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环保工程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8" w:hRule="atLeast"/>
        </w:trPr>
        <w:tc>
          <w:tcPr>
            <w:tcW w:w="269" w:type="pct"/>
            <w:vMerge w:val="restar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1</w:t>
            </w:r>
          </w:p>
        </w:tc>
        <w:tc>
          <w:tcPr>
            <w:tcW w:w="236" w:type="pct"/>
            <w:vMerge w:val="restar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废气</w:t>
            </w:r>
          </w:p>
        </w:tc>
        <w:tc>
          <w:tcPr>
            <w:tcW w:w="658" w:type="pct"/>
            <w:vMerge w:val="restar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带温工段工艺废气经两级冷凝后与其他废气进入预处理</w:t>
            </w:r>
          </w:p>
        </w:tc>
        <w:tc>
          <w:tcPr>
            <w:tcW w:w="219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1车间：二级碱洗（</w:t>
            </w:r>
            <w:r>
              <w:rPr>
                <w:rFonts w:hint="eastAsia" w:ascii="Times New Roman" w:hAnsi="Times New Roman" w:eastAsia="宋体" w:cs="Times New Roman"/>
                <w:color w:val="auto"/>
                <w:sz w:val="21"/>
                <w:szCs w:val="21"/>
                <w:highlight w:val="none"/>
                <w:u w:val="none"/>
                <w:lang w:val="en-US" w:eastAsia="zh-CN"/>
              </w:rPr>
              <w:t>新建</w:t>
            </w:r>
            <w:r>
              <w:rPr>
                <w:rFonts w:hint="default" w:ascii="Times New Roman" w:hAnsi="Times New Roman" w:eastAsia="Times New Roman" w:cs="Times New Roman"/>
                <w:color w:val="auto"/>
                <w:sz w:val="21"/>
                <w:szCs w:val="21"/>
                <w:highlight w:val="none"/>
                <w:u w:val="none"/>
              </w:rPr>
              <w:t>）</w:t>
            </w:r>
          </w:p>
        </w:tc>
        <w:tc>
          <w:tcPr>
            <w:tcW w:w="740" w:type="pct"/>
            <w:vMerge w:val="restar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RTO</w:t>
            </w:r>
            <w:r>
              <w:rPr>
                <w:rFonts w:hint="eastAsia" w:ascii="Times New Roman" w:hAnsi="Times New Roman" w:eastAsia="Times New Roman" w:cs="Times New Roman"/>
                <w:color w:val="auto"/>
                <w:sz w:val="21"/>
                <w:szCs w:val="21"/>
                <w:highlight w:val="none"/>
                <w:u w:val="none"/>
                <w:lang w:eastAsia="zh-CN"/>
              </w:rPr>
              <w:t>（</w:t>
            </w:r>
            <w:r>
              <w:rPr>
                <w:rFonts w:hint="default" w:ascii="Times New Roman" w:hAnsi="Times New Roman" w:eastAsia="Times New Roman" w:cs="Times New Roman"/>
                <w:color w:val="auto"/>
                <w:sz w:val="21"/>
                <w:szCs w:val="21"/>
                <w:highlight w:val="none"/>
                <w:u w:val="none"/>
              </w:rPr>
              <w:t>过滤箱+蓄热氧化焚烧+急冷+两级碱洗</w:t>
            </w:r>
            <w:r>
              <w:rPr>
                <w:rFonts w:hint="eastAsia" w:ascii="Times New Roman" w:hAnsi="Times New Roman" w:eastAsia="Times New Roman" w:cs="Times New Roman"/>
                <w:color w:val="auto"/>
                <w:sz w:val="21"/>
                <w:szCs w:val="21"/>
                <w:highlight w:val="none"/>
                <w:u w:val="none"/>
                <w:lang w:eastAsia="zh-CN"/>
              </w:rPr>
              <w:t>）</w:t>
            </w:r>
            <w:r>
              <w:rPr>
                <w:rFonts w:hint="default" w:ascii="Times New Roman" w:hAnsi="Times New Roman" w:eastAsia="Times New Roman" w:cs="Times New Roman"/>
                <w:color w:val="auto"/>
                <w:sz w:val="21"/>
                <w:szCs w:val="21"/>
                <w:highlight w:val="none"/>
                <w:u w:val="none"/>
              </w:rPr>
              <w:t>+35m排气筒（DA005）</w:t>
            </w:r>
          </w:p>
        </w:tc>
        <w:tc>
          <w:tcPr>
            <w:tcW w:w="894" w:type="pct"/>
            <w:vMerge w:val="restar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1车间、</w:t>
            </w:r>
            <w:r>
              <w:rPr>
                <w:rFonts w:hint="default" w:ascii="Times New Roman" w:hAnsi="Times New Roman" w:eastAsia="Times New Roman" w:cs="Times New Roman"/>
                <w:color w:val="auto"/>
                <w:sz w:val="21"/>
                <w:szCs w:val="21"/>
                <w:highlight w:val="none"/>
                <w:u w:val="none"/>
              </w:rPr>
              <w:t>9车间、10车间吸收设施新建，RTO新建，其他车间喷淋吸收设施利旧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6" w:hRule="atLeast"/>
        </w:trPr>
        <w:tc>
          <w:tcPr>
            <w:tcW w:w="269"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236"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658"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219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3车间：二级碱洗（利旧）</w:t>
            </w:r>
          </w:p>
        </w:tc>
        <w:tc>
          <w:tcPr>
            <w:tcW w:w="740"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894"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6" w:hRule="atLeast"/>
        </w:trPr>
        <w:tc>
          <w:tcPr>
            <w:tcW w:w="269"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236"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658"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219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5车间：降膜吸收+二级碱洗（利旧）</w:t>
            </w:r>
          </w:p>
        </w:tc>
        <w:tc>
          <w:tcPr>
            <w:tcW w:w="740"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894"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6" w:hRule="atLeast"/>
        </w:trPr>
        <w:tc>
          <w:tcPr>
            <w:tcW w:w="269"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236"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658"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219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7车间：降膜吸收+二级碱洗（利旧）</w:t>
            </w:r>
          </w:p>
        </w:tc>
        <w:tc>
          <w:tcPr>
            <w:tcW w:w="740"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894"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6" w:hRule="atLeast"/>
        </w:trPr>
        <w:tc>
          <w:tcPr>
            <w:tcW w:w="269"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236"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658"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219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9车间：降膜吸收+二级碱洗（新建）</w:t>
            </w:r>
          </w:p>
        </w:tc>
        <w:tc>
          <w:tcPr>
            <w:tcW w:w="740"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894"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0" w:hRule="atLeast"/>
        </w:trPr>
        <w:tc>
          <w:tcPr>
            <w:tcW w:w="269"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236"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658"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219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10车间：降膜吸收+二级碱洗（新建）</w:t>
            </w:r>
          </w:p>
        </w:tc>
        <w:tc>
          <w:tcPr>
            <w:tcW w:w="740"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894"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7"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2</w:t>
            </w:r>
          </w:p>
        </w:tc>
        <w:tc>
          <w:tcPr>
            <w:tcW w:w="236"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658"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MVR废气</w:t>
            </w:r>
          </w:p>
        </w:tc>
        <w:tc>
          <w:tcPr>
            <w:tcW w:w="219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w:t>
            </w:r>
          </w:p>
        </w:tc>
        <w:tc>
          <w:tcPr>
            <w:tcW w:w="740"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894"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7"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3</w:t>
            </w:r>
          </w:p>
        </w:tc>
        <w:tc>
          <w:tcPr>
            <w:tcW w:w="236"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658"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精馏塔不凝气</w:t>
            </w:r>
          </w:p>
        </w:tc>
        <w:tc>
          <w:tcPr>
            <w:tcW w:w="219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w:t>
            </w:r>
          </w:p>
        </w:tc>
        <w:tc>
          <w:tcPr>
            <w:tcW w:w="740"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894"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4"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4</w:t>
            </w:r>
          </w:p>
        </w:tc>
        <w:tc>
          <w:tcPr>
            <w:tcW w:w="236"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658"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污水站废气</w:t>
            </w:r>
          </w:p>
        </w:tc>
        <w:tc>
          <w:tcPr>
            <w:tcW w:w="219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eastAsia="zh-CN"/>
              </w:rPr>
              <w:t>碱喷淋</w:t>
            </w:r>
            <w:r>
              <w:rPr>
                <w:rFonts w:hint="default" w:ascii="Times New Roman" w:hAnsi="Times New Roman" w:eastAsia="Times New Roman" w:cs="Times New Roman"/>
                <w:color w:val="auto"/>
                <w:sz w:val="21"/>
                <w:szCs w:val="21"/>
                <w:highlight w:val="none"/>
                <w:u w:val="none"/>
              </w:rPr>
              <w:t>预处理（利旧）</w:t>
            </w:r>
          </w:p>
        </w:tc>
        <w:tc>
          <w:tcPr>
            <w:tcW w:w="740"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894"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5</w:t>
            </w:r>
          </w:p>
        </w:tc>
        <w:tc>
          <w:tcPr>
            <w:tcW w:w="236"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658"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危废间与化验室废气</w:t>
            </w:r>
          </w:p>
        </w:tc>
        <w:tc>
          <w:tcPr>
            <w:tcW w:w="219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w:t>
            </w:r>
          </w:p>
        </w:tc>
        <w:tc>
          <w:tcPr>
            <w:tcW w:w="740"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894"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5</w:t>
            </w:r>
          </w:p>
        </w:tc>
        <w:tc>
          <w:tcPr>
            <w:tcW w:w="236"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658"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储罐呼吸废气</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依托现有工程已建RTO+35m排气筒（DA001）</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4"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6</w:t>
            </w:r>
          </w:p>
        </w:tc>
        <w:tc>
          <w:tcPr>
            <w:tcW w:w="236"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658"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包装间废气</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新建袋式除尘器+15m排气筒（DA006）</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47"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7</w:t>
            </w:r>
          </w:p>
        </w:tc>
        <w:tc>
          <w:tcPr>
            <w:tcW w:w="236"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658"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危废焚烧炉废气</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eastAsia="zh-CN"/>
              </w:rPr>
              <w:t>3T+E</w:t>
            </w:r>
            <w:r>
              <w:rPr>
                <w:rFonts w:hint="default" w:ascii="Times New Roman" w:hAnsi="Times New Roman" w:eastAsia="Times New Roman" w:cs="Times New Roman"/>
                <w:color w:val="auto"/>
                <w:sz w:val="21"/>
                <w:szCs w:val="21"/>
                <w:highlight w:val="none"/>
                <w:u w:val="none"/>
              </w:rPr>
              <w:t>”燃烧控制+SNCR脱硝+半干急冷塔+干式吸收+布袋除尘器+引风机+</w:t>
            </w:r>
            <w:r>
              <w:rPr>
                <w:rFonts w:hint="eastAsia" w:ascii="Times New Roman" w:hAnsi="Times New Roman" w:eastAsia="宋体" w:cs="Times New Roman"/>
                <w:color w:val="auto"/>
                <w:sz w:val="21"/>
                <w:szCs w:val="21"/>
                <w:highlight w:val="none"/>
                <w:u w:val="none"/>
                <w:lang w:val="en-US" w:eastAsia="zh-CN"/>
              </w:rPr>
              <w:t>2级碱喷淋</w:t>
            </w:r>
            <w:r>
              <w:rPr>
                <w:rFonts w:hint="default" w:ascii="Times New Roman" w:hAnsi="Times New Roman" w:eastAsia="Times New Roman" w:cs="Times New Roman"/>
                <w:color w:val="auto"/>
                <w:sz w:val="21"/>
                <w:szCs w:val="21"/>
                <w:highlight w:val="none"/>
                <w:u w:val="none"/>
              </w:rPr>
              <w:t>+35m烟囱（DA004）</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7"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8</w:t>
            </w:r>
          </w:p>
        </w:tc>
        <w:tc>
          <w:tcPr>
            <w:tcW w:w="236"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658"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食堂油烟</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pacing w:val="-6"/>
                <w:sz w:val="21"/>
                <w:szCs w:val="21"/>
                <w:highlight w:val="none"/>
                <w:u w:val="none"/>
              </w:rPr>
            </w:pPr>
            <w:r>
              <w:rPr>
                <w:rFonts w:hint="default" w:ascii="Times New Roman" w:hAnsi="Times New Roman" w:eastAsia="Times New Roman" w:cs="Times New Roman"/>
                <w:color w:val="auto"/>
                <w:spacing w:val="-6"/>
                <w:sz w:val="21"/>
                <w:szCs w:val="21"/>
                <w:highlight w:val="none"/>
                <w:u w:val="none"/>
              </w:rPr>
              <w:t>油烟净化器处理后由专用烟气道排放（DA007）。</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69" w:type="pct"/>
            <w:vMerge w:val="restar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9</w:t>
            </w:r>
          </w:p>
        </w:tc>
        <w:tc>
          <w:tcPr>
            <w:tcW w:w="236" w:type="pct"/>
            <w:vMerge w:val="restar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废水</w:t>
            </w:r>
          </w:p>
        </w:tc>
        <w:tc>
          <w:tcPr>
            <w:tcW w:w="658" w:type="pct"/>
            <w:vMerge w:val="restar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生产废水</w:t>
            </w:r>
          </w:p>
        </w:tc>
        <w:tc>
          <w:tcPr>
            <w:tcW w:w="2940" w:type="pct"/>
            <w:gridSpan w:val="2"/>
            <w:vAlign w:val="center"/>
          </w:tcPr>
          <w:p>
            <w:pPr>
              <w:spacing w:line="240" w:lineRule="auto"/>
              <w:ind w:firstLine="0" w:firstLineChars="0"/>
              <w:rPr>
                <w:rFonts w:hint="default" w:ascii="Times New Roman" w:hAnsi="Times New Roman" w:eastAsia="Times New Roman" w:cs="Times New Roman"/>
                <w:color w:val="auto"/>
                <w:spacing w:val="-6"/>
                <w:sz w:val="21"/>
                <w:szCs w:val="21"/>
                <w:highlight w:val="none"/>
                <w:u w:val="none"/>
              </w:rPr>
            </w:pPr>
            <w:r>
              <w:rPr>
                <w:rFonts w:hint="default" w:ascii="Times New Roman" w:hAnsi="Times New Roman" w:eastAsia="Times New Roman" w:cs="Times New Roman"/>
                <w:color w:val="auto"/>
                <w:sz w:val="21"/>
                <w:szCs w:val="20"/>
                <w:highlight w:val="none"/>
                <w:u w:val="none"/>
              </w:rPr>
              <w:t>车间工艺废水预处理设施：经车间预处理设施处理后（隔油、沉淀），去蒸发除盐</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3车间、5车间、7车间利用现有，1车间、2车间、9车间、10车间新建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69"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236"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658"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2940" w:type="pct"/>
            <w:gridSpan w:val="2"/>
            <w:vAlign w:val="center"/>
          </w:tcPr>
          <w:p>
            <w:pPr>
              <w:spacing w:line="240" w:lineRule="auto"/>
              <w:ind w:firstLine="0" w:firstLineChars="0"/>
              <w:rPr>
                <w:rFonts w:hint="default" w:ascii="Times New Roman" w:hAnsi="Times New Roman" w:eastAsia="宋体" w:cs="Times New Roman"/>
                <w:color w:val="auto"/>
                <w:sz w:val="21"/>
                <w:szCs w:val="20"/>
                <w:highlight w:val="none"/>
                <w:u w:val="none"/>
                <w:lang w:val="en-US" w:eastAsia="zh-CN"/>
              </w:rPr>
            </w:pPr>
            <w:r>
              <w:rPr>
                <w:rFonts w:hint="default" w:ascii="Times New Roman" w:hAnsi="Times New Roman" w:eastAsia="Times New Roman" w:cs="Times New Roman"/>
                <w:color w:val="auto"/>
                <w:sz w:val="21"/>
                <w:szCs w:val="20"/>
                <w:highlight w:val="none"/>
                <w:u w:val="none"/>
              </w:rPr>
              <w:t>MVR蒸发除盐：经预处理后的车间工艺废水与废气喷淋塔排污水经蒸发驱离二氯甲烷后，进MVR蒸发除盐（10t/h）</w:t>
            </w:r>
            <w:r>
              <w:rPr>
                <w:rFonts w:hint="eastAsia" w:ascii="Times New Roman" w:hAnsi="Times New Roman" w:eastAsia="宋体" w:cs="Times New Roman"/>
                <w:color w:val="auto"/>
                <w:sz w:val="21"/>
                <w:szCs w:val="20"/>
                <w:highlight w:val="none"/>
                <w:u w:val="none"/>
                <w:lang w:eastAsia="zh-CN"/>
              </w:rPr>
              <w:t>，</w:t>
            </w:r>
            <w:r>
              <w:rPr>
                <w:rFonts w:hint="eastAsia" w:ascii="Times New Roman" w:hAnsi="Times New Roman" w:eastAsia="宋体" w:cs="Times New Roman"/>
                <w:color w:val="auto"/>
                <w:sz w:val="21"/>
                <w:szCs w:val="20"/>
                <w:highlight w:val="none"/>
                <w:u w:val="none"/>
                <w:lang w:val="en-US" w:eastAsia="zh-CN"/>
              </w:rPr>
              <w:t>MVR冷凝水进入原水缓存池与其他废水混合降温。</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4" w:hRule="atLeast"/>
        </w:trPr>
        <w:tc>
          <w:tcPr>
            <w:tcW w:w="269"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236"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658"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0"/>
                <w:highlight w:val="none"/>
                <w:u w:val="none"/>
              </w:rPr>
            </w:pPr>
            <w:r>
              <w:rPr>
                <w:rFonts w:hint="default" w:ascii="Times New Roman" w:hAnsi="Times New Roman" w:eastAsia="Times New Roman" w:cs="Times New Roman"/>
                <w:color w:val="auto"/>
                <w:sz w:val="21"/>
                <w:szCs w:val="20"/>
                <w:highlight w:val="none"/>
                <w:u w:val="none"/>
              </w:rPr>
              <w:t>污水站铁碳微电解预处理：经MVR蒸发除盐后的废水以及真空泵废水、设备清洗废水、地面冲洗废水、</w:t>
            </w:r>
            <w:r>
              <w:rPr>
                <w:rFonts w:hint="eastAsia" w:ascii="Times New Roman" w:hAnsi="Times New Roman" w:eastAsia="宋体" w:cs="Times New Roman"/>
                <w:color w:val="auto"/>
                <w:sz w:val="21"/>
                <w:szCs w:val="20"/>
                <w:highlight w:val="none"/>
                <w:u w:val="none"/>
                <w:lang w:val="en-US" w:eastAsia="zh-CN"/>
              </w:rPr>
              <w:t>储罐</w:t>
            </w:r>
            <w:r>
              <w:rPr>
                <w:rFonts w:hint="default" w:ascii="Times New Roman" w:hAnsi="Times New Roman" w:eastAsia="Times New Roman" w:cs="Times New Roman"/>
                <w:color w:val="auto"/>
                <w:sz w:val="21"/>
                <w:szCs w:val="20"/>
                <w:highlight w:val="none"/>
                <w:u w:val="none"/>
              </w:rPr>
              <w:t>冷却水排污水、办公生活与化验废水、循环冷却水系统排污水</w:t>
            </w:r>
            <w:r>
              <w:rPr>
                <w:rFonts w:hint="eastAsia" w:ascii="Times New Roman" w:hAnsi="Times New Roman" w:eastAsia="宋体" w:cs="Times New Roman"/>
                <w:color w:val="auto"/>
                <w:sz w:val="21"/>
                <w:szCs w:val="20"/>
                <w:highlight w:val="none"/>
                <w:u w:val="none"/>
                <w:lang w:val="en-US" w:eastAsia="zh-CN"/>
              </w:rPr>
              <w:t>等</w:t>
            </w:r>
            <w:r>
              <w:rPr>
                <w:rFonts w:hint="default" w:ascii="Times New Roman" w:hAnsi="Times New Roman" w:eastAsia="Times New Roman" w:cs="Times New Roman"/>
                <w:color w:val="auto"/>
                <w:sz w:val="21"/>
                <w:szCs w:val="20"/>
                <w:highlight w:val="none"/>
                <w:u w:val="none"/>
              </w:rPr>
              <w:t>一同进入铁碳微电解预处理</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4" w:hRule="atLeast"/>
        </w:trPr>
        <w:tc>
          <w:tcPr>
            <w:tcW w:w="269"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236"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658"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0"/>
                <w:highlight w:val="none"/>
                <w:u w:val="none"/>
              </w:rPr>
            </w:pPr>
            <w:r>
              <w:rPr>
                <w:rFonts w:hint="default" w:ascii="Times New Roman" w:hAnsi="Times New Roman" w:eastAsia="Times New Roman" w:cs="Times New Roman"/>
                <w:color w:val="auto"/>
                <w:sz w:val="21"/>
                <w:szCs w:val="20"/>
                <w:highlight w:val="none"/>
                <w:u w:val="none"/>
              </w:rPr>
              <w:t>生化处理：经铁碳微电解处理后的废水进入已建的综合废水处理站进行生化处理，</w:t>
            </w:r>
            <w:r>
              <w:rPr>
                <w:rFonts w:hint="eastAsia" w:ascii="Times New Roman" w:hAnsi="Times New Roman" w:eastAsia="宋体" w:cs="Times New Roman"/>
                <w:color w:val="auto"/>
                <w:sz w:val="21"/>
                <w:szCs w:val="20"/>
                <w:highlight w:val="none"/>
                <w:u w:val="none"/>
                <w:lang w:val="en-US" w:eastAsia="zh-CN"/>
              </w:rPr>
              <w:t>生化段</w:t>
            </w:r>
            <w:r>
              <w:rPr>
                <w:rFonts w:hint="default" w:ascii="Times New Roman" w:hAnsi="Times New Roman" w:eastAsia="Times New Roman" w:cs="Times New Roman"/>
                <w:color w:val="auto"/>
                <w:sz w:val="21"/>
                <w:szCs w:val="20"/>
                <w:highlight w:val="none"/>
                <w:u w:val="none"/>
              </w:rPr>
              <w:t>处理工艺：调节池+水解酸化池+沉淀池+UASB+三级A/O+臭氧氧化+沉淀池</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69"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236"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658"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0"/>
                <w:highlight w:val="none"/>
                <w:u w:val="none"/>
              </w:rPr>
            </w:pPr>
            <w:r>
              <w:rPr>
                <w:rFonts w:hint="default" w:ascii="Times New Roman" w:hAnsi="Times New Roman" w:eastAsia="Times New Roman" w:cs="Times New Roman"/>
                <w:color w:val="auto"/>
                <w:sz w:val="21"/>
                <w:szCs w:val="20"/>
                <w:highlight w:val="none"/>
                <w:u w:val="none"/>
              </w:rPr>
              <w:t>纯水制备排污水经总排口排放</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7"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10</w:t>
            </w:r>
          </w:p>
        </w:tc>
        <w:tc>
          <w:tcPr>
            <w:tcW w:w="236"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658"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生活污水</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经隔油池、化粪池预处理后，进入厂区综合废水处理站处理</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7"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11</w:t>
            </w:r>
          </w:p>
        </w:tc>
        <w:tc>
          <w:tcPr>
            <w:tcW w:w="236"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658"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事故水池</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依托现有工程已建的1000m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的事故废水池（污水站南侧）</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7" w:hRule="atLeast"/>
        </w:trPr>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12</w:t>
            </w:r>
          </w:p>
        </w:tc>
        <w:tc>
          <w:tcPr>
            <w:tcW w:w="236" w:type="pct"/>
            <w:vMerge w:val="continue"/>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p>
        </w:tc>
        <w:tc>
          <w:tcPr>
            <w:tcW w:w="658"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初期雨水池</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新建500m</w:t>
            </w:r>
            <w:r>
              <w:rPr>
                <w:rFonts w:hint="default" w:ascii="Times New Roman" w:hAnsi="Times New Roman" w:eastAsia="Times New Roman" w:cs="Times New Roman"/>
                <w:color w:val="auto"/>
                <w:sz w:val="21"/>
                <w:szCs w:val="21"/>
                <w:highlight w:val="none"/>
                <w:u w:val="none"/>
                <w:vertAlign w:val="superscript"/>
              </w:rPr>
              <w:t>3</w:t>
            </w:r>
            <w:r>
              <w:rPr>
                <w:rFonts w:hint="default" w:ascii="Times New Roman" w:hAnsi="Times New Roman" w:eastAsia="Times New Roman" w:cs="Times New Roman"/>
                <w:color w:val="auto"/>
                <w:sz w:val="21"/>
                <w:szCs w:val="21"/>
                <w:highlight w:val="none"/>
                <w:u w:val="none"/>
              </w:rPr>
              <w:t>的初期雨水池</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13</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一般固废</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依托现有工程50m</w:t>
            </w:r>
            <w:r>
              <w:rPr>
                <w:rFonts w:hint="default" w:ascii="Times New Roman" w:hAnsi="Times New Roman" w:eastAsia="Times New Roman" w:cs="Times New Roman"/>
                <w:color w:val="auto"/>
                <w:sz w:val="21"/>
                <w:szCs w:val="21"/>
                <w:highlight w:val="none"/>
                <w:u w:val="none"/>
                <w:vertAlign w:val="superscript"/>
              </w:rPr>
              <w:t>2</w:t>
            </w:r>
            <w:r>
              <w:rPr>
                <w:rFonts w:hint="default" w:ascii="Times New Roman" w:hAnsi="Times New Roman" w:eastAsia="Times New Roman" w:cs="Times New Roman"/>
                <w:color w:val="auto"/>
                <w:sz w:val="21"/>
                <w:szCs w:val="21"/>
                <w:highlight w:val="none"/>
                <w:u w:val="none"/>
              </w:rPr>
              <w:t>的一般固废间</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69"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14</w:t>
            </w:r>
          </w:p>
        </w:tc>
        <w:tc>
          <w:tcPr>
            <w:tcW w:w="895"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危废间</w:t>
            </w:r>
          </w:p>
        </w:tc>
        <w:tc>
          <w:tcPr>
            <w:tcW w:w="2940" w:type="pct"/>
            <w:gridSpan w:val="2"/>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新建一座100m</w:t>
            </w:r>
            <w:r>
              <w:rPr>
                <w:rFonts w:hint="default" w:ascii="Times New Roman" w:hAnsi="Times New Roman" w:eastAsia="Times New Roman" w:cs="Times New Roman"/>
                <w:color w:val="auto"/>
                <w:sz w:val="21"/>
                <w:szCs w:val="21"/>
                <w:highlight w:val="none"/>
                <w:u w:val="none"/>
                <w:vertAlign w:val="superscript"/>
              </w:rPr>
              <w:t>2</w:t>
            </w:r>
            <w:r>
              <w:rPr>
                <w:rFonts w:hint="default" w:ascii="Times New Roman" w:hAnsi="Times New Roman" w:eastAsia="Times New Roman" w:cs="Times New Roman"/>
                <w:color w:val="auto"/>
                <w:sz w:val="21"/>
                <w:szCs w:val="21"/>
                <w:highlight w:val="none"/>
                <w:u w:val="none"/>
              </w:rPr>
              <w:t>的危废间</w:t>
            </w:r>
          </w:p>
        </w:tc>
        <w:tc>
          <w:tcPr>
            <w:tcW w:w="894" w:type="pct"/>
            <w:vAlign w:val="center"/>
          </w:tcPr>
          <w:p>
            <w:pPr>
              <w:spacing w:line="240" w:lineRule="auto"/>
              <w:ind w:firstLine="0" w:firstLineChars="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新建</w:t>
            </w:r>
          </w:p>
        </w:tc>
      </w:tr>
    </w:tbl>
    <w:p>
      <w:pPr>
        <w:pStyle w:val="9"/>
        <w:bidi w:val="0"/>
        <w:rPr>
          <w:rFonts w:hint="default" w:ascii="Times New Roman" w:hAnsi="Times New Roman" w:eastAsia="宋体" w:cs="Times New Roman"/>
          <w:b/>
          <w:bCs/>
          <w:color w:val="auto"/>
          <w:kern w:val="2"/>
          <w:sz w:val="24"/>
          <w:szCs w:val="24"/>
          <w:highlight w:val="none"/>
          <w:u w:val="none"/>
          <w:lang w:val="en-US" w:eastAsia="zh-CN" w:bidi="ar-SA"/>
        </w:rPr>
      </w:pPr>
      <w:bookmarkStart w:id="194" w:name="_Ref23528"/>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10.1</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3</w:t>
      </w:r>
      <w:r>
        <w:rPr>
          <w:color w:val="auto"/>
          <w:highlight w:val="none"/>
          <w:u w:val="none"/>
        </w:rPr>
        <w:fldChar w:fldCharType="end"/>
      </w:r>
      <w:bookmarkEnd w:id="194"/>
      <w:r>
        <w:rPr>
          <w:rFonts w:hint="default" w:ascii="Times New Roman" w:hAnsi="Times New Roman" w:eastAsia="宋体" w:cs="Times New Roman"/>
          <w:b/>
          <w:bCs/>
          <w:color w:val="auto"/>
          <w:kern w:val="2"/>
          <w:sz w:val="24"/>
          <w:szCs w:val="24"/>
          <w:highlight w:val="none"/>
          <w:u w:val="none"/>
          <w:lang w:val="en-US" w:eastAsia="zh-CN" w:bidi="ar-SA"/>
        </w:rPr>
        <w:t xml:space="preserve">  项目原辅材料及</w:t>
      </w:r>
      <w:r>
        <w:rPr>
          <w:rFonts w:hint="eastAsia" w:eastAsia="宋体" w:cs="Times New Roman"/>
          <w:b/>
          <w:bCs/>
          <w:color w:val="auto"/>
          <w:kern w:val="2"/>
          <w:sz w:val="24"/>
          <w:szCs w:val="24"/>
          <w:highlight w:val="none"/>
          <w:u w:val="none"/>
          <w:lang w:val="en-US" w:eastAsia="zh-CN" w:bidi="ar-SA"/>
        </w:rPr>
        <w:t>组分要求</w:t>
      </w:r>
      <w:r>
        <w:rPr>
          <w:rFonts w:hint="default" w:ascii="Times New Roman" w:hAnsi="Times New Roman" w:eastAsia="宋体" w:cs="Times New Roman"/>
          <w:b/>
          <w:bCs/>
          <w:color w:val="auto"/>
          <w:kern w:val="2"/>
          <w:sz w:val="24"/>
          <w:szCs w:val="24"/>
          <w:highlight w:val="none"/>
          <w:u w:val="none"/>
          <w:lang w:val="en-US" w:eastAsia="zh-CN" w:bidi="ar-SA"/>
        </w:rPr>
        <w:t>一览表</w:t>
      </w:r>
    </w:p>
    <w:tbl>
      <w:tblPr>
        <w:tblStyle w:val="1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86"/>
        <w:gridCol w:w="1049"/>
        <w:gridCol w:w="1236"/>
        <w:gridCol w:w="709"/>
        <w:gridCol w:w="756"/>
        <w:gridCol w:w="741"/>
        <w:gridCol w:w="867"/>
        <w:gridCol w:w="762"/>
        <w:gridCol w:w="648"/>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9" w:hRule="atLeast"/>
        </w:trPr>
        <w:tc>
          <w:tcPr>
            <w:tcW w:w="43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bookmarkStart w:id="195" w:name="OLE_LINK19"/>
            <w:r>
              <w:rPr>
                <w:rFonts w:hint="default" w:ascii="Times New Roman" w:hAnsi="Times New Roman" w:eastAsia="宋体" w:cs="Times New Roman"/>
                <w:color w:val="auto"/>
                <w:kern w:val="2"/>
                <w:sz w:val="21"/>
                <w:highlight w:val="none"/>
                <w:u w:val="none"/>
                <w:lang w:val="en-US" w:eastAsia="zh-CN" w:bidi="ar-SA"/>
              </w:rPr>
              <w:t>序号</w:t>
            </w:r>
          </w:p>
        </w:tc>
        <w:tc>
          <w:tcPr>
            <w:tcW w:w="484"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产品</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物料名称</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用途</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规格</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批耗</w:t>
            </w:r>
            <w:r>
              <w:rPr>
                <w:rFonts w:hint="default" w:ascii="Times New Roman" w:hAnsi="Times New Roman" w:eastAsia="宋体" w:cs="Times New Roman"/>
                <w:color w:val="auto"/>
                <w:kern w:val="2"/>
                <w:sz w:val="21"/>
                <w:highlight w:val="none"/>
                <w:u w:val="none"/>
                <w:vertAlign w:val="superscript"/>
                <w:lang w:val="en-US" w:eastAsia="zh-CN" w:bidi="ar-SA"/>
              </w:rPr>
              <w:t>1</w:t>
            </w:r>
            <w:r>
              <w:rPr>
                <w:rFonts w:hint="default" w:ascii="Times New Roman" w:hAnsi="Times New Roman" w:eastAsia="宋体" w:cs="Times New Roman"/>
                <w:color w:val="auto"/>
                <w:kern w:val="2"/>
                <w:sz w:val="21"/>
                <w:highlight w:val="none"/>
                <w:u w:val="none"/>
                <w:lang w:val="en-US" w:eastAsia="zh-CN" w:bidi="ar-SA"/>
              </w:rPr>
              <w:t>（kg/批次）</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年耗</w:t>
            </w:r>
            <w:r>
              <w:rPr>
                <w:rFonts w:hint="default" w:ascii="Times New Roman" w:hAnsi="Times New Roman" w:eastAsia="宋体" w:cs="Times New Roman"/>
                <w:color w:val="auto"/>
                <w:kern w:val="2"/>
                <w:sz w:val="21"/>
                <w:highlight w:val="none"/>
                <w:u w:val="none"/>
                <w:vertAlign w:val="superscript"/>
                <w:lang w:val="en-US" w:eastAsia="zh-CN" w:bidi="ar-SA"/>
              </w:rPr>
              <w:t>2</w:t>
            </w:r>
            <w:r>
              <w:rPr>
                <w:rFonts w:hint="default" w:ascii="Times New Roman" w:hAnsi="Times New Roman" w:eastAsia="宋体" w:cs="Times New Roman"/>
                <w:color w:val="auto"/>
                <w:kern w:val="2"/>
                <w:sz w:val="21"/>
                <w:highlight w:val="none"/>
                <w:u w:val="none"/>
                <w:lang w:val="en-US" w:eastAsia="zh-CN" w:bidi="ar-SA"/>
              </w:rPr>
              <w:t>（t/a）</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储存位置</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最大储存量</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包装规格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5000" w:type="pct"/>
            <w:gridSpan w:val="10"/>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马来酸依那普利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1</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依那</w:t>
            </w:r>
          </w:p>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普利</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依那普利氢化物酸酐</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125.5</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25.1</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2</w:t>
            </w:r>
            <w:r>
              <w:rPr>
                <w:rFonts w:hint="default" w:ascii="Times New Roman" w:hAnsi="Times New Roman" w:eastAsia="宋体" w:cs="Times New Roman"/>
                <w:color w:val="auto"/>
                <w:kern w:val="2"/>
                <w:sz w:val="21"/>
                <w:highlight w:val="none"/>
                <w:u w:val="none"/>
                <w:lang w:val="en-US" w:eastAsia="zh-CN" w:bidi="ar-SA"/>
              </w:rPr>
              <w:t>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2</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L-脯氨酸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56</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11.2</w:t>
            </w:r>
          </w:p>
        </w:tc>
        <w:tc>
          <w:tcPr>
            <w:tcW w:w="475" w:type="pct"/>
            <w:shd w:val="clear" w:color="auto" w:fill="auto"/>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trPr>
        <w:tc>
          <w:tcPr>
            <w:tcW w:w="430"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3</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乙酸乙酯</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6.3284</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430"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4</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马来酸依那普利</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马来酸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5</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乙醇</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401</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7.404</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5000" w:type="pct"/>
            <w:gridSpan w:val="10"/>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奥美沙坦酯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430"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6</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三苯甲基奥美沙坦乙酯（OM-05）</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OM-04</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165</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15t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430"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7</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碳酸钾</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160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105.6</w:t>
            </w:r>
          </w:p>
        </w:tc>
        <w:tc>
          <w:tcPr>
            <w:tcW w:w="475" w:type="pct"/>
            <w:shd w:val="clear" w:color="auto" w:fill="auto"/>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8</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BBTT</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96%</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396</w:t>
            </w:r>
          </w:p>
        </w:tc>
        <w:tc>
          <w:tcPr>
            <w:tcW w:w="475" w:type="pct"/>
            <w:shd w:val="clear" w:color="auto" w:fill="auto"/>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9</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丙酮</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570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59.7742</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trPr>
        <w:tc>
          <w:tcPr>
            <w:tcW w:w="430"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w:t>
            </w:r>
            <w:r>
              <w:rPr>
                <w:rFonts w:hint="eastAsia" w:ascii="Times New Roman" w:hAnsi="Times New Roman" w:eastAsia="宋体" w:cs="Times New Roman"/>
                <w:color w:val="auto"/>
                <w:kern w:val="2"/>
                <w:sz w:val="21"/>
                <w:highlight w:val="none"/>
                <w:u w:val="none"/>
                <w:lang w:val="en-US" w:eastAsia="zh-CN" w:bidi="ar-SA"/>
              </w:rPr>
              <w:t>0</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三苯甲基奥美沙坦酸（OM-06）</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氢氧化钾</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19.8</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w:t>
            </w:r>
            <w:r>
              <w:rPr>
                <w:rFonts w:hint="eastAsia" w:ascii="Times New Roman" w:hAnsi="Times New Roman" w:eastAsia="宋体" w:cs="Times New Roman"/>
                <w:color w:val="auto"/>
                <w:kern w:val="2"/>
                <w:sz w:val="21"/>
                <w:highlight w:val="none"/>
                <w:u w:val="none"/>
                <w:lang w:val="en-US" w:eastAsia="zh-CN" w:bidi="ar-SA"/>
              </w:rPr>
              <w:t>1</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乙醇</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1</w:t>
            </w:r>
            <w:r>
              <w:rPr>
                <w:rFonts w:hint="default" w:ascii="Times New Roman" w:hAnsi="Times New Roman" w:eastAsia="宋体" w:cs="Times New Roman"/>
                <w:color w:val="auto"/>
                <w:kern w:val="2"/>
                <w:sz w:val="21"/>
                <w:highlight w:val="none"/>
                <w:u w:val="none"/>
                <w:lang w:val="en-US" w:eastAsia="zh-CN" w:bidi="ar-SA"/>
              </w:rPr>
              <w:t>30</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30"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w:t>
            </w:r>
            <w:r>
              <w:rPr>
                <w:rFonts w:hint="eastAsia" w:ascii="Times New Roman" w:hAnsi="Times New Roman" w:eastAsia="宋体" w:cs="Times New Roman"/>
                <w:color w:val="auto"/>
                <w:kern w:val="2"/>
                <w:sz w:val="21"/>
                <w:highlight w:val="none"/>
                <w:u w:val="none"/>
                <w:lang w:val="en-US" w:eastAsia="zh-CN" w:bidi="ar-SA"/>
              </w:rPr>
              <w:t>2</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乙酸乙酯</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93.154</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430"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w:t>
            </w:r>
            <w:r>
              <w:rPr>
                <w:rFonts w:hint="eastAsia" w:ascii="Times New Roman" w:hAnsi="Times New Roman" w:eastAsia="宋体" w:cs="Times New Roman"/>
                <w:color w:val="auto"/>
                <w:kern w:val="2"/>
                <w:sz w:val="21"/>
                <w:highlight w:val="none"/>
                <w:u w:val="none"/>
                <w:lang w:val="en-US" w:eastAsia="zh-CN" w:bidi="ar-SA"/>
              </w:rPr>
              <w:t>3</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乙酸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35</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23.1</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w:t>
            </w:r>
            <w:r>
              <w:rPr>
                <w:rFonts w:hint="eastAsia" w:ascii="Times New Roman" w:hAnsi="Times New Roman" w:eastAsia="宋体" w:cs="Times New Roman"/>
                <w:color w:val="auto"/>
                <w:kern w:val="2"/>
                <w:sz w:val="21"/>
                <w:highlight w:val="none"/>
                <w:u w:val="none"/>
                <w:lang w:val="en-US" w:eastAsia="zh-CN" w:bidi="ar-SA"/>
              </w:rPr>
              <w:t>4</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三苯甲基奥美沙坦酯（OM-07）</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丙酮</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1152</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30.5108</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w:t>
            </w:r>
            <w:r>
              <w:rPr>
                <w:rFonts w:hint="eastAsia" w:ascii="Times New Roman" w:hAnsi="Times New Roman" w:eastAsia="宋体" w:cs="Times New Roman"/>
                <w:color w:val="auto"/>
                <w:kern w:val="2"/>
                <w:sz w:val="21"/>
                <w:highlight w:val="none"/>
                <w:u w:val="none"/>
                <w:lang w:val="en-US" w:eastAsia="zh-CN" w:bidi="ar-SA"/>
              </w:rPr>
              <w:t>5</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碳酸钾</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62</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40.92</w:t>
            </w:r>
          </w:p>
        </w:tc>
        <w:tc>
          <w:tcPr>
            <w:tcW w:w="475" w:type="pct"/>
            <w:shd w:val="clear" w:color="auto" w:fill="auto"/>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430"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w:t>
            </w:r>
            <w:r>
              <w:rPr>
                <w:rFonts w:hint="eastAsia" w:ascii="Times New Roman" w:hAnsi="Times New Roman" w:eastAsia="宋体" w:cs="Times New Roman"/>
                <w:color w:val="auto"/>
                <w:kern w:val="2"/>
                <w:sz w:val="21"/>
                <w:highlight w:val="none"/>
                <w:u w:val="none"/>
                <w:lang w:val="en-US" w:eastAsia="zh-CN" w:bidi="ar-SA"/>
              </w:rPr>
              <w:t>6</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碘化钾</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w:t>
            </w:r>
          </w:p>
        </w:tc>
        <w:tc>
          <w:tcPr>
            <w:tcW w:w="475" w:type="pct"/>
            <w:shd w:val="clear" w:color="auto" w:fill="auto"/>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0.4t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17</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乙酸乙酯</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54.61</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3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18</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DMDO-Cl</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92%</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140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92</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19</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奥美沙坦酯（OM-08）</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二氯甲烷</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800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19.649</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20</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甲醇</w:t>
            </w:r>
          </w:p>
        </w:tc>
        <w:tc>
          <w:tcPr>
            <w:tcW w:w="443"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66</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21</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盐酸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31%</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710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469</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43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22</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乙醇</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1300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61.03</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5000" w:type="pct"/>
            <w:gridSpan w:val="10"/>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堪地沙坦酯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2"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23</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坎地酰氯（C2）</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2-羧基-3-硝基苯甲酸乙酯</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361.8</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175</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15t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24</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氯化亚砜</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213.8</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103</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25</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甲苯</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12</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26</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2-[叔丁氧羰基氨基]-3-硝基苯甲酸乙酯（C3）</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二氯甲烷</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20.175</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27</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叠氮化钠</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98.7</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48</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剧毒品仓库</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2.5</w:t>
            </w:r>
            <w:r>
              <w:rPr>
                <w:rFonts w:hint="default" w:ascii="Times New Roman" w:hAnsi="Times New Roman" w:eastAsia="宋体" w:cs="Times New Roman"/>
                <w:color w:val="auto"/>
                <w:kern w:val="2"/>
                <w:sz w:val="21"/>
                <w:highlight w:val="none"/>
                <w:u w:val="none"/>
                <w:lang w:val="en-US" w:eastAsia="zh-CN" w:bidi="ar-SA"/>
              </w:rPr>
              <w:t>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28</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无水硫酸钠</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48</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8t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29</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叔丁醇</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131.6</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64</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150kg/桶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30</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2-[[(2'-氰基联苯-4-基)甲基]氨基]-3-硝基苯甲酸乙酯（C4）</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丙酮</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1700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39.7471</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31</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无水碳酸钾</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98.7</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48</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32</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溴联苯</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335.4</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162</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15t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33</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甲醇</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72.9813</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34</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盐酸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31%</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147</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71</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35</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2-乙氧基-1-[[(2'-氰基联苯-4-取代)甲基]苯并咪唑]-7-羧酸乙酯（C6）</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水合肼</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80%</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70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33.81</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36</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乙醇</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 xml:space="preserve">2.652 </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37</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活性炭</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24</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7kg/袋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38</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原碳酸四乙酯</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201.2</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97.2</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39</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乙酸乙酯</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 xml:space="preserve">42.515 </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40</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坎地沙坦（C8）</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三丁基叠氮化锡</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310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67.89</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41</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甲苯</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16.3593</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42</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氢氧化钠</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68.8</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15</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43</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盐酸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31%</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215</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47</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44</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乙醇</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1.095</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1"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45</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三苯甲基坎地沙坦（C9）</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三苯基氯甲烷</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285.4</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63</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46</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三乙胺</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120.3</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26</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47</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二氯甲烷</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 xml:space="preserve">28.302 </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48</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盐酸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36%</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11</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49</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无水硫酸钠</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22</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8t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50</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乙醇</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660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 xml:space="preserve">18.534 </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4"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51</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三苯甲基坎地沙坦西来替昔酯（C10）</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1－氯乙基环乙碳酸酯</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184.4</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40</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52</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碳酸钾</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132.9</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29</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53</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乙酸乙酯</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1220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 xml:space="preserve">24.705 </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54</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坎地沙坦酯</w:t>
            </w:r>
          </w:p>
        </w:tc>
        <w:tc>
          <w:tcPr>
            <w:tcW w:w="761"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乙醇</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131.4</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55</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盐酸甲醇</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107</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23</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56</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二氯甲烷</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1600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18.2427</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57</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氨水</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26%</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58</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13</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58</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无水硫酸钠</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30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6.57</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8t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59</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无水乙醇</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800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 xml:space="preserve">14.447 </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5000" w:type="pct"/>
            <w:gridSpan w:val="10"/>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阿奇沙坦酯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trPr>
        <w:tc>
          <w:tcPr>
            <w:tcW w:w="43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60</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阿奇沙坦A7</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盐酸羟胺</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185</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74</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8t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43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61</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碳酸钠</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40</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trPr>
        <w:tc>
          <w:tcPr>
            <w:tcW w:w="43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62</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乙醇</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45.748</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63</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阿奇沙坦A9</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碳酸钠</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57</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22.8</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trPr>
        <w:tc>
          <w:tcPr>
            <w:tcW w:w="43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64</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氯甲酸乙酯</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24</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65</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乙酸乙酯</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1100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39.14</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66</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乙醇</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330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9.288</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67</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阿奇沙坦A10</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氢氧化钠</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55</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22</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68</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盐酸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31%</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170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68</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2" w:hRule="atLeast"/>
        </w:trPr>
        <w:tc>
          <w:tcPr>
            <w:tcW w:w="43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69</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阿奇沙坦A11</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DMDO-OH</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95%</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24</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70</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碳酸钾</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辅料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80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32</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71</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乙醇</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490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196</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5000" w:type="pct"/>
            <w:gridSpan w:val="10"/>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洛索洛芬钠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72</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2-苯基丙酸</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苯乙腈</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510</w:t>
            </w:r>
          </w:p>
        </w:tc>
        <w:tc>
          <w:tcPr>
            <w:tcW w:w="538"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428.4</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2</w:t>
            </w:r>
            <w:r>
              <w:rPr>
                <w:rFonts w:hint="default" w:ascii="Times New Roman" w:hAnsi="Times New Roman" w:eastAsia="宋体" w:cs="Times New Roman"/>
                <w:color w:val="auto"/>
                <w:kern w:val="2"/>
                <w:sz w:val="21"/>
                <w:highlight w:val="none"/>
                <w:u w:val="none"/>
                <w:lang w:val="en-US" w:eastAsia="zh-CN" w:bidi="ar-SA"/>
              </w:rPr>
              <w:t>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73</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碳酸二甲酯</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w:t>
            </w:r>
            <w:r>
              <w:rPr>
                <w:rFonts w:hint="eastAsia" w:ascii="Times New Roman" w:hAnsi="Times New Roman" w:eastAsia="宋体" w:cs="Times New Roman"/>
                <w:color w:val="auto"/>
                <w:kern w:val="2"/>
                <w:sz w:val="21"/>
                <w:highlight w:val="none"/>
                <w:u w:val="none"/>
                <w:lang w:val="en-US" w:eastAsia="zh-CN" w:bidi="ar-SA"/>
              </w:rPr>
              <w:t>0</w:t>
            </w:r>
            <w:r>
              <w:rPr>
                <w:rFonts w:hint="default" w:ascii="Times New Roman" w:hAnsi="Times New Roman" w:eastAsia="宋体" w:cs="Times New Roman"/>
                <w:color w:val="auto"/>
                <w:kern w:val="2"/>
                <w:sz w:val="21"/>
                <w:highlight w:val="none"/>
                <w:u w:val="none"/>
                <w:lang w:val="en-US" w:eastAsia="zh-CN" w:bidi="ar-SA"/>
              </w:rPr>
              <w:t>0</w:t>
            </w:r>
          </w:p>
        </w:tc>
        <w:tc>
          <w:tcPr>
            <w:tcW w:w="538"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336</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74</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甲苯</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1000</w:t>
            </w:r>
          </w:p>
        </w:tc>
        <w:tc>
          <w:tcPr>
            <w:tcW w:w="538"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840</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75</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甲醇</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c>
          <w:tcPr>
            <w:tcW w:w="538"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76</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液碱</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32%</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6</w:t>
            </w:r>
            <w:r>
              <w:rPr>
                <w:rFonts w:hint="default" w:ascii="Times New Roman" w:hAnsi="Times New Roman" w:eastAsia="宋体" w:cs="Times New Roman"/>
                <w:color w:val="auto"/>
                <w:kern w:val="2"/>
                <w:sz w:val="21"/>
                <w:highlight w:val="none"/>
                <w:u w:val="none"/>
                <w:lang w:val="en-US" w:eastAsia="zh-CN" w:bidi="ar-SA"/>
              </w:rPr>
              <w:t>00</w:t>
            </w:r>
          </w:p>
        </w:tc>
        <w:tc>
          <w:tcPr>
            <w:tcW w:w="538"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504</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77</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浓硫酸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230</w:t>
            </w:r>
          </w:p>
        </w:tc>
        <w:tc>
          <w:tcPr>
            <w:tcW w:w="538"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193.2</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78</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对溴甲基苯基丙酸</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多聚甲醛</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120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100.8</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79</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氢溴酸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670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562.8</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25</w:t>
            </w:r>
            <w:r>
              <w:rPr>
                <w:rFonts w:hint="default" w:ascii="Times New Roman" w:hAnsi="Times New Roman" w:eastAsia="宋体" w:cs="Times New Roman"/>
                <w:color w:val="auto"/>
                <w:kern w:val="2"/>
                <w:sz w:val="21"/>
                <w:highlight w:val="none"/>
                <w:u w:val="none"/>
                <w:lang w:val="en-US" w:eastAsia="zh-CN" w:bidi="ar-SA"/>
              </w:rPr>
              <w:t>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270kg/桶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80</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浓硫酸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150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126</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81</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二氯甲烷</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930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20.9586</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82</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乙腈</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470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26.9346</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10车间中转罐区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2"/>
                <w:highlight w:val="none"/>
                <w:u w:val="none"/>
                <w:lang w:val="en-US" w:eastAsia="zh-CN" w:bidi="ar-SA"/>
              </w:rPr>
              <w:t>2</w:t>
            </w:r>
            <w:r>
              <w:rPr>
                <w:rFonts w:hint="default" w:ascii="Times New Roman" w:hAnsi="Times New Roman" w:eastAsia="宋体" w:cs="Times New Roman"/>
                <w:color w:val="auto"/>
                <w:kern w:val="2"/>
                <w:sz w:val="21"/>
                <w:highlight w:val="none"/>
                <w:u w:val="none"/>
                <w:lang w:val="en-US" w:eastAsia="zh-CN" w:bidi="ar-SA"/>
              </w:rPr>
              <w:t>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83</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洛索洛芬钠</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甲醇</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74.0124</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84</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甲苯</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1400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39.1944</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85</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碳酸钾</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140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117.6</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86</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羰基环戊酮</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350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294</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87</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盐酸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辅料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31%</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1300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1092.0</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88</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冰醋酸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辅料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42</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89</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乙醇</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1120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91.434</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90</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液碱</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32%</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280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235.2</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5000" w:type="pct"/>
            <w:gridSpan w:val="10"/>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替米沙坦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91</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N-甲基邻苯二胺盐酸盐（5车间）</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邻硝基氯苯</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243</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92</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一甲胺</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160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129.6</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气体间</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8t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450kg/瓶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93</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乙醇</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126.24</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22.1454</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9"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94</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氢气</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99.90%</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16.2</w:t>
            </w:r>
          </w:p>
        </w:tc>
        <w:tc>
          <w:tcPr>
            <w:tcW w:w="475"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9</w:t>
            </w:r>
            <w:r>
              <w:rPr>
                <w:rFonts w:hint="default" w:ascii="Times New Roman" w:hAnsi="Times New Roman" w:eastAsia="宋体" w:cs="Times New Roman"/>
                <w:color w:val="auto"/>
                <w:kern w:val="2"/>
                <w:sz w:val="21"/>
                <w:highlight w:val="none"/>
                <w:u w:val="none"/>
                <w:lang w:val="en-US" w:eastAsia="zh-CN" w:bidi="ar-SA"/>
              </w:rPr>
              <w:t>车间氢气</w:t>
            </w:r>
            <w:r>
              <w:rPr>
                <w:rFonts w:hint="eastAsia" w:ascii="Times New Roman" w:hAnsi="Times New Roman" w:eastAsia="宋体" w:cs="Times New Roman"/>
                <w:color w:val="auto"/>
                <w:kern w:val="2"/>
                <w:sz w:val="21"/>
                <w:highlight w:val="none"/>
                <w:u w:val="none"/>
                <w:lang w:val="en-US" w:eastAsia="zh-CN" w:bidi="ar-SA"/>
              </w:rPr>
              <w:t>间</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0.5t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40L/瓶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95</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盐酸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36%</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486</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96</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氮气</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置换气体</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20.25</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制氮</w:t>
            </w:r>
          </w:p>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机房</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9"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97</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雷尼镍</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催化剂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8.1</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50kg/瓶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98</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溴甲酯（3车间）</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氰基联苯</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425</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99</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液碱</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32%</w:t>
            </w:r>
          </w:p>
        </w:tc>
        <w:tc>
          <w:tcPr>
            <w:tcW w:w="462" w:type="pct"/>
            <w:shd w:val="clear" w:color="auto" w:fill="auto"/>
            <w:vAlign w:val="bottom"/>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350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297.5</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100</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盐酸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31%</w:t>
            </w:r>
          </w:p>
        </w:tc>
        <w:tc>
          <w:tcPr>
            <w:tcW w:w="462" w:type="pct"/>
            <w:shd w:val="clear" w:color="auto" w:fill="auto"/>
            <w:vAlign w:val="bottom"/>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414.8</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 xml:space="preserve">352.6 </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101</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二氯甲烷</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540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 xml:space="preserve">19.715 </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102</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甲醇</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206</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98.498</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1"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103</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硫酸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36</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30.6</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104</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偶氮二异丁腈</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2.6</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2.21</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0.2t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105</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氢溴酸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428</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363.8</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25</w:t>
            </w:r>
            <w:r>
              <w:rPr>
                <w:rFonts w:hint="default" w:ascii="Times New Roman" w:hAnsi="Times New Roman" w:eastAsia="宋体" w:cs="Times New Roman"/>
                <w:color w:val="auto"/>
                <w:kern w:val="2"/>
                <w:sz w:val="21"/>
                <w:highlight w:val="none"/>
                <w:u w:val="none"/>
                <w:lang w:val="en-US" w:eastAsia="zh-CN" w:bidi="ar-SA"/>
              </w:rPr>
              <w:t>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270kg/桶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106</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双氧水</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291</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247.35</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易制爆仓库</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107</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乙酸乙酯</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540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45.311</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108</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乙醇</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238</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41.5905</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109</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4-氨基-3-甲基苯甲酸（5车间）</w:t>
            </w:r>
          </w:p>
        </w:tc>
        <w:tc>
          <w:tcPr>
            <w:tcW w:w="4085" w:type="pct"/>
            <w:gridSpan w:val="8"/>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3-甲基-4硝基苯甲酸滤饼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110</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2,4-二甲基硝基苯</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230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414</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150kg/桶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111</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氧气</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180</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8</w:t>
            </w:r>
            <w:r>
              <w:rPr>
                <w:rFonts w:hint="default" w:ascii="Times New Roman" w:hAnsi="Times New Roman" w:eastAsia="宋体" w:cs="Times New Roman"/>
                <w:color w:val="auto"/>
                <w:kern w:val="2"/>
                <w:sz w:val="21"/>
                <w:szCs w:val="21"/>
                <w:highlight w:val="none"/>
                <w:u w:val="none"/>
                <w:lang w:val="en-US" w:eastAsia="zh-CN" w:bidi="ar-SA"/>
              </w:rPr>
              <w:t>车间氧气房</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16t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8kg/瓶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112</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硝酸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50%</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140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252</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易制爆仓库</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113</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碳酸钠</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辅料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75</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135</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114</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氮气</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辅料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45</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制氮</w:t>
            </w:r>
          </w:p>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机房</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115</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盐酸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辅料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31%</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223</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401.4</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116</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4085" w:type="pct"/>
            <w:gridSpan w:val="8"/>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4-氨基-3-甲基苯甲酸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117</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液碱</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32%</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270</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118</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氢气</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27</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氢气</w:t>
            </w:r>
          </w:p>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库</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0.5t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40L/瓶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119</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盐酸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辅料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31%</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270</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120</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保险粉</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辅料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0.9</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0.1t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121</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氮气</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辅料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22.5</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制氮</w:t>
            </w:r>
          </w:p>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机房</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122</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雷尼镍</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催化剂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1.8</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0.2t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50kg/瓶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123</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亚胺酰胺（7车间）</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丁腈盐</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313.2</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2"/>
                <w:szCs w:val="22"/>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124</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碳酸钠</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105</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91.35</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125</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液碱</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32%</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255</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51.11</w:t>
            </w:r>
            <w:r>
              <w:rPr>
                <w:rFonts w:hint="eastAsia" w:ascii="Times New Roman" w:hAnsi="Times New Roman" w:eastAsia="宋体" w:cs="Times New Roman"/>
                <w:color w:val="auto"/>
                <w:kern w:val="2"/>
                <w:sz w:val="21"/>
                <w:highlight w:val="none"/>
                <w:u w:val="none"/>
                <w:lang w:val="en-US" w:eastAsia="zh-CN" w:bidi="ar-SA"/>
              </w:rPr>
              <w:t>3</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126</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甲苯</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22.5765</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127</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单咪唑（7车间）</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次氯酸钠</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1435</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1248.5</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7车间中转罐区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128</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液碱</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32%</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310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269.7</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129</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活性炭</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吸附剂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5.22</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7kg/袋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130</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盐酸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31%</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261</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131</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双咪唑（7车间）</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五氧化二磷</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20.3</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132</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甲基磺酸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20.3</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仓库1</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133</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活性炭</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吸附剂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10.2</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7kg/袋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134</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液碱</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32%</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131</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1421</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135</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异丙醇</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1370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113.02</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136</w:t>
            </w:r>
          </w:p>
        </w:tc>
        <w:tc>
          <w:tcPr>
            <w:tcW w:w="484" w:type="pct"/>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替米沙坦（3车间）</w:t>
            </w: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碳酸钾</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98%</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100.0</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40t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137</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乙醇</w:t>
            </w:r>
          </w:p>
        </w:tc>
        <w:tc>
          <w:tcPr>
            <w:tcW w:w="443"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2</w:t>
            </w:r>
            <w:r>
              <w:rPr>
                <w:rFonts w:hint="default" w:ascii="Times New Roman" w:hAnsi="Times New Roman" w:eastAsia="宋体" w:cs="Times New Roman"/>
                <w:color w:val="auto"/>
                <w:kern w:val="2"/>
                <w:sz w:val="21"/>
                <w:highlight w:val="none"/>
                <w:u w:val="none"/>
                <w:lang w:val="en-US" w:eastAsia="zh-CN" w:bidi="ar-SA"/>
              </w:rPr>
              <w:t>30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2</w:t>
            </w:r>
            <w:r>
              <w:rPr>
                <w:rFonts w:hint="default" w:ascii="Times New Roman" w:hAnsi="Times New Roman" w:eastAsia="宋体" w:cs="Times New Roman"/>
                <w:color w:val="auto"/>
                <w:kern w:val="2"/>
                <w:sz w:val="21"/>
                <w:highlight w:val="none"/>
                <w:u w:val="none"/>
                <w:lang w:val="en-US" w:eastAsia="zh-CN" w:bidi="ar-SA"/>
              </w:rPr>
              <w:t>30</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138</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highlight w:val="none"/>
                <w:u w:val="none"/>
                <w:lang w:val="en-US" w:eastAsia="zh-CN" w:bidi="ar-SA"/>
              </w:rPr>
            </w:pPr>
            <w:r>
              <w:rPr>
                <w:rFonts w:hint="eastAsia" w:ascii="Times New Roman" w:hAnsi="Times New Roman" w:eastAsia="宋体" w:cs="Times New Roman"/>
                <w:color w:val="auto"/>
                <w:kern w:val="2"/>
                <w:sz w:val="21"/>
                <w:highlight w:val="none"/>
                <w:u w:val="none"/>
                <w:lang w:val="en-US" w:eastAsia="zh-CN" w:bidi="ar-SA"/>
              </w:rPr>
              <w:t>乙酸乙酯</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320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34.652</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139</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甲醇</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溶剂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99%</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425</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18.01</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140</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液碱</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32%</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175</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175.0</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141</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活性炭</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吸附剂</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10.0</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仓库2</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5t</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7kg/袋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430" w:type="pct"/>
            <w:shd w:val="clear" w:color="auto" w:fill="auto"/>
            <w:vAlign w:val="center"/>
          </w:tcPr>
          <w:p>
            <w:pPr>
              <w:widowControl w:val="0"/>
              <w:bidi w:val="0"/>
              <w:spacing w:line="240" w:lineRule="auto"/>
              <w:ind w:firstLine="0" w:firstLineChars="0"/>
              <w:jc w:val="center"/>
              <w:rPr>
                <w:rFonts w:hint="default" w:ascii="Times New Roman" w:hAnsi="Times New Roman" w:eastAsia="宋体" w:cs="Times New Roman"/>
                <w:color w:val="auto"/>
                <w:kern w:val="2"/>
                <w:sz w:val="21"/>
                <w:u w:val="none"/>
                <w:lang w:val="en-US" w:eastAsia="zh-CN" w:bidi="ar-SA"/>
              </w:rPr>
            </w:pPr>
            <w:r>
              <w:rPr>
                <w:rFonts w:hint="eastAsia" w:ascii="Times New Roman" w:hAnsi="Times New Roman" w:eastAsia="宋体" w:cs="Times New Roman"/>
                <w:color w:val="auto"/>
                <w:kern w:val="2"/>
                <w:sz w:val="21"/>
                <w:u w:val="none"/>
                <w:lang w:val="en-US" w:eastAsia="zh-CN" w:bidi="ar-SA"/>
              </w:rPr>
              <w:t>142</w:t>
            </w:r>
          </w:p>
        </w:tc>
        <w:tc>
          <w:tcPr>
            <w:tcW w:w="484" w:type="pct"/>
            <w:vMerge w:val="continue"/>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p>
        </w:tc>
        <w:tc>
          <w:tcPr>
            <w:tcW w:w="76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盐酸</w:t>
            </w:r>
          </w:p>
        </w:tc>
        <w:tc>
          <w:tcPr>
            <w:tcW w:w="44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原料</w:t>
            </w:r>
          </w:p>
        </w:tc>
        <w:tc>
          <w:tcPr>
            <w:tcW w:w="47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31%</w:t>
            </w:r>
          </w:p>
        </w:tc>
        <w:tc>
          <w:tcPr>
            <w:tcW w:w="46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170</w:t>
            </w:r>
          </w:p>
        </w:tc>
        <w:tc>
          <w:tcPr>
            <w:tcW w:w="53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170.0</w:t>
            </w:r>
          </w:p>
        </w:tc>
        <w:tc>
          <w:tcPr>
            <w:tcW w:w="47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罐区</w:t>
            </w:r>
          </w:p>
        </w:tc>
        <w:tc>
          <w:tcPr>
            <w:tcW w:w="406"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52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5000" w:type="pct"/>
            <w:gridSpan w:val="10"/>
            <w:shd w:val="clear" w:color="auto" w:fill="auto"/>
            <w:vAlign w:val="center"/>
          </w:tcPr>
          <w:p>
            <w:pPr>
              <w:widowControl w:val="0"/>
              <w:spacing w:line="240" w:lineRule="auto"/>
              <w:ind w:firstLine="0" w:firstLineChars="0"/>
              <w:jc w:val="left"/>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注：1、批耗为每批次原料消耗量，其中溶剂的消耗量包含回用量；</w:t>
            </w:r>
          </w:p>
          <w:p>
            <w:pPr>
              <w:widowControl w:val="0"/>
              <w:spacing w:line="240" w:lineRule="auto"/>
              <w:ind w:firstLine="0" w:firstLineChars="0"/>
              <w:jc w:val="left"/>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2、年耗为原料每年补充量，不包括回用量。</w:t>
            </w:r>
          </w:p>
        </w:tc>
      </w:tr>
      <w:bookmarkEnd w:id="195"/>
    </w:tbl>
    <w:p>
      <w:pPr>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p>
    <w:p>
      <w:pPr>
        <w:rPr>
          <w:rFonts w:hint="default" w:ascii="Times New Roman" w:hAnsi="Times New Roman" w:cs="Times New Roman"/>
          <w:color w:val="auto"/>
          <w:highlight w:val="none"/>
          <w:u w:val="none"/>
        </w:rPr>
        <w:sectPr>
          <w:headerReference r:id="rId15" w:type="default"/>
          <w:footerReference r:id="rId16" w:type="default"/>
          <w:footerReference r:id="rId17" w:type="even"/>
          <w:pgSz w:w="11905" w:h="16838"/>
          <w:pgMar w:top="1440" w:right="1800" w:bottom="1440" w:left="1800"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9"/>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eastAsia" w:eastAsia="宋体" w:cs="Times New Roman"/>
          <w:b/>
          <w:bCs/>
          <w:color w:val="auto"/>
          <w:kern w:val="2"/>
          <w:sz w:val="24"/>
          <w:szCs w:val="24"/>
          <w:highlight w:val="none"/>
          <w:u w:val="none"/>
          <w:lang w:val="en-US" w:eastAsia="zh-CN" w:bidi="ar-SA"/>
        </w:rPr>
        <w:t xml:space="preserve"> </w:t>
      </w:r>
      <w:bookmarkStart w:id="196" w:name="_Ref23570"/>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10.1</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4</w:t>
      </w:r>
      <w:r>
        <w:rPr>
          <w:color w:val="auto"/>
          <w:highlight w:val="none"/>
          <w:u w:val="none"/>
        </w:rPr>
        <w:fldChar w:fldCharType="end"/>
      </w:r>
      <w:bookmarkEnd w:id="196"/>
      <w:r>
        <w:rPr>
          <w:rFonts w:hint="default" w:ascii="Times New Roman" w:hAnsi="Times New Roman" w:eastAsia="宋体" w:cs="Times New Roman"/>
          <w:b/>
          <w:bCs/>
          <w:color w:val="auto"/>
          <w:kern w:val="2"/>
          <w:sz w:val="24"/>
          <w:szCs w:val="24"/>
          <w:highlight w:val="none"/>
          <w:u w:val="none"/>
          <w:lang w:val="en-US" w:eastAsia="zh-CN" w:bidi="ar-SA"/>
        </w:rPr>
        <w:t xml:space="preserve">  </w:t>
      </w:r>
      <w:r>
        <w:rPr>
          <w:rFonts w:hint="eastAsia" w:eastAsia="宋体" w:cs="Times New Roman"/>
          <w:b/>
          <w:bCs/>
          <w:color w:val="auto"/>
          <w:kern w:val="2"/>
          <w:sz w:val="24"/>
          <w:szCs w:val="24"/>
          <w:highlight w:val="none"/>
          <w:u w:val="none"/>
          <w:lang w:val="en-US" w:eastAsia="zh-CN" w:bidi="ar-SA"/>
        </w:rPr>
        <w:t>废气</w:t>
      </w:r>
      <w:r>
        <w:rPr>
          <w:rFonts w:hint="default" w:ascii="Times New Roman" w:hAnsi="Times New Roman" w:eastAsia="宋体" w:cs="Times New Roman"/>
          <w:b/>
          <w:bCs/>
          <w:color w:val="auto"/>
          <w:kern w:val="2"/>
          <w:sz w:val="24"/>
          <w:szCs w:val="24"/>
          <w:highlight w:val="none"/>
          <w:u w:val="none"/>
          <w:lang w:val="en-US" w:eastAsia="zh-CN" w:bidi="ar-SA"/>
        </w:rPr>
        <w:t>污染物排放清单</w:t>
      </w:r>
    </w:p>
    <w:tbl>
      <w:tblPr>
        <w:tblStyle w:val="15"/>
        <w:tblW w:w="4997" w:type="pct"/>
        <w:tblInd w:w="0" w:type="dxa"/>
        <w:tblLayout w:type="fixed"/>
        <w:tblCellMar>
          <w:top w:w="0" w:type="dxa"/>
          <w:left w:w="11" w:type="dxa"/>
          <w:bottom w:w="0" w:type="dxa"/>
          <w:right w:w="11" w:type="dxa"/>
        </w:tblCellMar>
      </w:tblPr>
      <w:tblGrid>
        <w:gridCol w:w="726"/>
        <w:gridCol w:w="1092"/>
        <w:gridCol w:w="1093"/>
        <w:gridCol w:w="1015"/>
        <w:gridCol w:w="1325"/>
        <w:gridCol w:w="1629"/>
        <w:gridCol w:w="1548"/>
        <w:gridCol w:w="1398"/>
        <w:gridCol w:w="934"/>
        <w:gridCol w:w="947"/>
        <w:gridCol w:w="923"/>
        <w:gridCol w:w="698"/>
        <w:gridCol w:w="646"/>
      </w:tblGrid>
      <w:tr>
        <w:tblPrEx>
          <w:tblCellMar>
            <w:top w:w="0" w:type="dxa"/>
            <w:left w:w="11" w:type="dxa"/>
            <w:bottom w:w="0" w:type="dxa"/>
            <w:right w:w="11" w:type="dxa"/>
          </w:tblCellMar>
        </w:tblPrEx>
        <w:trPr>
          <w:trHeight w:val="523" w:hRule="atLeast"/>
        </w:trPr>
        <w:tc>
          <w:tcPr>
            <w:tcW w:w="25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编号</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污染源</w:t>
            </w:r>
          </w:p>
        </w:tc>
        <w:tc>
          <w:tcPr>
            <w:tcW w:w="39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污染物</w:t>
            </w:r>
          </w:p>
        </w:tc>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废气量</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处理措施</w:t>
            </w:r>
          </w:p>
        </w:tc>
        <w:tc>
          <w:tcPr>
            <w:tcW w:w="163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sz w:val="21"/>
                <w:szCs w:val="20"/>
                <w:highlight w:val="none"/>
                <w:u w:val="none"/>
                <w:lang w:eastAsia="zh-CN"/>
              </w:rPr>
              <w:t>改建</w:t>
            </w:r>
            <w:r>
              <w:rPr>
                <w:rFonts w:hint="default" w:ascii="Times New Roman" w:hAnsi="Times New Roman" w:eastAsia="宋体" w:cs="Times New Roman"/>
                <w:color w:val="auto"/>
                <w:sz w:val="21"/>
                <w:szCs w:val="20"/>
                <w:highlight w:val="none"/>
                <w:u w:val="none"/>
              </w:rPr>
              <w:t>工程（含部分现有工程废气）</w:t>
            </w:r>
            <w:r>
              <w:rPr>
                <w:rFonts w:hint="default" w:ascii="Times New Roman" w:hAnsi="Times New Roman" w:eastAsia="宋体" w:cs="Times New Roman"/>
                <w:color w:val="auto"/>
                <w:sz w:val="21"/>
                <w:szCs w:val="20"/>
                <w:highlight w:val="none"/>
                <w:u w:val="none"/>
                <w:vertAlign w:val="superscript"/>
              </w:rPr>
              <w:t>1</w:t>
            </w:r>
          </w:p>
        </w:tc>
        <w:tc>
          <w:tcPr>
            <w:tcW w:w="673" w:type="pct"/>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sz w:val="21"/>
                <w:szCs w:val="20"/>
                <w:highlight w:val="none"/>
                <w:u w:val="none"/>
                <w:lang w:eastAsia="zh-CN"/>
              </w:rPr>
              <w:t>改建</w:t>
            </w:r>
            <w:r>
              <w:rPr>
                <w:rFonts w:hint="default" w:ascii="Times New Roman" w:hAnsi="Times New Roman" w:eastAsia="宋体" w:cs="Times New Roman"/>
                <w:color w:val="auto"/>
                <w:sz w:val="21"/>
                <w:szCs w:val="20"/>
                <w:highlight w:val="none"/>
                <w:u w:val="none"/>
              </w:rPr>
              <w:t>工程排放量</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工作时长</w:t>
            </w:r>
          </w:p>
        </w:tc>
        <w:tc>
          <w:tcPr>
            <w:tcW w:w="480" w:type="pct"/>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标准限值</w:t>
            </w:r>
          </w:p>
        </w:tc>
      </w:tr>
      <w:tr>
        <w:tblPrEx>
          <w:tblCellMar>
            <w:top w:w="0" w:type="dxa"/>
            <w:left w:w="11" w:type="dxa"/>
            <w:bottom w:w="0" w:type="dxa"/>
            <w:right w:w="11" w:type="dxa"/>
          </w:tblCellMar>
        </w:tblPrEx>
        <w:trPr>
          <w:trHeight w:val="525" w:hRule="atLeast"/>
        </w:trPr>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排放浓度mg/m</w:t>
            </w:r>
            <w:r>
              <w:rPr>
                <w:rFonts w:hint="default" w:ascii="Times New Roman" w:hAnsi="Times New Roman" w:eastAsia="宋体" w:cs="Times New Roman"/>
                <w:color w:val="auto"/>
                <w:sz w:val="21"/>
                <w:szCs w:val="20"/>
                <w:highlight w:val="none"/>
                <w:u w:val="none"/>
                <w:vertAlign w:val="superscript"/>
              </w:rPr>
              <w:t>3</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排放量kg/h</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排放量t/a</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kg/h</w:t>
            </w:r>
          </w:p>
        </w:tc>
        <w:tc>
          <w:tcPr>
            <w:tcW w:w="338" w:type="pct"/>
            <w:tcBorders>
              <w:top w:val="single" w:color="000000" w:sz="4" w:space="0"/>
              <w:left w:val="single" w:color="000000" w:sz="4" w:space="0"/>
              <w:bottom w:val="single" w:color="000000" w:sz="4" w:space="0"/>
              <w:right w:val="single" w:color="auto"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t/a</w:t>
            </w:r>
          </w:p>
        </w:tc>
        <w:tc>
          <w:tcPr>
            <w:tcW w:w="330"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h</w:t>
            </w:r>
          </w:p>
        </w:tc>
        <w:tc>
          <w:tcPr>
            <w:tcW w:w="249" w:type="pct"/>
            <w:tcBorders>
              <w:top w:val="single" w:color="auto" w:sz="4" w:space="0"/>
              <w:left w:val="single" w:color="000000" w:sz="4" w:space="0"/>
              <w:bottom w:val="single" w:color="000000" w:sz="4" w:space="0"/>
              <w:right w:val="single" w:color="auto"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mg/m</w:t>
            </w:r>
            <w:r>
              <w:rPr>
                <w:rFonts w:hint="default" w:ascii="Times New Roman" w:hAnsi="Times New Roman" w:eastAsia="宋体" w:cs="Times New Roman"/>
                <w:color w:val="auto"/>
                <w:sz w:val="21"/>
                <w:szCs w:val="20"/>
                <w:highlight w:val="none"/>
                <w:u w:val="none"/>
                <w:vertAlign w:val="superscript"/>
              </w:rPr>
              <w:t>3</w:t>
            </w:r>
          </w:p>
        </w:tc>
        <w:tc>
          <w:tcPr>
            <w:tcW w:w="231" w:type="pct"/>
            <w:tcBorders>
              <w:top w:val="single" w:color="auto" w:sz="4" w:space="0"/>
              <w:left w:val="single" w:color="auto"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kg/h</w:t>
            </w:r>
          </w:p>
        </w:tc>
      </w:tr>
      <w:tr>
        <w:tblPrEx>
          <w:tblCellMar>
            <w:top w:w="0" w:type="dxa"/>
            <w:left w:w="11" w:type="dxa"/>
            <w:bottom w:w="0" w:type="dxa"/>
            <w:right w:w="11" w:type="dxa"/>
          </w:tblCellMar>
        </w:tblPrEx>
        <w:trPr>
          <w:trHeight w:val="270" w:hRule="atLeast"/>
        </w:trPr>
        <w:tc>
          <w:tcPr>
            <w:tcW w:w="25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DA005</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工艺废气（经冷凝回收+降膜吸收/碱喷淋预处理后）、MVR废气、精馏废气、污水站废气、危废间及化验室废气</w:t>
            </w:r>
            <w:r>
              <w:rPr>
                <w:rFonts w:hint="default" w:ascii="Times New Roman" w:hAnsi="Times New Roman" w:eastAsia="宋体" w:cs="Times New Roman"/>
                <w:color w:val="auto"/>
                <w:sz w:val="21"/>
                <w:szCs w:val="20"/>
                <w:highlight w:val="none"/>
                <w:u w:val="none"/>
                <w:vertAlign w:val="superscript"/>
              </w:rPr>
              <w:t>1</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NMHC</w:t>
            </w:r>
          </w:p>
        </w:tc>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44000m</w:t>
            </w:r>
            <w:r>
              <w:rPr>
                <w:rFonts w:hint="default" w:ascii="Times New Roman" w:hAnsi="Times New Roman" w:eastAsia="宋体" w:cs="Times New Roman"/>
                <w:color w:val="auto"/>
                <w:sz w:val="21"/>
                <w:szCs w:val="20"/>
                <w:highlight w:val="none"/>
                <w:u w:val="none"/>
                <w:vertAlign w:val="superscript"/>
              </w:rPr>
              <w:t>3</w:t>
            </w:r>
            <w:r>
              <w:rPr>
                <w:rFonts w:hint="default" w:ascii="Times New Roman" w:hAnsi="Times New Roman" w:eastAsia="宋体" w:cs="Times New Roman"/>
                <w:color w:val="auto"/>
                <w:sz w:val="21"/>
                <w:szCs w:val="20"/>
                <w:highlight w:val="none"/>
                <w:u w:val="none"/>
              </w:rPr>
              <w:t>/h</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过滤箱+蓄热氧化焚烧+急冷+两级碱洗</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Cs w:val="20"/>
                <w:highlight w:val="none"/>
                <w:u w:val="none"/>
              </w:rPr>
            </w:pPr>
            <w:r>
              <w:rPr>
                <w:rFonts w:hint="eastAsia" w:ascii="Times New Roman" w:hAnsi="Times New Roman" w:eastAsia="宋体" w:cs="Times New Roman"/>
                <w:bCs/>
                <w:color w:val="auto"/>
                <w:kern w:val="2"/>
                <w:sz w:val="21"/>
                <w:szCs w:val="20"/>
                <w:u w:val="none"/>
                <w:lang w:val="en-US" w:eastAsia="zh-CN" w:bidi="ar-SA"/>
              </w:rPr>
              <w:t xml:space="preserve">24.8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Cs w:val="20"/>
                <w:highlight w:val="none"/>
                <w:u w:val="none"/>
              </w:rPr>
            </w:pPr>
            <w:r>
              <w:rPr>
                <w:rFonts w:hint="eastAsia" w:ascii="Times New Roman" w:hAnsi="Times New Roman" w:eastAsia="宋体" w:cs="Times New Roman"/>
                <w:bCs/>
                <w:color w:val="auto"/>
                <w:kern w:val="2"/>
                <w:sz w:val="21"/>
                <w:szCs w:val="20"/>
                <w:u w:val="none"/>
                <w:lang w:val="en-US" w:eastAsia="zh-CN" w:bidi="ar-SA"/>
              </w:rPr>
              <w:t xml:space="preserve">1.092 </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Cs w:val="20"/>
                <w:highlight w:val="none"/>
                <w:u w:val="none"/>
              </w:rPr>
            </w:pPr>
            <w:r>
              <w:rPr>
                <w:rFonts w:hint="eastAsia" w:ascii="Times New Roman" w:hAnsi="Times New Roman" w:eastAsia="宋体" w:cs="Times New Roman"/>
                <w:bCs/>
                <w:color w:val="auto"/>
                <w:kern w:val="2"/>
                <w:sz w:val="21"/>
                <w:szCs w:val="20"/>
                <w:u w:val="none"/>
                <w:lang w:val="en-US" w:eastAsia="zh-CN" w:bidi="ar-SA"/>
              </w:rPr>
              <w:t xml:space="preserve">4.7623 </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 xml:space="preserve">1.086 </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Cs w:val="20"/>
                <w:highlight w:val="none"/>
                <w:u w:val="none"/>
              </w:rPr>
            </w:pPr>
            <w:r>
              <w:rPr>
                <w:rFonts w:hint="eastAsia" w:ascii="Times New Roman" w:hAnsi="Times New Roman" w:eastAsia="宋体" w:cs="Times New Roman"/>
                <w:color w:val="auto"/>
                <w:kern w:val="2"/>
                <w:sz w:val="21"/>
                <w:szCs w:val="20"/>
                <w:highlight w:val="none"/>
                <w:u w:val="none"/>
                <w:lang w:val="en-US" w:eastAsia="zh-CN" w:bidi="ar-SA"/>
              </w:rPr>
              <w:t xml:space="preserve">4.7348   </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7920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60</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w:t>
            </w:r>
          </w:p>
        </w:tc>
      </w:tr>
      <w:tr>
        <w:tblPrEx>
          <w:tblCellMar>
            <w:top w:w="0" w:type="dxa"/>
            <w:left w:w="11" w:type="dxa"/>
            <w:bottom w:w="0" w:type="dxa"/>
            <w:right w:w="11" w:type="dxa"/>
          </w:tblCellMar>
        </w:tblPrEx>
        <w:trPr>
          <w:trHeight w:val="300" w:hRule="atLeast"/>
        </w:trPr>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苯系物</w:t>
            </w:r>
            <w:r>
              <w:rPr>
                <w:rFonts w:hint="default" w:ascii="Times New Roman" w:hAnsi="Times New Roman" w:eastAsia="宋体" w:cs="Times New Roman"/>
                <w:color w:val="auto"/>
                <w:sz w:val="21"/>
                <w:szCs w:val="20"/>
                <w:highlight w:val="none"/>
                <w:u w:val="none"/>
                <w:vertAlign w:val="superscript"/>
              </w:rPr>
              <w:t>5</w:t>
            </w: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Cs w:val="20"/>
                <w:highlight w:val="none"/>
                <w:u w:val="none"/>
              </w:rPr>
            </w:pPr>
            <w:r>
              <w:rPr>
                <w:rFonts w:hint="eastAsia" w:ascii="Times New Roman" w:hAnsi="Times New Roman" w:eastAsia="宋体" w:cs="Times New Roman"/>
                <w:bCs/>
                <w:color w:val="auto"/>
                <w:kern w:val="2"/>
                <w:sz w:val="21"/>
                <w:szCs w:val="20"/>
                <w:u w:val="none"/>
                <w:lang w:val="en-US" w:eastAsia="zh-CN" w:bidi="ar-SA"/>
              </w:rPr>
              <w:t xml:space="preserve">6.0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Cs w:val="20"/>
                <w:highlight w:val="none"/>
                <w:u w:val="none"/>
              </w:rPr>
            </w:pPr>
            <w:r>
              <w:rPr>
                <w:rFonts w:hint="eastAsia" w:ascii="Times New Roman" w:hAnsi="Times New Roman" w:eastAsia="宋体" w:cs="Times New Roman"/>
                <w:bCs/>
                <w:color w:val="auto"/>
                <w:kern w:val="2"/>
                <w:sz w:val="21"/>
                <w:szCs w:val="20"/>
                <w:u w:val="none"/>
                <w:lang w:val="en-US" w:eastAsia="zh-CN" w:bidi="ar-SA"/>
              </w:rPr>
              <w:t xml:space="preserve">0.264 </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Cs w:val="20"/>
                <w:highlight w:val="none"/>
                <w:u w:val="none"/>
              </w:rPr>
            </w:pPr>
            <w:r>
              <w:rPr>
                <w:rFonts w:hint="eastAsia" w:ascii="Times New Roman" w:hAnsi="Times New Roman" w:eastAsia="宋体" w:cs="Times New Roman"/>
                <w:color w:val="auto"/>
                <w:kern w:val="2"/>
                <w:sz w:val="21"/>
                <w:szCs w:val="20"/>
                <w:highlight w:val="none"/>
                <w:u w:val="none"/>
                <w:lang w:val="en-US" w:eastAsia="zh-CN" w:bidi="ar-SA"/>
              </w:rPr>
              <w:t xml:space="preserve">0.9821 </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 xml:space="preserve">0.264 </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Cs w:val="20"/>
                <w:highlight w:val="none"/>
                <w:u w:val="none"/>
              </w:rPr>
            </w:pPr>
            <w:r>
              <w:rPr>
                <w:rFonts w:hint="eastAsia" w:ascii="Times New Roman" w:hAnsi="Times New Roman" w:eastAsia="宋体" w:cs="Times New Roman"/>
                <w:color w:val="auto"/>
                <w:kern w:val="2"/>
                <w:sz w:val="21"/>
                <w:szCs w:val="20"/>
                <w:highlight w:val="none"/>
                <w:u w:val="none"/>
                <w:lang w:val="en-US" w:eastAsia="zh-CN" w:bidi="ar-SA"/>
              </w:rPr>
              <w:t xml:space="preserve">0.9821 </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default" w:ascii="Times New Roman" w:hAnsi="Times New Roman" w:eastAsia="宋体" w:cs="Times New Roman"/>
                <w:bCs/>
                <w:color w:val="auto"/>
                <w:kern w:val="2"/>
                <w:sz w:val="21"/>
                <w:highlight w:val="none"/>
                <w:u w:val="none"/>
                <w:lang w:val="en-US" w:eastAsia="zh-CN" w:bidi="ar-SA"/>
              </w:rPr>
              <w:t>7920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40</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CellMar>
            <w:top w:w="0" w:type="dxa"/>
            <w:left w:w="11" w:type="dxa"/>
            <w:bottom w:w="0" w:type="dxa"/>
            <w:right w:w="11" w:type="dxa"/>
          </w:tblCellMar>
        </w:tblPrEx>
        <w:trPr>
          <w:trHeight w:val="270" w:hRule="atLeast"/>
        </w:trPr>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氯化氢</w:t>
            </w: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bCs/>
                <w:color w:val="auto"/>
                <w:kern w:val="2"/>
                <w:sz w:val="21"/>
                <w:szCs w:val="20"/>
                <w:u w:val="none"/>
                <w:lang w:val="en-US" w:eastAsia="zh-CN" w:bidi="ar-SA"/>
              </w:rPr>
              <w:t xml:space="preserve">3.6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bCs/>
                <w:color w:val="auto"/>
                <w:kern w:val="2"/>
                <w:sz w:val="21"/>
                <w:szCs w:val="20"/>
                <w:u w:val="none"/>
                <w:lang w:val="en-US" w:eastAsia="zh-CN" w:bidi="ar-SA"/>
              </w:rPr>
              <w:t xml:space="preserve">0.160 </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bCs/>
                <w:color w:val="auto"/>
                <w:kern w:val="2"/>
                <w:sz w:val="21"/>
                <w:szCs w:val="20"/>
                <w:highlight w:val="none"/>
                <w:u w:val="none"/>
                <w:lang w:val="en-US" w:eastAsia="zh-CN" w:bidi="ar-SA"/>
              </w:rPr>
              <w:t xml:space="preserve">0.533 </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bCs/>
                <w:color w:val="auto"/>
                <w:kern w:val="2"/>
                <w:sz w:val="21"/>
                <w:szCs w:val="20"/>
                <w:highlight w:val="none"/>
                <w:u w:val="none"/>
                <w:lang w:val="en-US" w:eastAsia="zh-CN" w:bidi="ar-SA"/>
              </w:rPr>
              <w:t xml:space="preserve">0.160 </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bCs/>
                <w:color w:val="auto"/>
                <w:kern w:val="2"/>
                <w:sz w:val="21"/>
                <w:szCs w:val="20"/>
                <w:highlight w:val="none"/>
                <w:u w:val="none"/>
                <w:lang w:val="en-US" w:eastAsia="zh-CN" w:bidi="ar-SA"/>
              </w:rPr>
              <w:t xml:space="preserve">0.533 </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default" w:ascii="Times New Roman" w:hAnsi="Times New Roman" w:eastAsia="宋体" w:cs="Times New Roman"/>
                <w:bCs/>
                <w:color w:val="auto"/>
                <w:kern w:val="2"/>
                <w:sz w:val="21"/>
                <w:highlight w:val="none"/>
                <w:u w:val="none"/>
                <w:lang w:val="en-US" w:eastAsia="zh-CN" w:bidi="ar-SA"/>
              </w:rPr>
              <w:t>7920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CellMar>
            <w:top w:w="0" w:type="dxa"/>
            <w:left w:w="11" w:type="dxa"/>
            <w:bottom w:w="0" w:type="dxa"/>
            <w:right w:w="11" w:type="dxa"/>
          </w:tblCellMar>
        </w:tblPrEx>
        <w:trPr>
          <w:trHeight w:val="270" w:hRule="atLeast"/>
        </w:trPr>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颗粒物</w:t>
            </w: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i w:val="0"/>
                <w:iCs w:val="0"/>
                <w:color w:val="auto"/>
                <w:kern w:val="2"/>
                <w:sz w:val="21"/>
                <w:szCs w:val="20"/>
                <w:highlight w:val="none"/>
                <w:u w:val="none"/>
                <w:lang w:val="en-US" w:eastAsia="zh-CN" w:bidi="ar-SA"/>
              </w:rPr>
              <w:t xml:space="preserve">6.0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i w:val="0"/>
                <w:iCs w:val="0"/>
                <w:color w:val="auto"/>
                <w:kern w:val="2"/>
                <w:sz w:val="21"/>
                <w:szCs w:val="20"/>
                <w:highlight w:val="none"/>
                <w:u w:val="none"/>
                <w:lang w:val="en-US" w:eastAsia="zh-CN" w:bidi="ar-SA"/>
              </w:rPr>
              <w:t>0.264</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i w:val="0"/>
                <w:iCs w:val="0"/>
                <w:color w:val="auto"/>
                <w:kern w:val="2"/>
                <w:sz w:val="21"/>
                <w:szCs w:val="20"/>
                <w:highlight w:val="none"/>
                <w:u w:val="none"/>
                <w:lang w:val="en-US" w:eastAsia="zh-CN" w:bidi="ar-SA"/>
              </w:rPr>
              <w:t xml:space="preserve">2.09 </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i w:val="0"/>
                <w:iCs w:val="0"/>
                <w:color w:val="auto"/>
                <w:kern w:val="2"/>
                <w:sz w:val="21"/>
                <w:szCs w:val="20"/>
                <w:highlight w:val="none"/>
                <w:u w:val="none"/>
                <w:lang w:val="en-US" w:eastAsia="zh-CN" w:bidi="ar-SA"/>
              </w:rPr>
              <w:t>0.264</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i w:val="0"/>
                <w:iCs w:val="0"/>
                <w:color w:val="auto"/>
                <w:kern w:val="2"/>
                <w:sz w:val="21"/>
                <w:szCs w:val="20"/>
                <w:highlight w:val="none"/>
                <w:u w:val="none"/>
                <w:lang w:val="en-US" w:eastAsia="zh-CN" w:bidi="ar-SA"/>
              </w:rPr>
              <w:t xml:space="preserve">2.09 </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default" w:ascii="Times New Roman" w:hAnsi="Times New Roman" w:eastAsia="宋体" w:cs="Times New Roman"/>
                <w:bCs/>
                <w:color w:val="auto"/>
                <w:kern w:val="2"/>
                <w:sz w:val="21"/>
                <w:highlight w:val="none"/>
                <w:u w:val="none"/>
                <w:lang w:val="en-US" w:eastAsia="zh-CN" w:bidi="ar-SA"/>
              </w:rPr>
              <w:t>7920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CellMar>
            <w:top w:w="0" w:type="dxa"/>
            <w:left w:w="11" w:type="dxa"/>
            <w:bottom w:w="0" w:type="dxa"/>
            <w:right w:w="11" w:type="dxa"/>
          </w:tblCellMar>
        </w:tblPrEx>
        <w:trPr>
          <w:trHeight w:val="270" w:hRule="atLeast"/>
        </w:trPr>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甲醛</w:t>
            </w: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kern w:val="2"/>
                <w:sz w:val="21"/>
                <w:szCs w:val="20"/>
                <w:u w:val="none"/>
                <w:lang w:val="en-US" w:eastAsia="zh-CN" w:bidi="ar-SA"/>
              </w:rPr>
              <w:t xml:space="preserve">0.008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kern w:val="2"/>
                <w:sz w:val="21"/>
                <w:szCs w:val="20"/>
                <w:u w:val="none"/>
                <w:lang w:val="en-US" w:eastAsia="zh-CN" w:bidi="ar-SA"/>
              </w:rPr>
              <w:t xml:space="preserve">0.0004 </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kern w:val="2"/>
                <w:sz w:val="21"/>
                <w:szCs w:val="20"/>
                <w:highlight w:val="none"/>
                <w:u w:val="none"/>
                <w:lang w:val="en-US" w:eastAsia="zh-CN" w:bidi="ar-SA"/>
              </w:rPr>
              <w:t xml:space="preserve">0.0020 </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0.0004</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kern w:val="2"/>
                <w:sz w:val="21"/>
                <w:szCs w:val="20"/>
                <w:highlight w:val="none"/>
                <w:u w:val="none"/>
                <w:lang w:val="en-US" w:eastAsia="zh-CN" w:bidi="ar-SA"/>
              </w:rPr>
              <w:t xml:space="preserve">0.0020 </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default" w:ascii="Times New Roman" w:hAnsi="Times New Roman" w:eastAsia="宋体" w:cs="Times New Roman"/>
                <w:bCs/>
                <w:color w:val="auto"/>
                <w:kern w:val="2"/>
                <w:sz w:val="21"/>
                <w:highlight w:val="none"/>
                <w:u w:val="none"/>
                <w:lang w:val="en-US" w:eastAsia="zh-CN" w:bidi="ar-SA"/>
              </w:rPr>
              <w:t>7920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CellMar>
            <w:top w:w="0" w:type="dxa"/>
            <w:left w:w="11" w:type="dxa"/>
            <w:bottom w:w="0" w:type="dxa"/>
            <w:right w:w="11" w:type="dxa"/>
          </w:tblCellMar>
        </w:tblPrEx>
        <w:trPr>
          <w:trHeight w:val="270" w:hRule="atLeast"/>
        </w:trPr>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甲醇</w:t>
            </w: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kern w:val="2"/>
                <w:sz w:val="21"/>
                <w:szCs w:val="20"/>
                <w:u w:val="none"/>
                <w:lang w:val="en-US" w:eastAsia="zh-CN" w:bidi="ar-SA"/>
              </w:rPr>
              <w:t xml:space="preserve">1.06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kern w:val="2"/>
                <w:sz w:val="21"/>
                <w:szCs w:val="20"/>
                <w:u w:val="none"/>
                <w:lang w:val="en-US" w:eastAsia="zh-CN" w:bidi="ar-SA"/>
              </w:rPr>
              <w:t xml:space="preserve">0.047 </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kern w:val="2"/>
                <w:sz w:val="21"/>
                <w:szCs w:val="20"/>
                <w:highlight w:val="none"/>
                <w:u w:val="none"/>
                <w:lang w:val="en-US" w:eastAsia="zh-CN" w:bidi="ar-SA"/>
              </w:rPr>
              <w:t xml:space="preserve">0.2519 </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0.047</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kern w:val="2"/>
                <w:sz w:val="21"/>
                <w:szCs w:val="20"/>
                <w:highlight w:val="none"/>
                <w:u w:val="none"/>
                <w:lang w:val="en-US" w:eastAsia="zh-CN" w:bidi="ar-SA"/>
              </w:rPr>
              <w:t xml:space="preserve">0.2519 </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default" w:ascii="Times New Roman" w:hAnsi="Times New Roman" w:eastAsia="宋体" w:cs="Times New Roman"/>
                <w:bCs/>
                <w:color w:val="auto"/>
                <w:kern w:val="2"/>
                <w:sz w:val="21"/>
                <w:highlight w:val="none"/>
                <w:u w:val="none"/>
                <w:lang w:val="en-US" w:eastAsia="zh-CN" w:bidi="ar-SA"/>
              </w:rPr>
              <w:t>7920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CellMar>
            <w:top w:w="0" w:type="dxa"/>
            <w:left w:w="11" w:type="dxa"/>
            <w:bottom w:w="0" w:type="dxa"/>
            <w:right w:w="11" w:type="dxa"/>
          </w:tblCellMar>
        </w:tblPrEx>
        <w:trPr>
          <w:trHeight w:val="270" w:hRule="atLeast"/>
        </w:trPr>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丙酮</w:t>
            </w: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kern w:val="2"/>
                <w:sz w:val="21"/>
                <w:szCs w:val="20"/>
                <w:u w:val="none"/>
                <w:lang w:val="en-US" w:eastAsia="zh-CN" w:bidi="ar-SA"/>
              </w:rPr>
              <w:t xml:space="preserve">0.36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kern w:val="2"/>
                <w:sz w:val="21"/>
                <w:szCs w:val="20"/>
                <w:u w:val="none"/>
                <w:lang w:val="en-US" w:eastAsia="zh-CN" w:bidi="ar-SA"/>
              </w:rPr>
              <w:t xml:space="preserve">0.016 </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kern w:val="2"/>
                <w:sz w:val="21"/>
                <w:szCs w:val="20"/>
                <w:highlight w:val="none"/>
                <w:u w:val="none"/>
                <w:lang w:val="en-US" w:eastAsia="zh-CN" w:bidi="ar-SA"/>
              </w:rPr>
              <w:t xml:space="preserve">0.0821 </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 xml:space="preserve">0.016 </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kern w:val="2"/>
                <w:sz w:val="21"/>
                <w:szCs w:val="20"/>
                <w:highlight w:val="none"/>
                <w:u w:val="none"/>
                <w:lang w:val="en-US" w:eastAsia="zh-CN" w:bidi="ar-SA"/>
              </w:rPr>
              <w:t xml:space="preserve">0.0821 </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default" w:ascii="Times New Roman" w:hAnsi="Times New Roman" w:eastAsia="宋体" w:cs="Times New Roman"/>
                <w:bCs/>
                <w:color w:val="auto"/>
                <w:kern w:val="2"/>
                <w:sz w:val="21"/>
                <w:highlight w:val="none"/>
                <w:u w:val="none"/>
                <w:lang w:val="en-US" w:eastAsia="zh-CN" w:bidi="ar-SA"/>
              </w:rPr>
              <w:t>7920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60</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CellMar>
            <w:top w:w="0" w:type="dxa"/>
            <w:left w:w="11" w:type="dxa"/>
            <w:bottom w:w="0" w:type="dxa"/>
            <w:right w:w="11" w:type="dxa"/>
          </w:tblCellMar>
        </w:tblPrEx>
        <w:trPr>
          <w:trHeight w:val="300" w:hRule="atLeast"/>
        </w:trPr>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氨</w:t>
            </w: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kern w:val="2"/>
                <w:sz w:val="21"/>
                <w:szCs w:val="20"/>
                <w:highlight w:val="none"/>
                <w:u w:val="none"/>
                <w:lang w:val="en-US" w:eastAsia="zh-CN" w:bidi="ar-SA"/>
              </w:rPr>
              <w:t xml:space="preserve">3.7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kern w:val="2"/>
                <w:sz w:val="21"/>
                <w:szCs w:val="20"/>
                <w:highlight w:val="none"/>
                <w:u w:val="none"/>
                <w:lang w:val="en-US" w:eastAsia="zh-CN" w:bidi="ar-SA"/>
              </w:rPr>
              <w:t xml:space="preserve">0.163 </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kern w:val="2"/>
                <w:sz w:val="21"/>
                <w:szCs w:val="20"/>
                <w:highlight w:val="none"/>
                <w:u w:val="none"/>
                <w:lang w:val="en-US" w:eastAsia="zh-CN" w:bidi="ar-SA"/>
              </w:rPr>
              <w:t xml:space="preserve">1.2894 </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0.159</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kern w:val="2"/>
                <w:sz w:val="21"/>
                <w:szCs w:val="20"/>
                <w:highlight w:val="none"/>
                <w:u w:val="none"/>
                <w:lang w:val="en-US" w:eastAsia="zh-CN" w:bidi="ar-SA"/>
              </w:rPr>
              <w:t xml:space="preserve">1.2612 </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default" w:ascii="Times New Roman" w:hAnsi="Times New Roman" w:eastAsia="宋体" w:cs="Times New Roman"/>
                <w:bCs/>
                <w:color w:val="auto"/>
                <w:kern w:val="2"/>
                <w:sz w:val="21"/>
                <w:highlight w:val="none"/>
                <w:u w:val="none"/>
                <w:lang w:val="en-US" w:eastAsia="zh-CN" w:bidi="ar-SA"/>
              </w:rPr>
              <w:t>7920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27</w:t>
            </w:r>
          </w:p>
        </w:tc>
      </w:tr>
      <w:tr>
        <w:tblPrEx>
          <w:tblCellMar>
            <w:top w:w="0" w:type="dxa"/>
            <w:left w:w="11" w:type="dxa"/>
            <w:bottom w:w="0" w:type="dxa"/>
            <w:right w:w="11" w:type="dxa"/>
          </w:tblCellMar>
        </w:tblPrEx>
        <w:trPr>
          <w:trHeight w:val="270" w:hRule="atLeast"/>
        </w:trPr>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硫化氢</w:t>
            </w: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0.002</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0.00007</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 xml:space="preserve">0.0005  </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0.00007</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0.0005</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default" w:ascii="Times New Roman" w:hAnsi="Times New Roman" w:eastAsia="宋体" w:cs="Times New Roman"/>
                <w:bCs/>
                <w:color w:val="auto"/>
                <w:kern w:val="2"/>
                <w:sz w:val="21"/>
                <w:highlight w:val="none"/>
                <w:u w:val="none"/>
                <w:lang w:val="en-US" w:eastAsia="zh-CN" w:bidi="ar-SA"/>
              </w:rPr>
              <w:t>7920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5</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1.8</w:t>
            </w:r>
          </w:p>
        </w:tc>
      </w:tr>
      <w:tr>
        <w:tblPrEx>
          <w:tblCellMar>
            <w:top w:w="0" w:type="dxa"/>
            <w:left w:w="11" w:type="dxa"/>
            <w:bottom w:w="0" w:type="dxa"/>
            <w:right w:w="11" w:type="dxa"/>
          </w:tblCellMar>
        </w:tblPrEx>
        <w:trPr>
          <w:trHeight w:val="270" w:hRule="atLeast"/>
        </w:trPr>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臭气浓度</w:t>
            </w: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1689</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1689</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default" w:ascii="Times New Roman" w:hAnsi="Times New Roman" w:eastAsia="宋体" w:cs="Times New Roman"/>
                <w:bCs/>
                <w:color w:val="auto"/>
                <w:kern w:val="2"/>
                <w:sz w:val="21"/>
                <w:highlight w:val="none"/>
                <w:u w:val="none"/>
                <w:lang w:val="en-US" w:eastAsia="zh-CN" w:bidi="ar-SA"/>
              </w:rPr>
              <w:t>7920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15000</w:t>
            </w:r>
          </w:p>
        </w:tc>
      </w:tr>
      <w:tr>
        <w:tblPrEx>
          <w:tblCellMar>
            <w:top w:w="0" w:type="dxa"/>
            <w:left w:w="11" w:type="dxa"/>
            <w:bottom w:w="0" w:type="dxa"/>
            <w:right w:w="11" w:type="dxa"/>
          </w:tblCellMar>
        </w:tblPrEx>
        <w:trPr>
          <w:trHeight w:val="270" w:hRule="atLeast"/>
        </w:trPr>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二氧化硫</w:t>
            </w: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 xml:space="preserve">0.4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 xml:space="preserve">0.017 </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 xml:space="preserve">0.133 </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0.016</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0.1273</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default" w:ascii="Times New Roman" w:hAnsi="Times New Roman" w:eastAsia="宋体" w:cs="Times New Roman"/>
                <w:bCs/>
                <w:color w:val="auto"/>
                <w:kern w:val="2"/>
                <w:sz w:val="21"/>
                <w:highlight w:val="none"/>
                <w:u w:val="none"/>
                <w:lang w:val="en-US" w:eastAsia="zh-CN" w:bidi="ar-SA"/>
              </w:rPr>
              <w:t>7920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200</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CellMar>
            <w:top w:w="0" w:type="dxa"/>
            <w:left w:w="11" w:type="dxa"/>
            <w:bottom w:w="0" w:type="dxa"/>
            <w:right w:w="11" w:type="dxa"/>
          </w:tblCellMar>
        </w:tblPrEx>
        <w:trPr>
          <w:trHeight w:val="285" w:hRule="atLeast"/>
        </w:trPr>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氮氧化物</w:t>
            </w: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kern w:val="2"/>
                <w:sz w:val="21"/>
                <w:szCs w:val="20"/>
                <w:highlight w:val="none"/>
                <w:u w:val="none"/>
                <w:lang w:val="en-US" w:eastAsia="zh-CN" w:bidi="ar-SA"/>
              </w:rPr>
              <w:t>22</w:t>
            </w:r>
            <w:r>
              <w:rPr>
                <w:rFonts w:hint="default" w:ascii="Times New Roman" w:hAnsi="Times New Roman" w:eastAsia="宋体" w:cs="Times New Roman"/>
                <w:color w:val="auto"/>
                <w:kern w:val="2"/>
                <w:sz w:val="21"/>
                <w:szCs w:val="20"/>
                <w:highlight w:val="none"/>
                <w:u w:val="none"/>
                <w:lang w:val="en-US" w:eastAsia="zh-CN" w:bidi="ar-SA"/>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kern w:val="2"/>
                <w:sz w:val="21"/>
                <w:szCs w:val="20"/>
                <w:highlight w:val="none"/>
                <w:u w:val="none"/>
                <w:lang w:val="en-US" w:eastAsia="zh-CN" w:bidi="ar-SA"/>
              </w:rPr>
              <w:t xml:space="preserve">0.968 </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kern w:val="2"/>
                <w:sz w:val="21"/>
                <w:szCs w:val="20"/>
                <w:highlight w:val="none"/>
                <w:u w:val="none"/>
                <w:lang w:val="en-US" w:eastAsia="zh-CN" w:bidi="ar-SA"/>
              </w:rPr>
              <w:t xml:space="preserve">7.67 </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kern w:val="2"/>
                <w:sz w:val="21"/>
                <w:szCs w:val="20"/>
                <w:highlight w:val="none"/>
                <w:u w:val="none"/>
                <w:lang w:val="en-US" w:eastAsia="zh-CN" w:bidi="ar-SA"/>
              </w:rPr>
              <w:t xml:space="preserve">0.968 </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kern w:val="2"/>
                <w:sz w:val="21"/>
                <w:szCs w:val="20"/>
                <w:highlight w:val="none"/>
                <w:u w:val="none"/>
                <w:lang w:val="en-US" w:eastAsia="zh-CN" w:bidi="ar-SA"/>
              </w:rPr>
              <w:t xml:space="preserve">7.67 </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default" w:ascii="Times New Roman" w:hAnsi="Times New Roman" w:eastAsia="宋体" w:cs="Times New Roman"/>
                <w:bCs/>
                <w:color w:val="auto"/>
                <w:kern w:val="2"/>
                <w:sz w:val="21"/>
                <w:highlight w:val="none"/>
                <w:u w:val="none"/>
                <w:lang w:val="en-US" w:eastAsia="zh-CN" w:bidi="ar-SA"/>
              </w:rPr>
              <w:t>7920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200</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CellMar>
            <w:top w:w="0" w:type="dxa"/>
            <w:left w:w="11" w:type="dxa"/>
            <w:bottom w:w="0" w:type="dxa"/>
            <w:right w:w="11" w:type="dxa"/>
          </w:tblCellMar>
        </w:tblPrEx>
        <w:trPr>
          <w:trHeight w:val="285" w:hRule="atLeast"/>
        </w:trPr>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二噁英</w:t>
            </w: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0.0082ngTEQ/Nm</w:t>
            </w:r>
            <w:r>
              <w:rPr>
                <w:rFonts w:hint="default" w:ascii="Times New Roman" w:hAnsi="Times New Roman" w:eastAsia="宋体" w:cs="Times New Roman"/>
                <w:color w:val="auto"/>
                <w:kern w:val="2"/>
                <w:sz w:val="21"/>
                <w:szCs w:val="20"/>
                <w:highlight w:val="none"/>
                <w:u w:val="none"/>
                <w:vertAlign w:val="superscript"/>
                <w:lang w:val="en-US" w:eastAsia="zh-CN" w:bidi="ar-SA"/>
              </w:rPr>
              <w:t>3</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360.8ngTEQ/h</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2857.5 ugTEQ/a</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359ngTEQ/h</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kern w:val="2"/>
                <w:sz w:val="21"/>
                <w:szCs w:val="20"/>
                <w:highlight w:val="none"/>
                <w:u w:val="none"/>
                <w:lang w:val="en-US" w:eastAsia="zh-CN" w:bidi="ar-SA"/>
              </w:rPr>
              <w:t>2844ugTEQ/a</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default" w:ascii="Times New Roman" w:hAnsi="Times New Roman" w:eastAsia="宋体" w:cs="Times New Roman"/>
                <w:bCs/>
                <w:color w:val="auto"/>
                <w:kern w:val="2"/>
                <w:sz w:val="21"/>
                <w:highlight w:val="none"/>
                <w:u w:val="none"/>
                <w:lang w:val="en-US" w:eastAsia="zh-CN" w:bidi="ar-SA"/>
              </w:rPr>
              <w:t>7920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0.1ngTEQ/m</w:t>
            </w:r>
            <w:r>
              <w:rPr>
                <w:rFonts w:hint="default" w:ascii="Times New Roman" w:hAnsi="Times New Roman" w:eastAsia="宋体" w:cs="Times New Roman"/>
                <w:color w:val="auto"/>
                <w:kern w:val="2"/>
                <w:sz w:val="21"/>
                <w:highlight w:val="none"/>
                <w:u w:val="none"/>
                <w:vertAlign w:val="superscript"/>
                <w:lang w:val="en-US" w:eastAsia="zh-CN" w:bidi="ar-SA"/>
              </w:rPr>
              <w:t>3</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CellMar>
            <w:top w:w="0" w:type="dxa"/>
            <w:left w:w="11" w:type="dxa"/>
            <w:bottom w:w="0" w:type="dxa"/>
            <w:right w:w="11" w:type="dxa"/>
          </w:tblCellMar>
        </w:tblPrEx>
        <w:trPr>
          <w:trHeight w:val="285" w:hRule="atLeast"/>
        </w:trPr>
        <w:tc>
          <w:tcPr>
            <w:tcW w:w="25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DA004</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危废焚烧炉</w:t>
            </w:r>
            <w:r>
              <w:rPr>
                <w:rFonts w:hint="default" w:ascii="Times New Roman" w:hAnsi="Times New Roman" w:eastAsia="宋体" w:cs="Times New Roman"/>
                <w:color w:val="auto"/>
                <w:sz w:val="21"/>
                <w:szCs w:val="20"/>
                <w:highlight w:val="none"/>
                <w:u w:val="none"/>
                <w:vertAlign w:val="superscript"/>
              </w:rPr>
              <w:t>2</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颗粒物</w:t>
            </w:r>
          </w:p>
        </w:tc>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8000m</w:t>
            </w:r>
            <w:r>
              <w:rPr>
                <w:rFonts w:hint="default" w:ascii="Times New Roman" w:hAnsi="Times New Roman" w:eastAsia="宋体" w:cs="Times New Roman"/>
                <w:color w:val="auto"/>
                <w:sz w:val="21"/>
                <w:szCs w:val="20"/>
                <w:highlight w:val="none"/>
                <w:u w:val="none"/>
                <w:vertAlign w:val="superscript"/>
              </w:rPr>
              <w:t>3</w:t>
            </w:r>
            <w:r>
              <w:rPr>
                <w:rFonts w:hint="default" w:ascii="Times New Roman" w:hAnsi="Times New Roman" w:eastAsia="宋体" w:cs="Times New Roman"/>
                <w:color w:val="auto"/>
                <w:sz w:val="21"/>
                <w:szCs w:val="20"/>
                <w:highlight w:val="none"/>
                <w:u w:val="none"/>
              </w:rPr>
              <w:t>/h</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覆膜滤料袋式除尘器</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 xml:space="preserve">9.00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 xml:space="preserve">0.0720 </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 xml:space="preserve">0.5702 </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 xml:space="preserve">0.058 </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 xml:space="preserve">0.4562 </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Times New Roman" w:hAnsi="Times New Roman" w:eastAsia="宋体" w:cs="Times New Roman"/>
                <w:color w:val="auto"/>
                <w:sz w:val="21"/>
                <w:szCs w:val="20"/>
                <w:highlight w:val="none"/>
                <w:u w:val="none"/>
                <w:lang w:eastAsia="zh-CN"/>
              </w:rPr>
            </w:pPr>
            <w:r>
              <w:rPr>
                <w:rFonts w:hint="eastAsia" w:ascii="Times New Roman" w:hAnsi="Times New Roman" w:eastAsia="宋体" w:cs="Times New Roman"/>
                <w:color w:val="auto"/>
                <w:sz w:val="21"/>
                <w:szCs w:val="20"/>
                <w:highlight w:val="none"/>
                <w:u w:val="none"/>
                <w:lang w:eastAsia="zh-CN"/>
              </w:rPr>
              <w:t>7920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CellMar>
            <w:top w:w="0" w:type="dxa"/>
            <w:left w:w="11" w:type="dxa"/>
            <w:bottom w:w="0" w:type="dxa"/>
            <w:right w:w="11" w:type="dxa"/>
          </w:tblCellMar>
        </w:tblPrEx>
        <w:trPr>
          <w:trHeight w:val="285" w:hRule="atLeast"/>
        </w:trPr>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二氧化硫</w:t>
            </w: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弱碱液急冷+半干式吸收+</w:t>
            </w:r>
            <w:r>
              <w:rPr>
                <w:rFonts w:hint="default" w:ascii="Times New Roman" w:hAnsi="Times New Roman" w:eastAsia="宋体" w:cs="Times New Roman"/>
                <w:color w:val="auto"/>
                <w:sz w:val="21"/>
                <w:szCs w:val="21"/>
                <w:highlight w:val="none"/>
                <w:u w:val="none"/>
              </w:rPr>
              <w:t>二级碱喷淋</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0.04</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0.0003</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0.0025</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0.0002</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0.002</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Times New Roman" w:hAnsi="Times New Roman" w:eastAsia="宋体" w:cs="Times New Roman"/>
                <w:color w:val="auto"/>
                <w:sz w:val="21"/>
                <w:szCs w:val="20"/>
                <w:highlight w:val="none"/>
                <w:u w:val="none"/>
                <w:lang w:eastAsia="zh-CN"/>
              </w:rPr>
            </w:pPr>
            <w:r>
              <w:rPr>
                <w:rFonts w:hint="eastAsia" w:ascii="Times New Roman" w:hAnsi="Times New Roman" w:eastAsia="宋体" w:cs="Times New Roman"/>
                <w:color w:val="auto"/>
                <w:sz w:val="21"/>
                <w:szCs w:val="20"/>
                <w:highlight w:val="none"/>
                <w:u w:val="none"/>
                <w:lang w:eastAsia="zh-CN"/>
              </w:rPr>
              <w:t>7920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100</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CellMar>
            <w:top w:w="0" w:type="dxa"/>
            <w:left w:w="11" w:type="dxa"/>
            <w:bottom w:w="0" w:type="dxa"/>
            <w:right w:w="11" w:type="dxa"/>
          </w:tblCellMar>
        </w:tblPrEx>
        <w:trPr>
          <w:trHeight w:val="540" w:hRule="atLeast"/>
        </w:trPr>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氮氧化物</w:t>
            </w: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SNCR脱硝</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155</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1.24</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9.8208</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 xml:space="preserve">0.9920 </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 xml:space="preserve">7.8566 </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Times New Roman" w:hAnsi="Times New Roman" w:eastAsia="宋体" w:cs="Times New Roman"/>
                <w:color w:val="auto"/>
                <w:sz w:val="21"/>
                <w:szCs w:val="20"/>
                <w:highlight w:val="none"/>
                <w:u w:val="none"/>
                <w:lang w:eastAsia="zh-CN"/>
              </w:rPr>
            </w:pPr>
            <w:r>
              <w:rPr>
                <w:rFonts w:hint="eastAsia" w:ascii="Times New Roman" w:hAnsi="Times New Roman" w:eastAsia="宋体" w:cs="Times New Roman"/>
                <w:color w:val="auto"/>
                <w:sz w:val="21"/>
                <w:szCs w:val="20"/>
                <w:highlight w:val="none"/>
                <w:u w:val="none"/>
                <w:lang w:eastAsia="zh-CN"/>
              </w:rPr>
              <w:t>7920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300</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CellMar>
            <w:top w:w="0" w:type="dxa"/>
            <w:left w:w="11" w:type="dxa"/>
            <w:bottom w:w="0" w:type="dxa"/>
            <w:right w:w="11" w:type="dxa"/>
          </w:tblCellMar>
        </w:tblPrEx>
        <w:trPr>
          <w:trHeight w:val="289" w:hRule="atLeast"/>
        </w:trPr>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氟化氢</w:t>
            </w: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弱碱液急冷+半干式吸收+</w:t>
            </w:r>
            <w:r>
              <w:rPr>
                <w:rFonts w:hint="default" w:ascii="Times New Roman" w:hAnsi="Times New Roman" w:eastAsia="宋体" w:cs="Times New Roman"/>
                <w:color w:val="auto"/>
                <w:sz w:val="21"/>
                <w:szCs w:val="21"/>
                <w:highlight w:val="none"/>
                <w:u w:val="none"/>
              </w:rPr>
              <w:t>二级碱喷淋</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 xml:space="preserve">0.27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 xml:space="preserve">0.0021 </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 xml:space="preserve">0.0168 </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0</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0</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Times New Roman" w:hAnsi="Times New Roman" w:eastAsia="宋体" w:cs="Times New Roman"/>
                <w:color w:val="auto"/>
                <w:sz w:val="21"/>
                <w:szCs w:val="20"/>
                <w:highlight w:val="none"/>
                <w:u w:val="none"/>
                <w:lang w:eastAsia="zh-CN"/>
              </w:rPr>
            </w:pPr>
            <w:r>
              <w:rPr>
                <w:rFonts w:hint="eastAsia" w:ascii="Times New Roman" w:hAnsi="Times New Roman" w:eastAsia="宋体" w:cs="Times New Roman"/>
                <w:color w:val="auto"/>
                <w:sz w:val="21"/>
                <w:szCs w:val="20"/>
                <w:highlight w:val="none"/>
                <w:u w:val="none"/>
                <w:lang w:eastAsia="zh-CN"/>
              </w:rPr>
              <w:t>7920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4</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CellMar>
            <w:top w:w="0" w:type="dxa"/>
            <w:left w:w="11" w:type="dxa"/>
            <w:bottom w:w="0" w:type="dxa"/>
            <w:right w:w="11" w:type="dxa"/>
          </w:tblCellMar>
        </w:tblPrEx>
        <w:trPr>
          <w:trHeight w:val="285" w:hRule="atLeast"/>
        </w:trPr>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氯化氢</w:t>
            </w: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弱碱液急冷+半干式吸收+</w:t>
            </w:r>
            <w:r>
              <w:rPr>
                <w:rFonts w:hint="default" w:ascii="Times New Roman" w:hAnsi="Times New Roman" w:eastAsia="宋体" w:cs="Times New Roman"/>
                <w:color w:val="auto"/>
                <w:sz w:val="21"/>
                <w:szCs w:val="21"/>
                <w:highlight w:val="none"/>
                <w:u w:val="none"/>
              </w:rPr>
              <w:t>二级碱喷淋</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 xml:space="preserve">1.7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 xml:space="preserve">0.0135 </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 xml:space="preserve">0.1073 </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 xml:space="preserve">0.011 </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0.0894</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Times New Roman" w:hAnsi="Times New Roman" w:eastAsia="宋体" w:cs="Times New Roman"/>
                <w:color w:val="auto"/>
                <w:sz w:val="21"/>
                <w:szCs w:val="20"/>
                <w:highlight w:val="none"/>
                <w:u w:val="none"/>
                <w:lang w:eastAsia="zh-CN"/>
              </w:rPr>
            </w:pPr>
            <w:r>
              <w:rPr>
                <w:rFonts w:hint="eastAsia" w:ascii="Times New Roman" w:hAnsi="Times New Roman" w:eastAsia="宋体" w:cs="Times New Roman"/>
                <w:color w:val="auto"/>
                <w:sz w:val="21"/>
                <w:szCs w:val="20"/>
                <w:highlight w:val="none"/>
                <w:u w:val="none"/>
                <w:lang w:eastAsia="zh-CN"/>
              </w:rPr>
              <w:t>7920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60</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CellMar>
            <w:top w:w="0" w:type="dxa"/>
            <w:left w:w="11" w:type="dxa"/>
            <w:bottom w:w="0" w:type="dxa"/>
            <w:right w:w="11" w:type="dxa"/>
          </w:tblCellMar>
        </w:tblPrEx>
        <w:trPr>
          <w:trHeight w:val="285" w:hRule="atLeast"/>
        </w:trPr>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一氧化碳</w:t>
            </w: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控制燃烧条件</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10</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0.08</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 xml:space="preserve">0.6336 </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0.064</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bidi w:val="0"/>
              <w:spacing w:line="240" w:lineRule="auto"/>
              <w:ind w:firstLine="0" w:firstLineChars="0"/>
              <w:jc w:val="center"/>
              <w:rPr>
                <w:rFonts w:hint="default" w:ascii="Times New Roman" w:hAnsi="Times New Roman" w:eastAsia="宋体" w:cs="Times New Roman"/>
                <w:bCs/>
                <w:color w:val="auto"/>
                <w:kern w:val="2"/>
                <w:sz w:val="21"/>
                <w:highlight w:val="none"/>
                <w:u w:val="none"/>
                <w:lang w:val="en-US" w:eastAsia="zh-CN" w:bidi="ar-SA"/>
              </w:rPr>
            </w:pPr>
            <w:r>
              <w:rPr>
                <w:rFonts w:hint="eastAsia" w:ascii="Times New Roman" w:hAnsi="Times New Roman" w:eastAsia="宋体" w:cs="Times New Roman"/>
                <w:bCs/>
                <w:color w:val="auto"/>
                <w:kern w:val="2"/>
                <w:sz w:val="21"/>
                <w:highlight w:val="none"/>
                <w:u w:val="none"/>
                <w:lang w:val="en-US" w:eastAsia="zh-CN" w:bidi="ar-SA"/>
              </w:rPr>
              <w:t>0.5069</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Times New Roman" w:hAnsi="Times New Roman" w:eastAsia="宋体" w:cs="Times New Roman"/>
                <w:color w:val="auto"/>
                <w:sz w:val="21"/>
                <w:szCs w:val="20"/>
                <w:highlight w:val="none"/>
                <w:u w:val="none"/>
                <w:lang w:eastAsia="zh-CN"/>
              </w:rPr>
            </w:pPr>
            <w:r>
              <w:rPr>
                <w:rFonts w:hint="eastAsia" w:ascii="Times New Roman" w:hAnsi="Times New Roman" w:eastAsia="宋体" w:cs="Times New Roman"/>
                <w:color w:val="auto"/>
                <w:sz w:val="21"/>
                <w:szCs w:val="20"/>
                <w:highlight w:val="none"/>
                <w:u w:val="none"/>
                <w:lang w:eastAsia="zh-CN"/>
              </w:rPr>
              <w:t>7920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100</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CellMar>
            <w:top w:w="0" w:type="dxa"/>
            <w:left w:w="11" w:type="dxa"/>
            <w:bottom w:w="0" w:type="dxa"/>
            <w:right w:w="11" w:type="dxa"/>
          </w:tblCellMar>
        </w:tblPrEx>
        <w:trPr>
          <w:trHeight w:val="285" w:hRule="atLeast"/>
        </w:trPr>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二噁英类</w:t>
            </w: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“3T+E”控制+急冷+活性炭吸附</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0.03ngTEQ/Nm</w:t>
            </w:r>
            <w:r>
              <w:rPr>
                <w:rFonts w:hint="default" w:ascii="Times New Roman" w:hAnsi="Times New Roman" w:eastAsia="宋体" w:cs="Times New Roman"/>
                <w:color w:val="auto"/>
                <w:sz w:val="21"/>
                <w:szCs w:val="20"/>
                <w:highlight w:val="none"/>
                <w:u w:val="none"/>
                <w:vertAlign w:val="superscript"/>
              </w:rPr>
              <w:t>3</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240ngTEQ</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eastAsia" w:ascii="Times New Roman" w:hAnsi="Times New Roman" w:eastAsia="宋体" w:cs="Times New Roman"/>
                <w:color w:val="auto"/>
                <w:sz w:val="21"/>
                <w:szCs w:val="20"/>
                <w:highlight w:val="none"/>
                <w:u w:val="none"/>
                <w:lang w:val="en-US" w:eastAsia="zh-CN"/>
              </w:rPr>
              <w:t>1901</w:t>
            </w:r>
            <w:r>
              <w:rPr>
                <w:rFonts w:hint="default" w:ascii="Times New Roman" w:hAnsi="Times New Roman" w:eastAsia="宋体" w:cs="Times New Roman"/>
                <w:color w:val="auto"/>
                <w:sz w:val="21"/>
                <w:szCs w:val="20"/>
                <w:highlight w:val="none"/>
                <w:u w:val="none"/>
              </w:rPr>
              <w:t>ugTEQ</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192ngTEQ/h</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1</w:t>
            </w:r>
            <w:r>
              <w:rPr>
                <w:rFonts w:hint="eastAsia" w:ascii="Times New Roman" w:hAnsi="Times New Roman" w:eastAsia="宋体" w:cs="Times New Roman"/>
                <w:color w:val="auto"/>
                <w:sz w:val="21"/>
                <w:szCs w:val="20"/>
                <w:highlight w:val="none"/>
                <w:u w:val="none"/>
                <w:lang w:val="en-US" w:eastAsia="zh-CN"/>
              </w:rPr>
              <w:t>521</w:t>
            </w:r>
            <w:r>
              <w:rPr>
                <w:rFonts w:hint="default" w:ascii="Times New Roman" w:hAnsi="Times New Roman" w:eastAsia="宋体" w:cs="Times New Roman"/>
                <w:color w:val="auto"/>
                <w:sz w:val="21"/>
                <w:szCs w:val="20"/>
                <w:highlight w:val="none"/>
                <w:u w:val="none"/>
              </w:rPr>
              <w:t>ugTEQ/t</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Times New Roman" w:hAnsi="Times New Roman" w:eastAsia="宋体" w:cs="Times New Roman"/>
                <w:color w:val="auto"/>
                <w:sz w:val="21"/>
                <w:szCs w:val="20"/>
                <w:highlight w:val="none"/>
                <w:u w:val="none"/>
                <w:lang w:eastAsia="zh-CN"/>
              </w:rPr>
            </w:pPr>
            <w:r>
              <w:rPr>
                <w:rFonts w:hint="eastAsia" w:ascii="Times New Roman" w:hAnsi="Times New Roman" w:eastAsia="宋体" w:cs="Times New Roman"/>
                <w:color w:val="auto"/>
                <w:sz w:val="21"/>
                <w:szCs w:val="20"/>
                <w:highlight w:val="none"/>
                <w:u w:val="none"/>
                <w:lang w:eastAsia="zh-CN"/>
              </w:rPr>
              <w:t>7920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0.5</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CellMar>
            <w:top w:w="0" w:type="dxa"/>
            <w:left w:w="11" w:type="dxa"/>
            <w:bottom w:w="0" w:type="dxa"/>
            <w:right w:w="11" w:type="dxa"/>
          </w:tblCellMar>
        </w:tblPrEx>
        <w:trPr>
          <w:trHeight w:val="27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DA006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包装废气</w:t>
            </w:r>
            <w:r>
              <w:rPr>
                <w:rFonts w:hint="default" w:ascii="Times New Roman" w:hAnsi="Times New Roman" w:eastAsia="宋体" w:cs="Times New Roman"/>
                <w:color w:val="auto"/>
                <w:sz w:val="21"/>
                <w:szCs w:val="20"/>
                <w:highlight w:val="none"/>
                <w:u w:val="none"/>
                <w:vertAlign w:val="superscript"/>
              </w:rPr>
              <w:t>3</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颗粒物</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5000</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袋式除尘器</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1.29</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0.0064</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0.017</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0.0054</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0.0143</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2640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20</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CellMar>
            <w:top w:w="0" w:type="dxa"/>
            <w:left w:w="11" w:type="dxa"/>
            <w:bottom w:w="0" w:type="dxa"/>
            <w:right w:w="11" w:type="dxa"/>
          </w:tblCellMar>
        </w:tblPrEx>
        <w:trPr>
          <w:trHeight w:val="285" w:hRule="atLeast"/>
        </w:trPr>
        <w:tc>
          <w:tcPr>
            <w:tcW w:w="25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DA007</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食堂油烟</w:t>
            </w:r>
            <w:r>
              <w:rPr>
                <w:rFonts w:hint="default" w:ascii="Times New Roman" w:hAnsi="Times New Roman" w:eastAsia="宋体" w:cs="Times New Roman"/>
                <w:color w:val="auto"/>
                <w:sz w:val="21"/>
                <w:szCs w:val="20"/>
                <w:highlight w:val="none"/>
                <w:u w:val="none"/>
                <w:vertAlign w:val="superscript"/>
              </w:rPr>
              <w:t>4</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油烟</w:t>
            </w:r>
          </w:p>
        </w:tc>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15000</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复合油烟净化器</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0.79</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0.012</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0.0312</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0.008</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0.021</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2640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r>
        <w:tblPrEx>
          <w:tblCellMar>
            <w:top w:w="0" w:type="dxa"/>
            <w:left w:w="11" w:type="dxa"/>
            <w:bottom w:w="0" w:type="dxa"/>
            <w:right w:w="11" w:type="dxa"/>
          </w:tblCellMar>
        </w:tblPrEx>
        <w:trPr>
          <w:trHeight w:val="285" w:hRule="atLeast"/>
        </w:trPr>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非甲烷总烃</w:t>
            </w: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4.73</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0.071</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0.1872</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0.047</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0.125</w:t>
            </w:r>
          </w:p>
        </w:tc>
        <w:tc>
          <w:tcPr>
            <w:tcW w:w="330"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u w:val="none"/>
              </w:rPr>
            </w:pPr>
            <w:r>
              <w:rPr>
                <w:rFonts w:hint="default" w:ascii="Times New Roman" w:hAnsi="Times New Roman" w:eastAsia="宋体" w:cs="Times New Roman"/>
                <w:color w:val="auto"/>
                <w:sz w:val="21"/>
                <w:szCs w:val="20"/>
                <w:highlight w:val="none"/>
                <w:u w:val="none"/>
              </w:rPr>
              <w:t>2640</w:t>
            </w:r>
          </w:p>
        </w:tc>
        <w:tc>
          <w:tcPr>
            <w:tcW w:w="249"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10</w:t>
            </w:r>
          </w:p>
        </w:tc>
        <w:tc>
          <w:tcPr>
            <w:tcW w:w="231"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highlight w:val="none"/>
                <w:u w:val="none"/>
                <w:lang w:val="en-US" w:eastAsia="zh-CN" w:bidi="ar-SA"/>
              </w:rPr>
            </w:pPr>
            <w:r>
              <w:rPr>
                <w:rFonts w:hint="default" w:ascii="Times New Roman" w:hAnsi="Times New Roman" w:eastAsia="宋体" w:cs="Times New Roman"/>
                <w:color w:val="auto"/>
                <w:kern w:val="2"/>
                <w:sz w:val="21"/>
                <w:highlight w:val="none"/>
                <w:u w:val="none"/>
                <w:lang w:val="en-US" w:eastAsia="zh-CN" w:bidi="ar-SA"/>
              </w:rPr>
              <w:t>/</w:t>
            </w:r>
          </w:p>
        </w:tc>
      </w:tr>
    </w:tbl>
    <w:p>
      <w:pPr>
        <w:spacing w:line="520" w:lineRule="exact"/>
        <w:jc w:val="left"/>
        <w:rPr>
          <w:rFonts w:hint="eastAsia" w:ascii="Times New Roman" w:eastAsia="宋体"/>
          <w:color w:val="auto"/>
          <w:highlight w:val="none"/>
          <w:u w:val="none"/>
          <w:lang w:val="en-US" w:eastAsia="zh-CN"/>
        </w:rPr>
        <w:sectPr>
          <w:pgSz w:w="16838" w:h="11905" w:orient="landscape"/>
          <w:pgMar w:top="1803" w:right="1440" w:bottom="1803" w:left="1440"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imes New Roman" w:eastAsia="宋体"/>
          <w:color w:val="auto"/>
          <w:highlight w:val="none"/>
          <w:u w:val="none"/>
          <w:lang w:val="en-US" w:eastAsia="zh-CN"/>
        </w:rPr>
        <w:t>工艺废气排气筒排放应执行《制药工业大气污染物排放标准》（GB 37823-2019）排放标准；危废焚烧炉废气排气筒排放执行《危险废物焚烧污染控制标准》（GB 18484</w:t>
      </w:r>
      <w:r>
        <w:rPr>
          <w:rFonts w:hint="eastAsia" w:eastAsia="宋体"/>
          <w:color w:val="auto"/>
          <w:highlight w:val="none"/>
          <w:u w:val="none"/>
          <w:lang w:val="en-US" w:eastAsia="zh-CN"/>
        </w:rPr>
        <w:t>-</w:t>
      </w:r>
      <w:r>
        <w:rPr>
          <w:rFonts w:hint="eastAsia" w:ascii="Times New Roman" w:eastAsia="宋体"/>
          <w:color w:val="auto"/>
          <w:highlight w:val="none"/>
          <w:u w:val="none"/>
          <w:lang w:val="en-US" w:eastAsia="zh-CN"/>
        </w:rPr>
        <w:t>2020）排放标准；有机废气还有满足《关于全省开展工业企业挥发性有机物专项治理工作中排放建议值的通知》（豫环攻坚办〔2017〕162号）要求，恶臭污染物还应满足《恶臭污染物排放标准》（GB14554-1993）标准限值；食堂油烟执行《餐饮业油烟污染物排放标准》（DB41/1604</w:t>
      </w:r>
      <w:r>
        <w:rPr>
          <w:rFonts w:hint="eastAsia" w:eastAsia="宋体"/>
          <w:color w:val="auto"/>
          <w:highlight w:val="none"/>
          <w:u w:val="none"/>
          <w:lang w:val="en-US" w:eastAsia="zh-CN"/>
        </w:rPr>
        <w:t>-</w:t>
      </w:r>
      <w:r>
        <w:rPr>
          <w:rFonts w:hint="eastAsia" w:ascii="Times New Roman" w:eastAsia="宋体"/>
          <w:color w:val="auto"/>
          <w:highlight w:val="none"/>
          <w:u w:val="none"/>
          <w:lang w:val="en-US" w:eastAsia="zh-CN"/>
        </w:rPr>
        <w:t>2018）中型食堂标准。</w:t>
      </w:r>
    </w:p>
    <w:p>
      <w:pPr>
        <w:pStyle w:val="9"/>
        <w:bidi w:val="0"/>
        <w:rPr>
          <w:rFonts w:hint="default" w:ascii="Times New Roman" w:hAnsi="Times New Roman" w:eastAsia="宋体" w:cs="Times New Roman"/>
          <w:b/>
          <w:bCs/>
          <w:color w:val="auto"/>
          <w:kern w:val="2"/>
          <w:sz w:val="24"/>
          <w:szCs w:val="24"/>
          <w:highlight w:val="none"/>
          <w:u w:val="none"/>
          <w:lang w:val="en-US" w:eastAsia="zh-CN" w:bidi="ar-SA"/>
        </w:rPr>
      </w:pPr>
      <w:bookmarkStart w:id="197" w:name="_Ref23587"/>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10.1</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5</w:t>
      </w:r>
      <w:r>
        <w:rPr>
          <w:color w:val="auto"/>
          <w:highlight w:val="none"/>
          <w:u w:val="none"/>
        </w:rPr>
        <w:fldChar w:fldCharType="end"/>
      </w:r>
      <w:bookmarkEnd w:id="197"/>
      <w:r>
        <w:rPr>
          <w:rFonts w:hint="default" w:ascii="Times New Roman" w:hAnsi="Times New Roman" w:eastAsia="宋体" w:cs="Times New Roman"/>
          <w:b/>
          <w:bCs/>
          <w:color w:val="auto"/>
          <w:kern w:val="2"/>
          <w:sz w:val="24"/>
          <w:szCs w:val="24"/>
          <w:highlight w:val="none"/>
          <w:u w:val="none"/>
          <w:lang w:val="en-US" w:eastAsia="zh-CN" w:bidi="ar-SA"/>
        </w:rPr>
        <w:t xml:space="preserve">  </w:t>
      </w:r>
      <w:r>
        <w:rPr>
          <w:rFonts w:hint="eastAsia" w:ascii="Times New Roman" w:hAnsi="Times New Roman" w:eastAsia="宋体" w:cs="Times New Roman"/>
          <w:b/>
          <w:bCs/>
          <w:color w:val="auto"/>
          <w:kern w:val="2"/>
          <w:sz w:val="24"/>
          <w:szCs w:val="24"/>
          <w:highlight w:val="none"/>
          <w:u w:val="none"/>
          <w:lang w:val="en-US" w:eastAsia="zh-CN" w:bidi="ar-SA"/>
        </w:rPr>
        <w:t>废水</w:t>
      </w:r>
      <w:r>
        <w:rPr>
          <w:rFonts w:hint="default" w:ascii="Times New Roman" w:hAnsi="Times New Roman" w:eastAsia="宋体" w:cs="Times New Roman"/>
          <w:b/>
          <w:bCs/>
          <w:color w:val="auto"/>
          <w:kern w:val="2"/>
          <w:sz w:val="24"/>
          <w:szCs w:val="24"/>
          <w:highlight w:val="none"/>
          <w:u w:val="none"/>
          <w:lang w:val="en-US" w:eastAsia="zh-CN" w:bidi="ar-SA"/>
        </w:rPr>
        <w:t>污染物排放清单</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1848"/>
        <w:gridCol w:w="844"/>
        <w:gridCol w:w="750"/>
        <w:gridCol w:w="1198"/>
        <w:gridCol w:w="1218"/>
        <w:gridCol w:w="1246"/>
        <w:gridCol w:w="894"/>
        <w:gridCol w:w="765"/>
        <w:gridCol w:w="877"/>
        <w:gridCol w:w="1020"/>
        <w:gridCol w:w="810"/>
        <w:gridCol w:w="866"/>
        <w:gridCol w:w="810"/>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5" w:hRule="atLeast"/>
        </w:trPr>
        <w:tc>
          <w:tcPr>
            <w:tcW w:w="66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项目</w:t>
            </w:r>
          </w:p>
        </w:tc>
        <w:tc>
          <w:tcPr>
            <w:tcW w:w="30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废水量m</w:t>
            </w:r>
            <w:r>
              <w:rPr>
                <w:rFonts w:hint="default" w:ascii="Times New Roman" w:hAnsi="Times New Roman" w:eastAsia="宋体" w:cs="Times New Roman"/>
                <w:color w:val="auto"/>
                <w:kern w:val="2"/>
                <w:sz w:val="21"/>
                <w:szCs w:val="20"/>
                <w:highlight w:val="none"/>
                <w:u w:val="none"/>
                <w:vertAlign w:val="superscript"/>
                <w:lang w:val="en-US" w:eastAsia="zh-CN" w:bidi="ar-SA"/>
              </w:rPr>
              <w:t>3</w:t>
            </w:r>
            <w:r>
              <w:rPr>
                <w:rFonts w:hint="default" w:ascii="Times New Roman" w:hAnsi="Times New Roman" w:eastAsia="宋体" w:cs="Times New Roman"/>
                <w:color w:val="auto"/>
                <w:kern w:val="2"/>
                <w:sz w:val="21"/>
                <w:szCs w:val="20"/>
                <w:highlight w:val="none"/>
                <w:u w:val="none"/>
                <w:lang w:val="en-US" w:eastAsia="zh-CN" w:bidi="ar-SA"/>
              </w:rPr>
              <w:t>/a</w:t>
            </w:r>
          </w:p>
        </w:tc>
        <w:tc>
          <w:tcPr>
            <w:tcW w:w="26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pH(无量纲)</w:t>
            </w:r>
          </w:p>
        </w:tc>
        <w:tc>
          <w:tcPr>
            <w:tcW w:w="42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色度</w:t>
            </w:r>
          </w:p>
        </w:tc>
        <w:tc>
          <w:tcPr>
            <w:tcW w:w="43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化学需氧量</w:t>
            </w:r>
          </w:p>
        </w:tc>
        <w:tc>
          <w:tcPr>
            <w:tcW w:w="44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五日生化需氧量</w:t>
            </w:r>
          </w:p>
        </w:tc>
        <w:tc>
          <w:tcPr>
            <w:tcW w:w="31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氨氮</w:t>
            </w:r>
          </w:p>
        </w:tc>
        <w:tc>
          <w:tcPr>
            <w:tcW w:w="27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总氮</w:t>
            </w:r>
          </w:p>
        </w:tc>
        <w:tc>
          <w:tcPr>
            <w:tcW w:w="31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悬浮物</w:t>
            </w:r>
          </w:p>
        </w:tc>
        <w:tc>
          <w:tcPr>
            <w:tcW w:w="364"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二氯甲烷</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苯胺类</w:t>
            </w:r>
          </w:p>
        </w:tc>
        <w:tc>
          <w:tcPr>
            <w:tcW w:w="30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硝基苯类</w:t>
            </w:r>
          </w:p>
        </w:tc>
        <w:tc>
          <w:tcPr>
            <w:tcW w:w="289"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氰化物</w:t>
            </w:r>
          </w:p>
        </w:tc>
        <w:tc>
          <w:tcPr>
            <w:tcW w:w="30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TOC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8" w:hRule="atLeast"/>
        </w:trPr>
        <w:tc>
          <w:tcPr>
            <w:tcW w:w="66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污水处理系统</w:t>
            </w:r>
            <w:r>
              <w:rPr>
                <w:rFonts w:hint="default" w:ascii="Times New Roman" w:hAnsi="Times New Roman" w:eastAsia="宋体" w:cs="Times New Roman"/>
                <w:color w:val="auto"/>
                <w:kern w:val="2"/>
                <w:sz w:val="21"/>
                <w:szCs w:val="20"/>
                <w:highlight w:val="none"/>
                <w:u w:val="none"/>
                <w:lang w:val="en-US" w:eastAsia="zh-CN" w:bidi="ar-SA"/>
              </w:rPr>
              <w:t>进口</w:t>
            </w:r>
          </w:p>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w:t>
            </w:r>
            <w:r>
              <w:rPr>
                <w:rFonts w:hint="eastAsia" w:ascii="Times New Roman" w:hAnsi="Times New Roman" w:eastAsia="宋体" w:cs="Times New Roman"/>
                <w:color w:val="auto"/>
                <w:kern w:val="2"/>
                <w:sz w:val="21"/>
                <w:szCs w:val="20"/>
                <w:highlight w:val="none"/>
                <w:u w:val="none"/>
                <w:lang w:val="en-US" w:eastAsia="zh-CN" w:bidi="ar-SA"/>
              </w:rPr>
              <w:t>改建</w:t>
            </w:r>
            <w:r>
              <w:rPr>
                <w:rFonts w:hint="default" w:ascii="Times New Roman" w:hAnsi="Times New Roman" w:eastAsia="宋体" w:cs="Times New Roman"/>
                <w:color w:val="auto"/>
                <w:kern w:val="2"/>
                <w:sz w:val="21"/>
                <w:szCs w:val="20"/>
                <w:highlight w:val="none"/>
                <w:u w:val="none"/>
                <w:lang w:val="en-US" w:eastAsia="zh-CN" w:bidi="ar-SA"/>
              </w:rPr>
              <w:t>+现有</w:t>
            </w:r>
            <w:r>
              <w:rPr>
                <w:rFonts w:hint="default" w:ascii="Times New Roman" w:hAnsi="Times New Roman" w:eastAsia="宋体" w:cs="Times New Roman"/>
                <w:color w:val="auto"/>
                <w:kern w:val="2"/>
                <w:sz w:val="21"/>
                <w:szCs w:val="20"/>
                <w:highlight w:val="none"/>
                <w:u w:val="none"/>
                <w:vertAlign w:val="superscript"/>
                <w:lang w:val="en-US" w:eastAsia="zh-CN" w:bidi="ar-SA"/>
              </w:rPr>
              <w:t>1</w:t>
            </w:r>
            <w:r>
              <w:rPr>
                <w:rFonts w:hint="default" w:ascii="Times New Roman" w:hAnsi="Times New Roman" w:eastAsia="宋体" w:cs="Times New Roman"/>
                <w:color w:val="auto"/>
                <w:kern w:val="2"/>
                <w:sz w:val="21"/>
                <w:szCs w:val="20"/>
                <w:highlight w:val="none"/>
                <w:u w:val="none"/>
                <w:lang w:val="en-US" w:eastAsia="zh-CN" w:bidi="ar-SA"/>
              </w:rPr>
              <w:t>）</w:t>
            </w:r>
          </w:p>
        </w:tc>
        <w:tc>
          <w:tcPr>
            <w:tcW w:w="30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377175.5</w:t>
            </w:r>
          </w:p>
        </w:tc>
        <w:tc>
          <w:tcPr>
            <w:tcW w:w="26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6</w:t>
            </w:r>
            <w:r>
              <w:rPr>
                <w:rFonts w:hint="eastAsia" w:ascii="Times New Roman" w:hAnsi="Times New Roman" w:eastAsia="宋体" w:cs="Times New Roman"/>
                <w:color w:val="auto"/>
                <w:kern w:val="2"/>
                <w:sz w:val="21"/>
                <w:szCs w:val="20"/>
                <w:highlight w:val="none"/>
                <w:u w:val="none"/>
                <w:lang w:val="en-US" w:eastAsia="zh-CN" w:bidi="ar-SA"/>
              </w:rPr>
              <w:t>-</w:t>
            </w:r>
            <w:r>
              <w:rPr>
                <w:rFonts w:hint="default" w:ascii="Times New Roman" w:hAnsi="Times New Roman" w:eastAsia="宋体" w:cs="Times New Roman"/>
                <w:color w:val="auto"/>
                <w:kern w:val="2"/>
                <w:sz w:val="21"/>
                <w:szCs w:val="20"/>
                <w:highlight w:val="none"/>
                <w:u w:val="none"/>
                <w:lang w:val="en-US" w:eastAsia="zh-CN" w:bidi="ar-SA"/>
              </w:rPr>
              <w:t>9</w:t>
            </w:r>
          </w:p>
        </w:tc>
        <w:tc>
          <w:tcPr>
            <w:tcW w:w="42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2250</w:t>
            </w:r>
          </w:p>
        </w:tc>
        <w:tc>
          <w:tcPr>
            <w:tcW w:w="43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8967</w:t>
            </w:r>
          </w:p>
        </w:tc>
        <w:tc>
          <w:tcPr>
            <w:tcW w:w="44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3208</w:t>
            </w:r>
          </w:p>
        </w:tc>
        <w:tc>
          <w:tcPr>
            <w:tcW w:w="31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eastAsia="宋体" w:cs="Times New Roman"/>
                <w:color w:val="auto"/>
                <w:kern w:val="2"/>
                <w:sz w:val="21"/>
                <w:szCs w:val="20"/>
                <w:highlight w:val="none"/>
                <w:u w:val="none"/>
                <w:lang w:val="en-US" w:eastAsia="zh-CN" w:bidi="ar-SA"/>
              </w:rPr>
              <w:t>202</w:t>
            </w:r>
          </w:p>
        </w:tc>
        <w:tc>
          <w:tcPr>
            <w:tcW w:w="27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320</w:t>
            </w:r>
          </w:p>
        </w:tc>
        <w:tc>
          <w:tcPr>
            <w:tcW w:w="31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76</w:t>
            </w:r>
          </w:p>
        </w:tc>
        <w:tc>
          <w:tcPr>
            <w:tcW w:w="364"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0.77</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0.68</w:t>
            </w:r>
          </w:p>
        </w:tc>
        <w:tc>
          <w:tcPr>
            <w:tcW w:w="30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0.0402</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0.0085</w:t>
            </w:r>
          </w:p>
        </w:tc>
        <w:tc>
          <w:tcPr>
            <w:tcW w:w="30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2690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66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处理措施</w:t>
            </w:r>
          </w:p>
        </w:tc>
        <w:tc>
          <w:tcPr>
            <w:tcW w:w="4339" w:type="pct"/>
            <w:gridSpan w:val="13"/>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调节池+铁碳微电解池+沉淀池+调节池+水解酸化池+沉淀池+UASB+三级A/O+臭氧氧化+沉淀池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66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去除效率</w:t>
            </w:r>
          </w:p>
        </w:tc>
        <w:tc>
          <w:tcPr>
            <w:tcW w:w="30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w:t>
            </w:r>
          </w:p>
        </w:tc>
        <w:tc>
          <w:tcPr>
            <w:tcW w:w="26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w:t>
            </w:r>
          </w:p>
        </w:tc>
        <w:tc>
          <w:tcPr>
            <w:tcW w:w="42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99.00%</w:t>
            </w:r>
          </w:p>
        </w:tc>
        <w:tc>
          <w:tcPr>
            <w:tcW w:w="43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98.</w:t>
            </w:r>
            <w:r>
              <w:rPr>
                <w:rFonts w:hint="eastAsia" w:eastAsia="宋体" w:cs="Times New Roman"/>
                <w:color w:val="auto"/>
                <w:kern w:val="2"/>
                <w:sz w:val="21"/>
                <w:szCs w:val="20"/>
                <w:highlight w:val="none"/>
                <w:u w:val="none"/>
                <w:lang w:val="en-US" w:eastAsia="zh-CN" w:bidi="ar-SA"/>
              </w:rPr>
              <w:t>79</w:t>
            </w:r>
            <w:r>
              <w:rPr>
                <w:rFonts w:hint="default" w:ascii="Times New Roman" w:hAnsi="Times New Roman" w:eastAsia="宋体" w:cs="Times New Roman"/>
                <w:color w:val="auto"/>
                <w:kern w:val="2"/>
                <w:sz w:val="21"/>
                <w:szCs w:val="20"/>
                <w:highlight w:val="none"/>
                <w:u w:val="none"/>
                <w:lang w:val="en-US" w:eastAsia="zh-CN" w:bidi="ar-SA"/>
              </w:rPr>
              <w:t>%</w:t>
            </w:r>
          </w:p>
        </w:tc>
        <w:tc>
          <w:tcPr>
            <w:tcW w:w="44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99.00%</w:t>
            </w:r>
          </w:p>
        </w:tc>
        <w:tc>
          <w:tcPr>
            <w:tcW w:w="31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96.64%</w:t>
            </w:r>
          </w:p>
        </w:tc>
        <w:tc>
          <w:tcPr>
            <w:tcW w:w="27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97%</w:t>
            </w:r>
          </w:p>
        </w:tc>
        <w:tc>
          <w:tcPr>
            <w:tcW w:w="31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60%</w:t>
            </w:r>
          </w:p>
        </w:tc>
        <w:tc>
          <w:tcPr>
            <w:tcW w:w="364"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99.00%</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45%</w:t>
            </w:r>
          </w:p>
        </w:tc>
        <w:tc>
          <w:tcPr>
            <w:tcW w:w="30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82%</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88%</w:t>
            </w:r>
          </w:p>
        </w:tc>
        <w:tc>
          <w:tcPr>
            <w:tcW w:w="30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98.8</w:t>
            </w:r>
            <w:r>
              <w:rPr>
                <w:rFonts w:hint="default" w:ascii="Times New Roman" w:hAnsi="Times New Roman" w:eastAsia="宋体" w:cs="Times New Roman"/>
                <w:color w:val="auto"/>
                <w:kern w:val="2"/>
                <w:sz w:val="21"/>
                <w:szCs w:val="20"/>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5" w:hRule="atLeast"/>
        </w:trPr>
        <w:tc>
          <w:tcPr>
            <w:tcW w:w="66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综合污水处理</w:t>
            </w:r>
            <w:r>
              <w:rPr>
                <w:rFonts w:hint="eastAsia" w:ascii="Times New Roman" w:hAnsi="Times New Roman" w:eastAsia="宋体" w:cs="Times New Roman"/>
                <w:color w:val="auto"/>
                <w:kern w:val="2"/>
                <w:sz w:val="21"/>
                <w:szCs w:val="20"/>
                <w:highlight w:val="none"/>
                <w:u w:val="none"/>
                <w:lang w:val="en-US" w:eastAsia="zh-CN" w:bidi="ar-SA"/>
              </w:rPr>
              <w:t>系统</w:t>
            </w:r>
            <w:r>
              <w:rPr>
                <w:rFonts w:hint="default" w:ascii="Times New Roman" w:hAnsi="Times New Roman" w:eastAsia="宋体" w:cs="Times New Roman"/>
                <w:color w:val="auto"/>
                <w:kern w:val="2"/>
                <w:sz w:val="21"/>
                <w:szCs w:val="20"/>
                <w:highlight w:val="none"/>
                <w:u w:val="none"/>
                <w:lang w:val="en-US" w:eastAsia="zh-CN" w:bidi="ar-SA"/>
              </w:rPr>
              <w:t>出口</w:t>
            </w:r>
          </w:p>
        </w:tc>
        <w:tc>
          <w:tcPr>
            <w:tcW w:w="30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377175.5</w:t>
            </w:r>
          </w:p>
        </w:tc>
        <w:tc>
          <w:tcPr>
            <w:tcW w:w="26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6-9</w:t>
            </w:r>
          </w:p>
        </w:tc>
        <w:tc>
          <w:tcPr>
            <w:tcW w:w="42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22.5</w:t>
            </w:r>
          </w:p>
        </w:tc>
        <w:tc>
          <w:tcPr>
            <w:tcW w:w="43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108.</w:t>
            </w:r>
            <w:r>
              <w:rPr>
                <w:rFonts w:hint="eastAsia" w:eastAsia="宋体" w:cs="Times New Roman"/>
                <w:color w:val="auto"/>
                <w:kern w:val="2"/>
                <w:sz w:val="21"/>
                <w:szCs w:val="20"/>
                <w:highlight w:val="none"/>
                <w:u w:val="none"/>
                <w:lang w:val="en-US" w:eastAsia="zh-CN" w:bidi="ar-SA"/>
              </w:rPr>
              <w:t>5</w:t>
            </w:r>
          </w:p>
        </w:tc>
        <w:tc>
          <w:tcPr>
            <w:tcW w:w="44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32.08</w:t>
            </w:r>
          </w:p>
        </w:tc>
        <w:tc>
          <w:tcPr>
            <w:tcW w:w="31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6.</w:t>
            </w:r>
            <w:r>
              <w:rPr>
                <w:rFonts w:hint="eastAsia" w:eastAsia="宋体" w:cs="Times New Roman"/>
                <w:color w:val="auto"/>
                <w:kern w:val="2"/>
                <w:sz w:val="21"/>
                <w:szCs w:val="20"/>
                <w:highlight w:val="none"/>
                <w:u w:val="none"/>
                <w:lang w:val="en-US" w:eastAsia="zh-CN" w:bidi="ar-SA"/>
              </w:rPr>
              <w:t>8</w:t>
            </w:r>
          </w:p>
        </w:tc>
        <w:tc>
          <w:tcPr>
            <w:tcW w:w="27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9.6</w:t>
            </w:r>
          </w:p>
        </w:tc>
        <w:tc>
          <w:tcPr>
            <w:tcW w:w="31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30.4</w:t>
            </w:r>
          </w:p>
        </w:tc>
        <w:tc>
          <w:tcPr>
            <w:tcW w:w="364"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0.0077</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 xml:space="preserve">0.37 </w:t>
            </w:r>
          </w:p>
        </w:tc>
        <w:tc>
          <w:tcPr>
            <w:tcW w:w="309"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0.0072</w:t>
            </w:r>
          </w:p>
        </w:tc>
        <w:tc>
          <w:tcPr>
            <w:tcW w:w="289" w:type="pct"/>
            <w:shd w:val="clear" w:color="auto" w:fill="auto"/>
            <w:vAlign w:val="center"/>
          </w:tcPr>
          <w:p>
            <w:pPr>
              <w:widowControl w:val="0"/>
              <w:spacing w:line="240" w:lineRule="auto"/>
              <w:ind w:firstLine="0" w:firstLineChars="0"/>
              <w:jc w:val="center"/>
              <w:rPr>
                <w:rFonts w:hint="eastAsia"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0.001</w:t>
            </w:r>
          </w:p>
        </w:tc>
        <w:tc>
          <w:tcPr>
            <w:tcW w:w="30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32.61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5" w:hRule="atLeast"/>
        </w:trPr>
        <w:tc>
          <w:tcPr>
            <w:tcW w:w="66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改建</w:t>
            </w:r>
            <w:r>
              <w:rPr>
                <w:rFonts w:hint="default" w:ascii="Times New Roman" w:hAnsi="Times New Roman" w:eastAsia="宋体" w:cs="Times New Roman"/>
                <w:color w:val="auto"/>
                <w:kern w:val="2"/>
                <w:sz w:val="21"/>
                <w:szCs w:val="20"/>
                <w:highlight w:val="none"/>
                <w:u w:val="none"/>
                <w:lang w:val="en-US" w:eastAsia="zh-CN" w:bidi="ar-SA"/>
              </w:rPr>
              <w:t>工程清净下水</w:t>
            </w:r>
          </w:p>
        </w:tc>
        <w:tc>
          <w:tcPr>
            <w:tcW w:w="30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10298</w:t>
            </w:r>
          </w:p>
        </w:tc>
        <w:tc>
          <w:tcPr>
            <w:tcW w:w="26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6</w:t>
            </w:r>
            <w:r>
              <w:rPr>
                <w:rFonts w:hint="eastAsia" w:ascii="Times New Roman" w:hAnsi="Times New Roman" w:eastAsia="宋体" w:cs="Times New Roman"/>
                <w:color w:val="auto"/>
                <w:kern w:val="2"/>
                <w:sz w:val="21"/>
                <w:szCs w:val="20"/>
                <w:highlight w:val="none"/>
                <w:u w:val="none"/>
                <w:lang w:val="en-US" w:eastAsia="zh-CN" w:bidi="ar-SA"/>
              </w:rPr>
              <w:t>-</w:t>
            </w:r>
            <w:r>
              <w:rPr>
                <w:rFonts w:hint="default" w:ascii="Times New Roman" w:hAnsi="Times New Roman" w:eastAsia="宋体" w:cs="Times New Roman"/>
                <w:color w:val="auto"/>
                <w:kern w:val="2"/>
                <w:sz w:val="21"/>
                <w:szCs w:val="20"/>
                <w:highlight w:val="none"/>
                <w:u w:val="none"/>
                <w:lang w:val="en-US" w:eastAsia="zh-CN" w:bidi="ar-SA"/>
              </w:rPr>
              <w:t>9</w:t>
            </w:r>
          </w:p>
        </w:tc>
        <w:tc>
          <w:tcPr>
            <w:tcW w:w="42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15</w:t>
            </w:r>
          </w:p>
        </w:tc>
        <w:tc>
          <w:tcPr>
            <w:tcW w:w="43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50</w:t>
            </w:r>
          </w:p>
        </w:tc>
        <w:tc>
          <w:tcPr>
            <w:tcW w:w="44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15</w:t>
            </w:r>
          </w:p>
        </w:tc>
        <w:tc>
          <w:tcPr>
            <w:tcW w:w="31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3</w:t>
            </w:r>
          </w:p>
        </w:tc>
        <w:tc>
          <w:tcPr>
            <w:tcW w:w="27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3</w:t>
            </w:r>
          </w:p>
        </w:tc>
        <w:tc>
          <w:tcPr>
            <w:tcW w:w="31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15</w:t>
            </w:r>
          </w:p>
        </w:tc>
        <w:tc>
          <w:tcPr>
            <w:tcW w:w="364"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0</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0</w:t>
            </w:r>
          </w:p>
        </w:tc>
        <w:tc>
          <w:tcPr>
            <w:tcW w:w="30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0</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0</w:t>
            </w:r>
          </w:p>
        </w:tc>
        <w:tc>
          <w:tcPr>
            <w:tcW w:w="30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5" w:hRule="atLeast"/>
        </w:trPr>
        <w:tc>
          <w:tcPr>
            <w:tcW w:w="66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现有工程清净下水</w:t>
            </w:r>
          </w:p>
        </w:tc>
        <w:tc>
          <w:tcPr>
            <w:tcW w:w="30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1155</w:t>
            </w:r>
          </w:p>
        </w:tc>
        <w:tc>
          <w:tcPr>
            <w:tcW w:w="26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6</w:t>
            </w:r>
            <w:r>
              <w:rPr>
                <w:rFonts w:hint="eastAsia" w:ascii="Times New Roman" w:hAnsi="Times New Roman" w:eastAsia="宋体" w:cs="Times New Roman"/>
                <w:color w:val="auto"/>
                <w:kern w:val="2"/>
                <w:sz w:val="21"/>
                <w:szCs w:val="20"/>
                <w:highlight w:val="none"/>
                <w:u w:val="none"/>
                <w:lang w:val="en-US" w:eastAsia="zh-CN" w:bidi="ar-SA"/>
              </w:rPr>
              <w:t>-</w:t>
            </w:r>
            <w:r>
              <w:rPr>
                <w:rFonts w:hint="default" w:ascii="Times New Roman" w:hAnsi="Times New Roman" w:eastAsia="宋体" w:cs="Times New Roman"/>
                <w:color w:val="auto"/>
                <w:kern w:val="2"/>
                <w:sz w:val="21"/>
                <w:szCs w:val="20"/>
                <w:highlight w:val="none"/>
                <w:u w:val="none"/>
                <w:lang w:val="en-US" w:eastAsia="zh-CN" w:bidi="ar-SA"/>
              </w:rPr>
              <w:t>9</w:t>
            </w:r>
          </w:p>
        </w:tc>
        <w:tc>
          <w:tcPr>
            <w:tcW w:w="42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15</w:t>
            </w:r>
          </w:p>
        </w:tc>
        <w:tc>
          <w:tcPr>
            <w:tcW w:w="43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50</w:t>
            </w:r>
          </w:p>
        </w:tc>
        <w:tc>
          <w:tcPr>
            <w:tcW w:w="44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15</w:t>
            </w:r>
          </w:p>
        </w:tc>
        <w:tc>
          <w:tcPr>
            <w:tcW w:w="31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3</w:t>
            </w:r>
          </w:p>
        </w:tc>
        <w:tc>
          <w:tcPr>
            <w:tcW w:w="27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3</w:t>
            </w:r>
          </w:p>
        </w:tc>
        <w:tc>
          <w:tcPr>
            <w:tcW w:w="31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15</w:t>
            </w:r>
          </w:p>
        </w:tc>
        <w:tc>
          <w:tcPr>
            <w:tcW w:w="364"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0</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0</w:t>
            </w:r>
          </w:p>
        </w:tc>
        <w:tc>
          <w:tcPr>
            <w:tcW w:w="30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0</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0</w:t>
            </w:r>
          </w:p>
        </w:tc>
        <w:tc>
          <w:tcPr>
            <w:tcW w:w="30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5" w:hRule="atLeast"/>
        </w:trPr>
        <w:tc>
          <w:tcPr>
            <w:tcW w:w="66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总排口</w:t>
            </w:r>
          </w:p>
        </w:tc>
        <w:tc>
          <w:tcPr>
            <w:tcW w:w="30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388628.5</w:t>
            </w:r>
          </w:p>
        </w:tc>
        <w:tc>
          <w:tcPr>
            <w:tcW w:w="26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6</w:t>
            </w:r>
            <w:r>
              <w:rPr>
                <w:rFonts w:hint="eastAsia" w:ascii="Times New Roman" w:hAnsi="Times New Roman" w:eastAsia="宋体" w:cs="Times New Roman"/>
                <w:color w:val="auto"/>
                <w:kern w:val="2"/>
                <w:sz w:val="21"/>
                <w:szCs w:val="20"/>
                <w:highlight w:val="none"/>
                <w:u w:val="none"/>
                <w:lang w:val="en-US" w:eastAsia="zh-CN" w:bidi="ar-SA"/>
              </w:rPr>
              <w:t>-</w:t>
            </w:r>
            <w:r>
              <w:rPr>
                <w:rFonts w:hint="default" w:ascii="Times New Roman" w:hAnsi="Times New Roman" w:eastAsia="宋体" w:cs="Times New Roman"/>
                <w:color w:val="auto"/>
                <w:kern w:val="2"/>
                <w:sz w:val="21"/>
                <w:szCs w:val="20"/>
                <w:highlight w:val="none"/>
                <w:u w:val="none"/>
                <w:lang w:val="en-US" w:eastAsia="zh-CN" w:bidi="ar-SA"/>
              </w:rPr>
              <w:t>9</w:t>
            </w:r>
          </w:p>
        </w:tc>
        <w:tc>
          <w:tcPr>
            <w:tcW w:w="42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 xml:space="preserve">22 </w:t>
            </w:r>
          </w:p>
        </w:tc>
        <w:tc>
          <w:tcPr>
            <w:tcW w:w="43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 xml:space="preserve">107.0 </w:t>
            </w:r>
          </w:p>
        </w:tc>
        <w:tc>
          <w:tcPr>
            <w:tcW w:w="44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 xml:space="preserve">31.6 </w:t>
            </w:r>
          </w:p>
        </w:tc>
        <w:tc>
          <w:tcPr>
            <w:tcW w:w="31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 xml:space="preserve">6.7 </w:t>
            </w:r>
          </w:p>
        </w:tc>
        <w:tc>
          <w:tcPr>
            <w:tcW w:w="27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 xml:space="preserve">9.4 </w:t>
            </w:r>
          </w:p>
        </w:tc>
        <w:tc>
          <w:tcPr>
            <w:tcW w:w="31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 xml:space="preserve">29.9 </w:t>
            </w:r>
          </w:p>
        </w:tc>
        <w:tc>
          <w:tcPr>
            <w:tcW w:w="364"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 xml:space="preserve">0.0075 </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 xml:space="preserve">0.36 </w:t>
            </w:r>
          </w:p>
        </w:tc>
        <w:tc>
          <w:tcPr>
            <w:tcW w:w="30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 xml:space="preserve">0.007 </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0.001</w:t>
            </w:r>
          </w:p>
        </w:tc>
        <w:tc>
          <w:tcPr>
            <w:tcW w:w="30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 xml:space="preserve">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5" w:hRule="atLeast"/>
        </w:trPr>
        <w:tc>
          <w:tcPr>
            <w:tcW w:w="66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《化学合成类制药工业水污染物间接排放标准》（DB 41/756-2012）</w:t>
            </w:r>
          </w:p>
        </w:tc>
        <w:tc>
          <w:tcPr>
            <w:tcW w:w="30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240m</w:t>
            </w:r>
            <w:r>
              <w:rPr>
                <w:rFonts w:hint="default" w:ascii="Times New Roman" w:hAnsi="Times New Roman" w:eastAsia="宋体" w:cs="Times New Roman"/>
                <w:color w:val="auto"/>
                <w:kern w:val="2"/>
                <w:sz w:val="21"/>
                <w:szCs w:val="20"/>
                <w:highlight w:val="none"/>
                <w:u w:val="none"/>
                <w:vertAlign w:val="superscript"/>
                <w:lang w:val="en-US" w:eastAsia="zh-CN" w:bidi="ar-SA"/>
              </w:rPr>
              <w:t>3</w:t>
            </w:r>
            <w:r>
              <w:rPr>
                <w:rFonts w:hint="default" w:ascii="Times New Roman" w:hAnsi="Times New Roman" w:eastAsia="宋体" w:cs="Times New Roman"/>
                <w:color w:val="auto"/>
                <w:kern w:val="2"/>
                <w:sz w:val="21"/>
                <w:szCs w:val="20"/>
                <w:highlight w:val="none"/>
                <w:u w:val="none"/>
                <w:lang w:val="en-US" w:eastAsia="zh-CN" w:bidi="ar-SA"/>
              </w:rPr>
              <w:t>/t</w:t>
            </w:r>
          </w:p>
        </w:tc>
        <w:tc>
          <w:tcPr>
            <w:tcW w:w="26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6</w:t>
            </w:r>
            <w:r>
              <w:rPr>
                <w:rFonts w:hint="eastAsia" w:ascii="Times New Roman" w:hAnsi="Times New Roman" w:eastAsia="宋体" w:cs="Times New Roman"/>
                <w:color w:val="auto"/>
                <w:kern w:val="2"/>
                <w:sz w:val="21"/>
                <w:szCs w:val="20"/>
                <w:highlight w:val="none"/>
                <w:u w:val="none"/>
                <w:lang w:val="en-US" w:eastAsia="zh-CN" w:bidi="ar-SA"/>
              </w:rPr>
              <w:t>-</w:t>
            </w:r>
            <w:r>
              <w:rPr>
                <w:rFonts w:hint="default" w:ascii="Times New Roman" w:hAnsi="Times New Roman" w:eastAsia="宋体" w:cs="Times New Roman"/>
                <w:color w:val="auto"/>
                <w:kern w:val="2"/>
                <w:sz w:val="21"/>
                <w:szCs w:val="20"/>
                <w:highlight w:val="none"/>
                <w:u w:val="none"/>
                <w:lang w:val="en-US" w:eastAsia="zh-CN" w:bidi="ar-SA"/>
              </w:rPr>
              <w:t>9</w:t>
            </w:r>
          </w:p>
        </w:tc>
        <w:tc>
          <w:tcPr>
            <w:tcW w:w="42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50</w:t>
            </w:r>
          </w:p>
        </w:tc>
        <w:tc>
          <w:tcPr>
            <w:tcW w:w="43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220</w:t>
            </w:r>
          </w:p>
        </w:tc>
        <w:tc>
          <w:tcPr>
            <w:tcW w:w="44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40</w:t>
            </w:r>
          </w:p>
        </w:tc>
        <w:tc>
          <w:tcPr>
            <w:tcW w:w="31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35</w:t>
            </w:r>
          </w:p>
        </w:tc>
        <w:tc>
          <w:tcPr>
            <w:tcW w:w="27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50</w:t>
            </w:r>
          </w:p>
        </w:tc>
        <w:tc>
          <w:tcPr>
            <w:tcW w:w="31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100</w:t>
            </w:r>
          </w:p>
        </w:tc>
        <w:tc>
          <w:tcPr>
            <w:tcW w:w="364"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0.3</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2</w:t>
            </w:r>
          </w:p>
        </w:tc>
        <w:tc>
          <w:tcPr>
            <w:tcW w:w="30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2</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0.5</w:t>
            </w:r>
          </w:p>
        </w:tc>
        <w:tc>
          <w:tcPr>
            <w:tcW w:w="30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5" w:hRule="atLeast"/>
        </w:trPr>
        <w:tc>
          <w:tcPr>
            <w:tcW w:w="660"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柘城县第二污水处理厂设计收水指标</w:t>
            </w:r>
          </w:p>
        </w:tc>
        <w:tc>
          <w:tcPr>
            <w:tcW w:w="301"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w:t>
            </w:r>
          </w:p>
        </w:tc>
        <w:tc>
          <w:tcPr>
            <w:tcW w:w="26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6</w:t>
            </w:r>
            <w:r>
              <w:rPr>
                <w:rFonts w:hint="eastAsia" w:ascii="Times New Roman" w:hAnsi="Times New Roman" w:eastAsia="宋体" w:cs="Times New Roman"/>
                <w:color w:val="auto"/>
                <w:kern w:val="2"/>
                <w:sz w:val="21"/>
                <w:szCs w:val="20"/>
                <w:highlight w:val="none"/>
                <w:u w:val="none"/>
                <w:lang w:val="en-US" w:eastAsia="zh-CN" w:bidi="ar-SA"/>
              </w:rPr>
              <w:t>-</w:t>
            </w:r>
            <w:r>
              <w:rPr>
                <w:rFonts w:hint="default" w:ascii="Times New Roman" w:hAnsi="Times New Roman" w:eastAsia="宋体" w:cs="Times New Roman"/>
                <w:color w:val="auto"/>
                <w:kern w:val="2"/>
                <w:sz w:val="21"/>
                <w:szCs w:val="20"/>
                <w:highlight w:val="none"/>
                <w:u w:val="none"/>
                <w:lang w:val="en-US" w:eastAsia="zh-CN" w:bidi="ar-SA"/>
              </w:rPr>
              <w:t>9</w:t>
            </w:r>
          </w:p>
        </w:tc>
        <w:tc>
          <w:tcPr>
            <w:tcW w:w="428"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w:t>
            </w:r>
          </w:p>
        </w:tc>
        <w:tc>
          <w:tcPr>
            <w:tcW w:w="43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500</w:t>
            </w:r>
          </w:p>
        </w:tc>
        <w:tc>
          <w:tcPr>
            <w:tcW w:w="445"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220</w:t>
            </w:r>
          </w:p>
        </w:tc>
        <w:tc>
          <w:tcPr>
            <w:tcW w:w="31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50</w:t>
            </w:r>
          </w:p>
        </w:tc>
        <w:tc>
          <w:tcPr>
            <w:tcW w:w="27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w:t>
            </w:r>
          </w:p>
        </w:tc>
        <w:tc>
          <w:tcPr>
            <w:tcW w:w="313"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400</w:t>
            </w:r>
          </w:p>
        </w:tc>
        <w:tc>
          <w:tcPr>
            <w:tcW w:w="364"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w:t>
            </w:r>
          </w:p>
        </w:tc>
        <w:tc>
          <w:tcPr>
            <w:tcW w:w="30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w:t>
            </w:r>
          </w:p>
        </w:tc>
        <w:tc>
          <w:tcPr>
            <w:tcW w:w="289"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eastAsia" w:ascii="Times New Roman" w:hAnsi="Times New Roman" w:eastAsia="宋体" w:cs="Times New Roman"/>
                <w:color w:val="auto"/>
                <w:kern w:val="2"/>
                <w:sz w:val="21"/>
                <w:szCs w:val="20"/>
                <w:highlight w:val="none"/>
                <w:u w:val="none"/>
                <w:lang w:val="en-US" w:eastAsia="zh-CN" w:bidi="ar-SA"/>
              </w:rPr>
              <w:t>/</w:t>
            </w:r>
          </w:p>
        </w:tc>
        <w:tc>
          <w:tcPr>
            <w:tcW w:w="302" w:type="pct"/>
            <w:shd w:val="clear" w:color="auto" w:fill="auto"/>
            <w:vAlign w:val="center"/>
          </w:tcPr>
          <w:p>
            <w:pPr>
              <w:widowControl w:val="0"/>
              <w:spacing w:line="240" w:lineRule="auto"/>
              <w:ind w:firstLine="0" w:firstLineChars="0"/>
              <w:jc w:val="center"/>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5" w:hRule="atLeast"/>
        </w:trPr>
        <w:tc>
          <w:tcPr>
            <w:tcW w:w="5000" w:type="pct"/>
            <w:gridSpan w:val="14"/>
            <w:shd w:val="clear" w:color="auto" w:fill="auto"/>
            <w:vAlign w:val="center"/>
          </w:tcPr>
          <w:p>
            <w:pPr>
              <w:widowControl w:val="0"/>
              <w:spacing w:line="240" w:lineRule="auto"/>
              <w:ind w:firstLine="0" w:firstLineChars="0"/>
              <w:jc w:val="left"/>
              <w:rPr>
                <w:rFonts w:hint="default" w:ascii="Times New Roman" w:hAnsi="Times New Roman" w:eastAsia="宋体" w:cs="Times New Roman"/>
                <w:color w:val="auto"/>
                <w:kern w:val="2"/>
                <w:sz w:val="21"/>
                <w:szCs w:val="20"/>
                <w:highlight w:val="none"/>
                <w:u w:val="none"/>
                <w:lang w:val="en-US" w:eastAsia="zh-CN" w:bidi="ar-SA"/>
              </w:rPr>
            </w:pPr>
            <w:r>
              <w:rPr>
                <w:rFonts w:hint="default" w:ascii="Times New Roman" w:hAnsi="Times New Roman" w:eastAsia="宋体" w:cs="Times New Roman"/>
                <w:color w:val="auto"/>
                <w:kern w:val="2"/>
                <w:sz w:val="21"/>
                <w:szCs w:val="20"/>
                <w:highlight w:val="none"/>
                <w:u w:val="none"/>
                <w:lang w:val="en-US" w:eastAsia="zh-CN" w:bidi="ar-SA"/>
              </w:rPr>
              <w:t>注：1.现有工程是指</w:t>
            </w:r>
            <w:r>
              <w:rPr>
                <w:rFonts w:hint="eastAsia" w:ascii="Times New Roman" w:hAnsi="Times New Roman" w:eastAsia="宋体" w:cs="Times New Roman"/>
                <w:color w:val="auto"/>
                <w:kern w:val="2"/>
                <w:sz w:val="21"/>
                <w:szCs w:val="20"/>
                <w:highlight w:val="none"/>
                <w:u w:val="none"/>
                <w:lang w:val="en-US" w:eastAsia="zh-CN" w:bidi="ar-SA"/>
              </w:rPr>
              <w:t>改建</w:t>
            </w:r>
            <w:r>
              <w:rPr>
                <w:rFonts w:hint="default" w:ascii="Times New Roman" w:hAnsi="Times New Roman" w:eastAsia="宋体" w:cs="Times New Roman"/>
                <w:color w:val="auto"/>
                <w:kern w:val="2"/>
                <w:sz w:val="21"/>
                <w:szCs w:val="20"/>
                <w:highlight w:val="none"/>
                <w:u w:val="none"/>
                <w:lang w:val="en-US" w:eastAsia="zh-CN" w:bidi="ar-SA"/>
              </w:rPr>
              <w:t>后仍运营的现有工程；2废水综合处理站盐类浓度2650mg/L，不影响后续生化处理。</w:t>
            </w:r>
          </w:p>
        </w:tc>
      </w:tr>
    </w:tbl>
    <w:p>
      <w:pPr>
        <w:rPr>
          <w:rFonts w:hint="default"/>
          <w:color w:val="auto"/>
          <w:highlight w:val="none"/>
          <w:u w:val="none"/>
        </w:rPr>
        <w:sectPr>
          <w:pgSz w:w="16838" w:h="11905" w:orient="landscape"/>
          <w:pgMar w:top="1803" w:right="1440" w:bottom="1803" w:left="1440"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bookmarkEnd w:id="189"/>
    <w:bookmarkEnd w:id="190"/>
    <w:bookmarkEnd w:id="191"/>
    <w:bookmarkEnd w:id="192"/>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bookmarkStart w:id="198" w:name="_Toc269469028"/>
      <w:bookmarkStart w:id="199" w:name="_Toc287822718"/>
      <w:bookmarkStart w:id="200" w:name="_Toc305849701"/>
      <w:bookmarkStart w:id="201" w:name="_Toc403312249"/>
      <w:bookmarkStart w:id="202" w:name="_Toc19619"/>
      <w:bookmarkStart w:id="203" w:name="_Toc25249"/>
      <w:bookmarkStart w:id="204" w:name="_Toc12404"/>
      <w:bookmarkStart w:id="205" w:name="_Toc9545"/>
      <w:bookmarkStart w:id="206" w:name="_Toc485926337"/>
      <w:bookmarkStart w:id="207" w:name="_Toc25878"/>
      <w:bookmarkStart w:id="208" w:name="_Toc524940203"/>
      <w:bookmarkStart w:id="209" w:name="_Toc32533"/>
      <w:bookmarkStart w:id="210" w:name="_Toc9221"/>
      <w:bookmarkStart w:id="211" w:name="_Toc14623"/>
      <w:bookmarkStart w:id="212" w:name="_Toc29539"/>
      <w:bookmarkStart w:id="213" w:name="_Toc7604"/>
      <w:bookmarkStart w:id="214" w:name="_Toc7238"/>
      <w:r>
        <w:rPr>
          <w:rFonts w:hint="eastAsia" w:eastAsia="宋体" w:cs="Times New Roman"/>
          <w:color w:val="auto"/>
          <w:sz w:val="24"/>
          <w:szCs w:val="24"/>
          <w:highlight w:val="none"/>
          <w:u w:val="none"/>
          <w:lang w:val="en-US" w:eastAsia="zh-CN"/>
        </w:rPr>
        <w:t>改建</w:t>
      </w:r>
      <w:r>
        <w:rPr>
          <w:rFonts w:hint="eastAsia" w:ascii="Times New Roman" w:hAnsi="Times New Roman" w:eastAsia="宋体" w:cs="Times New Roman"/>
          <w:color w:val="auto"/>
          <w:sz w:val="24"/>
          <w:szCs w:val="24"/>
          <w:highlight w:val="none"/>
          <w:u w:val="none"/>
          <w:lang w:val="en-US" w:eastAsia="zh-CN"/>
        </w:rPr>
        <w:t>工程废水应执行</w:t>
      </w:r>
      <w:r>
        <w:rPr>
          <w:rFonts w:hint="default" w:ascii="Times New Roman" w:hAnsi="Times New Roman" w:eastAsia="宋体" w:cs="Times New Roman"/>
          <w:color w:val="auto"/>
          <w:sz w:val="24"/>
          <w:szCs w:val="24"/>
          <w:highlight w:val="none"/>
          <w:u w:val="none"/>
          <w:lang w:val="en-US" w:eastAsia="zh-CN"/>
        </w:rPr>
        <w:t>《化学合成类制药工业水污染物间接排放标准》（DB 41/756</w:t>
      </w:r>
      <w:r>
        <w:rPr>
          <w:rFonts w:hint="eastAsia" w:eastAsia="宋体"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2012）与柘城县第二污水处理厂设计收水指标</w:t>
      </w:r>
      <w:r>
        <w:rPr>
          <w:rFonts w:hint="eastAsia" w:ascii="Times New Roman" w:hAnsi="Times New Roman" w:eastAsia="宋体" w:cs="Times New Roman"/>
          <w:color w:val="auto"/>
          <w:sz w:val="24"/>
          <w:szCs w:val="24"/>
          <w:highlight w:val="none"/>
          <w:u w:val="none"/>
          <w:lang w:val="en-US" w:eastAsia="zh-CN"/>
        </w:rPr>
        <w:t>要求</w:t>
      </w:r>
      <w:r>
        <w:rPr>
          <w:rFonts w:hint="default" w:ascii="Times New Roman" w:hAnsi="Times New Roman" w:eastAsia="宋体" w:cs="Times New Roman"/>
          <w:color w:val="auto"/>
          <w:sz w:val="24"/>
          <w:szCs w:val="24"/>
          <w:highlight w:val="none"/>
          <w:u w:val="none"/>
          <w:lang w:val="en-US" w:eastAsia="zh-CN"/>
        </w:rPr>
        <w:t>。</w:t>
      </w:r>
    </w:p>
    <w:p>
      <w:pPr>
        <w:pStyle w:val="3"/>
        <w:bidi w:val="0"/>
        <w:rPr>
          <w:rFonts w:hint="default"/>
          <w:color w:val="auto"/>
          <w:highlight w:val="none"/>
          <w:u w:val="none"/>
          <w:lang w:val="en-US" w:eastAsia="zh-CN"/>
        </w:rPr>
      </w:pPr>
      <w:bookmarkStart w:id="215" w:name="_Toc193113592"/>
      <w:bookmarkStart w:id="216" w:name="_Toc12487"/>
      <w:bookmarkStart w:id="217" w:name="_Toc6049"/>
      <w:bookmarkStart w:id="218" w:name="_Toc8560"/>
      <w:r>
        <w:rPr>
          <w:rFonts w:hint="default"/>
          <w:color w:val="auto"/>
          <w:highlight w:val="none"/>
          <w:u w:val="none"/>
          <w:lang w:val="en-US" w:eastAsia="zh-CN"/>
        </w:rPr>
        <w:t>环境监测</w:t>
      </w:r>
      <w:bookmarkEnd w:id="198"/>
      <w:bookmarkEnd w:id="199"/>
      <w:bookmarkEnd w:id="200"/>
      <w:bookmarkEnd w:id="201"/>
      <w:bookmarkEnd w:id="215"/>
      <w:r>
        <w:rPr>
          <w:rFonts w:hint="default"/>
          <w:color w:val="auto"/>
          <w:highlight w:val="none"/>
          <w:u w:val="none"/>
          <w:lang w:val="en-US" w:eastAsia="zh-CN"/>
        </w:rPr>
        <w:t>计划</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6"/>
      <w:bookmarkEnd w:id="217"/>
      <w:bookmarkEnd w:id="218"/>
    </w:p>
    <w:p>
      <w:pPr>
        <w:pStyle w:val="4"/>
        <w:bidi w:val="0"/>
        <w:rPr>
          <w:rFonts w:hint="default"/>
          <w:color w:val="auto"/>
          <w:highlight w:val="none"/>
          <w:u w:val="none"/>
          <w:lang w:val="en-US" w:eastAsia="zh-CN"/>
        </w:rPr>
      </w:pPr>
      <w:bookmarkStart w:id="219" w:name="_Toc19433"/>
      <w:bookmarkStart w:id="220" w:name="_Toc2010"/>
      <w:bookmarkStart w:id="221" w:name="_Toc26904"/>
      <w:bookmarkStart w:id="222" w:name="_Toc16044"/>
      <w:bookmarkStart w:id="223" w:name="_Toc13827"/>
      <w:bookmarkStart w:id="224" w:name="_Toc193113593"/>
      <w:r>
        <w:rPr>
          <w:rFonts w:hint="default"/>
          <w:color w:val="auto"/>
          <w:highlight w:val="none"/>
          <w:u w:val="none"/>
          <w:lang w:val="en-US" w:eastAsia="zh-CN"/>
        </w:rPr>
        <w:t>环境监测机构的设置</w:t>
      </w:r>
      <w:bookmarkEnd w:id="219"/>
      <w:bookmarkEnd w:id="220"/>
      <w:bookmarkEnd w:id="221"/>
      <w:bookmarkEnd w:id="222"/>
      <w:bookmarkEnd w:id="223"/>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环境监测是工业污染防治的依据和环境管理的基础，加强污染监控工作是了解和掌握企业排污特征，实施“生产全过程污染控制”的重要措施，是为环境管理提供科学依据的基础性工作，是执行环保法规、评价环境质量、判断环保治理措施运行效果的重要手段。企业环境监测的主要任务是对本厂主要污染物排放进行定期监测，掌握污染物排放情况并建立监测档案，为防治污染和环保管理提供依据。</w:t>
      </w:r>
    </w:p>
    <w:bookmarkEnd w:id="224"/>
    <w:p>
      <w:pPr>
        <w:pStyle w:val="4"/>
        <w:bidi w:val="0"/>
        <w:rPr>
          <w:rFonts w:hint="default"/>
          <w:color w:val="auto"/>
          <w:highlight w:val="none"/>
          <w:u w:val="none"/>
          <w:lang w:val="en-US" w:eastAsia="zh-CN"/>
        </w:rPr>
      </w:pPr>
      <w:bookmarkStart w:id="225" w:name="_Toc9225"/>
      <w:bookmarkStart w:id="226" w:name="_Toc449538093"/>
      <w:bookmarkStart w:id="227" w:name="_Toc436395251"/>
      <w:bookmarkStart w:id="228" w:name="_Toc646"/>
      <w:bookmarkStart w:id="229" w:name="_Toc12758"/>
      <w:bookmarkStart w:id="230" w:name="_Toc21318"/>
      <w:bookmarkStart w:id="231" w:name="_Toc26375"/>
      <w:bookmarkStart w:id="232" w:name="_Toc193113595"/>
      <w:r>
        <w:rPr>
          <w:rFonts w:hint="default"/>
          <w:color w:val="auto"/>
          <w:highlight w:val="none"/>
          <w:u w:val="none"/>
          <w:lang w:val="en-US" w:eastAsia="zh-CN"/>
        </w:rPr>
        <w:t>运营期环境监测计划</w:t>
      </w:r>
      <w:bookmarkEnd w:id="225"/>
      <w:bookmarkEnd w:id="226"/>
      <w:bookmarkEnd w:id="227"/>
      <w:bookmarkEnd w:id="228"/>
      <w:bookmarkEnd w:id="229"/>
      <w:bookmarkEnd w:id="230"/>
      <w:bookmarkEnd w:id="231"/>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（1）污染源监测计划</w:t>
      </w:r>
    </w:p>
    <w:bookmarkEnd w:id="232"/>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本项目建成后，厂内环境监测站应对企业主要污染源进行定期的监测，若无监测能力的项目可委托当地环境监测部门</w:t>
      </w:r>
      <w:r>
        <w:rPr>
          <w:rFonts w:hint="default" w:ascii="Times New Roman" w:hAnsi="Times New Roman" w:eastAsia="宋体" w:cs="Times New Roman"/>
          <w:color w:val="auto"/>
          <w:sz w:val="24"/>
          <w:szCs w:val="24"/>
          <w:highlight w:val="none"/>
          <w:u w:val="none"/>
          <w:lang w:val="en-US" w:eastAsia="zh-CN"/>
        </w:rPr>
        <w:t>或第三方有资质单位</w:t>
      </w:r>
      <w:r>
        <w:rPr>
          <w:rFonts w:hint="default" w:ascii="Times New Roman" w:hAnsi="Times New Roman" w:eastAsia="宋体" w:cs="Times New Roman"/>
          <w:color w:val="auto"/>
          <w:sz w:val="24"/>
          <w:szCs w:val="24"/>
          <w:highlight w:val="none"/>
          <w:u w:val="none"/>
        </w:rPr>
        <w:t>进行监测。对监测</w:t>
      </w:r>
      <w:r>
        <w:rPr>
          <w:rFonts w:hint="default" w:ascii="Times New Roman" w:hAnsi="Times New Roman" w:eastAsia="宋体" w:cs="Times New Roman"/>
          <w:color w:val="auto"/>
          <w:sz w:val="24"/>
          <w:szCs w:val="24"/>
          <w:highlight w:val="none"/>
          <w:u w:val="none"/>
          <w:lang w:val="en-US" w:eastAsia="zh-CN"/>
        </w:rPr>
        <w:t>单位</w:t>
      </w:r>
      <w:r>
        <w:rPr>
          <w:rFonts w:hint="default" w:ascii="Times New Roman" w:hAnsi="Times New Roman" w:eastAsia="宋体" w:cs="Times New Roman"/>
          <w:color w:val="auto"/>
          <w:sz w:val="24"/>
          <w:szCs w:val="24"/>
          <w:highlight w:val="none"/>
          <w:u w:val="none"/>
        </w:rPr>
        <w:t>的监控要求如下：</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监督废水、废气、噪声及固废治理及防治措施的落实情况；</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做好污染源的监督管理及常规监测工作；</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配备专职管理人员。</w:t>
      </w:r>
      <w:bookmarkStart w:id="233" w:name="_Toc269469029"/>
      <w:bookmarkStart w:id="234" w:name="_Toc287822719"/>
    </w:p>
    <w:p>
      <w:pPr>
        <w:bidi w:val="0"/>
        <w:rPr>
          <w:rFonts w:hint="default" w:ascii="Times New Roman" w:hAnsi="Times New Roman" w:cs="Times New Roman"/>
          <w:color w:val="auto"/>
          <w:highlight w:val="none"/>
          <w:u w:val="none"/>
        </w:rPr>
        <w:sectPr>
          <w:pgSz w:w="11905" w:h="16838"/>
          <w:pgMar w:top="1701" w:right="1587" w:bottom="1701" w:left="1587"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default" w:ascii="Times New Roman" w:hAnsi="Times New Roman" w:eastAsia="宋体" w:cs="Times New Roman"/>
          <w:color w:val="auto"/>
          <w:sz w:val="24"/>
          <w:szCs w:val="24"/>
          <w:highlight w:val="none"/>
          <w:u w:val="none"/>
          <w:lang w:val="en-US" w:eastAsia="zh-CN"/>
        </w:rPr>
        <w:t>根据工程分析，参考《排污许可证申请与核发技术规范制药工业—原料药制造》（HJ858.1</w:t>
      </w:r>
      <w:r>
        <w:rPr>
          <w:rFonts w:hint="eastAsia" w:eastAsia="宋体"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2017）、《排污单位自行监测技术指南</w:t>
      </w:r>
      <w:r>
        <w:rPr>
          <w:rFonts w:hint="eastAsia" w:eastAsia="宋体" w:cs="Times New Roman"/>
          <w:color w:val="auto"/>
          <w:sz w:val="24"/>
          <w:szCs w:val="24"/>
          <w:highlight w:val="none"/>
          <w:u w:val="none"/>
          <w:lang w:val="en-US" w:eastAsia="zh-CN"/>
        </w:rPr>
        <w:t xml:space="preserve">  </w:t>
      </w:r>
      <w:r>
        <w:rPr>
          <w:rFonts w:hint="default" w:ascii="Times New Roman" w:hAnsi="Times New Roman" w:eastAsia="宋体" w:cs="Times New Roman"/>
          <w:color w:val="auto"/>
          <w:sz w:val="24"/>
          <w:szCs w:val="24"/>
          <w:highlight w:val="none"/>
          <w:u w:val="none"/>
          <w:lang w:val="en-US" w:eastAsia="zh-CN"/>
        </w:rPr>
        <w:t>化学合成类制药工业》（HJ 883-2017）</w:t>
      </w:r>
      <w:r>
        <w:rPr>
          <w:rFonts w:hint="eastAsia" w:eastAsia="宋体" w:cs="Times New Roman"/>
          <w:color w:val="auto"/>
          <w:sz w:val="24"/>
          <w:szCs w:val="24"/>
          <w:highlight w:val="none"/>
          <w:u w:val="none"/>
          <w:lang w:val="en-US" w:eastAsia="zh-CN"/>
        </w:rPr>
        <w:t>、《工业企业土壤和地下水自行监测技术指南（试行）》（HJ1209-2021）</w:t>
      </w:r>
      <w:r>
        <w:rPr>
          <w:rFonts w:hint="default" w:ascii="Times New Roman" w:hAnsi="Times New Roman" w:eastAsia="宋体" w:cs="Times New Roman"/>
          <w:color w:val="auto"/>
          <w:sz w:val="24"/>
          <w:szCs w:val="24"/>
          <w:highlight w:val="none"/>
          <w:u w:val="none"/>
          <w:lang w:val="en-US" w:eastAsia="zh-CN"/>
        </w:rPr>
        <w:t>以及各要素导则确定本项目的监测计划见</w:t>
      </w:r>
      <w:r>
        <w:rPr>
          <w:rFonts w:hint="eastAsia" w:eastAsia="宋体" w:cs="Times New Roman"/>
          <w:color w:val="auto"/>
          <w:sz w:val="24"/>
          <w:szCs w:val="24"/>
          <w:highlight w:val="none"/>
          <w:u w:val="none"/>
          <w:lang w:val="en-US" w:eastAsia="zh-CN"/>
        </w:rPr>
        <w:t>下表</w:t>
      </w:r>
      <w:r>
        <w:rPr>
          <w:rFonts w:hint="default" w:ascii="Times New Roman" w:hAnsi="Times New Roman" w:eastAsia="宋体" w:cs="Times New Roman"/>
          <w:color w:val="auto"/>
          <w:sz w:val="24"/>
          <w:szCs w:val="24"/>
          <w:highlight w:val="none"/>
          <w:u w:val="none"/>
          <w:lang w:val="en-US" w:eastAsia="zh-CN"/>
        </w:rPr>
        <w:t>。</w:t>
      </w:r>
    </w:p>
    <w:p>
      <w:pPr>
        <w:pStyle w:val="9"/>
        <w:bidi w:val="0"/>
        <w:rPr>
          <w:rFonts w:hint="default" w:ascii="Times New Roman" w:hAnsi="Times New Roman" w:eastAsia="宋体" w:cs="Times New Roman"/>
          <w:b/>
          <w:color w:val="auto"/>
          <w:kern w:val="0"/>
          <w:sz w:val="24"/>
          <w:szCs w:val="24"/>
          <w:highlight w:val="none"/>
          <w:u w:val="none"/>
          <w:lang w:val="en-US" w:eastAsia="zh-CN" w:bidi="ar-SA"/>
        </w:rPr>
      </w:pPr>
      <w:bookmarkStart w:id="235" w:name="_Ref23936"/>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10.2</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bookmarkEnd w:id="235"/>
      <w:r>
        <w:rPr>
          <w:rFonts w:hint="default" w:ascii="Times New Roman" w:hAnsi="Times New Roman" w:eastAsia="宋体" w:cs="Times New Roman"/>
          <w:b/>
          <w:color w:val="auto"/>
          <w:kern w:val="0"/>
          <w:sz w:val="24"/>
          <w:szCs w:val="24"/>
          <w:highlight w:val="none"/>
          <w:u w:val="none"/>
          <w:lang w:val="en-US" w:eastAsia="zh-CN" w:bidi="ar-SA"/>
        </w:rPr>
        <w:t xml:space="preserve">  污染源监测计划一览表</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2002"/>
        <w:gridCol w:w="2345"/>
        <w:gridCol w:w="1391"/>
        <w:gridCol w:w="2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项目</w:t>
            </w:r>
          </w:p>
        </w:tc>
        <w:tc>
          <w:tcPr>
            <w:tcW w:w="1140"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监测点位</w:t>
            </w:r>
          </w:p>
        </w:tc>
        <w:tc>
          <w:tcPr>
            <w:tcW w:w="1335"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监测因子</w:t>
            </w:r>
          </w:p>
        </w:tc>
        <w:tc>
          <w:tcPr>
            <w:tcW w:w="792"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监测频次</w:t>
            </w:r>
          </w:p>
        </w:tc>
        <w:tc>
          <w:tcPr>
            <w:tcW w:w="1479"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51" w:type="pct"/>
            <w:vMerge w:val="restar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废气</w:t>
            </w:r>
          </w:p>
        </w:tc>
        <w:tc>
          <w:tcPr>
            <w:tcW w:w="1140" w:type="pct"/>
            <w:vMerge w:val="restar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DA004</w:t>
            </w:r>
          </w:p>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w:t>
            </w:r>
            <w:r>
              <w:rPr>
                <w:rFonts w:hint="eastAsia" w:eastAsia="宋体" w:cs="Times New Roman"/>
                <w:color w:val="auto"/>
                <w:kern w:val="2"/>
                <w:sz w:val="21"/>
                <w:szCs w:val="24"/>
                <w:highlight w:val="none"/>
                <w:u w:val="none"/>
                <w:lang w:val="en-US" w:eastAsia="zh-CN" w:bidi="ar-SA"/>
              </w:rPr>
              <w:t>危废焚烧废气</w:t>
            </w:r>
            <w:r>
              <w:rPr>
                <w:rFonts w:hint="default" w:ascii="Times New Roman" w:hAnsi="Times New Roman" w:eastAsia="宋体" w:cs="Times New Roman"/>
                <w:color w:val="auto"/>
                <w:kern w:val="2"/>
                <w:sz w:val="21"/>
                <w:szCs w:val="24"/>
                <w:highlight w:val="none"/>
                <w:u w:val="none"/>
                <w:lang w:val="en-US" w:eastAsia="zh-CN" w:bidi="ar-SA"/>
              </w:rPr>
              <w:t>）</w:t>
            </w:r>
          </w:p>
        </w:tc>
        <w:tc>
          <w:tcPr>
            <w:tcW w:w="1335"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烟尘、二氧化硫、氮氧化物</w:t>
            </w:r>
          </w:p>
        </w:tc>
        <w:tc>
          <w:tcPr>
            <w:tcW w:w="792"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自动监测</w:t>
            </w:r>
          </w:p>
        </w:tc>
        <w:tc>
          <w:tcPr>
            <w:tcW w:w="1479" w:type="pct"/>
            <w:vMerge w:val="restar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ascii="Times New Roman" w:hAnsi="Times New Roman" w:eastAsia="宋体" w:cs="??"/>
                <w:color w:val="auto"/>
                <w:kern w:val="2"/>
                <w:sz w:val="21"/>
                <w:szCs w:val="21"/>
                <w:highlight w:val="none"/>
                <w:u w:val="none"/>
                <w:lang w:val="en-US" w:eastAsia="zh-CN" w:bidi="ar-SA"/>
              </w:rPr>
              <w:t>《危险废物焚烧污染控制标准》（GB 18484—2020）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c>
          <w:tcPr>
            <w:tcW w:w="1140"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c>
          <w:tcPr>
            <w:tcW w:w="1335"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烟气黑度、一氧化碳、氯化氢</w:t>
            </w:r>
            <w:r>
              <w:rPr>
                <w:rFonts w:hint="eastAsia" w:eastAsia="宋体" w:cs="Times New Roman"/>
                <w:color w:val="auto"/>
                <w:kern w:val="2"/>
                <w:sz w:val="21"/>
                <w:szCs w:val="24"/>
                <w:highlight w:val="none"/>
                <w:u w:val="none"/>
                <w:lang w:val="en-US" w:eastAsia="zh-CN" w:bidi="ar-SA"/>
              </w:rPr>
              <w:t>、氟化氢</w:t>
            </w:r>
          </w:p>
        </w:tc>
        <w:tc>
          <w:tcPr>
            <w:tcW w:w="792"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每</w:t>
            </w:r>
            <w:r>
              <w:rPr>
                <w:rFonts w:hint="eastAsia" w:eastAsia="宋体" w:cs="Times New Roman"/>
                <w:color w:val="auto"/>
                <w:kern w:val="2"/>
                <w:sz w:val="21"/>
                <w:szCs w:val="24"/>
                <w:highlight w:val="none"/>
                <w:u w:val="none"/>
                <w:lang w:val="en-US" w:eastAsia="zh-CN" w:bidi="ar-SA"/>
              </w:rPr>
              <w:t>半年</w:t>
            </w:r>
            <w:r>
              <w:rPr>
                <w:rFonts w:hint="default" w:ascii="Times New Roman" w:hAnsi="Times New Roman" w:eastAsia="宋体" w:cs="Times New Roman"/>
                <w:color w:val="auto"/>
                <w:kern w:val="2"/>
                <w:sz w:val="21"/>
                <w:szCs w:val="24"/>
                <w:highlight w:val="none"/>
                <w:u w:val="none"/>
                <w:lang w:val="en-US" w:eastAsia="zh-CN" w:bidi="ar-SA"/>
              </w:rPr>
              <w:t>1次</w:t>
            </w:r>
          </w:p>
        </w:tc>
        <w:tc>
          <w:tcPr>
            <w:tcW w:w="1479"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4" w:hRule="atLeast"/>
        </w:trPr>
        <w:tc>
          <w:tcPr>
            <w:tcW w:w="251"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c>
          <w:tcPr>
            <w:tcW w:w="1140"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c>
          <w:tcPr>
            <w:tcW w:w="1335"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二噁英</w:t>
            </w:r>
          </w:p>
        </w:tc>
        <w:tc>
          <w:tcPr>
            <w:tcW w:w="792"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每年1次</w:t>
            </w:r>
          </w:p>
        </w:tc>
        <w:tc>
          <w:tcPr>
            <w:tcW w:w="1479"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51"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c>
          <w:tcPr>
            <w:tcW w:w="1140" w:type="pct"/>
            <w:vMerge w:val="restar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DA005</w:t>
            </w:r>
          </w:p>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w:t>
            </w:r>
            <w:r>
              <w:rPr>
                <w:rFonts w:hint="eastAsia" w:eastAsia="宋体" w:cs="Times New Roman"/>
                <w:color w:val="auto"/>
                <w:kern w:val="2"/>
                <w:sz w:val="21"/>
                <w:szCs w:val="24"/>
                <w:highlight w:val="none"/>
                <w:u w:val="none"/>
                <w:lang w:val="en-US" w:eastAsia="zh-CN" w:bidi="ar-SA"/>
              </w:rPr>
              <w:t>新建RTO</w:t>
            </w:r>
            <w:r>
              <w:rPr>
                <w:rFonts w:hint="default" w:ascii="Times New Roman" w:hAnsi="Times New Roman" w:eastAsia="宋体" w:cs="Times New Roman"/>
                <w:color w:val="auto"/>
                <w:kern w:val="2"/>
                <w:sz w:val="21"/>
                <w:szCs w:val="24"/>
                <w:highlight w:val="none"/>
                <w:u w:val="none"/>
                <w:lang w:val="en-US" w:eastAsia="zh-CN" w:bidi="ar-SA"/>
              </w:rPr>
              <w:t>）</w:t>
            </w:r>
          </w:p>
        </w:tc>
        <w:tc>
          <w:tcPr>
            <w:tcW w:w="1335"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非甲烷总烃</w:t>
            </w:r>
          </w:p>
        </w:tc>
        <w:tc>
          <w:tcPr>
            <w:tcW w:w="792"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自动监测</w:t>
            </w:r>
            <w:r>
              <w:rPr>
                <w:rFonts w:hint="eastAsia" w:eastAsia="宋体" w:cs="Times New Roman"/>
                <w:color w:val="auto"/>
                <w:kern w:val="2"/>
                <w:sz w:val="21"/>
                <w:szCs w:val="24"/>
                <w:highlight w:val="none"/>
                <w:u w:val="none"/>
                <w:vertAlign w:val="superscript"/>
                <w:lang w:val="en-US" w:eastAsia="zh-CN" w:bidi="ar-SA"/>
              </w:rPr>
              <w:t>*</w:t>
            </w:r>
          </w:p>
        </w:tc>
        <w:tc>
          <w:tcPr>
            <w:tcW w:w="1479" w:type="pct"/>
            <w:vMerge w:val="restar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ascii="Times New Roman" w:hAnsi="Times New Roman" w:eastAsia="宋体" w:cs="??"/>
                <w:color w:val="auto"/>
                <w:kern w:val="2"/>
                <w:sz w:val="21"/>
                <w:szCs w:val="21"/>
                <w:highlight w:val="none"/>
                <w:u w:val="none"/>
                <w:lang w:val="en-US" w:eastAsia="zh-CN" w:bidi="ar-SA"/>
              </w:rPr>
              <w:t>《制药工业大气污染物排放标准》（GB37823-2019）</w:t>
            </w:r>
            <w:r>
              <w:rPr>
                <w:rFonts w:hint="eastAsia" w:eastAsia="宋体" w:cs="??"/>
                <w:color w:val="auto"/>
                <w:kern w:val="2"/>
                <w:sz w:val="21"/>
                <w:szCs w:val="21"/>
                <w:highlight w:val="none"/>
                <w:u w:val="none"/>
                <w:lang w:val="en-US" w:eastAsia="zh-CN" w:bidi="ar-SA"/>
              </w:rPr>
              <w:t>、</w:t>
            </w:r>
            <w:r>
              <w:rPr>
                <w:rFonts w:hint="eastAsia" w:ascii="Times New Roman" w:hAnsi="Times New Roman" w:eastAsia="宋体" w:cs="??"/>
                <w:color w:val="auto"/>
                <w:kern w:val="2"/>
                <w:sz w:val="21"/>
                <w:szCs w:val="21"/>
                <w:highlight w:val="none"/>
                <w:u w:val="none"/>
                <w:lang w:val="en-US" w:eastAsia="zh-CN" w:bidi="ar-SA"/>
              </w:rPr>
              <w:t>《关于全省开展工业企业挥发性有机物专项治理工作中排放建议值的通知》（豫环攻坚办[2017]162号）</w:t>
            </w:r>
            <w:r>
              <w:rPr>
                <w:rFonts w:hint="eastAsia" w:eastAsia="宋体" w:cs="??"/>
                <w:color w:val="auto"/>
                <w:kern w:val="2"/>
                <w:sz w:val="21"/>
                <w:szCs w:val="21"/>
                <w:highlight w:val="none"/>
                <w:u w:val="none"/>
                <w:lang w:val="en-US" w:eastAsia="zh-CN" w:bidi="ar-SA"/>
              </w:rPr>
              <w:t>、《恶臭污染物排放标准》（GB14554-1993）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51"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c>
          <w:tcPr>
            <w:tcW w:w="1140"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c>
          <w:tcPr>
            <w:tcW w:w="1335"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颗粒物</w:t>
            </w:r>
          </w:p>
        </w:tc>
        <w:tc>
          <w:tcPr>
            <w:tcW w:w="792"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eastAsia"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每季度1次</w:t>
            </w:r>
          </w:p>
        </w:tc>
        <w:tc>
          <w:tcPr>
            <w:tcW w:w="1479"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51"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c>
          <w:tcPr>
            <w:tcW w:w="1140"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c>
          <w:tcPr>
            <w:tcW w:w="1335"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eastAsia"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二氧化硫、氮氧化物、颗粒物、氯化氢、苯系物、氯化氢、甲醛、甲醇</w:t>
            </w:r>
          </w:p>
          <w:p>
            <w:pPr>
              <w:widowControl w:val="0"/>
              <w:bidi w:val="0"/>
              <w:adjustRightInd w:val="0"/>
              <w:snapToGrid w:val="0"/>
              <w:spacing w:line="240" w:lineRule="auto"/>
              <w:ind w:firstLine="0" w:firstLineChars="0"/>
              <w:jc w:val="center"/>
              <w:rPr>
                <w:rFonts w:hint="eastAsia"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丙酮、氨、硫化氢</w:t>
            </w:r>
          </w:p>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臭气浓度、二噁英</w:t>
            </w:r>
          </w:p>
        </w:tc>
        <w:tc>
          <w:tcPr>
            <w:tcW w:w="792"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每年1次</w:t>
            </w:r>
          </w:p>
        </w:tc>
        <w:tc>
          <w:tcPr>
            <w:tcW w:w="1479"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1"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c>
          <w:tcPr>
            <w:tcW w:w="1140"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DA006</w:t>
            </w:r>
            <w:r>
              <w:rPr>
                <w:rFonts w:hint="default" w:ascii="Times New Roman" w:hAnsi="Times New Roman" w:eastAsia="宋体" w:cs="Times New Roman"/>
                <w:color w:val="auto"/>
                <w:kern w:val="2"/>
                <w:sz w:val="21"/>
                <w:szCs w:val="24"/>
                <w:highlight w:val="none"/>
                <w:u w:val="none"/>
                <w:lang w:val="en-US" w:eastAsia="zh-CN" w:bidi="ar-SA"/>
              </w:rPr>
              <w:t>（</w:t>
            </w:r>
            <w:r>
              <w:rPr>
                <w:rFonts w:hint="eastAsia" w:eastAsia="宋体" w:cs="Times New Roman"/>
                <w:color w:val="auto"/>
                <w:kern w:val="2"/>
                <w:sz w:val="21"/>
                <w:szCs w:val="24"/>
                <w:highlight w:val="none"/>
                <w:u w:val="none"/>
                <w:lang w:val="en-US" w:eastAsia="zh-CN" w:bidi="ar-SA"/>
              </w:rPr>
              <w:t>包装废气</w:t>
            </w:r>
            <w:r>
              <w:rPr>
                <w:rFonts w:hint="default" w:ascii="Times New Roman" w:hAnsi="Times New Roman" w:eastAsia="宋体" w:cs="Times New Roman"/>
                <w:color w:val="auto"/>
                <w:kern w:val="2"/>
                <w:sz w:val="21"/>
                <w:szCs w:val="24"/>
                <w:highlight w:val="none"/>
                <w:u w:val="none"/>
                <w:lang w:val="en-US" w:eastAsia="zh-CN" w:bidi="ar-SA"/>
              </w:rPr>
              <w:t>）</w:t>
            </w:r>
          </w:p>
        </w:tc>
        <w:tc>
          <w:tcPr>
            <w:tcW w:w="1335"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颗粒物</w:t>
            </w:r>
          </w:p>
        </w:tc>
        <w:tc>
          <w:tcPr>
            <w:tcW w:w="792"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每季度1次</w:t>
            </w:r>
          </w:p>
        </w:tc>
        <w:tc>
          <w:tcPr>
            <w:tcW w:w="1479"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c>
          <w:tcPr>
            <w:tcW w:w="1140"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DA00</w:t>
            </w:r>
            <w:r>
              <w:rPr>
                <w:rFonts w:hint="eastAsia" w:eastAsia="宋体" w:cs="Times New Roman"/>
                <w:color w:val="auto"/>
                <w:kern w:val="2"/>
                <w:sz w:val="21"/>
                <w:szCs w:val="24"/>
                <w:highlight w:val="none"/>
                <w:u w:val="none"/>
                <w:lang w:val="en-US" w:eastAsia="zh-CN" w:bidi="ar-SA"/>
              </w:rPr>
              <w:t>7</w:t>
            </w:r>
            <w:r>
              <w:rPr>
                <w:rFonts w:hint="default" w:ascii="Times New Roman" w:hAnsi="Times New Roman" w:eastAsia="宋体" w:cs="Times New Roman"/>
                <w:color w:val="auto"/>
                <w:kern w:val="2"/>
                <w:sz w:val="21"/>
                <w:szCs w:val="24"/>
                <w:highlight w:val="none"/>
                <w:u w:val="none"/>
                <w:lang w:val="en-US" w:eastAsia="zh-CN" w:bidi="ar-SA"/>
              </w:rPr>
              <w:t>（食堂油烟）</w:t>
            </w:r>
          </w:p>
        </w:tc>
        <w:tc>
          <w:tcPr>
            <w:tcW w:w="1335"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非甲烷总烃、油烟</w:t>
            </w:r>
          </w:p>
        </w:tc>
        <w:tc>
          <w:tcPr>
            <w:tcW w:w="792"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每年1次</w:t>
            </w:r>
          </w:p>
        </w:tc>
        <w:tc>
          <w:tcPr>
            <w:tcW w:w="1479"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《餐饮业油烟污染物排放标准》（DB41/1604-2018）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c>
          <w:tcPr>
            <w:tcW w:w="1140"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无组织</w:t>
            </w:r>
          </w:p>
        </w:tc>
        <w:tc>
          <w:tcPr>
            <w:tcW w:w="1335"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非甲烷总烃</w:t>
            </w:r>
            <w:r>
              <w:rPr>
                <w:rFonts w:hint="default" w:ascii="Times New Roman" w:hAnsi="Times New Roman" w:eastAsia="宋体" w:cs="Times New Roman"/>
                <w:color w:val="auto"/>
                <w:kern w:val="2"/>
                <w:sz w:val="21"/>
                <w:szCs w:val="24"/>
                <w:highlight w:val="none"/>
                <w:u w:val="none"/>
                <w:lang w:val="en-US" w:eastAsia="zh-CN" w:bidi="ar-SA"/>
              </w:rPr>
              <w:t>、臭气浓度</w:t>
            </w:r>
            <w:r>
              <w:rPr>
                <w:rFonts w:hint="eastAsia" w:eastAsia="宋体" w:cs="Times New Roman"/>
                <w:color w:val="auto"/>
                <w:kern w:val="2"/>
                <w:sz w:val="21"/>
                <w:szCs w:val="24"/>
                <w:highlight w:val="none"/>
                <w:u w:val="none"/>
                <w:lang w:val="en-US" w:eastAsia="zh-CN" w:bidi="ar-SA"/>
              </w:rPr>
              <w:t>、</w:t>
            </w:r>
          </w:p>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氯化氢</w:t>
            </w:r>
            <w:r>
              <w:rPr>
                <w:rFonts w:hint="eastAsia" w:eastAsia="宋体" w:cs="Times New Roman"/>
                <w:color w:val="auto"/>
                <w:kern w:val="2"/>
                <w:sz w:val="21"/>
                <w:szCs w:val="24"/>
                <w:highlight w:val="none"/>
                <w:u w:val="none"/>
                <w:lang w:val="en-US" w:eastAsia="zh-CN" w:bidi="ar-SA"/>
              </w:rPr>
              <w:t>、</w:t>
            </w:r>
            <w:r>
              <w:rPr>
                <w:rFonts w:hint="default" w:ascii="Times New Roman" w:hAnsi="Times New Roman" w:eastAsia="宋体" w:cs="Times New Roman"/>
                <w:color w:val="auto"/>
                <w:kern w:val="2"/>
                <w:sz w:val="21"/>
                <w:szCs w:val="24"/>
                <w:highlight w:val="none"/>
                <w:u w:val="none"/>
                <w:lang w:val="en-US" w:eastAsia="zh-CN" w:bidi="ar-SA"/>
              </w:rPr>
              <w:t>甲苯</w:t>
            </w:r>
            <w:r>
              <w:rPr>
                <w:rFonts w:hint="eastAsia" w:eastAsia="宋体" w:cs="Times New Roman"/>
                <w:color w:val="auto"/>
                <w:kern w:val="2"/>
                <w:sz w:val="21"/>
                <w:szCs w:val="24"/>
                <w:highlight w:val="none"/>
                <w:u w:val="none"/>
                <w:lang w:val="en-US" w:eastAsia="zh-CN" w:bidi="ar-SA"/>
              </w:rPr>
              <w:t>、</w:t>
            </w:r>
            <w:r>
              <w:rPr>
                <w:rFonts w:hint="default" w:ascii="Times New Roman" w:hAnsi="Times New Roman" w:eastAsia="宋体" w:cs="Times New Roman"/>
                <w:color w:val="auto"/>
                <w:kern w:val="2"/>
                <w:sz w:val="21"/>
                <w:szCs w:val="24"/>
                <w:highlight w:val="none"/>
                <w:u w:val="none"/>
                <w:lang w:val="en-US" w:eastAsia="zh-CN" w:bidi="ar-SA"/>
              </w:rPr>
              <w:t>甲醇</w:t>
            </w:r>
            <w:r>
              <w:rPr>
                <w:rFonts w:hint="eastAsia" w:eastAsia="宋体" w:cs="Times New Roman"/>
                <w:color w:val="auto"/>
                <w:kern w:val="2"/>
                <w:sz w:val="21"/>
                <w:szCs w:val="24"/>
                <w:highlight w:val="none"/>
                <w:u w:val="none"/>
                <w:lang w:val="en-US" w:eastAsia="zh-CN" w:bidi="ar-SA"/>
              </w:rPr>
              <w:t>、</w:t>
            </w:r>
            <w:r>
              <w:rPr>
                <w:rFonts w:hint="default" w:ascii="Times New Roman" w:hAnsi="Times New Roman" w:eastAsia="宋体" w:cs="Times New Roman"/>
                <w:color w:val="auto"/>
                <w:kern w:val="2"/>
                <w:sz w:val="21"/>
                <w:szCs w:val="24"/>
                <w:highlight w:val="none"/>
                <w:u w:val="none"/>
                <w:lang w:val="en-US" w:eastAsia="zh-CN" w:bidi="ar-SA"/>
              </w:rPr>
              <w:t>丙酮</w:t>
            </w:r>
            <w:r>
              <w:rPr>
                <w:rFonts w:hint="eastAsia" w:eastAsia="宋体" w:cs="Times New Roman"/>
                <w:color w:val="auto"/>
                <w:kern w:val="2"/>
                <w:sz w:val="21"/>
                <w:szCs w:val="24"/>
                <w:highlight w:val="none"/>
                <w:u w:val="none"/>
                <w:lang w:val="en-US" w:eastAsia="zh-CN" w:bidi="ar-SA"/>
              </w:rPr>
              <w:t>、</w:t>
            </w:r>
            <w:r>
              <w:rPr>
                <w:rFonts w:hint="default" w:ascii="Times New Roman" w:hAnsi="Times New Roman" w:eastAsia="宋体" w:cs="Times New Roman"/>
                <w:color w:val="auto"/>
                <w:kern w:val="2"/>
                <w:sz w:val="21"/>
                <w:szCs w:val="24"/>
                <w:highlight w:val="none"/>
                <w:u w:val="none"/>
                <w:lang w:val="en-US" w:eastAsia="zh-CN" w:bidi="ar-SA"/>
              </w:rPr>
              <w:t>硫化氢</w:t>
            </w:r>
            <w:r>
              <w:rPr>
                <w:rFonts w:hint="eastAsia" w:eastAsia="宋体" w:cs="Times New Roman"/>
                <w:color w:val="auto"/>
                <w:kern w:val="2"/>
                <w:sz w:val="21"/>
                <w:szCs w:val="24"/>
                <w:highlight w:val="none"/>
                <w:u w:val="none"/>
                <w:lang w:val="en-US" w:eastAsia="zh-CN" w:bidi="ar-SA"/>
              </w:rPr>
              <w:t>、</w:t>
            </w:r>
            <w:r>
              <w:rPr>
                <w:rFonts w:hint="default" w:ascii="Times New Roman" w:hAnsi="Times New Roman" w:eastAsia="宋体" w:cs="Times New Roman"/>
                <w:color w:val="auto"/>
                <w:kern w:val="2"/>
                <w:sz w:val="21"/>
                <w:szCs w:val="24"/>
                <w:highlight w:val="none"/>
                <w:u w:val="none"/>
                <w:lang w:val="en-US" w:eastAsia="zh-CN" w:bidi="ar-SA"/>
              </w:rPr>
              <w:t>氨</w:t>
            </w:r>
          </w:p>
        </w:tc>
        <w:tc>
          <w:tcPr>
            <w:tcW w:w="792"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eastAsia"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每</w:t>
            </w:r>
            <w:r>
              <w:rPr>
                <w:rFonts w:hint="eastAsia" w:eastAsia="宋体" w:cs="Times New Roman"/>
                <w:color w:val="auto"/>
                <w:kern w:val="2"/>
                <w:sz w:val="21"/>
                <w:szCs w:val="24"/>
                <w:highlight w:val="none"/>
                <w:u w:val="none"/>
                <w:lang w:val="en-US" w:eastAsia="zh-CN" w:bidi="ar-SA"/>
              </w:rPr>
              <w:t>半</w:t>
            </w:r>
            <w:r>
              <w:rPr>
                <w:rFonts w:hint="default" w:ascii="Times New Roman" w:hAnsi="Times New Roman" w:eastAsia="宋体" w:cs="Times New Roman"/>
                <w:color w:val="auto"/>
                <w:kern w:val="2"/>
                <w:sz w:val="21"/>
                <w:szCs w:val="24"/>
                <w:highlight w:val="none"/>
                <w:u w:val="none"/>
                <w:lang w:val="en-US" w:eastAsia="zh-CN" w:bidi="ar-SA"/>
              </w:rPr>
              <w:t>年1次</w:t>
            </w:r>
          </w:p>
        </w:tc>
        <w:tc>
          <w:tcPr>
            <w:tcW w:w="1479"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4"/>
                <w:highlight w:val="none"/>
                <w:u w:val="none"/>
                <w:lang w:val="en-US" w:eastAsia="zh-CN" w:bidi="ar-SA"/>
              </w:rPr>
            </w:pPr>
            <w:r>
              <w:rPr>
                <w:rFonts w:hint="default" w:ascii="Times New Roman" w:hAnsi="Times New Roman" w:eastAsia="宋体" w:cs="Times New Roman"/>
                <w:b w:val="0"/>
                <w:bCs/>
                <w:color w:val="auto"/>
                <w:kern w:val="2"/>
                <w:sz w:val="21"/>
                <w:szCs w:val="24"/>
                <w:highlight w:val="none"/>
                <w:u w:val="none"/>
                <w:lang w:val="en-US" w:eastAsia="zh-CN" w:bidi="ar-SA"/>
              </w:rPr>
              <w:t>《制药工业大气污染物排放标准》（GB37823-2019）</w:t>
            </w:r>
            <w:r>
              <w:rPr>
                <w:rFonts w:hint="eastAsia" w:eastAsia="宋体" w:cs="Times New Roman"/>
                <w:b w:val="0"/>
                <w:bCs/>
                <w:color w:val="auto"/>
                <w:kern w:val="2"/>
                <w:sz w:val="21"/>
                <w:szCs w:val="24"/>
                <w:highlight w:val="none"/>
                <w:u w:val="none"/>
                <w:lang w:val="en-US" w:eastAsia="zh-CN" w:bidi="ar-SA"/>
              </w:rPr>
              <w:t>、</w:t>
            </w:r>
          </w:p>
          <w:p>
            <w:pPr>
              <w:widowControl w:val="0"/>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4"/>
                <w:highlight w:val="none"/>
                <w:u w:val="none"/>
                <w:lang w:val="en-US" w:eastAsia="zh-CN" w:bidi="ar-SA"/>
              </w:rPr>
            </w:pPr>
            <w:r>
              <w:rPr>
                <w:rFonts w:hint="default" w:ascii="Times New Roman" w:hAnsi="Times New Roman" w:eastAsia="宋体" w:cs="Times New Roman"/>
                <w:b w:val="0"/>
                <w:bCs/>
                <w:color w:val="auto"/>
                <w:kern w:val="2"/>
                <w:sz w:val="21"/>
                <w:szCs w:val="24"/>
                <w:highlight w:val="none"/>
                <w:u w:val="none"/>
                <w:lang w:val="en-US" w:eastAsia="zh-CN" w:bidi="ar-SA"/>
              </w:rPr>
              <w:t>豫环攻坚办〔2017〕162号</w:t>
            </w:r>
            <w:r>
              <w:rPr>
                <w:rFonts w:hint="eastAsia" w:eastAsia="宋体" w:cs="Times New Roman"/>
                <w:b w:val="0"/>
                <w:bCs/>
                <w:color w:val="auto"/>
                <w:kern w:val="2"/>
                <w:sz w:val="21"/>
                <w:szCs w:val="24"/>
                <w:highlight w:val="none"/>
                <w:u w:val="none"/>
                <w:lang w:val="en-US" w:eastAsia="zh-CN" w:bidi="ar-SA"/>
              </w:rPr>
              <w:t>文、</w:t>
            </w:r>
            <w:r>
              <w:rPr>
                <w:rFonts w:hint="default" w:ascii="Times New Roman" w:hAnsi="Times New Roman" w:eastAsia="宋体" w:cs="Times New Roman"/>
                <w:b w:val="0"/>
                <w:bCs/>
                <w:color w:val="auto"/>
                <w:kern w:val="2"/>
                <w:sz w:val="21"/>
                <w:szCs w:val="24"/>
                <w:highlight w:val="none"/>
                <w:u w:val="none"/>
                <w:lang w:val="en-US" w:eastAsia="zh-CN" w:bidi="ar-SA"/>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51" w:type="pct"/>
            <w:vMerge w:val="restar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废水</w:t>
            </w:r>
          </w:p>
        </w:tc>
        <w:tc>
          <w:tcPr>
            <w:tcW w:w="1140" w:type="pct"/>
            <w:vMerge w:val="restar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废水总排口</w:t>
            </w:r>
          </w:p>
        </w:tc>
        <w:tc>
          <w:tcPr>
            <w:tcW w:w="1335"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流量、pH、化学需氧量、氨氮</w:t>
            </w:r>
          </w:p>
        </w:tc>
        <w:tc>
          <w:tcPr>
            <w:tcW w:w="792"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自动监测</w:t>
            </w:r>
          </w:p>
        </w:tc>
        <w:tc>
          <w:tcPr>
            <w:tcW w:w="1479" w:type="pct"/>
            <w:vMerge w:val="restar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《化学合成类制药工业水污染物间接排放标准》（DB 41/756—2012）</w:t>
            </w:r>
            <w:r>
              <w:rPr>
                <w:rFonts w:hint="eastAsia" w:eastAsia="宋体" w:cs="Times New Roman"/>
                <w:color w:val="auto"/>
                <w:kern w:val="2"/>
                <w:sz w:val="21"/>
                <w:szCs w:val="24"/>
                <w:highlight w:val="none"/>
                <w:u w:val="none"/>
                <w:lang w:val="en-US" w:eastAsia="zh-CN" w:bidi="ar-SA"/>
              </w:rPr>
              <w:t>、柘城县第二污水处理厂接管标准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51"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c>
          <w:tcPr>
            <w:tcW w:w="1140"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c>
          <w:tcPr>
            <w:tcW w:w="1335"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总氮、总磷</w:t>
            </w:r>
          </w:p>
        </w:tc>
        <w:tc>
          <w:tcPr>
            <w:tcW w:w="792"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间接排放，每</w:t>
            </w:r>
            <w:r>
              <w:rPr>
                <w:rFonts w:hint="eastAsia" w:eastAsia="宋体" w:cs="Times New Roman"/>
                <w:color w:val="auto"/>
                <w:kern w:val="2"/>
                <w:sz w:val="21"/>
                <w:szCs w:val="24"/>
                <w:highlight w:val="none"/>
                <w:u w:val="none"/>
                <w:lang w:val="en-US" w:eastAsia="zh-CN" w:bidi="ar-SA"/>
              </w:rPr>
              <w:t>月</w:t>
            </w:r>
            <w:r>
              <w:rPr>
                <w:rFonts w:hint="default" w:ascii="Times New Roman" w:hAnsi="Times New Roman" w:eastAsia="宋体" w:cs="Times New Roman"/>
                <w:color w:val="auto"/>
                <w:kern w:val="2"/>
                <w:sz w:val="21"/>
                <w:szCs w:val="24"/>
                <w:highlight w:val="none"/>
                <w:u w:val="none"/>
                <w:lang w:val="en-US" w:eastAsia="zh-CN" w:bidi="ar-SA"/>
              </w:rPr>
              <w:t>1次</w:t>
            </w:r>
          </w:p>
        </w:tc>
        <w:tc>
          <w:tcPr>
            <w:tcW w:w="1479"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51"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c>
          <w:tcPr>
            <w:tcW w:w="1140"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c>
          <w:tcPr>
            <w:tcW w:w="1335"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悬浮物、色度、五日生化需氧量、总有机碳、急性毒性（HgCl</w:t>
            </w:r>
            <w:r>
              <w:rPr>
                <w:rFonts w:hint="default" w:ascii="Times New Roman" w:hAnsi="Times New Roman" w:eastAsia="宋体" w:cs="Times New Roman"/>
                <w:color w:val="auto"/>
                <w:kern w:val="2"/>
                <w:sz w:val="21"/>
                <w:szCs w:val="24"/>
                <w:highlight w:val="none"/>
                <w:u w:val="none"/>
                <w:vertAlign w:val="subscript"/>
                <w:lang w:val="en-US" w:eastAsia="zh-CN" w:bidi="ar-SA"/>
              </w:rPr>
              <w:t>2</w:t>
            </w:r>
            <w:r>
              <w:rPr>
                <w:rFonts w:hint="default" w:ascii="Times New Roman" w:hAnsi="Times New Roman" w:eastAsia="宋体" w:cs="Times New Roman"/>
                <w:color w:val="auto"/>
                <w:kern w:val="2"/>
                <w:sz w:val="21"/>
                <w:szCs w:val="24"/>
                <w:highlight w:val="none"/>
                <w:u w:val="none"/>
                <w:lang w:val="en-US" w:eastAsia="zh-CN" w:bidi="ar-SA"/>
              </w:rPr>
              <w:t xml:space="preserve"> 毒性当量）</w:t>
            </w:r>
            <w:r>
              <w:rPr>
                <w:rFonts w:hint="eastAsia" w:eastAsia="宋体" w:cs="Times New Roman"/>
                <w:color w:val="auto"/>
                <w:kern w:val="2"/>
                <w:sz w:val="21"/>
                <w:szCs w:val="24"/>
                <w:highlight w:val="none"/>
                <w:u w:val="none"/>
                <w:lang w:val="en-US" w:eastAsia="zh-CN" w:bidi="ar-SA"/>
              </w:rPr>
              <w:t>、</w:t>
            </w:r>
            <w:r>
              <w:rPr>
                <w:rFonts w:hint="default" w:ascii="Times New Roman" w:hAnsi="Times New Roman" w:eastAsia="宋体" w:cs="Times New Roman"/>
                <w:color w:val="auto"/>
                <w:kern w:val="2"/>
                <w:sz w:val="21"/>
                <w:szCs w:val="24"/>
                <w:highlight w:val="none"/>
                <w:u w:val="none"/>
                <w:lang w:val="en-US" w:eastAsia="zh-CN" w:bidi="ar-SA"/>
              </w:rPr>
              <w:t>总氰化物、硝基苯类、苯胺类、二氯甲烷</w:t>
            </w:r>
          </w:p>
        </w:tc>
        <w:tc>
          <w:tcPr>
            <w:tcW w:w="792"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间接排放，每</w:t>
            </w:r>
            <w:r>
              <w:rPr>
                <w:rFonts w:hint="eastAsia" w:eastAsia="宋体" w:cs="Times New Roman"/>
                <w:color w:val="auto"/>
                <w:kern w:val="2"/>
                <w:sz w:val="21"/>
                <w:szCs w:val="24"/>
                <w:highlight w:val="none"/>
                <w:u w:val="none"/>
                <w:lang w:val="en-US" w:eastAsia="zh-CN" w:bidi="ar-SA"/>
              </w:rPr>
              <w:t>季度</w:t>
            </w:r>
            <w:r>
              <w:rPr>
                <w:rFonts w:hint="default" w:ascii="Times New Roman" w:hAnsi="Times New Roman" w:eastAsia="宋体" w:cs="Times New Roman"/>
                <w:color w:val="auto"/>
                <w:kern w:val="2"/>
                <w:sz w:val="21"/>
                <w:szCs w:val="24"/>
                <w:highlight w:val="none"/>
                <w:u w:val="none"/>
                <w:lang w:val="en-US" w:eastAsia="zh-CN" w:bidi="ar-SA"/>
              </w:rPr>
              <w:t>1次</w:t>
            </w:r>
          </w:p>
        </w:tc>
        <w:tc>
          <w:tcPr>
            <w:tcW w:w="1479" w:type="pct"/>
            <w:vMerge w:val="continue"/>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51"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雨水</w:t>
            </w:r>
          </w:p>
        </w:tc>
        <w:tc>
          <w:tcPr>
            <w:tcW w:w="1140"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雨水排放口</w:t>
            </w:r>
          </w:p>
        </w:tc>
        <w:tc>
          <w:tcPr>
            <w:tcW w:w="1335"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pH、化学需氧量、氨氮</w:t>
            </w:r>
            <w:r>
              <w:rPr>
                <w:rFonts w:hint="eastAsia" w:eastAsia="宋体" w:cs="Times New Roman"/>
                <w:color w:val="auto"/>
                <w:kern w:val="2"/>
                <w:sz w:val="21"/>
                <w:szCs w:val="24"/>
                <w:highlight w:val="none"/>
                <w:u w:val="none"/>
                <w:lang w:val="en-US" w:eastAsia="zh-CN" w:bidi="ar-SA"/>
              </w:rPr>
              <w:t>、悬浮物</w:t>
            </w:r>
          </w:p>
        </w:tc>
        <w:tc>
          <w:tcPr>
            <w:tcW w:w="792"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排放期间按日监测</w:t>
            </w:r>
          </w:p>
        </w:tc>
        <w:tc>
          <w:tcPr>
            <w:tcW w:w="1479"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噪声</w:t>
            </w:r>
          </w:p>
        </w:tc>
        <w:tc>
          <w:tcPr>
            <w:tcW w:w="1140"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四周场界</w:t>
            </w:r>
          </w:p>
        </w:tc>
        <w:tc>
          <w:tcPr>
            <w:tcW w:w="1335"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等效连续A声级</w:t>
            </w:r>
          </w:p>
        </w:tc>
        <w:tc>
          <w:tcPr>
            <w:tcW w:w="792"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每季度1次</w:t>
            </w:r>
          </w:p>
        </w:tc>
        <w:tc>
          <w:tcPr>
            <w:tcW w:w="1479" w:type="pct"/>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《工业企业厂界环境噪声排放标准》（GB12348-2008）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tcMar>
              <w:top w:w="85" w:type="dxa"/>
              <w:left w:w="28" w:type="dxa"/>
              <w:bottom w:w="85" w:type="dxa"/>
              <w:right w:w="28" w:type="dxa"/>
            </w:tcMar>
            <w:vAlign w:val="center"/>
          </w:tcPr>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*注：根据当地环境管理部门要求，企业RTO应安装VOCs在线监测</w:t>
            </w:r>
          </w:p>
        </w:tc>
      </w:tr>
    </w:tbl>
    <w:p>
      <w:pPr>
        <w:widowControl w:val="0"/>
        <w:bidi w:val="0"/>
        <w:adjustRightInd w:val="0"/>
        <w:snapToGrid w:val="0"/>
        <w:spacing w:line="480" w:lineRule="exact"/>
        <w:ind w:firstLine="480" w:firstLineChars="200"/>
        <w:jc w:val="both"/>
        <w:rPr>
          <w:rFonts w:hint="default" w:ascii="Times New Roman" w:hAnsi="Times New Roman" w:eastAsia="宋体" w:cs="Times New Roman"/>
          <w:color w:val="auto"/>
          <w:kern w:val="2"/>
          <w:sz w:val="24"/>
          <w:szCs w:val="24"/>
          <w:highlight w:val="none"/>
          <w:u w:val="none"/>
          <w:lang w:val="zh-CN" w:eastAsia="zh-CN" w:bidi="zh-CN"/>
        </w:rPr>
      </w:pPr>
      <w:r>
        <w:rPr>
          <w:rFonts w:hint="default" w:ascii="Times New Roman" w:hAnsi="Times New Roman" w:eastAsia="宋体" w:cs="Times New Roman"/>
          <w:color w:val="auto"/>
          <w:kern w:val="2"/>
          <w:sz w:val="24"/>
          <w:szCs w:val="24"/>
          <w:highlight w:val="none"/>
          <w:u w:val="none"/>
          <w:lang w:val="zh-CN" w:eastAsia="zh-CN" w:bidi="zh-CN"/>
        </w:rPr>
        <w:t>（</w:t>
      </w:r>
      <w:r>
        <w:rPr>
          <w:rFonts w:hint="default" w:ascii="Times New Roman" w:hAnsi="Times New Roman" w:eastAsia="宋体" w:cs="Times New Roman"/>
          <w:color w:val="auto"/>
          <w:kern w:val="2"/>
          <w:sz w:val="24"/>
          <w:szCs w:val="24"/>
          <w:highlight w:val="none"/>
          <w:u w:val="none"/>
          <w:lang w:val="en-US" w:eastAsia="zh-CN" w:bidi="zh-CN"/>
        </w:rPr>
        <w:t>2</w:t>
      </w:r>
      <w:r>
        <w:rPr>
          <w:rFonts w:hint="default" w:ascii="Times New Roman" w:hAnsi="Times New Roman" w:eastAsia="宋体" w:cs="Times New Roman"/>
          <w:color w:val="auto"/>
          <w:kern w:val="2"/>
          <w:sz w:val="24"/>
          <w:szCs w:val="24"/>
          <w:highlight w:val="none"/>
          <w:u w:val="none"/>
          <w:lang w:val="zh-CN" w:eastAsia="zh-CN" w:bidi="zh-CN"/>
        </w:rPr>
        <w:t>）环境质量监测</w:t>
      </w:r>
    </w:p>
    <w:p>
      <w:pPr>
        <w:keepNext w:val="0"/>
        <w:keepLines w:val="0"/>
        <w:pageBreakBefore w:val="0"/>
        <w:widowControl w:val="0"/>
        <w:kinsoku/>
        <w:wordWrap/>
        <w:overflowPunct/>
        <w:topLinePunct w:val="0"/>
        <w:autoSpaceDE/>
        <w:autoSpaceDN/>
        <w:bidi w:val="0"/>
        <w:adjustRightInd/>
        <w:snapToGrid/>
        <w:spacing w:after="157" w:afterLines="50" w:line="480" w:lineRule="exact"/>
        <w:ind w:firstLine="480" w:firstLineChars="200"/>
        <w:jc w:val="both"/>
        <w:textAlignment w:val="auto"/>
        <w:rPr>
          <w:rFonts w:hint="default" w:ascii="Times New Roman" w:hAnsi="Times New Roman" w:eastAsia="宋体" w:cs="Times New Roman"/>
          <w:color w:val="auto"/>
          <w:kern w:val="2"/>
          <w:sz w:val="24"/>
          <w:szCs w:val="24"/>
          <w:highlight w:val="none"/>
          <w:u w:val="none"/>
          <w:lang w:val="zh-CN" w:eastAsia="zh-CN" w:bidi="zh-CN"/>
        </w:rPr>
      </w:pPr>
      <w:r>
        <w:rPr>
          <w:rFonts w:hint="default" w:ascii="Times New Roman" w:hAnsi="Times New Roman" w:eastAsia="宋体" w:cs="Times New Roman"/>
          <w:color w:val="auto"/>
          <w:kern w:val="2"/>
          <w:sz w:val="24"/>
          <w:szCs w:val="24"/>
          <w:highlight w:val="none"/>
          <w:u w:val="none"/>
          <w:lang w:val="zh-CN" w:eastAsia="zh-CN" w:bidi="zh-CN"/>
        </w:rPr>
        <w:t>环境质量监测计划见</w:t>
      </w:r>
      <w:r>
        <w:rPr>
          <w:rFonts w:hint="default" w:ascii="Times New Roman" w:hAnsi="Times New Roman" w:eastAsia="宋体" w:cs="Times New Roman"/>
          <w:color w:val="auto"/>
          <w:kern w:val="2"/>
          <w:sz w:val="24"/>
          <w:szCs w:val="24"/>
          <w:highlight w:val="none"/>
          <w:u w:val="none"/>
          <w:lang w:val="zh-CN" w:eastAsia="zh-CN" w:bidi="zh-CN"/>
        </w:rPr>
        <w:fldChar w:fldCharType="begin"/>
      </w:r>
      <w:r>
        <w:rPr>
          <w:rFonts w:hint="default" w:ascii="Times New Roman" w:hAnsi="Times New Roman" w:eastAsia="宋体" w:cs="Times New Roman"/>
          <w:color w:val="auto"/>
          <w:kern w:val="2"/>
          <w:sz w:val="24"/>
          <w:szCs w:val="24"/>
          <w:highlight w:val="none"/>
          <w:u w:val="none"/>
          <w:lang w:val="zh-CN" w:eastAsia="zh-CN" w:bidi="zh-CN"/>
        </w:rPr>
        <w:instrText xml:space="preserve"> REF _Ref23969 \h </w:instrText>
      </w:r>
      <w:r>
        <w:rPr>
          <w:rFonts w:hint="default" w:ascii="Times New Roman" w:hAnsi="Times New Roman" w:eastAsia="宋体" w:cs="Times New Roman"/>
          <w:color w:val="auto"/>
          <w:kern w:val="2"/>
          <w:sz w:val="24"/>
          <w:szCs w:val="24"/>
          <w:highlight w:val="none"/>
          <w:u w:val="none"/>
          <w:lang w:val="zh-CN" w:eastAsia="zh-CN" w:bidi="zh-CN"/>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10.2</w:t>
      </w:r>
      <w:r>
        <w:rPr>
          <w:color w:val="auto"/>
          <w:highlight w:val="none"/>
          <w:u w:val="none"/>
        </w:rPr>
        <w:fldChar w:fldCharType="end"/>
      </w:r>
      <w:r>
        <w:rPr>
          <w:rFonts w:hint="eastAsia"/>
          <w:color w:val="auto"/>
          <w:highlight w:val="none"/>
          <w:u w:val="none"/>
          <w:lang w:eastAsia="zh-CN"/>
        </w:rPr>
        <w:t>-</w:t>
      </w:r>
      <w:r>
        <w:rPr>
          <w:color w:val="auto"/>
          <w:highlight w:val="none"/>
          <w:u w:val="none"/>
        </w:rPr>
        <w:t>2</w:t>
      </w:r>
      <w:r>
        <w:rPr>
          <w:rFonts w:hint="default" w:ascii="Times New Roman" w:hAnsi="Times New Roman" w:eastAsia="宋体" w:cs="Times New Roman"/>
          <w:color w:val="auto"/>
          <w:kern w:val="2"/>
          <w:sz w:val="24"/>
          <w:szCs w:val="24"/>
          <w:highlight w:val="none"/>
          <w:u w:val="none"/>
          <w:lang w:val="zh-CN" w:eastAsia="zh-CN" w:bidi="zh-CN"/>
        </w:rPr>
        <w:fldChar w:fldCharType="end"/>
      </w:r>
      <w:r>
        <w:rPr>
          <w:rFonts w:hint="default" w:ascii="Times New Roman" w:hAnsi="Times New Roman" w:eastAsia="宋体" w:cs="Times New Roman"/>
          <w:color w:val="auto"/>
          <w:kern w:val="2"/>
          <w:sz w:val="24"/>
          <w:szCs w:val="24"/>
          <w:highlight w:val="none"/>
          <w:u w:val="none"/>
          <w:lang w:val="zh-CN" w:eastAsia="zh-CN" w:bidi="zh-CN"/>
        </w:rPr>
        <w:t>。</w:t>
      </w:r>
    </w:p>
    <w:p>
      <w:pPr>
        <w:pStyle w:val="9"/>
        <w:bidi w:val="0"/>
        <w:rPr>
          <w:rFonts w:hint="default" w:ascii="Times New Roman" w:hAnsi="Times New Roman" w:eastAsia="宋体" w:cs="Times New Roman"/>
          <w:b/>
          <w:color w:val="auto"/>
          <w:sz w:val="24"/>
          <w:szCs w:val="24"/>
          <w:highlight w:val="none"/>
          <w:u w:val="none"/>
        </w:rPr>
      </w:pPr>
      <w:bookmarkStart w:id="236" w:name="_Ref23969"/>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10.2</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2</w:t>
      </w:r>
      <w:r>
        <w:rPr>
          <w:color w:val="auto"/>
          <w:highlight w:val="none"/>
          <w:u w:val="none"/>
        </w:rPr>
        <w:fldChar w:fldCharType="end"/>
      </w:r>
      <w:bookmarkEnd w:id="236"/>
      <w:r>
        <w:rPr>
          <w:rFonts w:hint="default" w:ascii="Times New Roman" w:hAnsi="Times New Roman" w:eastAsia="宋体" w:cs="Times New Roman"/>
          <w:b/>
          <w:color w:val="auto"/>
          <w:sz w:val="24"/>
          <w:szCs w:val="24"/>
          <w:highlight w:val="none"/>
          <w:u w:val="none"/>
        </w:rPr>
        <w:t xml:space="preserve">  本项目环境质量监测计划一览表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900"/>
        <w:gridCol w:w="963"/>
        <w:gridCol w:w="2"/>
        <w:gridCol w:w="1159"/>
        <w:gridCol w:w="2280"/>
        <w:gridCol w:w="1024"/>
        <w:gridCol w:w="256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34" w:hRule="atLeast"/>
          <w:jc w:val="center"/>
        </w:trPr>
        <w:tc>
          <w:tcPr>
            <w:tcW w:w="506" w:type="pct"/>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项目</w:t>
            </w:r>
          </w:p>
        </w:tc>
        <w:tc>
          <w:tcPr>
            <w:tcW w:w="541" w:type="pct"/>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监测点</w:t>
            </w:r>
          </w:p>
        </w:tc>
        <w:tc>
          <w:tcPr>
            <w:tcW w:w="652" w:type="pct"/>
            <w:gridSpan w:val="2"/>
            <w:tcBorders>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特征</w:t>
            </w:r>
          </w:p>
        </w:tc>
        <w:tc>
          <w:tcPr>
            <w:tcW w:w="1281" w:type="pct"/>
            <w:tcBorders>
              <w:lef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监测因子</w:t>
            </w:r>
          </w:p>
        </w:tc>
        <w:tc>
          <w:tcPr>
            <w:tcW w:w="575" w:type="pct"/>
            <w:tcBorders>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监测</w:t>
            </w:r>
          </w:p>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频次</w:t>
            </w:r>
          </w:p>
        </w:tc>
        <w:tc>
          <w:tcPr>
            <w:tcW w:w="1443" w:type="pct"/>
            <w:tcBorders>
              <w:left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执行标准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34" w:hRule="atLeast"/>
          <w:jc w:val="center"/>
        </w:trPr>
        <w:tc>
          <w:tcPr>
            <w:tcW w:w="506" w:type="pct"/>
            <w:vMerge w:val="restart"/>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地下水</w:t>
            </w:r>
          </w:p>
        </w:tc>
        <w:tc>
          <w:tcPr>
            <w:tcW w:w="541" w:type="pct"/>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范溜</w:t>
            </w:r>
          </w:p>
        </w:tc>
        <w:tc>
          <w:tcPr>
            <w:tcW w:w="652" w:type="pct"/>
            <w:gridSpan w:val="2"/>
            <w:tcBorders>
              <w:right w:val="single" w:color="auto" w:sz="4" w:space="0"/>
            </w:tcBorders>
            <w:noWrap w:val="0"/>
            <w:tcMar>
              <w:top w:w="57" w:type="dxa"/>
              <w:left w:w="85" w:type="dxa"/>
              <w:bottom w:w="57" w:type="dxa"/>
              <w:right w:w="85" w:type="dxa"/>
            </w:tcMar>
            <w:vAlign w:val="center"/>
          </w:tcPr>
          <w:p>
            <w:pPr>
              <w:pStyle w:val="22"/>
              <w:bidi w:val="0"/>
              <w:rPr>
                <w:rFonts w:hint="default"/>
                <w:color w:val="auto"/>
                <w:highlight w:val="none"/>
                <w:u w:val="none"/>
                <w:lang w:val="en-US" w:eastAsia="zh-CN"/>
              </w:rPr>
            </w:pPr>
            <w:r>
              <w:rPr>
                <w:rFonts w:hint="default"/>
                <w:color w:val="auto"/>
                <w:highlight w:val="none"/>
                <w:u w:val="none"/>
                <w:lang w:val="en-US" w:eastAsia="zh-CN"/>
              </w:rPr>
              <w:t>背景</w:t>
            </w:r>
          </w:p>
        </w:tc>
        <w:tc>
          <w:tcPr>
            <w:tcW w:w="1281" w:type="pct"/>
            <w:vMerge w:val="restart"/>
            <w:tcBorders>
              <w:left w:val="single" w:color="auto" w:sz="4" w:space="0"/>
            </w:tcBorders>
            <w:noWrap w:val="0"/>
            <w:tcMar>
              <w:top w:w="57" w:type="dxa"/>
              <w:left w:w="85" w:type="dxa"/>
              <w:bottom w:w="57" w:type="dxa"/>
              <w:right w:w="85" w:type="dxa"/>
            </w:tcMar>
            <w:vAlign w:val="center"/>
          </w:tcPr>
          <w:p>
            <w:pPr>
              <w:pStyle w:val="22"/>
              <w:bidi w:val="0"/>
              <w:rPr>
                <w:rFonts w:hint="default"/>
                <w:color w:val="auto"/>
                <w:highlight w:val="none"/>
                <w:u w:val="none"/>
                <w:lang w:val="en-US" w:eastAsia="zh-CN"/>
              </w:rPr>
            </w:pPr>
            <w:r>
              <w:rPr>
                <w:rFonts w:hint="default"/>
                <w:color w:val="auto"/>
                <w:highlight w:val="none"/>
                <w:u w:val="none"/>
                <w:lang w:val="en-US" w:eastAsia="zh-CN"/>
              </w:rPr>
              <w:t>初次监测：GB/T14848表1常规指标（微生物指标、放射性指标除外）+甲苯、二氯甲烷</w:t>
            </w:r>
          </w:p>
          <w:p>
            <w:pPr>
              <w:pStyle w:val="22"/>
              <w:bidi w:val="0"/>
              <w:rPr>
                <w:rFonts w:hint="default"/>
                <w:color w:val="auto"/>
                <w:highlight w:val="none"/>
                <w:u w:val="none"/>
                <w:lang w:val="en-US" w:eastAsia="zh-CN"/>
              </w:rPr>
            </w:pPr>
            <w:r>
              <w:rPr>
                <w:rFonts w:hint="default"/>
                <w:color w:val="auto"/>
                <w:highlight w:val="none"/>
                <w:u w:val="none"/>
                <w:lang w:val="en-US" w:eastAsia="zh-CN"/>
              </w:rPr>
              <w:t>后续监测：甲苯、二氯甲烷、耗氧量、氨氮</w:t>
            </w:r>
            <w:r>
              <w:rPr>
                <w:rFonts w:hint="eastAsia"/>
                <w:color w:val="auto"/>
                <w:highlight w:val="none"/>
                <w:u w:val="none"/>
                <w:lang w:val="en-US" w:eastAsia="zh-CN"/>
              </w:rPr>
              <w:t>、镍</w:t>
            </w:r>
          </w:p>
        </w:tc>
        <w:tc>
          <w:tcPr>
            <w:tcW w:w="575" w:type="pct"/>
            <w:tcBorders>
              <w:bottom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年</w:t>
            </w:r>
          </w:p>
        </w:tc>
        <w:tc>
          <w:tcPr>
            <w:tcW w:w="1443" w:type="pct"/>
            <w:vMerge w:val="restart"/>
            <w:tcBorders>
              <w:left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《地下水质量标准》 （GB/T14848-2017）Ⅲ类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666" w:hRule="atLeast"/>
          <w:jc w:val="center"/>
        </w:trPr>
        <w:tc>
          <w:tcPr>
            <w:tcW w:w="506" w:type="pct"/>
            <w:vMerge w:val="continue"/>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bookmarkStart w:id="237" w:name="_Hlk377309679"/>
          </w:p>
        </w:tc>
        <w:tc>
          <w:tcPr>
            <w:tcW w:w="541" w:type="pct"/>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厂区内</w:t>
            </w:r>
          </w:p>
        </w:tc>
        <w:tc>
          <w:tcPr>
            <w:tcW w:w="652" w:type="pct"/>
            <w:gridSpan w:val="2"/>
            <w:tcBorders>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污水站下游监控井</w:t>
            </w:r>
          </w:p>
        </w:tc>
        <w:tc>
          <w:tcPr>
            <w:tcW w:w="1281" w:type="pct"/>
            <w:vMerge w:val="continue"/>
            <w:tcBorders>
              <w:lef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c>
          <w:tcPr>
            <w:tcW w:w="575" w:type="pct"/>
            <w:tcBorders>
              <w:top w:val="single" w:color="auto" w:sz="4" w:space="0"/>
              <w:bottom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半年</w:t>
            </w:r>
          </w:p>
        </w:tc>
        <w:tc>
          <w:tcPr>
            <w:tcW w:w="1443" w:type="pct"/>
            <w:vMerge w:val="continue"/>
            <w:tcBorders>
              <w:left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r>
      <w:bookmarkEnd w:id="237"/>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78" w:hRule="atLeast"/>
          <w:jc w:val="center"/>
        </w:trPr>
        <w:tc>
          <w:tcPr>
            <w:tcW w:w="506" w:type="pct"/>
            <w:vMerge w:val="continue"/>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c>
          <w:tcPr>
            <w:tcW w:w="541" w:type="pct"/>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王云庄</w:t>
            </w:r>
          </w:p>
        </w:tc>
        <w:tc>
          <w:tcPr>
            <w:tcW w:w="652" w:type="pct"/>
            <w:gridSpan w:val="2"/>
            <w:tcBorders>
              <w:top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下游</w:t>
            </w:r>
          </w:p>
        </w:tc>
        <w:tc>
          <w:tcPr>
            <w:tcW w:w="1281" w:type="pct"/>
            <w:vMerge w:val="continue"/>
            <w:tcBorders>
              <w:lef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c>
          <w:tcPr>
            <w:tcW w:w="575" w:type="pct"/>
            <w:tcBorders>
              <w:top w:val="single" w:color="auto" w:sz="4" w:space="0"/>
              <w:bottom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年</w:t>
            </w:r>
          </w:p>
        </w:tc>
        <w:tc>
          <w:tcPr>
            <w:tcW w:w="1443" w:type="pct"/>
            <w:vMerge w:val="continue"/>
            <w:tcBorders>
              <w:left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50" w:hRule="atLeast"/>
          <w:jc w:val="center"/>
        </w:trPr>
        <w:tc>
          <w:tcPr>
            <w:tcW w:w="506" w:type="pct"/>
            <w:vMerge w:val="restart"/>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土壤</w:t>
            </w:r>
          </w:p>
        </w:tc>
        <w:tc>
          <w:tcPr>
            <w:tcW w:w="542" w:type="pct"/>
            <w:gridSpan w:val="2"/>
            <w:vMerge w:val="restart"/>
            <w:tcBorders>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污水站</w:t>
            </w:r>
            <w:r>
              <w:rPr>
                <w:rFonts w:hint="eastAsia" w:eastAsia="宋体" w:cs="Times New Roman"/>
                <w:color w:val="auto"/>
                <w:kern w:val="2"/>
                <w:sz w:val="21"/>
                <w:szCs w:val="24"/>
                <w:highlight w:val="none"/>
                <w:u w:val="none"/>
                <w:lang w:val="en-US" w:eastAsia="zh-CN" w:bidi="ar-SA"/>
              </w:rPr>
              <w:t>区域绿化带</w:t>
            </w:r>
          </w:p>
        </w:tc>
        <w:tc>
          <w:tcPr>
            <w:tcW w:w="651" w:type="pct"/>
            <w:tcBorders>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ascii="Times New Roman" w:hAnsi="Times New Roman" w:eastAsia="宋体" w:cs="Times New Roman"/>
                <w:color w:val="auto"/>
                <w:kern w:val="2"/>
                <w:sz w:val="21"/>
                <w:szCs w:val="24"/>
                <w:highlight w:val="none"/>
                <w:u w:val="none"/>
                <w:lang w:val="en-US" w:eastAsia="zh-CN" w:bidi="ar-SA"/>
              </w:rPr>
              <w:t>深层采样点</w:t>
            </w:r>
          </w:p>
        </w:tc>
        <w:tc>
          <w:tcPr>
            <w:tcW w:w="1281" w:type="pct"/>
            <w:vMerge w:val="restart"/>
            <w:tcBorders>
              <w:lef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初次监测：GB 36600表1基本项目+二噁英类</w:t>
            </w:r>
            <w:r>
              <w:rPr>
                <w:rFonts w:hint="eastAsia" w:eastAsia="宋体" w:cs="Times New Roman"/>
                <w:color w:val="auto"/>
                <w:kern w:val="2"/>
                <w:sz w:val="21"/>
                <w:szCs w:val="24"/>
                <w:highlight w:val="none"/>
                <w:u w:val="none"/>
                <w:lang w:val="en-US" w:eastAsia="zh-CN" w:bidi="ar-SA"/>
              </w:rPr>
              <w:t>、pH</w:t>
            </w:r>
          </w:p>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后续监测：pH</w:t>
            </w:r>
            <w:r>
              <w:rPr>
                <w:rFonts w:hint="eastAsia" w:eastAsia="宋体" w:cs="Times New Roman"/>
                <w:color w:val="auto"/>
                <w:kern w:val="2"/>
                <w:sz w:val="21"/>
                <w:szCs w:val="24"/>
                <w:highlight w:val="none"/>
                <w:u w:val="none"/>
                <w:lang w:val="en-US" w:eastAsia="zh-CN" w:bidi="ar-SA"/>
              </w:rPr>
              <w:t>、</w:t>
            </w:r>
            <w:r>
              <w:rPr>
                <w:rFonts w:hint="default" w:ascii="Times New Roman" w:hAnsi="Times New Roman" w:eastAsia="宋体" w:cs="Times New Roman"/>
                <w:color w:val="auto"/>
                <w:kern w:val="2"/>
                <w:sz w:val="21"/>
                <w:szCs w:val="24"/>
                <w:highlight w:val="none"/>
                <w:u w:val="none"/>
                <w:lang w:val="en-US" w:eastAsia="zh-CN" w:bidi="ar-SA"/>
              </w:rPr>
              <w:t>甲苯、二氯甲烷</w:t>
            </w:r>
            <w:r>
              <w:rPr>
                <w:rFonts w:hint="eastAsia" w:eastAsia="宋体" w:cs="Times New Roman"/>
                <w:color w:val="auto"/>
                <w:kern w:val="2"/>
                <w:sz w:val="21"/>
                <w:szCs w:val="24"/>
                <w:highlight w:val="none"/>
                <w:u w:val="none"/>
                <w:lang w:val="en-US" w:eastAsia="zh-CN" w:bidi="ar-SA"/>
              </w:rPr>
              <w:t>、镍、硝基苯、苯胺</w:t>
            </w:r>
            <w:r>
              <w:rPr>
                <w:rFonts w:hint="default" w:ascii="Times New Roman" w:hAnsi="Times New Roman" w:eastAsia="宋体" w:cs="Times New Roman"/>
                <w:color w:val="auto"/>
                <w:kern w:val="2"/>
                <w:sz w:val="21"/>
                <w:szCs w:val="24"/>
                <w:highlight w:val="none"/>
                <w:u w:val="none"/>
                <w:lang w:val="en-US" w:eastAsia="zh-CN" w:bidi="ar-SA"/>
              </w:rPr>
              <w:t>及二噁英类</w:t>
            </w:r>
          </w:p>
        </w:tc>
        <w:tc>
          <w:tcPr>
            <w:tcW w:w="575" w:type="pct"/>
            <w:tcBorders>
              <w:top w:val="single" w:color="auto" w:sz="4" w:space="0"/>
              <w:bottom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3</w:t>
            </w:r>
            <w:r>
              <w:rPr>
                <w:rFonts w:hint="default" w:ascii="Times New Roman" w:hAnsi="Times New Roman" w:eastAsia="宋体" w:cs="Times New Roman"/>
                <w:color w:val="auto"/>
                <w:kern w:val="2"/>
                <w:sz w:val="21"/>
                <w:szCs w:val="24"/>
                <w:highlight w:val="none"/>
                <w:u w:val="none"/>
                <w:lang w:val="en-US" w:eastAsia="zh-CN" w:bidi="ar-SA"/>
              </w:rPr>
              <w:t>年</w:t>
            </w:r>
          </w:p>
        </w:tc>
        <w:tc>
          <w:tcPr>
            <w:tcW w:w="1443" w:type="pct"/>
            <w:vMerge w:val="restart"/>
            <w:tcBorders>
              <w:left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《土壤环境质量 建设用地土壤污染风险管控标准（试行）》（GB36600-2018）</w:t>
            </w:r>
          </w:p>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筛选值二类用地标准限值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668" w:hRule="atLeast"/>
          <w:jc w:val="center"/>
        </w:trPr>
        <w:tc>
          <w:tcPr>
            <w:tcW w:w="506" w:type="pct"/>
            <w:vMerge w:val="continue"/>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bookmarkStart w:id="238" w:name="_Toc123212133"/>
            <w:bookmarkStart w:id="239" w:name="_Toc47433183"/>
            <w:bookmarkStart w:id="240" w:name="_Toc115071349"/>
            <w:bookmarkStart w:id="241" w:name="_Toc12239"/>
            <w:bookmarkStart w:id="242" w:name="_Toc23079"/>
            <w:bookmarkStart w:id="243" w:name="_Toc17068"/>
            <w:bookmarkStart w:id="244" w:name="_Toc18963"/>
          </w:p>
        </w:tc>
        <w:tc>
          <w:tcPr>
            <w:tcW w:w="542" w:type="pct"/>
            <w:gridSpan w:val="2"/>
            <w:vMerge w:val="continue"/>
            <w:tcBorders>
              <w:bottom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c>
          <w:tcPr>
            <w:tcW w:w="651" w:type="pct"/>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表层采样点</w:t>
            </w:r>
          </w:p>
        </w:tc>
        <w:tc>
          <w:tcPr>
            <w:tcW w:w="1281" w:type="pct"/>
            <w:vMerge w:val="continue"/>
            <w:tcBorders>
              <w:lef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eastAsia" w:eastAsia="宋体" w:cs="Times New Roman"/>
                <w:color w:val="auto"/>
                <w:kern w:val="2"/>
                <w:sz w:val="21"/>
                <w:szCs w:val="24"/>
                <w:highlight w:val="none"/>
                <w:u w:val="none"/>
                <w:lang w:val="en-US" w:eastAsia="zh-CN" w:bidi="ar-SA"/>
              </w:rPr>
            </w:pPr>
          </w:p>
        </w:tc>
        <w:tc>
          <w:tcPr>
            <w:tcW w:w="575" w:type="pct"/>
            <w:tcBorders>
              <w:top w:val="single" w:color="auto" w:sz="4" w:space="0"/>
              <w:bottom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年</w:t>
            </w:r>
          </w:p>
        </w:tc>
        <w:tc>
          <w:tcPr>
            <w:tcW w:w="1443" w:type="pct"/>
            <w:vMerge w:val="continue"/>
            <w:tcBorders>
              <w:left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668" w:hRule="atLeast"/>
          <w:jc w:val="center"/>
        </w:trPr>
        <w:tc>
          <w:tcPr>
            <w:tcW w:w="506" w:type="pct"/>
            <w:vMerge w:val="continue"/>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c>
          <w:tcPr>
            <w:tcW w:w="542" w:type="pct"/>
            <w:gridSpan w:val="2"/>
            <w:tcBorders>
              <w:bottom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罐区西侧绿化带</w:t>
            </w:r>
          </w:p>
        </w:tc>
        <w:tc>
          <w:tcPr>
            <w:tcW w:w="651" w:type="pct"/>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eastAsia"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表层采样点</w:t>
            </w:r>
          </w:p>
        </w:tc>
        <w:tc>
          <w:tcPr>
            <w:tcW w:w="1281" w:type="pct"/>
            <w:vMerge w:val="continue"/>
            <w:tcBorders>
              <w:lef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eastAsia" w:eastAsia="宋体" w:cs="Times New Roman"/>
                <w:color w:val="auto"/>
                <w:kern w:val="2"/>
                <w:sz w:val="21"/>
                <w:szCs w:val="24"/>
                <w:highlight w:val="none"/>
                <w:u w:val="none"/>
                <w:lang w:val="en-US" w:eastAsia="zh-CN" w:bidi="ar-SA"/>
              </w:rPr>
            </w:pPr>
          </w:p>
        </w:tc>
        <w:tc>
          <w:tcPr>
            <w:tcW w:w="575" w:type="pct"/>
            <w:tcBorders>
              <w:top w:val="single" w:color="auto" w:sz="4" w:space="0"/>
              <w:bottom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年</w:t>
            </w:r>
          </w:p>
        </w:tc>
        <w:tc>
          <w:tcPr>
            <w:tcW w:w="1443" w:type="pct"/>
            <w:vMerge w:val="continue"/>
            <w:tcBorders>
              <w:left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668" w:hRule="atLeast"/>
          <w:jc w:val="center"/>
        </w:trPr>
        <w:tc>
          <w:tcPr>
            <w:tcW w:w="506" w:type="pct"/>
            <w:vMerge w:val="continue"/>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c>
          <w:tcPr>
            <w:tcW w:w="542" w:type="pct"/>
            <w:gridSpan w:val="2"/>
            <w:tcBorders>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生产区东侧绿化带</w:t>
            </w:r>
          </w:p>
        </w:tc>
        <w:tc>
          <w:tcPr>
            <w:tcW w:w="651" w:type="pct"/>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eastAsia"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表层采样点</w:t>
            </w:r>
          </w:p>
        </w:tc>
        <w:tc>
          <w:tcPr>
            <w:tcW w:w="1281" w:type="pct"/>
            <w:vMerge w:val="continue"/>
            <w:tcBorders>
              <w:lef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eastAsia" w:eastAsia="宋体" w:cs="Times New Roman"/>
                <w:color w:val="auto"/>
                <w:kern w:val="2"/>
                <w:sz w:val="21"/>
                <w:szCs w:val="24"/>
                <w:highlight w:val="none"/>
                <w:u w:val="none"/>
                <w:lang w:val="en-US" w:eastAsia="zh-CN" w:bidi="ar-SA"/>
              </w:rPr>
            </w:pPr>
          </w:p>
        </w:tc>
        <w:tc>
          <w:tcPr>
            <w:tcW w:w="575" w:type="pct"/>
            <w:tcBorders>
              <w:top w:val="single" w:color="auto" w:sz="4" w:space="0"/>
              <w:bottom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年</w:t>
            </w:r>
          </w:p>
        </w:tc>
        <w:tc>
          <w:tcPr>
            <w:tcW w:w="1443" w:type="pct"/>
            <w:vMerge w:val="continue"/>
            <w:tcBorders>
              <w:left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668" w:hRule="atLeast"/>
          <w:jc w:val="center"/>
        </w:trPr>
        <w:tc>
          <w:tcPr>
            <w:tcW w:w="506" w:type="pct"/>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声化境</w:t>
            </w:r>
          </w:p>
        </w:tc>
        <w:tc>
          <w:tcPr>
            <w:tcW w:w="542" w:type="pct"/>
            <w:gridSpan w:val="2"/>
            <w:tcBorders>
              <w:bottom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eastAsia"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王云庄</w:t>
            </w:r>
          </w:p>
        </w:tc>
        <w:tc>
          <w:tcPr>
            <w:tcW w:w="651" w:type="pct"/>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eastAsia="宋体" w:cs="Times New Roman"/>
                <w:color w:val="auto"/>
                <w:kern w:val="2"/>
                <w:sz w:val="21"/>
                <w:szCs w:val="24"/>
                <w:highlight w:val="none"/>
                <w:u w:val="none"/>
                <w:lang w:val="en-US" w:eastAsia="zh-CN" w:bidi="ar-SA"/>
              </w:rPr>
            </w:pPr>
            <w:r>
              <w:rPr>
                <w:rFonts w:hint="eastAsia" w:eastAsia="宋体" w:cs="Times New Roman"/>
                <w:color w:val="auto"/>
                <w:kern w:val="2"/>
                <w:sz w:val="21"/>
                <w:szCs w:val="24"/>
                <w:highlight w:val="none"/>
                <w:u w:val="none"/>
                <w:lang w:val="en-US" w:eastAsia="zh-CN" w:bidi="ar-SA"/>
              </w:rPr>
              <w:t>代表性敏感点</w:t>
            </w:r>
          </w:p>
        </w:tc>
        <w:tc>
          <w:tcPr>
            <w:tcW w:w="1281" w:type="pct"/>
            <w:tcBorders>
              <w:left w:val="single" w:color="auto" w:sz="4" w:space="0"/>
              <w:bottom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eastAsia"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等效连续A声级</w:t>
            </w:r>
          </w:p>
        </w:tc>
        <w:tc>
          <w:tcPr>
            <w:tcW w:w="575" w:type="pct"/>
            <w:tcBorders>
              <w:top w:val="single" w:color="auto" w:sz="4" w:space="0"/>
              <w:bottom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季</w:t>
            </w:r>
          </w:p>
        </w:tc>
        <w:tc>
          <w:tcPr>
            <w:tcW w:w="1443" w:type="pct"/>
            <w:tcBorders>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《声环境质量标准》（GB3096-2008）</w:t>
            </w:r>
            <w:r>
              <w:rPr>
                <w:rFonts w:hint="eastAsia" w:eastAsia="宋体" w:cs="Times New Roman"/>
                <w:color w:val="auto"/>
                <w:kern w:val="2"/>
                <w:sz w:val="21"/>
                <w:szCs w:val="24"/>
                <w:highlight w:val="none"/>
                <w:u w:val="none"/>
                <w:lang w:val="en-US" w:eastAsia="zh-CN" w:bidi="ar-SA"/>
              </w:rPr>
              <w:t>二级标准</w:t>
            </w:r>
          </w:p>
        </w:tc>
      </w:tr>
    </w:tbl>
    <w:p>
      <w:pPr>
        <w:pStyle w:val="4"/>
        <w:bidi w:val="0"/>
        <w:rPr>
          <w:rFonts w:hint="default"/>
          <w:color w:val="auto"/>
          <w:highlight w:val="none"/>
          <w:u w:val="none"/>
          <w:lang w:val="en-US" w:eastAsia="zh-CN"/>
        </w:rPr>
      </w:pPr>
      <w:r>
        <w:rPr>
          <w:rFonts w:hint="default"/>
          <w:color w:val="auto"/>
          <w:highlight w:val="none"/>
          <w:u w:val="none"/>
          <w:lang w:val="en-US" w:eastAsia="zh-CN"/>
        </w:rPr>
        <w:t>排污口规范化</w:t>
      </w:r>
      <w:bookmarkEnd w:id="238"/>
      <w:bookmarkEnd w:id="239"/>
      <w:bookmarkEnd w:id="240"/>
      <w:r>
        <w:rPr>
          <w:rFonts w:hint="default"/>
          <w:color w:val="auto"/>
          <w:highlight w:val="none"/>
          <w:u w:val="none"/>
          <w:lang w:val="en-US" w:eastAsia="zh-CN"/>
        </w:rPr>
        <w:t>管理</w:t>
      </w:r>
      <w:bookmarkEnd w:id="241"/>
      <w:bookmarkEnd w:id="242"/>
      <w:bookmarkEnd w:id="243"/>
      <w:bookmarkEnd w:id="244"/>
    </w:p>
    <w:p>
      <w:pPr>
        <w:tabs>
          <w:tab w:val="left" w:pos="720"/>
        </w:tabs>
        <w:adjustRightInd w:val="0"/>
        <w:snapToGrid w:val="0"/>
        <w:spacing w:line="440" w:lineRule="exact"/>
        <w:ind w:firstLine="480" w:firstLineChars="200"/>
        <w:rPr>
          <w:rFonts w:hint="default" w:ascii="Times New Roman" w:hAnsi="Times New Roman" w:eastAsia="宋体" w:cs="Times New Roman"/>
          <w:bCs/>
          <w:color w:val="auto"/>
          <w:kern w:val="1"/>
          <w:sz w:val="24"/>
          <w:szCs w:val="24"/>
          <w:highlight w:val="none"/>
          <w:u w:val="none"/>
        </w:rPr>
      </w:pPr>
      <w:bookmarkStart w:id="245" w:name="_Toc436395253"/>
      <w:bookmarkStart w:id="246" w:name="_Toc449538095"/>
      <w:r>
        <w:rPr>
          <w:rFonts w:hint="default" w:ascii="Times New Roman" w:hAnsi="Times New Roman" w:eastAsia="宋体" w:cs="Times New Roman"/>
          <w:bCs/>
          <w:color w:val="auto"/>
          <w:kern w:val="1"/>
          <w:sz w:val="24"/>
          <w:szCs w:val="24"/>
          <w:highlight w:val="none"/>
          <w:u w:val="none"/>
        </w:rPr>
        <w:t>废气排放口应进行规范化设计，具备采样、监测条件，排放口附近树立环保图形标志牌。按照国家环境保护总局制定的《〈环境保护图形标志〉实施细则（试行）》（环监[1996]463号）的规定，在排污口设立相应的环境保护图形标志牌。排污口环境保护图形标志见</w:t>
      </w:r>
      <w:r>
        <w:rPr>
          <w:rFonts w:hint="default" w:ascii="Times New Roman" w:hAnsi="Times New Roman" w:eastAsia="宋体" w:cs="Times New Roman"/>
          <w:bCs/>
          <w:color w:val="auto"/>
          <w:kern w:val="1"/>
          <w:sz w:val="24"/>
          <w:szCs w:val="24"/>
          <w:highlight w:val="none"/>
          <w:u w:val="none"/>
        </w:rPr>
        <w:fldChar w:fldCharType="begin"/>
      </w:r>
      <w:r>
        <w:rPr>
          <w:rFonts w:hint="default" w:ascii="Times New Roman" w:hAnsi="Times New Roman" w:eastAsia="宋体" w:cs="Times New Roman"/>
          <w:bCs/>
          <w:color w:val="auto"/>
          <w:kern w:val="1"/>
          <w:sz w:val="24"/>
          <w:szCs w:val="24"/>
          <w:highlight w:val="none"/>
          <w:u w:val="none"/>
        </w:rPr>
        <w:instrText xml:space="preserve"> REF _Ref24008 \h </w:instrText>
      </w:r>
      <w:r>
        <w:rPr>
          <w:rFonts w:hint="default" w:ascii="Times New Roman" w:hAnsi="Times New Roman" w:eastAsia="宋体" w:cs="Times New Roman"/>
          <w:bCs/>
          <w:color w:val="auto"/>
          <w:kern w:val="1"/>
          <w:sz w:val="24"/>
          <w:szCs w:val="24"/>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10.2</w:t>
      </w:r>
      <w:r>
        <w:rPr>
          <w:color w:val="auto"/>
          <w:highlight w:val="none"/>
          <w:u w:val="none"/>
        </w:rPr>
        <w:fldChar w:fldCharType="end"/>
      </w:r>
      <w:r>
        <w:rPr>
          <w:rFonts w:hint="eastAsia"/>
          <w:color w:val="auto"/>
          <w:highlight w:val="none"/>
          <w:u w:val="none"/>
          <w:lang w:eastAsia="zh-CN"/>
        </w:rPr>
        <w:t>-</w:t>
      </w:r>
      <w:r>
        <w:rPr>
          <w:color w:val="auto"/>
          <w:highlight w:val="none"/>
          <w:u w:val="none"/>
        </w:rPr>
        <w:t>3</w:t>
      </w:r>
      <w:r>
        <w:rPr>
          <w:rFonts w:hint="default" w:ascii="Times New Roman" w:hAnsi="Times New Roman" w:eastAsia="宋体" w:cs="Times New Roman"/>
          <w:bCs/>
          <w:color w:val="auto"/>
          <w:kern w:val="1"/>
          <w:sz w:val="24"/>
          <w:szCs w:val="24"/>
          <w:highlight w:val="none"/>
          <w:u w:val="none"/>
        </w:rPr>
        <w:fldChar w:fldCharType="end"/>
      </w:r>
      <w:r>
        <w:rPr>
          <w:rFonts w:hint="default" w:ascii="Times New Roman" w:hAnsi="Times New Roman" w:eastAsia="宋体" w:cs="Times New Roman"/>
          <w:bCs/>
          <w:color w:val="auto"/>
          <w:kern w:val="1"/>
          <w:sz w:val="24"/>
          <w:szCs w:val="24"/>
          <w:highlight w:val="none"/>
          <w:u w:val="none"/>
        </w:rPr>
        <w:t>。</w:t>
      </w:r>
    </w:p>
    <w:p>
      <w:pPr>
        <w:bidi w:val="0"/>
        <w:rPr>
          <w:rFonts w:hint="default"/>
          <w:color w:val="auto"/>
        </w:rPr>
      </w:pPr>
    </w:p>
    <w:p>
      <w:pPr>
        <w:bidi w:val="0"/>
        <w:rPr>
          <w:rFonts w:hint="default"/>
          <w:color w:val="auto"/>
        </w:rPr>
      </w:pPr>
    </w:p>
    <w:p>
      <w:pPr>
        <w:pStyle w:val="9"/>
        <w:bidi w:val="0"/>
        <w:rPr>
          <w:rFonts w:hint="default" w:ascii="Times New Roman" w:hAnsi="Times New Roman" w:eastAsia="宋体" w:cs="Times New Roman"/>
          <w:b/>
          <w:bCs/>
          <w:color w:val="auto"/>
          <w:kern w:val="2"/>
          <w:sz w:val="24"/>
          <w:szCs w:val="24"/>
          <w:highlight w:val="none"/>
          <w:u w:val="none"/>
          <w:lang w:val="en-US" w:eastAsia="zh-CN" w:bidi="ar-SA"/>
        </w:rPr>
      </w:pPr>
      <w:bookmarkStart w:id="247" w:name="_Ref24008"/>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10.2</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3</w:t>
      </w:r>
      <w:r>
        <w:rPr>
          <w:color w:val="auto"/>
          <w:highlight w:val="none"/>
          <w:u w:val="none"/>
        </w:rPr>
        <w:fldChar w:fldCharType="end"/>
      </w:r>
      <w:bookmarkEnd w:id="247"/>
      <w:r>
        <w:rPr>
          <w:rFonts w:hint="default" w:ascii="Times New Roman" w:hAnsi="Times New Roman" w:eastAsia="宋体" w:cs="Times New Roman"/>
          <w:b/>
          <w:bCs/>
          <w:color w:val="auto"/>
          <w:kern w:val="2"/>
          <w:sz w:val="24"/>
          <w:szCs w:val="24"/>
          <w:highlight w:val="none"/>
          <w:u w:val="none"/>
          <w:lang w:val="en-US" w:eastAsia="zh-CN" w:bidi="ar-SA"/>
        </w:rPr>
        <w:t xml:space="preserve">    排污口环境保护图形标志</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3"/>
        <w:gridCol w:w="4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500"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排放口名称</w:t>
            </w:r>
          </w:p>
        </w:tc>
        <w:tc>
          <w:tcPr>
            <w:tcW w:w="2500" w:type="pct"/>
            <w:noWrap w:val="0"/>
            <w:vAlign w:val="center"/>
          </w:tcPr>
          <w:p>
            <w:pPr>
              <w:widowControl w:val="0"/>
              <w:autoSpaceDE w:val="0"/>
              <w:autoSpaceDN w:val="0"/>
              <w:adjustRightInd w:val="0"/>
              <w:spacing w:line="240" w:lineRule="auto"/>
              <w:ind w:firstLine="420" w:firstLineChars="200"/>
              <w:jc w:val="center"/>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t>图形标志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2500"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排气筒</w:t>
            </w:r>
          </w:p>
        </w:tc>
        <w:tc>
          <w:tcPr>
            <w:tcW w:w="2500" w:type="pct"/>
            <w:noWrap w:val="0"/>
            <w:vAlign w:val="center"/>
          </w:tcPr>
          <w:p>
            <w:pPr>
              <w:widowControl w:val="0"/>
              <w:autoSpaceDE w:val="0"/>
              <w:autoSpaceDN w:val="0"/>
              <w:adjustRightInd w:val="0"/>
              <w:spacing w:line="240" w:lineRule="auto"/>
              <w:ind w:firstLine="420" w:firstLineChars="200"/>
              <w:jc w:val="center"/>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drawing>
                <wp:inline distT="0" distB="0" distL="114300" distR="114300">
                  <wp:extent cx="539750" cy="553085"/>
                  <wp:effectExtent l="0" t="0" r="8890" b="10795"/>
                  <wp:docPr id="118" name="图片 4" descr="1537176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 descr="1537176818(1)"/>
                          <pic:cNvPicPr>
                            <a:picLocks noChangeAspect="1"/>
                          </pic:cNvPicPr>
                        </pic:nvPicPr>
                        <pic:blipFill>
                          <a:blip r:embed="rId29"/>
                          <a:stretch>
                            <a:fillRect/>
                          </a:stretch>
                        </pic:blipFill>
                        <pic:spPr>
                          <a:xfrm>
                            <a:off x="0" y="0"/>
                            <a:ext cx="539750" cy="5530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噪声源</w:t>
            </w:r>
          </w:p>
        </w:tc>
        <w:tc>
          <w:tcPr>
            <w:tcW w:w="2500" w:type="pct"/>
            <w:noWrap w:val="0"/>
            <w:vAlign w:val="center"/>
          </w:tcPr>
          <w:p>
            <w:pPr>
              <w:widowControl w:val="0"/>
              <w:autoSpaceDE w:val="0"/>
              <w:autoSpaceDN w:val="0"/>
              <w:adjustRightInd w:val="0"/>
              <w:spacing w:line="240" w:lineRule="auto"/>
              <w:ind w:firstLine="480" w:firstLineChars="200"/>
              <w:jc w:val="center"/>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4"/>
                <w:szCs w:val="24"/>
                <w:highlight w:val="none"/>
                <w:u w:val="none"/>
                <w:lang w:val="en-US" w:eastAsia="zh-CN" w:bidi="ar-SA"/>
              </w:rPr>
              <w:drawing>
                <wp:inline distT="0" distB="0" distL="114300" distR="114300">
                  <wp:extent cx="549910" cy="539750"/>
                  <wp:effectExtent l="0" t="0" r="13970" b="8890"/>
                  <wp:docPr id="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
                          <pic:cNvPicPr>
                            <a:picLocks noChangeAspect="1"/>
                          </pic:cNvPicPr>
                        </pic:nvPicPr>
                        <pic:blipFill>
                          <a:blip r:embed="rId30"/>
                          <a:stretch>
                            <a:fillRect/>
                          </a:stretch>
                        </pic:blipFill>
                        <pic:spPr>
                          <a:xfrm>
                            <a:off x="0" y="0"/>
                            <a:ext cx="549910" cy="5397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固废堆放场所</w:t>
            </w:r>
          </w:p>
        </w:tc>
        <w:tc>
          <w:tcPr>
            <w:tcW w:w="2500" w:type="pct"/>
            <w:noWrap w:val="0"/>
            <w:vAlign w:val="center"/>
          </w:tcPr>
          <w:p>
            <w:pPr>
              <w:widowControl w:val="0"/>
              <w:autoSpaceDE w:val="0"/>
              <w:autoSpaceDN w:val="0"/>
              <w:adjustRightInd w:val="0"/>
              <w:spacing w:line="240" w:lineRule="auto"/>
              <w:ind w:firstLine="480" w:firstLineChars="200"/>
              <w:jc w:val="center"/>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4"/>
                <w:szCs w:val="24"/>
                <w:highlight w:val="none"/>
                <w:u w:val="none"/>
                <w:lang w:val="en-US" w:eastAsia="zh-CN" w:bidi="ar-SA"/>
              </w:rPr>
              <w:drawing>
                <wp:inline distT="0" distB="0" distL="114300" distR="114300">
                  <wp:extent cx="539750" cy="529590"/>
                  <wp:effectExtent l="0" t="0" r="8890" b="3810"/>
                  <wp:docPr id="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
                          <pic:cNvPicPr>
                            <a:picLocks noChangeAspect="1"/>
                          </pic:cNvPicPr>
                        </pic:nvPicPr>
                        <pic:blipFill>
                          <a:blip r:embed="rId31"/>
                          <a:stretch>
                            <a:fillRect/>
                          </a:stretch>
                        </pic:blipFill>
                        <pic:spPr>
                          <a:xfrm>
                            <a:off x="0" y="0"/>
                            <a:ext cx="539750" cy="5295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2500"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危险废物</w:t>
            </w:r>
          </w:p>
        </w:tc>
        <w:tc>
          <w:tcPr>
            <w:tcW w:w="2500" w:type="pct"/>
            <w:noWrap w:val="0"/>
            <w:vAlign w:val="center"/>
          </w:tcPr>
          <w:p>
            <w:pPr>
              <w:widowControl w:val="0"/>
              <w:autoSpaceDE w:val="0"/>
              <w:autoSpaceDN w:val="0"/>
              <w:adjustRightInd w:val="0"/>
              <w:spacing w:line="240" w:lineRule="auto"/>
              <w:ind w:firstLine="480" w:firstLineChars="200"/>
              <w:jc w:val="center"/>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color w:val="auto"/>
                <w:sz w:val="24"/>
                <w:szCs w:val="24"/>
                <w:highlight w:val="none"/>
                <w:u w:val="none"/>
                <w:lang w:val="en-US" w:eastAsia="zh-CN" w:bidi="ar-SA"/>
              </w:rPr>
              <w:drawing>
                <wp:inline distT="0" distB="0" distL="114300" distR="114300">
                  <wp:extent cx="555625" cy="557530"/>
                  <wp:effectExtent l="0" t="0" r="8255" b="635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pic:cNvPicPr>
                        </pic:nvPicPr>
                        <pic:blipFill>
                          <a:blip r:embed="rId32"/>
                          <a:stretch>
                            <a:fillRect/>
                          </a:stretch>
                        </pic:blipFill>
                        <pic:spPr>
                          <a:xfrm>
                            <a:off x="0" y="0"/>
                            <a:ext cx="555625" cy="557530"/>
                          </a:xfrm>
                          <a:prstGeom prst="rect">
                            <a:avLst/>
                          </a:prstGeom>
                          <a:noFill/>
                          <a:ln>
                            <a:noFill/>
                          </a:ln>
                        </pic:spPr>
                      </pic:pic>
                    </a:graphicData>
                  </a:graphic>
                </wp:inline>
              </w:drawing>
            </w:r>
          </w:p>
        </w:tc>
      </w:tr>
    </w:tbl>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（1）危险废物</w:t>
      </w:r>
      <w:r>
        <w:rPr>
          <w:rFonts w:hint="default" w:ascii="Times New Roman" w:hAnsi="Times New Roman" w:eastAsia="宋体" w:cs="Times New Roman"/>
          <w:color w:val="auto"/>
          <w:sz w:val="24"/>
          <w:szCs w:val="24"/>
          <w:highlight w:val="none"/>
          <w:u w:val="none"/>
          <w:lang w:val="en-US" w:eastAsia="zh-CN"/>
        </w:rPr>
        <w:t>及一般固废间</w:t>
      </w:r>
      <w:r>
        <w:rPr>
          <w:rFonts w:hint="default" w:ascii="Times New Roman" w:hAnsi="Times New Roman" w:eastAsia="宋体" w:cs="Times New Roman"/>
          <w:color w:val="auto"/>
          <w:sz w:val="24"/>
          <w:szCs w:val="24"/>
          <w:highlight w:val="none"/>
          <w:u w:val="none"/>
        </w:rPr>
        <w:t>，必须有防火、防腐蚀、防流失等措施，并应设置标志牌。危险废物、一般工业固体废物和生活垃圾应设置专用堆放场地，采取防止二次污染措施。</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（2）废水排放口，须设在线监测系统。厂区在总排污口设置一段与排放污水有明显色差的测流渠（管），以满足在线监测与监控要求。</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3）废气排气筒应设置便于采样、监测的采样口和采样监测平台。有净化设施的，应在其进出口分别设置采样口及采样监测平台。采样孔、点数目和位置应按《固定污染源排气中颗粒物测定与气态污染物采样方法》（GB/T16157-1996）和《污染源监测技术规范》的规定设置。采样口位置无法满足规定要求的，必须报环保部门认可。</w:t>
      </w:r>
    </w:p>
    <w:p>
      <w:pPr>
        <w:pStyle w:val="4"/>
        <w:bidi w:val="0"/>
        <w:rPr>
          <w:rFonts w:hint="default"/>
          <w:color w:val="auto"/>
          <w:highlight w:val="none"/>
          <w:u w:val="none"/>
          <w:lang w:val="en-US" w:eastAsia="zh-CN"/>
        </w:rPr>
      </w:pPr>
      <w:bookmarkStart w:id="248" w:name="_Toc27778"/>
      <w:bookmarkStart w:id="249" w:name="_Toc25227"/>
      <w:bookmarkStart w:id="250" w:name="_Toc21073"/>
      <w:bookmarkStart w:id="251" w:name="_Toc7795"/>
      <w:bookmarkStart w:id="252" w:name="_Toc27470"/>
      <w:r>
        <w:rPr>
          <w:rFonts w:hint="default"/>
          <w:color w:val="auto"/>
          <w:highlight w:val="none"/>
          <w:u w:val="none"/>
          <w:lang w:val="en-US" w:eastAsia="zh-CN"/>
        </w:rPr>
        <w:t>环境监测信息管理</w:t>
      </w:r>
      <w:bookmarkEnd w:id="245"/>
      <w:bookmarkEnd w:id="246"/>
      <w:bookmarkEnd w:id="248"/>
      <w:bookmarkEnd w:id="249"/>
      <w:bookmarkEnd w:id="250"/>
      <w:bookmarkEnd w:id="251"/>
      <w:bookmarkEnd w:id="25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（1）在监测过程中，如发现某参数有超标异常情况，应分析原因并上报，及时采取改进处理工艺或加强污染控制的措施；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（2）建立日常环境管理制度、组织结构和环境管理台账，明确各项环境保护设施和措施的建设、运行及维护费用保障计划。</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（3）建立合理可行的监测质量保证措施；保证监测数据客观、公正、准确、可靠、不受行政和其它因素的干预；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w:t>
      </w:r>
      <w:r>
        <w:rPr>
          <w:rFonts w:hint="default" w:ascii="Times New Roman" w:hAnsi="Times New Roman" w:eastAsia="宋体" w:cs="Times New Roman"/>
          <w:color w:val="auto"/>
          <w:sz w:val="24"/>
          <w:szCs w:val="24"/>
          <w:highlight w:val="none"/>
          <w:u w:val="none"/>
          <w:lang w:val="en-US" w:eastAsia="zh-CN"/>
        </w:rPr>
        <w:t>4</w:t>
      </w:r>
      <w:r>
        <w:rPr>
          <w:rFonts w:hint="default" w:ascii="Times New Roman" w:hAnsi="Times New Roman" w:eastAsia="宋体" w:cs="Times New Roman"/>
          <w:color w:val="auto"/>
          <w:sz w:val="24"/>
          <w:szCs w:val="24"/>
          <w:highlight w:val="none"/>
          <w:u w:val="none"/>
        </w:rPr>
        <w:t>）建立监测资料档案。项目应按照各级环境保护行政主管部门的要求做好施工期、运营期各项环境监测的统计与分析工作，建立环境监测档案资料。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w:t>
      </w:r>
      <w:r>
        <w:rPr>
          <w:rFonts w:hint="default" w:ascii="Times New Roman" w:hAnsi="Times New Roman" w:eastAsia="宋体" w:cs="Times New Roman"/>
          <w:color w:val="auto"/>
          <w:sz w:val="24"/>
          <w:szCs w:val="24"/>
          <w:highlight w:val="none"/>
          <w:u w:val="none"/>
          <w:lang w:val="en-US" w:eastAsia="zh-CN"/>
        </w:rPr>
        <w:t>5</w:t>
      </w:r>
      <w:r>
        <w:rPr>
          <w:rFonts w:hint="default" w:ascii="Times New Roman" w:hAnsi="Times New Roman" w:eastAsia="宋体" w:cs="Times New Roman"/>
          <w:color w:val="auto"/>
          <w:sz w:val="24"/>
          <w:szCs w:val="24"/>
          <w:highlight w:val="none"/>
          <w:u w:val="none"/>
        </w:rPr>
        <w:t>）环境监测的分析采样方法均按照国家环境保护总局制定的《环境监测技术规范》、《污染源监测技术规范》执行。化验室应建立仪器设备保管和校验制度，检测方法、药剂的技术指标、检测数据处理、精确度、检测过程中的误差范围等均应满足国家的有关标准和文件。</w:t>
      </w:r>
    </w:p>
    <w:p>
      <w:pPr>
        <w:adjustRightInd w:val="0"/>
        <w:snapToGrid w:val="0"/>
        <w:spacing w:line="52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w:t>
      </w:r>
      <w:r>
        <w:rPr>
          <w:rFonts w:hint="default" w:ascii="Times New Roman" w:hAnsi="Times New Roman" w:eastAsia="宋体" w:cs="Times New Roman"/>
          <w:color w:val="auto"/>
          <w:sz w:val="24"/>
          <w:szCs w:val="24"/>
          <w:highlight w:val="none"/>
          <w:u w:val="none"/>
          <w:lang w:val="en-US" w:eastAsia="zh-CN"/>
        </w:rPr>
        <w:t>6</w:t>
      </w:r>
      <w:r>
        <w:rPr>
          <w:rFonts w:hint="default" w:ascii="Times New Roman" w:hAnsi="Times New Roman" w:eastAsia="宋体" w:cs="Times New Roman"/>
          <w:color w:val="auto"/>
          <w:sz w:val="24"/>
          <w:szCs w:val="24"/>
          <w:highlight w:val="none"/>
          <w:u w:val="none"/>
        </w:rPr>
        <w:t>）项目应根据生态环境局的要求，做好污染源定期监测与上报工作。</w:t>
      </w:r>
      <w:bookmarkEnd w:id="233"/>
      <w:bookmarkEnd w:id="234"/>
    </w:p>
    <w:p>
      <w:pPr>
        <w:pStyle w:val="3"/>
        <w:bidi w:val="0"/>
        <w:rPr>
          <w:rFonts w:hint="default"/>
          <w:color w:val="auto"/>
          <w:highlight w:val="none"/>
          <w:u w:val="none"/>
          <w:lang w:val="en-US" w:eastAsia="zh-CN"/>
        </w:rPr>
      </w:pPr>
      <w:bookmarkStart w:id="253" w:name="_Toc17549"/>
      <w:bookmarkStart w:id="254" w:name="_Toc22981"/>
      <w:bookmarkStart w:id="255" w:name="_Toc7059"/>
      <w:bookmarkStart w:id="256" w:name="_Toc30575"/>
      <w:bookmarkStart w:id="257" w:name="_Toc28079"/>
      <w:bookmarkStart w:id="258" w:name="_Toc1730"/>
      <w:bookmarkStart w:id="259" w:name="_Toc17609"/>
      <w:bookmarkStart w:id="260" w:name="_Toc393394506"/>
      <w:bookmarkStart w:id="261" w:name="_Toc366185703"/>
      <w:bookmarkStart w:id="262" w:name="_Toc394944505"/>
      <w:bookmarkStart w:id="263" w:name="_Toc387151398"/>
      <w:r>
        <w:rPr>
          <w:rFonts w:hint="default"/>
          <w:color w:val="auto"/>
          <w:highlight w:val="none"/>
          <w:u w:val="none"/>
          <w:lang w:val="en-US" w:eastAsia="zh-CN"/>
        </w:rPr>
        <w:t>信息公开</w:t>
      </w:r>
      <w:bookmarkEnd w:id="253"/>
      <w:bookmarkEnd w:id="254"/>
      <w:bookmarkEnd w:id="255"/>
      <w:bookmarkEnd w:id="256"/>
      <w:bookmarkEnd w:id="257"/>
      <w:bookmarkEnd w:id="258"/>
      <w:bookmarkEnd w:id="259"/>
    </w:p>
    <w:p>
      <w:pPr>
        <w:pStyle w:val="4"/>
        <w:bidi w:val="0"/>
        <w:rPr>
          <w:rFonts w:hint="default"/>
          <w:color w:val="auto"/>
          <w:highlight w:val="none"/>
          <w:u w:val="none"/>
          <w:lang w:val="en-US" w:eastAsia="zh-CN"/>
        </w:rPr>
      </w:pPr>
      <w:bookmarkStart w:id="264" w:name="_Toc13760"/>
      <w:r>
        <w:rPr>
          <w:rFonts w:hint="default"/>
          <w:color w:val="auto"/>
          <w:highlight w:val="none"/>
          <w:u w:val="none"/>
          <w:lang w:val="en-US" w:eastAsia="zh-CN"/>
        </w:rPr>
        <w:t>公开内容</w:t>
      </w:r>
      <w:bookmarkEnd w:id="264"/>
    </w:p>
    <w:p>
      <w:pPr>
        <w:adjustRightInd w:val="0"/>
        <w:snapToGrid w:val="0"/>
        <w:spacing w:line="52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企业应将自行监测工作开展情况及监测结果向社会公众公开，公开内容应包括：</w:t>
      </w:r>
    </w:p>
    <w:p>
      <w:pPr>
        <w:adjustRightInd w:val="0"/>
        <w:snapToGrid w:val="0"/>
        <w:spacing w:line="52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（1）基础信息：企业名称、法人代表、所属行业、地理位置、生产周期、联系方式、委托监测机构名称等；</w:t>
      </w:r>
    </w:p>
    <w:p>
      <w:pPr>
        <w:adjustRightInd w:val="0"/>
        <w:snapToGrid w:val="0"/>
        <w:spacing w:line="52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（2）自行监测方案；</w:t>
      </w:r>
    </w:p>
    <w:p>
      <w:pPr>
        <w:adjustRightInd w:val="0"/>
        <w:snapToGrid w:val="0"/>
        <w:spacing w:line="52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（3）自行监测结果：全部监测点位、监测时间、污染物种类及浓度、标准限值、达标情况、超标倍数、污染物排放方式及排放去向；</w:t>
      </w:r>
    </w:p>
    <w:p>
      <w:pPr>
        <w:adjustRightInd w:val="0"/>
        <w:snapToGrid w:val="0"/>
        <w:spacing w:line="52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（4）未开展自行监测的原因；</w:t>
      </w:r>
    </w:p>
    <w:p>
      <w:pPr>
        <w:adjustRightInd w:val="0"/>
        <w:snapToGrid w:val="0"/>
        <w:spacing w:line="52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（5）污染源监测年度报告。</w:t>
      </w:r>
    </w:p>
    <w:p>
      <w:pPr>
        <w:pStyle w:val="4"/>
        <w:bidi w:val="0"/>
        <w:rPr>
          <w:rFonts w:hint="default"/>
          <w:color w:val="auto"/>
          <w:highlight w:val="none"/>
          <w:u w:val="none"/>
          <w:lang w:val="en-US" w:eastAsia="zh-CN"/>
        </w:rPr>
      </w:pPr>
      <w:bookmarkStart w:id="265" w:name="_Toc6780"/>
      <w:r>
        <w:rPr>
          <w:rFonts w:hint="default"/>
          <w:color w:val="auto"/>
          <w:highlight w:val="none"/>
          <w:u w:val="none"/>
          <w:lang w:val="en-US" w:eastAsia="zh-CN"/>
        </w:rPr>
        <w:t>公开方式</w:t>
      </w:r>
      <w:bookmarkEnd w:id="265"/>
    </w:p>
    <w:p>
      <w:pPr>
        <w:adjustRightInd w:val="0"/>
        <w:snapToGrid w:val="0"/>
        <w:spacing w:line="52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企业可通过对外网站、报纸、广播、电视等便于公众知晓的方式公开自行监测信息。</w:t>
      </w:r>
    </w:p>
    <w:p>
      <w:pPr>
        <w:pStyle w:val="4"/>
        <w:bidi w:val="0"/>
        <w:rPr>
          <w:rFonts w:hint="default"/>
          <w:color w:val="auto"/>
          <w:highlight w:val="none"/>
          <w:u w:val="none"/>
          <w:lang w:val="en-US" w:eastAsia="zh-CN"/>
        </w:rPr>
      </w:pPr>
      <w:bookmarkStart w:id="266" w:name="_Toc5717"/>
      <w:r>
        <w:rPr>
          <w:rFonts w:hint="default"/>
          <w:color w:val="auto"/>
          <w:highlight w:val="none"/>
          <w:u w:val="none"/>
          <w:lang w:val="en-US" w:eastAsia="zh-CN"/>
        </w:rPr>
        <w:t>公开时限</w:t>
      </w:r>
      <w:bookmarkEnd w:id="266"/>
    </w:p>
    <w:p>
      <w:pPr>
        <w:adjustRightInd w:val="0"/>
        <w:snapToGrid w:val="0"/>
        <w:spacing w:line="52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企业自行监测信息按以下要求的时限公开：</w:t>
      </w:r>
    </w:p>
    <w:p>
      <w:pPr>
        <w:adjustRightInd w:val="0"/>
        <w:snapToGrid w:val="0"/>
        <w:spacing w:line="52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（1）企业基础信息应随监测数据一并公布，基础信息、自行监测方案如有调整变化时，应于变更后的五日内公布最新内容；</w:t>
      </w:r>
    </w:p>
    <w:p>
      <w:pPr>
        <w:adjustRightInd w:val="0"/>
        <w:snapToGrid w:val="0"/>
        <w:spacing w:line="52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（2）手工监测数据应于每次监测完成后的次日公布；</w:t>
      </w:r>
    </w:p>
    <w:p>
      <w:pPr>
        <w:adjustRightInd w:val="0"/>
        <w:snapToGrid w:val="0"/>
        <w:spacing w:line="52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（3）自动监测数据应实时公布监测结果；</w:t>
      </w:r>
    </w:p>
    <w:p>
      <w:pPr>
        <w:adjustRightInd w:val="0"/>
        <w:snapToGrid w:val="0"/>
        <w:spacing w:line="52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（4）每年1月底前公布上年度自行监测年度报告。</w:t>
      </w:r>
    </w:p>
    <w:bookmarkEnd w:id="260"/>
    <w:bookmarkEnd w:id="261"/>
    <w:bookmarkEnd w:id="262"/>
    <w:bookmarkEnd w:id="263"/>
    <w:p>
      <w:pPr>
        <w:pStyle w:val="3"/>
        <w:bidi w:val="0"/>
        <w:rPr>
          <w:rFonts w:hint="default"/>
          <w:color w:val="auto"/>
          <w:highlight w:val="none"/>
          <w:u w:val="none"/>
          <w:lang w:val="en-US" w:eastAsia="zh-CN"/>
        </w:rPr>
      </w:pPr>
      <w:bookmarkStart w:id="267" w:name="_Toc8491"/>
      <w:bookmarkStart w:id="268" w:name="_Toc26383"/>
      <w:bookmarkStart w:id="269" w:name="_Toc564"/>
      <w:bookmarkStart w:id="270" w:name="_Toc8667"/>
      <w:r>
        <w:rPr>
          <w:rFonts w:hint="default"/>
          <w:color w:val="auto"/>
          <w:highlight w:val="none"/>
          <w:u w:val="none"/>
          <w:lang w:val="en-US" w:eastAsia="zh-CN"/>
        </w:rPr>
        <w:t xml:space="preserve"> </w:t>
      </w:r>
      <w:bookmarkStart w:id="271" w:name="_Toc17065"/>
      <w:r>
        <w:rPr>
          <w:rFonts w:hint="default"/>
          <w:color w:val="auto"/>
          <w:highlight w:val="none"/>
          <w:u w:val="none"/>
          <w:lang w:val="en-US" w:eastAsia="zh-CN"/>
        </w:rPr>
        <w:t>“三同时”验收</w:t>
      </w:r>
      <w:bookmarkEnd w:id="267"/>
      <w:bookmarkEnd w:id="268"/>
      <w:bookmarkEnd w:id="269"/>
      <w:bookmarkEnd w:id="270"/>
      <w:bookmarkEnd w:id="271"/>
    </w:p>
    <w:p>
      <w:pPr>
        <w:pStyle w:val="9"/>
        <w:bidi w:val="0"/>
        <w:rPr>
          <w:rFonts w:hint="default" w:ascii="Times New Roman" w:hAnsi="Times New Roman" w:eastAsia="宋体" w:cs="Times New Roman"/>
          <w:b/>
          <w:bCs/>
          <w:color w:val="auto"/>
          <w:kern w:val="2"/>
          <w:sz w:val="24"/>
          <w:szCs w:val="24"/>
          <w:highlight w:val="none"/>
          <w:u w:val="none"/>
          <w:lang w:val="en-US" w:eastAsia="zh-CN" w:bidi="ar-SA"/>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10.4</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r>
        <w:rPr>
          <w:rFonts w:hint="default" w:ascii="Times New Roman" w:hAnsi="Times New Roman" w:eastAsia="宋体" w:cs="Times New Roman"/>
          <w:b/>
          <w:bCs/>
          <w:color w:val="auto"/>
          <w:kern w:val="2"/>
          <w:sz w:val="24"/>
          <w:szCs w:val="24"/>
          <w:highlight w:val="none"/>
          <w:u w:val="none"/>
          <w:lang w:val="en-US" w:eastAsia="zh-CN" w:bidi="ar-SA"/>
        </w:rPr>
        <w:t xml:space="preserve">  </w:t>
      </w:r>
      <w:r>
        <w:rPr>
          <w:rFonts w:hint="eastAsia" w:cs="Times New Roman"/>
          <w:b/>
          <w:bCs/>
          <w:color w:val="auto"/>
          <w:kern w:val="2"/>
          <w:sz w:val="24"/>
          <w:szCs w:val="24"/>
          <w:highlight w:val="none"/>
          <w:u w:val="none"/>
          <w:lang w:val="en-US" w:eastAsia="zh-CN" w:bidi="ar-SA"/>
        </w:rPr>
        <w:t>改建</w:t>
      </w:r>
      <w:r>
        <w:rPr>
          <w:rFonts w:hint="eastAsia" w:eastAsia="宋体" w:cs="Times New Roman"/>
          <w:b/>
          <w:bCs/>
          <w:color w:val="auto"/>
          <w:kern w:val="2"/>
          <w:sz w:val="24"/>
          <w:szCs w:val="24"/>
          <w:highlight w:val="none"/>
          <w:u w:val="none"/>
          <w:lang w:val="en-US" w:eastAsia="zh-CN" w:bidi="ar-SA"/>
        </w:rPr>
        <w:t>工程</w:t>
      </w:r>
      <w:r>
        <w:rPr>
          <w:rFonts w:hint="default" w:ascii="Times New Roman" w:hAnsi="Times New Roman" w:eastAsia="宋体" w:cs="Times New Roman"/>
          <w:b/>
          <w:bCs/>
          <w:color w:val="auto"/>
          <w:kern w:val="2"/>
          <w:sz w:val="24"/>
          <w:szCs w:val="24"/>
          <w:highlight w:val="none"/>
          <w:u w:val="none"/>
          <w:lang w:val="en-US" w:eastAsia="zh-CN" w:bidi="ar-SA"/>
        </w:rPr>
        <w:t>“三同时”验收一览表</w:t>
      </w:r>
    </w:p>
    <w:tbl>
      <w:tblPr>
        <w:tblStyle w:val="15"/>
        <w:tblW w:w="50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25"/>
        <w:gridCol w:w="799"/>
        <w:gridCol w:w="1634"/>
        <w:gridCol w:w="607"/>
        <w:gridCol w:w="605"/>
        <w:gridCol w:w="1602"/>
        <w:gridCol w:w="710"/>
        <w:gridCol w:w="826"/>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7" w:type="pct"/>
            <w:gridSpan w:val="2"/>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产污环节</w:t>
            </w:r>
          </w:p>
        </w:tc>
        <w:tc>
          <w:tcPr>
            <w:tcW w:w="1259" w:type="pct"/>
            <w:gridSpan w:val="2"/>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污染物</w:t>
            </w:r>
          </w:p>
        </w:tc>
        <w:tc>
          <w:tcPr>
            <w:tcW w:w="2103" w:type="pct"/>
            <w:gridSpan w:val="4"/>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处理措施</w:t>
            </w:r>
          </w:p>
        </w:tc>
        <w:tc>
          <w:tcPr>
            <w:tcW w:w="949"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应执行的标准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vMerge w:val="restar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废气</w:t>
            </w:r>
          </w:p>
        </w:tc>
        <w:tc>
          <w:tcPr>
            <w:tcW w:w="448"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Theme="minorEastAsia"/>
                <w:color w:val="auto"/>
                <w:sz w:val="21"/>
                <w:szCs w:val="21"/>
                <w:highlight w:val="none"/>
                <w:u w:val="single"/>
                <w:lang w:val="en-US" w:eastAsia="zh-CN"/>
              </w:rPr>
              <w:t>危废焚烧废气</w:t>
            </w:r>
          </w:p>
        </w:tc>
        <w:tc>
          <w:tcPr>
            <w:tcW w:w="1259" w:type="pct"/>
            <w:gridSpan w:val="2"/>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颗粒物</w:t>
            </w:r>
            <w:r>
              <w:rPr>
                <w:rFonts w:hint="eastAsia" w:ascii="Times New Roman" w:hAnsi="Times New Roman" w:eastAsia="宋体" w:cs="Times New Roman"/>
                <w:color w:val="auto"/>
                <w:kern w:val="2"/>
                <w:sz w:val="21"/>
                <w:szCs w:val="21"/>
                <w:highlight w:val="none"/>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二氧化硫</w:t>
            </w:r>
            <w:r>
              <w:rPr>
                <w:rFonts w:hint="eastAsia" w:ascii="Times New Roman" w:hAnsi="Times New Roman" w:eastAsia="宋体" w:cs="Times New Roman"/>
                <w:color w:val="auto"/>
                <w:kern w:val="2"/>
                <w:sz w:val="21"/>
                <w:szCs w:val="21"/>
                <w:highlight w:val="none"/>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氮氧化物</w:t>
            </w:r>
            <w:r>
              <w:rPr>
                <w:rFonts w:hint="eastAsia" w:ascii="Times New Roman" w:hAnsi="Times New Roman" w:eastAsia="宋体" w:cs="Times New Roman"/>
                <w:color w:val="auto"/>
                <w:kern w:val="2"/>
                <w:sz w:val="21"/>
                <w:szCs w:val="21"/>
                <w:highlight w:val="none"/>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氟化氢</w:t>
            </w:r>
            <w:r>
              <w:rPr>
                <w:rFonts w:hint="eastAsia" w:ascii="Times New Roman" w:hAnsi="Times New Roman" w:eastAsia="宋体" w:cs="Times New Roman"/>
                <w:color w:val="auto"/>
                <w:kern w:val="2"/>
                <w:sz w:val="21"/>
                <w:szCs w:val="21"/>
                <w:highlight w:val="none"/>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氯化氢</w:t>
            </w:r>
            <w:r>
              <w:rPr>
                <w:rFonts w:hint="eastAsia" w:ascii="Times New Roman" w:hAnsi="Times New Roman" w:eastAsia="宋体" w:cs="Times New Roman"/>
                <w:color w:val="auto"/>
                <w:kern w:val="2"/>
                <w:sz w:val="21"/>
                <w:szCs w:val="21"/>
                <w:highlight w:val="none"/>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一氧化碳</w:t>
            </w:r>
            <w:r>
              <w:rPr>
                <w:rFonts w:hint="eastAsia" w:ascii="Times New Roman" w:hAnsi="Times New Roman" w:eastAsia="宋体" w:cs="Times New Roman"/>
                <w:color w:val="auto"/>
                <w:kern w:val="2"/>
                <w:sz w:val="21"/>
                <w:szCs w:val="21"/>
                <w:highlight w:val="none"/>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二噁英类</w:t>
            </w:r>
          </w:p>
        </w:tc>
        <w:tc>
          <w:tcPr>
            <w:tcW w:w="1639" w:type="pct"/>
            <w:gridSpan w:val="3"/>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s="Times New Roman"/>
                <w:color w:val="auto"/>
                <w:sz w:val="21"/>
                <w:szCs w:val="21"/>
                <w:highlight w:val="none"/>
                <w:u w:val="single"/>
                <w:lang w:val="en-US" w:eastAsia="zh-CN"/>
              </w:rPr>
              <w:t>“3T+E”</w:t>
            </w:r>
            <w:r>
              <w:rPr>
                <w:rFonts w:hint="eastAsia" w:ascii="Times New Roman" w:hAnsi="Times New Roman" w:cs="Times New Roman"/>
                <w:color w:val="auto"/>
                <w:sz w:val="21"/>
                <w:szCs w:val="21"/>
                <w:highlight w:val="none"/>
                <w:u w:val="single"/>
                <w:lang w:val="en-US" w:eastAsia="zh-CN"/>
              </w:rPr>
              <w:t>燃烧控制+SNCR脱销+急冷+干式吸收+两级碱喷淋（利旧）</w:t>
            </w:r>
          </w:p>
        </w:tc>
        <w:tc>
          <w:tcPr>
            <w:tcW w:w="464"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35</w:t>
            </w:r>
            <w:r>
              <w:rPr>
                <w:rFonts w:hint="default" w:ascii="Times New Roman" w:hAnsi="Times New Roman" w:eastAsia="宋体" w:cs="Times New Roman"/>
                <w:color w:val="auto"/>
                <w:kern w:val="2"/>
                <w:sz w:val="21"/>
                <w:szCs w:val="21"/>
                <w:highlight w:val="none"/>
                <w:u w:val="single"/>
                <w:lang w:val="en-US" w:eastAsia="zh-CN" w:bidi="ar-SA"/>
              </w:rPr>
              <w:t>m排气筒（</w:t>
            </w:r>
            <w:r>
              <w:rPr>
                <w:rFonts w:hint="eastAsia" w:ascii="Times New Roman" w:hAnsi="Times New Roman" w:eastAsia="宋体" w:cs="Times New Roman"/>
                <w:color w:val="auto"/>
                <w:kern w:val="2"/>
                <w:sz w:val="21"/>
                <w:szCs w:val="21"/>
                <w:highlight w:val="none"/>
                <w:u w:val="single"/>
                <w:lang w:val="en-US" w:eastAsia="zh-CN" w:bidi="ar-SA"/>
              </w:rPr>
              <w:t>DA004</w:t>
            </w:r>
            <w:r>
              <w:rPr>
                <w:rFonts w:hint="default" w:ascii="Times New Roman" w:hAnsi="Times New Roman" w:eastAsia="宋体" w:cs="Times New Roman"/>
                <w:color w:val="auto"/>
                <w:kern w:val="2"/>
                <w:sz w:val="21"/>
                <w:szCs w:val="21"/>
                <w:highlight w:val="none"/>
                <w:u w:val="single"/>
                <w:lang w:val="en-US" w:eastAsia="zh-CN" w:bidi="ar-SA"/>
              </w:rPr>
              <w:t>）</w:t>
            </w:r>
          </w:p>
        </w:tc>
        <w:tc>
          <w:tcPr>
            <w:tcW w:w="949"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
                <w:color w:val="auto"/>
                <w:kern w:val="2"/>
                <w:sz w:val="21"/>
                <w:szCs w:val="21"/>
                <w:highlight w:val="none"/>
                <w:u w:val="none"/>
                <w:lang w:val="en-US" w:eastAsia="zh-CN" w:bidi="ar-SA"/>
              </w:rPr>
              <w:t>《危险废物焚烧污染控制标准》（GB 18484—2020）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vMerge w:val="continue"/>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lang w:val="en-US" w:eastAsia="zh-CN" w:bidi="ar-SA"/>
              </w:rPr>
            </w:pPr>
          </w:p>
        </w:tc>
        <w:tc>
          <w:tcPr>
            <w:tcW w:w="448"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包装废气</w:t>
            </w:r>
          </w:p>
        </w:tc>
        <w:tc>
          <w:tcPr>
            <w:tcW w:w="1259" w:type="pct"/>
            <w:gridSpan w:val="2"/>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颗粒物</w:t>
            </w:r>
          </w:p>
        </w:tc>
        <w:tc>
          <w:tcPr>
            <w:tcW w:w="1639" w:type="pct"/>
            <w:gridSpan w:val="3"/>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袋式除尘器（新建）</w:t>
            </w:r>
          </w:p>
        </w:tc>
        <w:tc>
          <w:tcPr>
            <w:tcW w:w="464" w:type="pct"/>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15</w:t>
            </w:r>
            <w:r>
              <w:rPr>
                <w:rFonts w:hint="default" w:ascii="Times New Roman" w:hAnsi="Times New Roman" w:eastAsia="宋体" w:cs="Times New Roman"/>
                <w:color w:val="auto"/>
                <w:kern w:val="2"/>
                <w:sz w:val="21"/>
                <w:szCs w:val="21"/>
                <w:highlight w:val="none"/>
                <w:u w:val="single"/>
                <w:lang w:val="en-US" w:eastAsia="zh-CN" w:bidi="ar-SA"/>
              </w:rPr>
              <w:t>m排气筒（</w:t>
            </w:r>
            <w:r>
              <w:rPr>
                <w:rFonts w:hint="eastAsia" w:ascii="Times New Roman" w:hAnsi="Times New Roman" w:eastAsia="宋体" w:cs="Times New Roman"/>
                <w:color w:val="auto"/>
                <w:kern w:val="2"/>
                <w:sz w:val="21"/>
                <w:szCs w:val="21"/>
                <w:highlight w:val="none"/>
                <w:u w:val="single"/>
                <w:lang w:val="en-US" w:eastAsia="zh-CN" w:bidi="ar-SA"/>
              </w:rPr>
              <w:t>DA006</w:t>
            </w:r>
            <w:r>
              <w:rPr>
                <w:rFonts w:hint="default" w:ascii="Times New Roman" w:hAnsi="Times New Roman" w:eastAsia="宋体" w:cs="Times New Roman"/>
                <w:color w:val="auto"/>
                <w:kern w:val="2"/>
                <w:sz w:val="21"/>
                <w:szCs w:val="21"/>
                <w:highlight w:val="none"/>
                <w:u w:val="single"/>
                <w:lang w:val="en-US" w:eastAsia="zh-CN" w:bidi="ar-SA"/>
              </w:rPr>
              <w:t>）</w:t>
            </w:r>
          </w:p>
        </w:tc>
        <w:tc>
          <w:tcPr>
            <w:tcW w:w="949" w:type="pct"/>
            <w:vMerge w:val="restar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
                <w:color w:val="auto"/>
                <w:kern w:val="2"/>
                <w:sz w:val="21"/>
                <w:szCs w:val="21"/>
                <w:highlight w:val="none"/>
                <w:u w:val="none"/>
                <w:lang w:val="en-US" w:eastAsia="zh-CN" w:bidi="ar-SA"/>
              </w:rPr>
              <w:t>《制药工业大气污染物排放标准》（GB37823-2019）、《关于全省开展工业企业挥发性有机物专项治理工作中排放建议值的通知》（豫环攻坚办[2017]162号）、《恶臭污染物排放标准》（GB14554-1993）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448"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1车间</w:t>
            </w:r>
          </w:p>
        </w:tc>
        <w:tc>
          <w:tcPr>
            <w:tcW w:w="1259" w:type="pct"/>
            <w:gridSpan w:val="2"/>
            <w:vMerge w:val="restar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olor w:val="auto"/>
                <w:sz w:val="21"/>
                <w:szCs w:val="21"/>
                <w:highlight w:val="none"/>
                <w:u w:val="single"/>
                <w:lang w:val="en-US" w:eastAsia="zh-CN"/>
              </w:rPr>
              <w:t>NMHC</w:t>
            </w:r>
            <w:r>
              <w:rPr>
                <w:rFonts w:hint="eastAsia" w:ascii="Times New Roman" w:hAnsi="Times New Roman" w:eastAsiaTheme="minorEastAsia"/>
                <w:color w:val="auto"/>
                <w:sz w:val="21"/>
                <w:szCs w:val="21"/>
                <w:highlight w:val="none"/>
                <w:u w:val="single"/>
                <w:lang w:val="en-US" w:eastAsia="zh-CN"/>
              </w:rPr>
              <w:t>、甲苯、丙酮、甲醇、颗粒物、氯化氢等</w:t>
            </w:r>
          </w:p>
        </w:tc>
        <w:tc>
          <w:tcPr>
            <w:tcW w:w="339" w:type="pct"/>
            <w:vMerge w:val="restar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eastAsia="宋体" w:cs="Times New Roman"/>
                <w:color w:val="auto"/>
                <w:kern w:val="2"/>
                <w:sz w:val="21"/>
                <w:szCs w:val="21"/>
                <w:highlight w:val="none"/>
                <w:u w:val="single"/>
                <w:lang w:val="en-US" w:eastAsia="zh-CN" w:bidi="ar-SA"/>
              </w:rPr>
              <w:t>涉</w:t>
            </w:r>
            <w:r>
              <w:rPr>
                <w:rFonts w:hint="eastAsia" w:ascii="Times New Roman" w:hAnsi="Times New Roman" w:eastAsia="宋体" w:cs="Times New Roman"/>
                <w:color w:val="auto"/>
                <w:kern w:val="2"/>
                <w:sz w:val="21"/>
                <w:szCs w:val="21"/>
                <w:highlight w:val="none"/>
                <w:u w:val="single"/>
                <w:lang w:val="en-US" w:eastAsia="zh-CN" w:bidi="ar-SA"/>
              </w:rPr>
              <w:t>溶剂的</w:t>
            </w:r>
            <w:r>
              <w:rPr>
                <w:rFonts w:hint="eastAsia" w:eastAsia="宋体" w:cs="Times New Roman"/>
                <w:color w:val="auto"/>
                <w:kern w:val="2"/>
                <w:sz w:val="21"/>
                <w:szCs w:val="21"/>
                <w:highlight w:val="none"/>
                <w:u w:val="single"/>
                <w:lang w:val="en-US" w:eastAsia="zh-CN" w:bidi="ar-SA"/>
              </w:rPr>
              <w:t>带温</w:t>
            </w:r>
            <w:r>
              <w:rPr>
                <w:rFonts w:hint="eastAsia" w:ascii="Times New Roman" w:hAnsi="Times New Roman" w:eastAsia="宋体" w:cs="Times New Roman"/>
                <w:color w:val="auto"/>
                <w:kern w:val="2"/>
                <w:sz w:val="21"/>
                <w:szCs w:val="21"/>
                <w:highlight w:val="none"/>
                <w:u w:val="single"/>
                <w:lang w:val="en-US" w:eastAsia="zh-CN" w:bidi="ar-SA"/>
              </w:rPr>
              <w:t>生产过程采用两级深度冷凝回收溶剂，不凝气与离心废气、干燥废气等</w:t>
            </w:r>
            <w:r>
              <w:rPr>
                <w:rFonts w:hint="eastAsia" w:eastAsia="宋体" w:cs="Times New Roman"/>
                <w:color w:val="auto"/>
                <w:kern w:val="2"/>
                <w:sz w:val="21"/>
                <w:szCs w:val="21"/>
                <w:highlight w:val="none"/>
                <w:u w:val="single"/>
                <w:lang w:val="en-US" w:eastAsia="zh-CN" w:bidi="ar-SA"/>
              </w:rPr>
              <w:t>进入预处理系统</w:t>
            </w:r>
          </w:p>
        </w:tc>
        <w:tc>
          <w:tcPr>
            <w:tcW w:w="900" w:type="pct"/>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single"/>
                <w:vertAlign w:val="baseline"/>
                <w:lang w:val="en-US" w:eastAsia="zh-CN"/>
              </w:rPr>
            </w:pPr>
            <w:r>
              <w:rPr>
                <w:rFonts w:hint="default" w:ascii="Times New Roman" w:hAnsi="Times New Roman" w:cs="Times New Roman"/>
                <w:color w:val="auto"/>
                <w:sz w:val="21"/>
                <w:szCs w:val="21"/>
                <w:highlight w:val="none"/>
                <w:u w:val="single"/>
                <w:vertAlign w:val="baseline"/>
                <w:lang w:val="en-US" w:eastAsia="zh-CN"/>
              </w:rPr>
              <w:t>二级碱洗</w:t>
            </w:r>
            <w:r>
              <w:rPr>
                <w:rFonts w:hint="eastAsia" w:ascii="Times New Roman" w:hAnsi="Times New Roman" w:cs="Times New Roman"/>
                <w:color w:val="auto"/>
                <w:sz w:val="21"/>
                <w:szCs w:val="21"/>
                <w:highlight w:val="none"/>
                <w:u w:val="single"/>
                <w:vertAlign w:val="baseline"/>
                <w:lang w:val="en-US" w:eastAsia="zh-CN"/>
              </w:rPr>
              <w:t>（新建）</w:t>
            </w:r>
          </w:p>
        </w:tc>
        <w:tc>
          <w:tcPr>
            <w:tcW w:w="398" w:type="pct"/>
            <w:vMerge w:val="restart"/>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single"/>
                <w:vertAlign w:val="baseline"/>
                <w:lang w:val="en-US" w:eastAsia="zh-CN"/>
              </w:rPr>
            </w:pPr>
            <w:r>
              <w:rPr>
                <w:rFonts w:hint="eastAsia" w:ascii="Times New Roman" w:hAnsi="Times New Roman" w:cs="Times New Roman"/>
                <w:color w:val="auto"/>
                <w:sz w:val="21"/>
                <w:szCs w:val="21"/>
                <w:highlight w:val="none"/>
                <w:u w:val="single"/>
                <w:vertAlign w:val="baseline"/>
                <w:lang w:val="en-US" w:eastAsia="zh-CN"/>
              </w:rPr>
              <w:t>新建RTO（过滤箱+蓄热氧化焚烧+急冷+两级碱洗）</w:t>
            </w:r>
          </w:p>
        </w:tc>
        <w:tc>
          <w:tcPr>
            <w:tcW w:w="464" w:type="pct"/>
            <w:vMerge w:val="restar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35</w:t>
            </w:r>
            <w:r>
              <w:rPr>
                <w:rFonts w:hint="default" w:ascii="Times New Roman" w:hAnsi="Times New Roman" w:eastAsia="宋体" w:cs="Times New Roman"/>
                <w:color w:val="auto"/>
                <w:kern w:val="2"/>
                <w:sz w:val="21"/>
                <w:szCs w:val="21"/>
                <w:highlight w:val="none"/>
                <w:u w:val="single"/>
                <w:lang w:val="en-US" w:eastAsia="zh-CN" w:bidi="ar-SA"/>
              </w:rPr>
              <w:t>m排气筒（</w:t>
            </w:r>
            <w:r>
              <w:rPr>
                <w:rFonts w:hint="eastAsia" w:ascii="Times New Roman" w:hAnsi="Times New Roman" w:eastAsia="宋体" w:cs="Times New Roman"/>
                <w:color w:val="auto"/>
                <w:kern w:val="2"/>
                <w:sz w:val="21"/>
                <w:szCs w:val="21"/>
                <w:highlight w:val="none"/>
                <w:u w:val="single"/>
                <w:lang w:val="en-US" w:eastAsia="zh-CN" w:bidi="ar-SA"/>
              </w:rPr>
              <w:t>DA005</w:t>
            </w:r>
            <w:r>
              <w:rPr>
                <w:rFonts w:hint="default" w:ascii="Times New Roman" w:hAnsi="Times New Roman" w:eastAsia="宋体" w:cs="Times New Roman"/>
                <w:color w:val="auto"/>
                <w:kern w:val="2"/>
                <w:sz w:val="21"/>
                <w:szCs w:val="21"/>
                <w:highlight w:val="none"/>
                <w:u w:val="single"/>
                <w:lang w:val="en-US" w:eastAsia="zh-CN" w:bidi="ar-SA"/>
              </w:rPr>
              <w:t>）</w:t>
            </w:r>
          </w:p>
        </w:tc>
        <w:tc>
          <w:tcPr>
            <w:tcW w:w="94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448" w:type="pct"/>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2车间</w:t>
            </w:r>
          </w:p>
        </w:tc>
        <w:tc>
          <w:tcPr>
            <w:tcW w:w="1259" w:type="pct"/>
            <w:gridSpan w:val="2"/>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339"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900" w:type="pct"/>
            <w:noWrap w:val="0"/>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w:t>
            </w:r>
          </w:p>
        </w:tc>
        <w:tc>
          <w:tcPr>
            <w:tcW w:w="398"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single"/>
                <w:vertAlign w:val="baseline"/>
                <w:lang w:val="en-US" w:eastAsia="zh-CN"/>
              </w:rPr>
            </w:pPr>
          </w:p>
        </w:tc>
        <w:tc>
          <w:tcPr>
            <w:tcW w:w="46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94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448" w:type="pct"/>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3车间</w:t>
            </w:r>
          </w:p>
        </w:tc>
        <w:tc>
          <w:tcPr>
            <w:tcW w:w="1259" w:type="pct"/>
            <w:gridSpan w:val="2"/>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339"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900" w:type="pct"/>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single"/>
                <w:vertAlign w:val="baseline"/>
                <w:lang w:val="en-US" w:eastAsia="zh-CN"/>
              </w:rPr>
            </w:pPr>
            <w:r>
              <w:rPr>
                <w:rFonts w:hint="default" w:ascii="Times New Roman" w:hAnsi="Times New Roman" w:cs="Times New Roman"/>
                <w:color w:val="auto"/>
                <w:sz w:val="21"/>
                <w:szCs w:val="21"/>
                <w:highlight w:val="none"/>
                <w:u w:val="single"/>
                <w:vertAlign w:val="baseline"/>
                <w:lang w:val="en-US" w:eastAsia="zh-CN"/>
              </w:rPr>
              <w:t>二级碱洗</w:t>
            </w:r>
            <w:r>
              <w:rPr>
                <w:rFonts w:hint="eastAsia" w:ascii="Times New Roman" w:hAnsi="Times New Roman" w:cs="Times New Roman"/>
                <w:color w:val="auto"/>
                <w:sz w:val="21"/>
                <w:szCs w:val="21"/>
                <w:highlight w:val="none"/>
                <w:u w:val="single"/>
                <w:vertAlign w:val="baseline"/>
                <w:lang w:val="en-US" w:eastAsia="zh-CN"/>
              </w:rPr>
              <w:t>（利旧）</w:t>
            </w:r>
          </w:p>
        </w:tc>
        <w:tc>
          <w:tcPr>
            <w:tcW w:w="398"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single"/>
                <w:vertAlign w:val="baseline"/>
                <w:lang w:val="en-US" w:eastAsia="zh-CN"/>
              </w:rPr>
            </w:pPr>
          </w:p>
        </w:tc>
        <w:tc>
          <w:tcPr>
            <w:tcW w:w="46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94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448" w:type="pct"/>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5车间</w:t>
            </w:r>
          </w:p>
        </w:tc>
        <w:tc>
          <w:tcPr>
            <w:tcW w:w="1259" w:type="pct"/>
            <w:gridSpan w:val="2"/>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339"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900" w:type="pct"/>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single"/>
                <w:vertAlign w:val="baseline"/>
                <w:lang w:val="en-US" w:eastAsia="zh-CN"/>
              </w:rPr>
            </w:pPr>
            <w:r>
              <w:rPr>
                <w:rFonts w:hint="default" w:ascii="Times New Roman" w:hAnsi="Times New Roman" w:cs="Times New Roman"/>
                <w:color w:val="auto"/>
                <w:sz w:val="21"/>
                <w:szCs w:val="21"/>
                <w:highlight w:val="none"/>
                <w:u w:val="single"/>
                <w:vertAlign w:val="baseline"/>
                <w:lang w:val="en-US" w:eastAsia="zh-CN"/>
              </w:rPr>
              <w:t>降膜吸收+二级碱洗</w:t>
            </w:r>
            <w:r>
              <w:rPr>
                <w:rFonts w:hint="eastAsia" w:ascii="Times New Roman" w:hAnsi="Times New Roman" w:cs="Times New Roman"/>
                <w:color w:val="auto"/>
                <w:sz w:val="21"/>
                <w:szCs w:val="21"/>
                <w:highlight w:val="none"/>
                <w:u w:val="single"/>
                <w:vertAlign w:val="baseline"/>
                <w:lang w:val="en-US" w:eastAsia="zh-CN"/>
              </w:rPr>
              <w:t>（利旧）</w:t>
            </w:r>
          </w:p>
        </w:tc>
        <w:tc>
          <w:tcPr>
            <w:tcW w:w="398"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single"/>
                <w:vertAlign w:val="baseline"/>
                <w:lang w:val="en-US" w:eastAsia="zh-CN"/>
              </w:rPr>
            </w:pPr>
          </w:p>
        </w:tc>
        <w:tc>
          <w:tcPr>
            <w:tcW w:w="46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94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448" w:type="pct"/>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7车间</w:t>
            </w:r>
          </w:p>
        </w:tc>
        <w:tc>
          <w:tcPr>
            <w:tcW w:w="1259" w:type="pct"/>
            <w:gridSpan w:val="2"/>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339"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900" w:type="pct"/>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single"/>
                <w:vertAlign w:val="baseline"/>
                <w:lang w:val="en-US" w:eastAsia="zh-CN"/>
              </w:rPr>
            </w:pPr>
            <w:r>
              <w:rPr>
                <w:rFonts w:hint="default" w:ascii="Times New Roman" w:hAnsi="Times New Roman" w:cs="Times New Roman"/>
                <w:color w:val="auto"/>
                <w:sz w:val="21"/>
                <w:szCs w:val="21"/>
                <w:highlight w:val="none"/>
                <w:u w:val="single"/>
                <w:vertAlign w:val="baseline"/>
                <w:lang w:val="en-US" w:eastAsia="zh-CN"/>
              </w:rPr>
              <w:t>降膜吸收+二级碱洗</w:t>
            </w:r>
            <w:r>
              <w:rPr>
                <w:rFonts w:hint="eastAsia" w:ascii="Times New Roman" w:hAnsi="Times New Roman" w:cs="Times New Roman"/>
                <w:color w:val="auto"/>
                <w:sz w:val="21"/>
                <w:szCs w:val="21"/>
                <w:highlight w:val="none"/>
                <w:u w:val="single"/>
                <w:vertAlign w:val="baseline"/>
                <w:lang w:val="en-US" w:eastAsia="zh-CN"/>
              </w:rPr>
              <w:t>（利旧）</w:t>
            </w:r>
          </w:p>
        </w:tc>
        <w:tc>
          <w:tcPr>
            <w:tcW w:w="398"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single"/>
                <w:vertAlign w:val="baseline"/>
                <w:lang w:val="en-US" w:eastAsia="zh-CN"/>
              </w:rPr>
            </w:pPr>
          </w:p>
        </w:tc>
        <w:tc>
          <w:tcPr>
            <w:tcW w:w="46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94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448" w:type="pct"/>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9车间</w:t>
            </w:r>
          </w:p>
        </w:tc>
        <w:tc>
          <w:tcPr>
            <w:tcW w:w="1259" w:type="pct"/>
            <w:gridSpan w:val="2"/>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339"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900" w:type="pct"/>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single"/>
                <w:vertAlign w:val="baseline"/>
                <w:lang w:val="en-US" w:eastAsia="zh-CN"/>
              </w:rPr>
            </w:pPr>
            <w:r>
              <w:rPr>
                <w:rFonts w:hint="default" w:ascii="Times New Roman" w:hAnsi="Times New Roman" w:cs="Times New Roman"/>
                <w:color w:val="auto"/>
                <w:sz w:val="21"/>
                <w:szCs w:val="21"/>
                <w:highlight w:val="none"/>
                <w:u w:val="single"/>
                <w:vertAlign w:val="baseline"/>
                <w:lang w:val="en-US" w:eastAsia="zh-CN"/>
              </w:rPr>
              <w:t>降膜吸收+二级碱洗</w:t>
            </w:r>
            <w:r>
              <w:rPr>
                <w:rFonts w:hint="eastAsia" w:ascii="Times New Roman" w:hAnsi="Times New Roman" w:cs="Times New Roman"/>
                <w:color w:val="auto"/>
                <w:sz w:val="21"/>
                <w:szCs w:val="21"/>
                <w:highlight w:val="none"/>
                <w:u w:val="single"/>
                <w:vertAlign w:val="baseline"/>
                <w:lang w:val="en-US" w:eastAsia="zh-CN"/>
              </w:rPr>
              <w:t>（新建）</w:t>
            </w:r>
          </w:p>
        </w:tc>
        <w:tc>
          <w:tcPr>
            <w:tcW w:w="398"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single"/>
                <w:vertAlign w:val="baseline"/>
                <w:lang w:val="en-US" w:eastAsia="zh-CN"/>
              </w:rPr>
            </w:pPr>
          </w:p>
        </w:tc>
        <w:tc>
          <w:tcPr>
            <w:tcW w:w="46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94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448" w:type="pct"/>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10车间</w:t>
            </w:r>
          </w:p>
        </w:tc>
        <w:tc>
          <w:tcPr>
            <w:tcW w:w="1259" w:type="pct"/>
            <w:gridSpan w:val="2"/>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339"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900" w:type="pct"/>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single"/>
                <w:vertAlign w:val="baseline"/>
                <w:lang w:val="en-US" w:eastAsia="zh-CN"/>
              </w:rPr>
            </w:pPr>
            <w:r>
              <w:rPr>
                <w:rFonts w:hint="default" w:ascii="Times New Roman" w:hAnsi="Times New Roman" w:cs="Times New Roman"/>
                <w:color w:val="auto"/>
                <w:sz w:val="21"/>
                <w:szCs w:val="21"/>
                <w:highlight w:val="none"/>
                <w:u w:val="single"/>
                <w:vertAlign w:val="baseline"/>
                <w:lang w:val="en-US" w:eastAsia="zh-CN"/>
              </w:rPr>
              <w:t>降膜吸收+二级碱洗</w:t>
            </w:r>
            <w:r>
              <w:rPr>
                <w:rFonts w:hint="eastAsia" w:ascii="Times New Roman" w:hAnsi="Times New Roman" w:cs="Times New Roman"/>
                <w:color w:val="auto"/>
                <w:sz w:val="21"/>
                <w:szCs w:val="21"/>
                <w:highlight w:val="none"/>
                <w:u w:val="single"/>
                <w:vertAlign w:val="baseline"/>
                <w:lang w:val="en-US" w:eastAsia="zh-CN"/>
              </w:rPr>
              <w:t>（新建）</w:t>
            </w:r>
          </w:p>
        </w:tc>
        <w:tc>
          <w:tcPr>
            <w:tcW w:w="398"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 w:val="21"/>
                <w:szCs w:val="21"/>
                <w:highlight w:val="none"/>
                <w:u w:val="single"/>
                <w:vertAlign w:val="baseline"/>
                <w:lang w:val="en-US" w:eastAsia="zh-CN"/>
              </w:rPr>
            </w:pPr>
          </w:p>
        </w:tc>
        <w:tc>
          <w:tcPr>
            <w:tcW w:w="46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94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448" w:type="pct"/>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olor w:val="auto"/>
                <w:sz w:val="21"/>
                <w:szCs w:val="21"/>
                <w:highlight w:val="none"/>
                <w:u w:val="single"/>
                <w:lang w:val="en-US" w:eastAsia="zh-CN"/>
              </w:rPr>
              <w:t>MVR</w:t>
            </w:r>
          </w:p>
        </w:tc>
        <w:tc>
          <w:tcPr>
            <w:tcW w:w="1259" w:type="pct"/>
            <w:gridSpan w:val="2"/>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olor w:val="auto"/>
                <w:sz w:val="21"/>
                <w:szCs w:val="21"/>
                <w:highlight w:val="none"/>
                <w:u w:val="single"/>
                <w:lang w:val="en-US" w:eastAsia="zh-CN"/>
              </w:rPr>
              <w:t>NMHC</w:t>
            </w:r>
            <w:r>
              <w:rPr>
                <w:rFonts w:hint="eastAsia" w:ascii="Times New Roman" w:hAnsi="Times New Roman" w:eastAsiaTheme="minorEastAsia"/>
                <w:color w:val="auto"/>
                <w:sz w:val="21"/>
                <w:szCs w:val="21"/>
                <w:highlight w:val="none"/>
                <w:u w:val="single"/>
                <w:lang w:val="en-US" w:eastAsia="zh-CN"/>
              </w:rPr>
              <w:t>、丙酮、甲醇等</w:t>
            </w:r>
          </w:p>
        </w:tc>
        <w:tc>
          <w:tcPr>
            <w:tcW w:w="1240" w:type="pct"/>
            <w:gridSpan w:val="2"/>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w:t>
            </w:r>
          </w:p>
        </w:tc>
        <w:tc>
          <w:tcPr>
            <w:tcW w:w="398" w:type="pct"/>
            <w:vMerge w:val="continue"/>
            <w:noWrap w:val="0"/>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u w:val="single"/>
                <w:lang w:val="en-US" w:eastAsia="zh-CN" w:bidi="ar-SA"/>
              </w:rPr>
            </w:pPr>
          </w:p>
        </w:tc>
        <w:tc>
          <w:tcPr>
            <w:tcW w:w="46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94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448"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color w:val="auto"/>
                <w:sz w:val="21"/>
                <w:szCs w:val="21"/>
                <w:highlight w:val="none"/>
                <w:u w:val="single"/>
                <w:lang w:val="en-US" w:eastAsia="zh-CN"/>
              </w:rPr>
            </w:pPr>
            <w:r>
              <w:rPr>
                <w:rFonts w:hint="eastAsia" w:ascii="Times New Roman" w:hAnsi="Times New Roman" w:eastAsiaTheme="minorEastAsia"/>
                <w:color w:val="auto"/>
                <w:sz w:val="21"/>
                <w:szCs w:val="21"/>
                <w:highlight w:val="none"/>
                <w:u w:val="single"/>
                <w:lang w:val="en-US" w:eastAsia="zh-CN"/>
              </w:rPr>
              <w:t>污水站</w:t>
            </w:r>
          </w:p>
        </w:tc>
        <w:tc>
          <w:tcPr>
            <w:tcW w:w="1259" w:type="pct"/>
            <w:gridSpan w:val="2"/>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臭气浓度、</w:t>
            </w:r>
            <w:r>
              <w:rPr>
                <w:rFonts w:hint="default" w:ascii="Times New Roman" w:hAnsi="Times New Roman"/>
                <w:color w:val="auto"/>
                <w:sz w:val="21"/>
                <w:szCs w:val="21"/>
                <w:highlight w:val="none"/>
                <w:u w:val="single"/>
                <w:lang w:val="en-US" w:eastAsia="zh-CN"/>
              </w:rPr>
              <w:t>NMHC</w:t>
            </w:r>
            <w:r>
              <w:rPr>
                <w:rFonts w:hint="eastAsia" w:ascii="Times New Roman" w:hAnsi="Times New Roman" w:eastAsiaTheme="minorEastAsia"/>
                <w:color w:val="auto"/>
                <w:sz w:val="21"/>
                <w:szCs w:val="21"/>
                <w:highlight w:val="none"/>
                <w:u w:val="single"/>
                <w:lang w:val="en-US" w:eastAsia="zh-CN"/>
              </w:rPr>
              <w:t>、氨、硫化氢</w:t>
            </w:r>
          </w:p>
        </w:tc>
        <w:tc>
          <w:tcPr>
            <w:tcW w:w="1240" w:type="pct"/>
            <w:gridSpan w:val="2"/>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碱喷淋（利旧）</w:t>
            </w:r>
          </w:p>
        </w:tc>
        <w:tc>
          <w:tcPr>
            <w:tcW w:w="398" w:type="pct"/>
            <w:vMerge w:val="continue"/>
            <w:noWrap w:val="0"/>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u w:val="single"/>
                <w:lang w:val="en-US" w:eastAsia="zh-CN" w:bidi="ar-SA"/>
              </w:rPr>
            </w:pPr>
          </w:p>
        </w:tc>
        <w:tc>
          <w:tcPr>
            <w:tcW w:w="46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94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448"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color w:val="auto"/>
                <w:sz w:val="21"/>
                <w:szCs w:val="21"/>
                <w:highlight w:val="none"/>
                <w:u w:val="single"/>
                <w:lang w:val="en-US" w:eastAsia="zh-CN"/>
              </w:rPr>
            </w:pPr>
            <w:r>
              <w:rPr>
                <w:rFonts w:hint="eastAsia" w:ascii="Times New Roman" w:hAnsi="Times New Roman" w:eastAsiaTheme="minorEastAsia"/>
                <w:color w:val="auto"/>
                <w:sz w:val="21"/>
                <w:szCs w:val="21"/>
                <w:highlight w:val="none"/>
                <w:u w:val="single"/>
                <w:lang w:val="en-US" w:eastAsia="zh-CN"/>
              </w:rPr>
              <w:t>危废间</w:t>
            </w:r>
            <w:r>
              <w:rPr>
                <w:rFonts w:hint="eastAsia" w:ascii="Times New Roman" w:hAnsi="Times New Roman"/>
                <w:color w:val="auto"/>
                <w:sz w:val="21"/>
                <w:szCs w:val="21"/>
                <w:highlight w:val="none"/>
                <w:u w:val="single"/>
                <w:lang w:val="en-US" w:eastAsia="zh-CN"/>
              </w:rPr>
              <w:t>、原料库1</w:t>
            </w:r>
            <w:r>
              <w:rPr>
                <w:rFonts w:hint="eastAsia" w:ascii="Times New Roman" w:hAnsi="Times New Roman" w:eastAsiaTheme="minorEastAsia"/>
                <w:color w:val="auto"/>
                <w:sz w:val="21"/>
                <w:szCs w:val="21"/>
                <w:highlight w:val="none"/>
                <w:u w:val="single"/>
                <w:lang w:val="en-US" w:eastAsia="zh-CN"/>
              </w:rPr>
              <w:t>及化验室</w:t>
            </w:r>
          </w:p>
        </w:tc>
        <w:tc>
          <w:tcPr>
            <w:tcW w:w="1259" w:type="pct"/>
            <w:gridSpan w:val="2"/>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olor w:val="auto"/>
                <w:sz w:val="21"/>
                <w:szCs w:val="21"/>
                <w:highlight w:val="none"/>
                <w:u w:val="single"/>
                <w:lang w:val="en-US" w:eastAsia="zh-CN"/>
              </w:rPr>
              <w:t>NMHC</w:t>
            </w:r>
          </w:p>
        </w:tc>
        <w:tc>
          <w:tcPr>
            <w:tcW w:w="1240" w:type="pct"/>
            <w:gridSpan w:val="2"/>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w:t>
            </w:r>
          </w:p>
        </w:tc>
        <w:tc>
          <w:tcPr>
            <w:tcW w:w="398" w:type="pct"/>
            <w:vMerge w:val="continue"/>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lang w:val="en-US" w:eastAsia="zh-CN" w:bidi="ar-SA"/>
              </w:rPr>
            </w:pPr>
          </w:p>
        </w:tc>
        <w:tc>
          <w:tcPr>
            <w:tcW w:w="46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94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448"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Theme="minorEastAsia"/>
                <w:color w:val="auto"/>
                <w:sz w:val="21"/>
                <w:szCs w:val="21"/>
                <w:highlight w:val="none"/>
                <w:u w:val="single"/>
                <w:lang w:val="en-US" w:eastAsia="zh-CN"/>
              </w:rPr>
              <w:t>精馏废气</w:t>
            </w:r>
          </w:p>
        </w:tc>
        <w:tc>
          <w:tcPr>
            <w:tcW w:w="1259" w:type="pct"/>
            <w:gridSpan w:val="2"/>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olor w:val="auto"/>
                <w:sz w:val="21"/>
                <w:szCs w:val="21"/>
                <w:highlight w:val="none"/>
                <w:u w:val="single"/>
                <w:lang w:val="en-US" w:eastAsia="zh-CN"/>
              </w:rPr>
              <w:t>NMHC</w:t>
            </w:r>
            <w:r>
              <w:rPr>
                <w:rFonts w:hint="eastAsia" w:ascii="Times New Roman" w:hAnsi="Times New Roman" w:eastAsiaTheme="minorEastAsia"/>
                <w:color w:val="auto"/>
                <w:sz w:val="21"/>
                <w:szCs w:val="21"/>
                <w:highlight w:val="none"/>
                <w:u w:val="single"/>
                <w:lang w:val="en-US" w:eastAsia="zh-CN"/>
              </w:rPr>
              <w:t>、甲醇等</w:t>
            </w:r>
          </w:p>
        </w:tc>
        <w:tc>
          <w:tcPr>
            <w:tcW w:w="1240" w:type="pct"/>
            <w:gridSpan w:val="2"/>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w:t>
            </w:r>
          </w:p>
        </w:tc>
        <w:tc>
          <w:tcPr>
            <w:tcW w:w="398" w:type="pct"/>
            <w:vMerge w:val="continue"/>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lang w:val="en-US" w:eastAsia="zh-CN" w:bidi="ar-SA"/>
              </w:rPr>
            </w:pPr>
          </w:p>
        </w:tc>
        <w:tc>
          <w:tcPr>
            <w:tcW w:w="46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94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448"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食堂</w:t>
            </w:r>
          </w:p>
        </w:tc>
        <w:tc>
          <w:tcPr>
            <w:tcW w:w="1259" w:type="pct"/>
            <w:gridSpan w:val="2"/>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食堂油烟</w:t>
            </w:r>
          </w:p>
        </w:tc>
        <w:tc>
          <w:tcPr>
            <w:tcW w:w="1639" w:type="pct"/>
            <w:gridSpan w:val="3"/>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复合式油烟净化器</w:t>
            </w:r>
          </w:p>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（新建）</w:t>
            </w:r>
          </w:p>
        </w:tc>
        <w:tc>
          <w:tcPr>
            <w:tcW w:w="464"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专用烟道</w:t>
            </w:r>
            <w:r>
              <w:rPr>
                <w:rFonts w:hint="default" w:ascii="Times New Roman" w:hAnsi="Times New Roman" w:eastAsia="宋体" w:cs="Times New Roman"/>
                <w:color w:val="auto"/>
                <w:kern w:val="2"/>
                <w:sz w:val="21"/>
                <w:szCs w:val="21"/>
                <w:highlight w:val="none"/>
                <w:u w:val="single"/>
                <w:lang w:val="en-US" w:eastAsia="zh-CN" w:bidi="ar-SA"/>
              </w:rPr>
              <w:t>（DA00</w:t>
            </w:r>
            <w:r>
              <w:rPr>
                <w:rFonts w:hint="eastAsia" w:ascii="Times New Roman" w:hAnsi="Times New Roman" w:eastAsia="宋体" w:cs="Times New Roman"/>
                <w:color w:val="auto"/>
                <w:kern w:val="2"/>
                <w:sz w:val="21"/>
                <w:szCs w:val="21"/>
                <w:highlight w:val="none"/>
                <w:u w:val="single"/>
                <w:lang w:val="en-US" w:eastAsia="zh-CN" w:bidi="ar-SA"/>
              </w:rPr>
              <w:t>7</w:t>
            </w:r>
            <w:r>
              <w:rPr>
                <w:rFonts w:hint="default" w:ascii="Times New Roman" w:hAnsi="Times New Roman" w:eastAsia="宋体" w:cs="Times New Roman"/>
                <w:color w:val="auto"/>
                <w:kern w:val="2"/>
                <w:sz w:val="21"/>
                <w:szCs w:val="21"/>
                <w:highlight w:val="none"/>
                <w:u w:val="single"/>
                <w:lang w:val="en-US" w:eastAsia="zh-CN" w:bidi="ar-SA"/>
              </w:rPr>
              <w:t>）</w:t>
            </w:r>
          </w:p>
        </w:tc>
        <w:tc>
          <w:tcPr>
            <w:tcW w:w="949"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《餐饮业油烟污染物排放标准》（DB41/1604-2018）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vMerge w:val="restar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废水</w:t>
            </w:r>
          </w:p>
        </w:tc>
        <w:tc>
          <w:tcPr>
            <w:tcW w:w="448"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工艺废水</w:t>
            </w:r>
          </w:p>
        </w:tc>
        <w:tc>
          <w:tcPr>
            <w:tcW w:w="918"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预处理罐（3车间、5车间、7车间利旧，1车间、2车间、9车间、10车间新建）</w:t>
            </w:r>
          </w:p>
        </w:tc>
        <w:tc>
          <w:tcPr>
            <w:tcW w:w="341" w:type="pct"/>
            <w:vMerge w:val="restar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MVR（新建）</w:t>
            </w:r>
          </w:p>
        </w:tc>
        <w:tc>
          <w:tcPr>
            <w:tcW w:w="1240" w:type="pct"/>
            <w:gridSpan w:val="2"/>
            <w:vMerge w:val="restar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eastAsia="宋体" w:cs="Times New Roman"/>
                <w:color w:val="auto"/>
                <w:kern w:val="2"/>
                <w:sz w:val="21"/>
                <w:szCs w:val="21"/>
                <w:highlight w:val="none"/>
                <w:u w:val="single"/>
                <w:lang w:val="en-US" w:eastAsia="zh-CN" w:bidi="ar-SA"/>
              </w:rPr>
              <w:t>原水经新建缓存池暂存降温后，进入污水综合处理站</w:t>
            </w:r>
          </w:p>
        </w:tc>
        <w:tc>
          <w:tcPr>
            <w:tcW w:w="863" w:type="pct"/>
            <w:gridSpan w:val="2"/>
            <w:vMerge w:val="restar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综合处理站（依托现有</w:t>
            </w:r>
            <w:r>
              <w:rPr>
                <w:rFonts w:hint="eastAsia" w:eastAsia="宋体" w:cs="Times New Roman"/>
                <w:color w:val="auto"/>
                <w:kern w:val="2"/>
                <w:sz w:val="21"/>
                <w:szCs w:val="21"/>
                <w:highlight w:val="none"/>
                <w:u w:val="single"/>
                <w:lang w:val="en-US" w:eastAsia="zh-CN" w:bidi="ar-SA"/>
              </w:rPr>
              <w:t>，工艺为调节池+铁碳微电解池+沉淀池+调节池+水解酸化池+沉淀池+UASB+三级A/O+臭氧氧化+沉淀池”</w:t>
            </w:r>
            <w:r>
              <w:rPr>
                <w:rFonts w:hint="eastAsia" w:ascii="Times New Roman" w:hAnsi="Times New Roman" w:eastAsia="宋体" w:cs="Times New Roman"/>
                <w:color w:val="auto"/>
                <w:kern w:val="2"/>
                <w:sz w:val="21"/>
                <w:szCs w:val="21"/>
                <w:highlight w:val="none"/>
                <w:u w:val="single"/>
                <w:lang w:val="en-US" w:eastAsia="zh-CN" w:bidi="ar-SA"/>
              </w:rPr>
              <w:t>）</w:t>
            </w:r>
          </w:p>
        </w:tc>
        <w:tc>
          <w:tcPr>
            <w:tcW w:w="949" w:type="pct"/>
            <w:vMerge w:val="restar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《化学合成类制药工业水污染物间接排放标准》（DB 41/756—2012）</w:t>
            </w:r>
            <w:r>
              <w:rPr>
                <w:rFonts w:hint="eastAsia" w:ascii="Times New Roman" w:hAnsi="Times New Roman" w:eastAsia="宋体" w:cs="Times New Roman"/>
                <w:color w:val="auto"/>
                <w:kern w:val="2"/>
                <w:sz w:val="21"/>
                <w:szCs w:val="24"/>
                <w:highlight w:val="none"/>
                <w:u w:val="none"/>
                <w:lang w:val="en-US" w:eastAsia="zh-CN" w:bidi="ar-SA"/>
              </w:rPr>
              <w:t>、柘城县第二污水处理厂接管标准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448"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废气喷淋</w:t>
            </w:r>
          </w:p>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废水</w:t>
            </w:r>
          </w:p>
        </w:tc>
        <w:tc>
          <w:tcPr>
            <w:tcW w:w="918"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w:t>
            </w:r>
          </w:p>
        </w:tc>
        <w:tc>
          <w:tcPr>
            <w:tcW w:w="341" w:type="pct"/>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lang w:val="en-US" w:eastAsia="zh-CN" w:bidi="ar-SA"/>
              </w:rPr>
            </w:pPr>
          </w:p>
        </w:tc>
        <w:tc>
          <w:tcPr>
            <w:tcW w:w="1240" w:type="pct"/>
            <w:gridSpan w:val="2"/>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863" w:type="pct"/>
            <w:gridSpan w:val="2"/>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949" w:type="pct"/>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448"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设备清洗废水、地面清洗废水、真空泵排水</w:t>
            </w:r>
          </w:p>
        </w:tc>
        <w:tc>
          <w:tcPr>
            <w:tcW w:w="1259" w:type="pct"/>
            <w:gridSpan w:val="2"/>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w:t>
            </w:r>
          </w:p>
        </w:tc>
        <w:tc>
          <w:tcPr>
            <w:tcW w:w="1240" w:type="pct"/>
            <w:gridSpan w:val="2"/>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863" w:type="pct"/>
            <w:gridSpan w:val="2"/>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949" w:type="pct"/>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448"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储罐冷却水、循环水排污水、办公生活污水、化验废水、初期雨水</w:t>
            </w:r>
          </w:p>
        </w:tc>
        <w:tc>
          <w:tcPr>
            <w:tcW w:w="1259" w:type="pct"/>
            <w:gridSpan w:val="2"/>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w:t>
            </w:r>
          </w:p>
        </w:tc>
        <w:tc>
          <w:tcPr>
            <w:tcW w:w="1240" w:type="pct"/>
            <w:gridSpan w:val="2"/>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863" w:type="pct"/>
            <w:gridSpan w:val="2"/>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949" w:type="pct"/>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vMerge w:val="restar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固废</w:t>
            </w:r>
          </w:p>
        </w:tc>
        <w:tc>
          <w:tcPr>
            <w:tcW w:w="3811" w:type="pct"/>
            <w:gridSpan w:val="7"/>
            <w:tcBorders>
              <w:left w:val="single" w:color="auto" w:sz="4" w:space="0"/>
              <w:right w:val="single" w:color="auto" w:sz="4" w:space="0"/>
            </w:tcBorders>
            <w:noWrap w:val="0"/>
            <w:vAlign w:val="center"/>
          </w:tcPr>
          <w:p>
            <w:pPr>
              <w:bidi w:val="0"/>
              <w:adjustRightInd w:val="0"/>
              <w:snapToGrid w:val="0"/>
              <w:spacing w:line="240" w:lineRule="auto"/>
              <w:ind w:left="0" w:leftChars="0" w:firstLine="0" w:firstLineChars="0"/>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依托现有5</w:t>
            </w:r>
            <w:r>
              <w:rPr>
                <w:rFonts w:hint="default" w:ascii="Times New Roman" w:hAnsi="Times New Roman" w:eastAsia="宋体" w:cs="Times New Roman"/>
                <w:color w:val="auto"/>
                <w:sz w:val="21"/>
                <w:szCs w:val="21"/>
                <w:highlight w:val="none"/>
                <w:u w:val="single"/>
                <w:lang w:val="en-US" w:eastAsia="zh-CN"/>
              </w:rPr>
              <w:t>0m</w:t>
            </w:r>
            <w:r>
              <w:rPr>
                <w:rFonts w:hint="default" w:ascii="Times New Roman" w:hAnsi="Times New Roman" w:eastAsia="宋体" w:cs="Times New Roman"/>
                <w:color w:val="auto"/>
                <w:sz w:val="21"/>
                <w:szCs w:val="21"/>
                <w:highlight w:val="none"/>
                <w:u w:val="single"/>
                <w:vertAlign w:val="superscript"/>
                <w:lang w:val="en-US" w:eastAsia="zh-CN"/>
              </w:rPr>
              <w:t>2</w:t>
            </w:r>
            <w:r>
              <w:rPr>
                <w:rFonts w:hint="default" w:ascii="Times New Roman" w:hAnsi="Times New Roman" w:eastAsia="宋体" w:cs="Times New Roman"/>
                <w:color w:val="auto"/>
                <w:sz w:val="21"/>
                <w:szCs w:val="21"/>
                <w:highlight w:val="none"/>
                <w:u w:val="single"/>
                <w:lang w:val="en-US" w:eastAsia="zh-CN"/>
              </w:rPr>
              <w:t>的一般固废间暂存。</w:t>
            </w:r>
            <w:r>
              <w:rPr>
                <w:rFonts w:hint="eastAsia" w:ascii="Times New Roman" w:hAnsi="Times New Roman" w:eastAsia="宋体" w:cs="Times New Roman"/>
                <w:color w:val="auto"/>
                <w:sz w:val="21"/>
                <w:szCs w:val="21"/>
                <w:highlight w:val="none"/>
                <w:u w:val="single"/>
                <w:lang w:val="en-US" w:eastAsia="zh-CN"/>
              </w:rPr>
              <w:t>项目产生的一般固废中，</w:t>
            </w:r>
            <w:r>
              <w:rPr>
                <w:rFonts w:hint="default" w:ascii="Times New Roman" w:hAnsi="Times New Roman" w:eastAsia="宋体" w:cs="Times New Roman"/>
                <w:color w:val="auto"/>
                <w:sz w:val="21"/>
                <w:szCs w:val="21"/>
                <w:highlight w:val="none"/>
                <w:u w:val="single"/>
                <w:lang w:val="en-US" w:eastAsia="zh-CN"/>
              </w:rPr>
              <w:t>纯水装置产生的废滤材，在达到使用时限后由供应商负责更换滤材，废滤材由供应商当即回收。一般原料包装袋暂存于50m</w:t>
            </w:r>
            <w:r>
              <w:rPr>
                <w:rFonts w:hint="default" w:ascii="Times New Roman" w:hAnsi="Times New Roman" w:eastAsia="宋体" w:cs="Times New Roman"/>
                <w:color w:val="auto"/>
                <w:sz w:val="21"/>
                <w:szCs w:val="21"/>
                <w:highlight w:val="none"/>
                <w:u w:val="single"/>
                <w:vertAlign w:val="superscript"/>
                <w:lang w:val="en-US" w:eastAsia="zh-CN"/>
              </w:rPr>
              <w:t>2</w:t>
            </w:r>
            <w:r>
              <w:rPr>
                <w:rFonts w:hint="default" w:ascii="Times New Roman" w:hAnsi="Times New Roman" w:eastAsia="宋体" w:cs="Times New Roman"/>
                <w:color w:val="auto"/>
                <w:sz w:val="21"/>
                <w:szCs w:val="21"/>
                <w:highlight w:val="none"/>
                <w:u w:val="single"/>
                <w:lang w:val="en-US" w:eastAsia="zh-CN"/>
              </w:rPr>
              <w:t>的一般固废间</w:t>
            </w:r>
            <w:r>
              <w:rPr>
                <w:rFonts w:hint="eastAsia" w:eastAsia="宋体" w:cs="Times New Roman"/>
                <w:color w:val="auto"/>
                <w:sz w:val="21"/>
                <w:szCs w:val="21"/>
                <w:highlight w:val="none"/>
                <w:u w:val="single"/>
                <w:lang w:val="en-US" w:eastAsia="zh-CN"/>
              </w:rPr>
              <w:t>定期外售或交原料厂家</w:t>
            </w:r>
            <w:r>
              <w:rPr>
                <w:rFonts w:hint="default" w:ascii="Times New Roman" w:hAnsi="Times New Roman" w:eastAsia="宋体" w:cs="Times New Roman"/>
                <w:color w:val="auto"/>
                <w:sz w:val="21"/>
                <w:szCs w:val="21"/>
                <w:highlight w:val="none"/>
                <w:u w:val="single"/>
                <w:lang w:val="en-US" w:eastAsia="zh-CN"/>
              </w:rPr>
              <w:t>，生化污泥</w:t>
            </w:r>
            <w:r>
              <w:rPr>
                <w:rFonts w:hint="eastAsia" w:ascii="Times New Roman" w:hAnsi="Times New Roman" w:eastAsia="宋体" w:cs="Times New Roman"/>
                <w:color w:val="auto"/>
                <w:sz w:val="21"/>
                <w:szCs w:val="21"/>
                <w:highlight w:val="none"/>
                <w:u w:val="single"/>
                <w:lang w:val="en-US" w:eastAsia="zh-CN"/>
              </w:rPr>
              <w:t>与</w:t>
            </w:r>
            <w:r>
              <w:rPr>
                <w:rFonts w:hint="default" w:ascii="Times New Roman" w:hAnsi="Times New Roman" w:eastAsia="宋体" w:cs="Times New Roman"/>
                <w:color w:val="auto"/>
                <w:sz w:val="21"/>
                <w:szCs w:val="21"/>
                <w:highlight w:val="none"/>
                <w:u w:val="single"/>
                <w:lang w:val="en-US" w:eastAsia="zh-CN"/>
              </w:rPr>
              <w:t>生活垃圾</w:t>
            </w:r>
            <w:r>
              <w:rPr>
                <w:rFonts w:hint="eastAsia" w:ascii="Times New Roman" w:hAnsi="Times New Roman" w:eastAsia="宋体" w:cs="Times New Roman"/>
                <w:color w:val="auto"/>
                <w:sz w:val="21"/>
                <w:szCs w:val="21"/>
                <w:highlight w:val="none"/>
                <w:u w:val="single"/>
                <w:lang w:val="en-US" w:eastAsia="zh-CN"/>
              </w:rPr>
              <w:t>一同</w:t>
            </w:r>
            <w:r>
              <w:rPr>
                <w:rFonts w:hint="default" w:ascii="Times New Roman" w:hAnsi="Times New Roman" w:eastAsia="宋体" w:cs="Times New Roman"/>
                <w:color w:val="auto"/>
                <w:sz w:val="21"/>
                <w:szCs w:val="21"/>
                <w:highlight w:val="none"/>
                <w:u w:val="single"/>
                <w:lang w:val="en-US" w:eastAsia="zh-CN"/>
              </w:rPr>
              <w:t>由市政</w:t>
            </w:r>
            <w:r>
              <w:rPr>
                <w:rFonts w:hint="eastAsia" w:ascii="Times New Roman" w:hAnsi="Times New Roman" w:eastAsia="宋体" w:cs="Times New Roman"/>
                <w:color w:val="auto"/>
                <w:sz w:val="21"/>
                <w:szCs w:val="21"/>
                <w:highlight w:val="none"/>
                <w:u w:val="single"/>
                <w:lang w:val="en-US" w:eastAsia="zh-CN"/>
              </w:rPr>
              <w:t>部门送垃圾发电厂处置</w:t>
            </w:r>
            <w:r>
              <w:rPr>
                <w:rFonts w:hint="default" w:ascii="Times New Roman" w:hAnsi="Times New Roman" w:eastAsia="宋体" w:cs="Times New Roman"/>
                <w:color w:val="auto"/>
                <w:sz w:val="21"/>
                <w:szCs w:val="21"/>
                <w:highlight w:val="none"/>
                <w:u w:val="single"/>
                <w:lang w:val="en-US" w:eastAsia="zh-CN"/>
              </w:rPr>
              <w:t>。</w:t>
            </w:r>
          </w:p>
        </w:tc>
        <w:tc>
          <w:tcPr>
            <w:tcW w:w="949"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《一般工业固体废物贮存和填埋污染控制标准》（GB 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vMerge w:val="continue"/>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p>
        </w:tc>
        <w:tc>
          <w:tcPr>
            <w:tcW w:w="3811" w:type="pct"/>
            <w:gridSpan w:val="7"/>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left"/>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建设一座1</w:t>
            </w:r>
            <w:r>
              <w:rPr>
                <w:rFonts w:hint="eastAsia" w:ascii="Times New Roman" w:hAnsi="Times New Roman" w:eastAsia="宋体" w:cs="Times New Roman"/>
                <w:color w:val="auto"/>
                <w:kern w:val="2"/>
                <w:sz w:val="21"/>
                <w:szCs w:val="21"/>
                <w:highlight w:val="none"/>
                <w:u w:val="single"/>
                <w:lang w:val="en-US" w:eastAsia="zh-CN" w:bidi="ar-SA"/>
              </w:rPr>
              <w:t>00</w:t>
            </w:r>
            <w:r>
              <w:rPr>
                <w:rFonts w:hint="default" w:ascii="Times New Roman" w:hAnsi="Times New Roman" w:eastAsia="宋体" w:cs="Times New Roman"/>
                <w:color w:val="auto"/>
                <w:kern w:val="2"/>
                <w:sz w:val="21"/>
                <w:szCs w:val="21"/>
                <w:highlight w:val="none"/>
                <w:u w:val="single"/>
                <w:lang w:val="en-US" w:eastAsia="zh-CN" w:bidi="ar-SA"/>
              </w:rPr>
              <w:t>m</w:t>
            </w:r>
            <w:r>
              <w:rPr>
                <w:rFonts w:hint="default" w:ascii="Times New Roman" w:hAnsi="Times New Roman" w:eastAsia="宋体" w:cs="Times New Roman"/>
                <w:color w:val="auto"/>
                <w:kern w:val="2"/>
                <w:sz w:val="21"/>
                <w:szCs w:val="21"/>
                <w:highlight w:val="none"/>
                <w:u w:val="single"/>
                <w:vertAlign w:val="superscript"/>
                <w:lang w:val="en-US" w:eastAsia="zh-CN" w:bidi="ar-SA"/>
              </w:rPr>
              <w:t>2</w:t>
            </w:r>
            <w:r>
              <w:rPr>
                <w:rFonts w:hint="default" w:ascii="Times New Roman" w:hAnsi="Times New Roman" w:eastAsia="宋体" w:cs="Times New Roman"/>
                <w:color w:val="auto"/>
                <w:kern w:val="2"/>
                <w:sz w:val="21"/>
                <w:szCs w:val="21"/>
                <w:highlight w:val="none"/>
                <w:u w:val="single"/>
                <w:lang w:val="en-US" w:eastAsia="zh-CN" w:bidi="ar-SA"/>
              </w:rPr>
              <w:t>危废间暂存。</w:t>
            </w:r>
            <w:r>
              <w:rPr>
                <w:rFonts w:hint="eastAsia" w:ascii="Times New Roman" w:hAnsi="Times New Roman" w:eastAsia="宋体" w:cs="Times New Roman"/>
                <w:color w:val="auto"/>
                <w:kern w:val="2"/>
                <w:sz w:val="21"/>
                <w:szCs w:val="21"/>
                <w:highlight w:val="none"/>
                <w:u w:val="single"/>
                <w:lang w:val="en-US" w:eastAsia="zh-CN" w:bidi="ar-SA"/>
              </w:rPr>
              <w:t>改建</w:t>
            </w:r>
            <w:r>
              <w:rPr>
                <w:rFonts w:hint="default" w:ascii="Times New Roman" w:hAnsi="Times New Roman" w:eastAsia="宋体" w:cs="Times New Roman"/>
                <w:color w:val="auto"/>
                <w:kern w:val="2"/>
                <w:sz w:val="21"/>
                <w:szCs w:val="21"/>
                <w:highlight w:val="none"/>
                <w:u w:val="single"/>
                <w:lang w:val="en-US" w:eastAsia="zh-CN" w:bidi="ar-SA"/>
              </w:rPr>
              <w:t>工程产生的蒸馏残渣（液）、物化污泥等，进入现有的危废焚烧炉处置，焚烧产生的炉渣以及有毒有害包装材料、废催化剂、过滤残渣、MVR污盐及废盐分离母液等，暂存于本次工程新建的100m</w:t>
            </w:r>
            <w:r>
              <w:rPr>
                <w:rFonts w:hint="default" w:ascii="Times New Roman" w:hAnsi="Times New Roman" w:eastAsia="宋体" w:cs="Times New Roman"/>
                <w:color w:val="auto"/>
                <w:kern w:val="2"/>
                <w:sz w:val="21"/>
                <w:szCs w:val="21"/>
                <w:highlight w:val="none"/>
                <w:u w:val="single"/>
                <w:vertAlign w:val="superscript"/>
                <w:lang w:val="en-US" w:eastAsia="zh-CN" w:bidi="ar-SA"/>
              </w:rPr>
              <w:t>2</w:t>
            </w:r>
            <w:r>
              <w:rPr>
                <w:rFonts w:hint="default" w:ascii="Times New Roman" w:hAnsi="Times New Roman" w:eastAsia="宋体" w:cs="Times New Roman"/>
                <w:color w:val="auto"/>
                <w:kern w:val="2"/>
                <w:sz w:val="21"/>
                <w:szCs w:val="21"/>
                <w:highlight w:val="none"/>
                <w:u w:val="single"/>
                <w:lang w:val="en-US" w:eastAsia="zh-CN" w:bidi="ar-SA"/>
              </w:rPr>
              <w:t>危险废物暂存间</w:t>
            </w:r>
            <w:r>
              <w:rPr>
                <w:rFonts w:hint="eastAsia" w:ascii="Times New Roman" w:hAnsi="Times New Roman" w:eastAsia="宋体" w:cs="Times New Roman"/>
                <w:color w:val="auto"/>
                <w:kern w:val="2"/>
                <w:sz w:val="21"/>
                <w:szCs w:val="21"/>
                <w:highlight w:val="none"/>
                <w:u w:val="single"/>
                <w:lang w:val="en-US" w:eastAsia="zh-CN" w:bidi="ar-SA"/>
              </w:rPr>
              <w:t>，并定期委托有资质单位处置</w:t>
            </w:r>
            <w:r>
              <w:rPr>
                <w:rFonts w:hint="default" w:ascii="Times New Roman" w:hAnsi="Times New Roman" w:eastAsia="宋体" w:cs="Times New Roman"/>
                <w:color w:val="auto"/>
                <w:kern w:val="2"/>
                <w:sz w:val="21"/>
                <w:szCs w:val="21"/>
                <w:highlight w:val="none"/>
                <w:u w:val="single"/>
                <w:lang w:val="en-US" w:eastAsia="zh-CN" w:bidi="ar-SA"/>
              </w:rPr>
              <w:t>。</w:t>
            </w:r>
          </w:p>
        </w:tc>
        <w:tc>
          <w:tcPr>
            <w:tcW w:w="949"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4"/>
                <w:highlight w:val="none"/>
                <w:u w:val="none"/>
                <w:lang w:val="en-US" w:eastAsia="zh-CN" w:bidi="ar-SA"/>
              </w:rPr>
              <w:t>《危险废物贮存污染控制标准》（GB18597-2001）及修改单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地下水、土壤</w:t>
            </w:r>
          </w:p>
        </w:tc>
        <w:tc>
          <w:tcPr>
            <w:tcW w:w="3811" w:type="pct"/>
            <w:gridSpan w:val="7"/>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分区防渗</w:t>
            </w:r>
            <w:r>
              <w:rPr>
                <w:rFonts w:hint="eastAsia" w:ascii="Times New Roman" w:hAnsi="Times New Roman" w:eastAsia="宋体" w:cs="Times New Roman"/>
                <w:color w:val="auto"/>
                <w:kern w:val="2"/>
                <w:sz w:val="21"/>
                <w:szCs w:val="21"/>
                <w:highlight w:val="none"/>
                <w:u w:val="single"/>
                <w:lang w:val="en-US" w:eastAsia="zh-CN" w:bidi="ar-SA"/>
              </w:rPr>
              <w:t>，其中污水站及其地下管道、初期雨水管网、储罐区、1、3、5车间等中转罐区、</w:t>
            </w:r>
            <w:r>
              <w:rPr>
                <w:rFonts w:hint="eastAsia" w:ascii="Times New Roman" w:hAnsi="Times New Roman" w:eastAsia="宋体" w:cs="Times New Roman"/>
                <w:bCs/>
                <w:snapToGrid w:val="0"/>
                <w:color w:val="auto"/>
                <w:kern w:val="0"/>
                <w:sz w:val="21"/>
                <w:szCs w:val="21"/>
                <w:highlight w:val="none"/>
                <w:u w:val="single"/>
                <w:lang w:val="en-US" w:eastAsia="zh-CN"/>
              </w:rPr>
              <w:t>危废焚烧炉界区及其循环水池、</w:t>
            </w:r>
            <w:r>
              <w:rPr>
                <w:rFonts w:hint="default" w:ascii="Times New Roman" w:hAnsi="Times New Roman" w:eastAsia="宋体" w:cs="Times New Roman"/>
                <w:bCs/>
                <w:snapToGrid w:val="0"/>
                <w:color w:val="auto"/>
                <w:kern w:val="0"/>
                <w:sz w:val="21"/>
                <w:szCs w:val="21"/>
                <w:highlight w:val="none"/>
                <w:u w:val="single"/>
                <w:lang w:val="en-US" w:eastAsia="zh-CN"/>
              </w:rPr>
              <w:t>事故池、循环水池</w:t>
            </w:r>
            <w:r>
              <w:rPr>
                <w:rFonts w:hint="eastAsia" w:ascii="Times New Roman" w:hAnsi="Times New Roman" w:eastAsia="宋体" w:cs="Times New Roman"/>
                <w:bCs/>
                <w:snapToGrid w:val="0"/>
                <w:color w:val="auto"/>
                <w:kern w:val="0"/>
                <w:sz w:val="21"/>
                <w:szCs w:val="21"/>
                <w:highlight w:val="none"/>
                <w:u w:val="single"/>
                <w:lang w:val="en-US" w:eastAsia="zh-CN"/>
              </w:rPr>
              <w:t>、生产车间、精馏塔界区、生产车间、</w:t>
            </w:r>
            <w:r>
              <w:rPr>
                <w:rFonts w:hint="eastAsia" w:ascii="Times New Roman" w:hAnsi="Times New Roman" w:eastAsia="宋体" w:cs="Times New Roman"/>
                <w:bCs/>
                <w:color w:val="auto"/>
                <w:kern w:val="2"/>
                <w:sz w:val="21"/>
                <w:szCs w:val="21"/>
                <w:highlight w:val="none"/>
                <w:u w:val="single"/>
                <w:lang w:val="en-US" w:eastAsia="zh-CN"/>
              </w:rPr>
              <w:t>原料</w:t>
            </w:r>
            <w:r>
              <w:rPr>
                <w:rFonts w:hint="default" w:ascii="Times New Roman" w:hAnsi="Times New Roman" w:eastAsia="宋体" w:cs="Times New Roman"/>
                <w:bCs/>
                <w:color w:val="auto"/>
                <w:kern w:val="2"/>
                <w:sz w:val="21"/>
                <w:szCs w:val="21"/>
                <w:highlight w:val="none"/>
                <w:u w:val="single"/>
                <w:lang w:val="en-US" w:eastAsia="zh-CN"/>
              </w:rPr>
              <w:t>库、检测中心</w:t>
            </w:r>
            <w:r>
              <w:rPr>
                <w:rFonts w:hint="default" w:ascii="Times New Roman" w:hAnsi="Times New Roman" w:eastAsia="宋体" w:cs="Times New Roman"/>
                <w:bCs/>
                <w:snapToGrid w:val="0"/>
                <w:color w:val="auto"/>
                <w:kern w:val="0"/>
                <w:sz w:val="21"/>
                <w:szCs w:val="21"/>
                <w:highlight w:val="none"/>
                <w:u w:val="single"/>
                <w:lang w:val="en-US" w:eastAsia="zh-CN"/>
              </w:rPr>
              <w:t>、固废间、维修间</w:t>
            </w:r>
            <w:r>
              <w:rPr>
                <w:rFonts w:hint="eastAsia" w:ascii="Times New Roman" w:hAnsi="Times New Roman" w:eastAsia="宋体" w:cs="Times New Roman"/>
                <w:bCs/>
                <w:snapToGrid w:val="0"/>
                <w:color w:val="auto"/>
                <w:kern w:val="0"/>
                <w:sz w:val="21"/>
                <w:szCs w:val="21"/>
                <w:highlight w:val="none"/>
                <w:u w:val="single"/>
                <w:lang w:val="en-US" w:eastAsia="zh-CN"/>
              </w:rPr>
              <w:t>等利旧，100m</w:t>
            </w:r>
            <w:r>
              <w:rPr>
                <w:rFonts w:hint="eastAsia" w:ascii="Times New Roman" w:hAnsi="Times New Roman" w:eastAsia="宋体" w:cs="Times New Roman"/>
                <w:bCs/>
                <w:snapToGrid w:val="0"/>
                <w:color w:val="auto"/>
                <w:kern w:val="0"/>
                <w:sz w:val="21"/>
                <w:szCs w:val="21"/>
                <w:highlight w:val="none"/>
                <w:u w:val="single"/>
                <w:vertAlign w:val="superscript"/>
                <w:lang w:val="en-US" w:eastAsia="zh-CN"/>
              </w:rPr>
              <w:t>2</w:t>
            </w:r>
            <w:r>
              <w:rPr>
                <w:rFonts w:hint="eastAsia" w:ascii="Times New Roman" w:hAnsi="Times New Roman" w:eastAsia="宋体" w:cs="Times New Roman"/>
                <w:bCs/>
                <w:snapToGrid w:val="0"/>
                <w:color w:val="auto"/>
                <w:kern w:val="0"/>
                <w:sz w:val="21"/>
                <w:szCs w:val="21"/>
                <w:highlight w:val="none"/>
                <w:u w:val="single"/>
                <w:lang w:val="en-US" w:eastAsia="zh-CN"/>
              </w:rPr>
              <w:t>危废暂存间、危废焚烧炉上料间、MVR间及原水缓存池、事故废水与消防废水收集管线、部分车间中转罐区（2车间、9车间、10车间）</w:t>
            </w:r>
            <w:r>
              <w:rPr>
                <w:rFonts w:hint="eastAsia" w:eastAsia="宋体" w:cs="Times New Roman"/>
                <w:bCs/>
                <w:snapToGrid w:val="0"/>
                <w:color w:val="auto"/>
                <w:kern w:val="0"/>
                <w:sz w:val="21"/>
                <w:szCs w:val="21"/>
                <w:highlight w:val="none"/>
                <w:u w:val="single"/>
                <w:lang w:val="en-US" w:eastAsia="zh-CN"/>
              </w:rPr>
              <w:t>等</w:t>
            </w:r>
            <w:r>
              <w:rPr>
                <w:rFonts w:hint="eastAsia" w:ascii="Times New Roman" w:hAnsi="Times New Roman" w:eastAsia="宋体" w:cs="Times New Roman"/>
                <w:bCs/>
                <w:snapToGrid w:val="0"/>
                <w:color w:val="auto"/>
                <w:kern w:val="0"/>
                <w:sz w:val="21"/>
                <w:szCs w:val="21"/>
                <w:highlight w:val="none"/>
                <w:u w:val="single"/>
                <w:lang w:val="en-US" w:eastAsia="zh-CN"/>
              </w:rPr>
              <w:t>新建</w:t>
            </w:r>
            <w:r>
              <w:rPr>
                <w:rFonts w:hint="eastAsia" w:ascii="Times New Roman" w:hAnsi="Times New Roman" w:eastAsia="宋体" w:cs="Times New Roman"/>
                <w:color w:val="auto"/>
                <w:kern w:val="2"/>
                <w:sz w:val="21"/>
                <w:szCs w:val="21"/>
                <w:highlight w:val="none"/>
                <w:u w:val="single"/>
                <w:lang w:val="en-US" w:eastAsia="zh-CN" w:bidi="ar-SA"/>
              </w:rPr>
              <w:t>，</w:t>
            </w:r>
            <w:r>
              <w:rPr>
                <w:rFonts w:hint="eastAsia" w:ascii="Times New Roman" w:hAnsi="Times New Roman"/>
                <w:color w:val="auto"/>
                <w:sz w:val="21"/>
                <w:szCs w:val="21"/>
                <w:highlight w:val="none"/>
                <w:u w:val="single"/>
                <w:lang w:val="en-US" w:eastAsia="zh-CN"/>
              </w:rPr>
              <w:t>污水站南侧厂区范围内设监控井，每半年对监控井地下水进行监测，如污水站出现泄漏可及时发现。每年污水站检修时段对各个构筑物进</w:t>
            </w:r>
            <w:r>
              <w:rPr>
                <w:rFonts w:hint="eastAsia" w:ascii="Times New Roman" w:hAnsi="Times New Roman" w:eastAsia="宋体" w:cs="Times New Roman"/>
                <w:bCs/>
                <w:snapToGrid w:val="0"/>
                <w:color w:val="auto"/>
                <w:kern w:val="0"/>
                <w:sz w:val="21"/>
                <w:szCs w:val="21"/>
                <w:highlight w:val="none"/>
                <w:u w:val="single"/>
                <w:lang w:val="en-US" w:eastAsia="zh-CN"/>
              </w:rPr>
              <w:t>行检查，如</w:t>
            </w:r>
            <w:r>
              <w:rPr>
                <w:rFonts w:hint="eastAsia" w:ascii="Times New Roman" w:hAnsi="Times New Roman"/>
                <w:color w:val="auto"/>
                <w:sz w:val="21"/>
                <w:szCs w:val="21"/>
                <w:highlight w:val="none"/>
                <w:u w:val="single"/>
                <w:lang w:val="en-US" w:eastAsia="zh-CN"/>
              </w:rPr>
              <w:t>发现泄漏及时停产进行防渗修补。在污水站大修期间，对各个构筑物池底与池壁进行检查，修补裂缝与破损，采取涂刷防腐、防渗材料等防渗加强措施。</w:t>
            </w:r>
          </w:p>
        </w:tc>
        <w:tc>
          <w:tcPr>
            <w:tcW w:w="949"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噪声</w:t>
            </w:r>
          </w:p>
        </w:tc>
        <w:tc>
          <w:tcPr>
            <w:tcW w:w="3811" w:type="pct"/>
            <w:gridSpan w:val="7"/>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厂房隔声、减震、消声</w:t>
            </w:r>
            <w:r>
              <w:rPr>
                <w:rFonts w:hint="eastAsia" w:ascii="Times New Roman" w:hAnsi="Times New Roman" w:eastAsia="宋体" w:cs="Times New Roman"/>
                <w:color w:val="auto"/>
                <w:kern w:val="2"/>
                <w:sz w:val="21"/>
                <w:szCs w:val="21"/>
                <w:highlight w:val="none"/>
                <w:u w:val="single"/>
                <w:lang w:val="en-US" w:eastAsia="zh-CN" w:bidi="ar-SA"/>
              </w:rPr>
              <w:t>（部分利旧、部分新建）</w:t>
            </w:r>
          </w:p>
        </w:tc>
        <w:tc>
          <w:tcPr>
            <w:tcW w:w="949"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b w:val="0"/>
                <w:bCs/>
                <w:color w:val="auto"/>
                <w:kern w:val="2"/>
                <w:sz w:val="21"/>
                <w:szCs w:val="21"/>
                <w:highlight w:val="none"/>
                <w:u w:val="none"/>
                <w:lang w:val="en-US" w:eastAsia="zh-CN" w:bidi="ar-SA"/>
              </w:rPr>
              <w:t>《工业企业厂界环境噪声排放标准》（GB12348-2008）</w:t>
            </w:r>
            <w:r>
              <w:rPr>
                <w:rFonts w:hint="eastAsia" w:ascii="Times New Roman" w:hAnsi="Times New Roman" w:eastAsia="宋体" w:cs="Times New Roman"/>
                <w:b w:val="0"/>
                <w:bCs/>
                <w:color w:val="auto"/>
                <w:kern w:val="2"/>
                <w:sz w:val="21"/>
                <w:szCs w:val="21"/>
                <w:highlight w:val="none"/>
                <w:u w:val="none"/>
                <w:lang w:val="en-US" w:eastAsia="zh-CN" w:bidi="ar-SA"/>
              </w:rPr>
              <w:t>2</w:t>
            </w:r>
            <w:r>
              <w:rPr>
                <w:rFonts w:hint="default" w:ascii="Times New Roman" w:hAnsi="Times New Roman" w:eastAsia="宋体" w:cs="Times New Roman"/>
                <w:b w:val="0"/>
                <w:bCs/>
                <w:color w:val="auto"/>
                <w:kern w:val="2"/>
                <w:sz w:val="21"/>
                <w:szCs w:val="21"/>
                <w:highlight w:val="none"/>
                <w:u w:val="none"/>
                <w:lang w:val="en-US" w:eastAsia="zh-CN" w:bidi="ar-SA"/>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环境风险</w:t>
            </w:r>
          </w:p>
        </w:tc>
        <w:tc>
          <w:tcPr>
            <w:tcW w:w="3811" w:type="pct"/>
            <w:gridSpan w:val="7"/>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left"/>
              <w:rPr>
                <w:rFonts w:hint="eastAsia" w:ascii="Times New Roman" w:hAnsi="Times New Roman" w:eastAsia="宋体" w:cs="Times New Roman"/>
                <w:b w:val="0"/>
                <w:bCs/>
                <w:color w:val="auto"/>
                <w:kern w:val="2"/>
                <w:sz w:val="21"/>
                <w:szCs w:val="21"/>
                <w:highlight w:val="none"/>
                <w:u w:val="single"/>
                <w:lang w:val="en-US" w:eastAsia="zh-CN" w:bidi="ar-SA"/>
              </w:rPr>
            </w:pPr>
            <w:r>
              <w:rPr>
                <w:rFonts w:hint="eastAsia" w:ascii="Times New Roman" w:hAnsi="Times New Roman" w:eastAsia="宋体" w:cs="Times New Roman"/>
                <w:b w:val="0"/>
                <w:bCs/>
                <w:color w:val="auto"/>
                <w:kern w:val="2"/>
                <w:sz w:val="21"/>
                <w:szCs w:val="21"/>
                <w:highlight w:val="none"/>
                <w:u w:val="single"/>
                <w:lang w:val="en-US" w:eastAsia="zh-CN" w:bidi="ar-SA"/>
              </w:rPr>
              <w:t>利旧的措施：</w:t>
            </w:r>
            <w:r>
              <w:rPr>
                <w:rFonts w:hint="default" w:ascii="Times New Roman" w:hAnsi="Times New Roman" w:eastAsia="宋体" w:cs="Times New Roman"/>
                <w:b w:val="0"/>
                <w:bCs/>
                <w:color w:val="auto"/>
                <w:kern w:val="2"/>
                <w:sz w:val="21"/>
                <w:szCs w:val="21"/>
                <w:highlight w:val="none"/>
                <w:u w:val="single"/>
                <w:lang w:val="en-US" w:eastAsia="zh-CN" w:bidi="ar-SA"/>
              </w:rPr>
              <w:t>1</w:t>
            </w:r>
            <w:r>
              <w:rPr>
                <w:rFonts w:hint="eastAsia" w:ascii="Times New Roman" w:hAnsi="Times New Roman" w:eastAsia="宋体" w:cs="Times New Roman"/>
                <w:b w:val="0"/>
                <w:bCs/>
                <w:color w:val="auto"/>
                <w:kern w:val="2"/>
                <w:sz w:val="21"/>
                <w:szCs w:val="21"/>
                <w:highlight w:val="none"/>
                <w:u w:val="single"/>
                <w:lang w:val="en-US" w:eastAsia="zh-CN" w:bidi="ar-SA"/>
              </w:rPr>
              <w:t>0</w:t>
            </w:r>
            <w:r>
              <w:rPr>
                <w:rFonts w:hint="default" w:ascii="Times New Roman" w:hAnsi="Times New Roman" w:eastAsia="宋体" w:cs="Times New Roman"/>
                <w:b w:val="0"/>
                <w:bCs/>
                <w:color w:val="auto"/>
                <w:kern w:val="2"/>
                <w:sz w:val="21"/>
                <w:szCs w:val="21"/>
                <w:highlight w:val="none"/>
                <w:u w:val="single"/>
                <w:lang w:val="en-US" w:eastAsia="zh-CN" w:bidi="ar-SA"/>
              </w:rPr>
              <w:t>00m</w:t>
            </w:r>
            <w:r>
              <w:rPr>
                <w:rFonts w:hint="default" w:ascii="Times New Roman" w:hAnsi="Times New Roman" w:eastAsia="宋体" w:cs="Times New Roman"/>
                <w:b w:val="0"/>
                <w:bCs/>
                <w:color w:val="auto"/>
                <w:kern w:val="2"/>
                <w:sz w:val="21"/>
                <w:szCs w:val="21"/>
                <w:highlight w:val="none"/>
                <w:u w:val="single"/>
                <w:vertAlign w:val="superscript"/>
                <w:lang w:val="en-US" w:eastAsia="zh-CN" w:bidi="ar-SA"/>
              </w:rPr>
              <w:t>3</w:t>
            </w:r>
            <w:r>
              <w:rPr>
                <w:rFonts w:hint="default" w:ascii="Times New Roman" w:hAnsi="Times New Roman" w:eastAsia="宋体" w:cs="Times New Roman"/>
                <w:b w:val="0"/>
                <w:bCs/>
                <w:color w:val="auto"/>
                <w:kern w:val="2"/>
                <w:sz w:val="21"/>
                <w:szCs w:val="21"/>
                <w:highlight w:val="none"/>
                <w:u w:val="single"/>
                <w:lang w:val="en-US" w:eastAsia="zh-CN" w:bidi="ar-SA"/>
              </w:rPr>
              <w:t>事故水池</w:t>
            </w:r>
            <w:r>
              <w:rPr>
                <w:rFonts w:hint="eastAsia" w:ascii="Times New Roman" w:hAnsi="Times New Roman" w:eastAsia="宋体" w:cs="Times New Roman"/>
                <w:b w:val="0"/>
                <w:bCs/>
                <w:color w:val="auto"/>
                <w:kern w:val="2"/>
                <w:sz w:val="21"/>
                <w:szCs w:val="21"/>
                <w:highlight w:val="none"/>
                <w:u w:val="single"/>
                <w:lang w:val="en-US" w:eastAsia="zh-CN" w:bidi="ar-SA"/>
              </w:rPr>
              <w:t>，初期雨水管网，事故三级防控措施，应急沙袋、防毒面具、活性炭等</w:t>
            </w:r>
            <w:r>
              <w:rPr>
                <w:rFonts w:hint="default" w:ascii="Times New Roman" w:hAnsi="Times New Roman" w:eastAsia="宋体" w:cs="Times New Roman"/>
                <w:b w:val="0"/>
                <w:bCs/>
                <w:color w:val="auto"/>
                <w:kern w:val="2"/>
                <w:sz w:val="21"/>
                <w:szCs w:val="21"/>
                <w:highlight w:val="none"/>
                <w:u w:val="single"/>
                <w:lang w:val="en-US" w:eastAsia="zh-CN" w:bidi="ar-SA"/>
              </w:rPr>
              <w:t>事故应急</w:t>
            </w:r>
            <w:r>
              <w:rPr>
                <w:rFonts w:hint="eastAsia" w:ascii="Times New Roman" w:hAnsi="Times New Roman" w:eastAsia="宋体" w:cs="Times New Roman"/>
                <w:b w:val="0"/>
                <w:bCs/>
                <w:color w:val="auto"/>
                <w:kern w:val="2"/>
                <w:sz w:val="21"/>
                <w:szCs w:val="21"/>
                <w:highlight w:val="none"/>
                <w:u w:val="single"/>
                <w:lang w:val="en-US" w:eastAsia="zh-CN" w:bidi="ar-SA"/>
              </w:rPr>
              <w:t>设施，储罐区、中转罐区（1、3、5等车间）围堰，消防装置等；</w:t>
            </w:r>
          </w:p>
          <w:p>
            <w:pPr>
              <w:widowControl w:val="0"/>
              <w:bidi w:val="0"/>
              <w:adjustRightInd w:val="0"/>
              <w:snapToGrid w:val="0"/>
              <w:spacing w:line="240" w:lineRule="auto"/>
              <w:ind w:firstLine="0" w:firstLineChars="0"/>
              <w:jc w:val="left"/>
              <w:rPr>
                <w:rFonts w:hint="default" w:ascii="Times New Roman" w:hAnsi="Times New Roman" w:eastAsia="宋体" w:cs="Times New Roman"/>
                <w:b w:val="0"/>
                <w:bCs/>
                <w:color w:val="auto"/>
                <w:kern w:val="2"/>
                <w:sz w:val="21"/>
                <w:szCs w:val="21"/>
                <w:highlight w:val="none"/>
                <w:u w:val="single"/>
                <w:lang w:val="en-US" w:eastAsia="zh-CN" w:bidi="ar-SA"/>
              </w:rPr>
            </w:pPr>
            <w:r>
              <w:rPr>
                <w:rFonts w:hint="eastAsia" w:ascii="Times New Roman" w:hAnsi="Times New Roman" w:eastAsia="宋体" w:cs="Times New Roman"/>
                <w:b w:val="0"/>
                <w:bCs/>
                <w:color w:val="auto"/>
                <w:kern w:val="2"/>
                <w:sz w:val="21"/>
                <w:szCs w:val="21"/>
                <w:highlight w:val="none"/>
                <w:u w:val="single"/>
                <w:lang w:val="en-US" w:eastAsia="zh-CN" w:bidi="ar-SA"/>
              </w:rPr>
              <w:t>新建的措施：车间、库房缓坡，事故消防废水收集管线，</w:t>
            </w:r>
            <w:r>
              <w:rPr>
                <w:rFonts w:hint="default" w:ascii="Times New Roman" w:hAnsi="Times New Roman" w:eastAsia="宋体" w:cs="Times New Roman"/>
                <w:b w:val="0"/>
                <w:bCs/>
                <w:color w:val="auto"/>
                <w:kern w:val="2"/>
                <w:sz w:val="21"/>
                <w:szCs w:val="21"/>
                <w:highlight w:val="none"/>
                <w:u w:val="single"/>
                <w:lang w:val="en-US" w:eastAsia="zh-CN" w:bidi="ar-SA"/>
              </w:rPr>
              <w:t>事故应急预案</w:t>
            </w:r>
            <w:r>
              <w:rPr>
                <w:rFonts w:hint="eastAsia" w:ascii="Times New Roman" w:hAnsi="Times New Roman" w:eastAsia="宋体" w:cs="Times New Roman"/>
                <w:b w:val="0"/>
                <w:bCs/>
                <w:color w:val="auto"/>
                <w:kern w:val="2"/>
                <w:sz w:val="21"/>
                <w:szCs w:val="21"/>
                <w:highlight w:val="none"/>
                <w:u w:val="single"/>
                <w:lang w:val="en-US" w:eastAsia="zh-CN" w:bidi="ar-SA"/>
              </w:rPr>
              <w:t>（修订）</w:t>
            </w:r>
            <w:r>
              <w:rPr>
                <w:rFonts w:hint="default" w:ascii="Times New Roman" w:hAnsi="Times New Roman" w:eastAsia="宋体" w:cs="Times New Roman"/>
                <w:b w:val="0"/>
                <w:bCs/>
                <w:color w:val="auto"/>
                <w:kern w:val="2"/>
                <w:sz w:val="21"/>
                <w:szCs w:val="21"/>
                <w:highlight w:val="none"/>
                <w:u w:val="single"/>
                <w:lang w:val="en-US" w:eastAsia="zh-CN" w:bidi="ar-SA"/>
              </w:rPr>
              <w:t>、</w:t>
            </w:r>
            <w:r>
              <w:rPr>
                <w:rFonts w:hint="eastAsia" w:ascii="Times New Roman" w:hAnsi="Times New Roman" w:eastAsia="宋体" w:cs="Times New Roman"/>
                <w:b w:val="0"/>
                <w:bCs/>
                <w:color w:val="auto"/>
                <w:kern w:val="2"/>
                <w:sz w:val="21"/>
                <w:szCs w:val="21"/>
                <w:highlight w:val="none"/>
                <w:u w:val="single"/>
                <w:lang w:val="en-US" w:eastAsia="zh-CN" w:bidi="ar-SA"/>
              </w:rPr>
              <w:t>应急演练措施，有毒有害易燃易爆气体报警</w:t>
            </w:r>
            <w:r>
              <w:rPr>
                <w:rFonts w:hint="default" w:ascii="Times New Roman" w:hAnsi="Times New Roman" w:eastAsia="宋体" w:cs="Times New Roman"/>
                <w:b w:val="0"/>
                <w:bCs/>
                <w:color w:val="auto"/>
                <w:kern w:val="2"/>
                <w:sz w:val="21"/>
                <w:szCs w:val="21"/>
                <w:highlight w:val="none"/>
                <w:u w:val="single"/>
                <w:lang w:val="en-US" w:eastAsia="zh-CN" w:bidi="ar-SA"/>
              </w:rPr>
              <w:t>装置</w:t>
            </w:r>
            <w:r>
              <w:rPr>
                <w:rFonts w:hint="eastAsia" w:ascii="Times New Roman" w:hAnsi="Times New Roman" w:eastAsia="宋体" w:cs="Times New Roman"/>
                <w:b w:val="0"/>
                <w:bCs/>
                <w:color w:val="auto"/>
                <w:kern w:val="2"/>
                <w:sz w:val="21"/>
                <w:szCs w:val="21"/>
                <w:highlight w:val="none"/>
                <w:u w:val="single"/>
                <w:lang w:val="en-US" w:eastAsia="zh-CN" w:bidi="ar-SA"/>
              </w:rPr>
              <w:t>、500m</w:t>
            </w:r>
            <w:r>
              <w:rPr>
                <w:rFonts w:hint="eastAsia" w:ascii="Times New Roman" w:hAnsi="Times New Roman" w:eastAsia="宋体" w:cs="Times New Roman"/>
                <w:b w:val="0"/>
                <w:bCs/>
                <w:color w:val="auto"/>
                <w:kern w:val="2"/>
                <w:sz w:val="21"/>
                <w:szCs w:val="21"/>
                <w:highlight w:val="none"/>
                <w:u w:val="single"/>
                <w:vertAlign w:val="superscript"/>
                <w:lang w:val="en-US" w:eastAsia="zh-CN" w:bidi="ar-SA"/>
              </w:rPr>
              <w:t>3</w:t>
            </w:r>
            <w:r>
              <w:rPr>
                <w:rFonts w:hint="eastAsia" w:ascii="Times New Roman" w:hAnsi="Times New Roman" w:eastAsia="宋体" w:cs="Times New Roman"/>
                <w:b w:val="0"/>
                <w:bCs/>
                <w:color w:val="auto"/>
                <w:kern w:val="2"/>
                <w:sz w:val="21"/>
                <w:szCs w:val="21"/>
                <w:highlight w:val="none"/>
                <w:u w:val="single"/>
                <w:lang w:val="en-US" w:eastAsia="zh-CN" w:bidi="ar-SA"/>
              </w:rPr>
              <w:t>初期雨水池等</w:t>
            </w:r>
          </w:p>
        </w:tc>
        <w:tc>
          <w:tcPr>
            <w:tcW w:w="949"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lang w:val="en-US" w:eastAsia="zh-CN" w:bidi="ar-SA"/>
              </w:rPr>
            </w:pPr>
            <w:r>
              <w:rPr>
                <w:rFonts w:hint="eastAsia" w:ascii="Times New Roman" w:hAnsi="Times New Roman" w:eastAsia="宋体" w:cs="Times New Roman"/>
                <w:b w:val="0"/>
                <w:bCs/>
                <w:color w:val="auto"/>
                <w:kern w:val="2"/>
                <w:sz w:val="21"/>
                <w:szCs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8"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以新带老措施</w:t>
            </w:r>
          </w:p>
        </w:tc>
        <w:tc>
          <w:tcPr>
            <w:tcW w:w="3811" w:type="pct"/>
            <w:gridSpan w:val="7"/>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left"/>
              <w:rPr>
                <w:rFonts w:hint="eastAsia" w:ascii="Times New Roman" w:hAnsi="Times New Roman"/>
                <w:color w:val="auto"/>
                <w:sz w:val="21"/>
                <w:szCs w:val="21"/>
                <w:highlight w:val="none"/>
                <w:u w:val="single"/>
                <w:lang w:val="en-US" w:eastAsia="zh-CN"/>
              </w:rPr>
            </w:pPr>
            <w:r>
              <w:rPr>
                <w:rFonts w:hint="eastAsia" w:ascii="Times New Roman" w:hAnsi="Times New Roman"/>
                <w:color w:val="auto"/>
                <w:sz w:val="21"/>
                <w:szCs w:val="21"/>
                <w:highlight w:val="none"/>
                <w:u w:val="single"/>
                <w:lang w:val="en-US" w:eastAsia="zh-CN"/>
              </w:rPr>
              <w:t>（1）原有设施升级改造，平板离心机升级为全自动密闭离心机、烘箱升级为双锥真空干燥机、抽滤池升级为一体式压滤机或全密闭压滤罐，单级冷凝器升级为两级深冷；</w:t>
            </w:r>
          </w:p>
          <w:p>
            <w:pPr>
              <w:widowControl w:val="0"/>
              <w:bidi w:val="0"/>
              <w:adjustRightInd w:val="0"/>
              <w:snapToGrid w:val="0"/>
              <w:spacing w:line="240" w:lineRule="auto"/>
              <w:ind w:firstLine="0" w:firstLineChars="0"/>
              <w:jc w:val="left"/>
              <w:rPr>
                <w:rFonts w:hint="eastAsia" w:ascii="Times New Roman" w:hAnsi="Times New Roman"/>
                <w:color w:val="auto"/>
                <w:sz w:val="21"/>
                <w:szCs w:val="21"/>
                <w:highlight w:val="none"/>
                <w:u w:val="single"/>
                <w:lang w:val="en-US" w:eastAsia="zh-CN"/>
              </w:rPr>
            </w:pPr>
            <w:r>
              <w:rPr>
                <w:rFonts w:hint="eastAsia" w:ascii="Times New Roman" w:hAnsi="Times New Roman"/>
                <w:color w:val="auto"/>
                <w:sz w:val="21"/>
                <w:szCs w:val="21"/>
                <w:highlight w:val="none"/>
                <w:u w:val="single"/>
                <w:lang w:val="en-US" w:eastAsia="zh-CN"/>
              </w:rPr>
              <w:t>（2）加强污水站密闭，污水站废气密闭收集后，经碱喷淋预处理后导入新建RTO焚烧处置；</w:t>
            </w:r>
          </w:p>
          <w:p>
            <w:pPr>
              <w:widowControl w:val="0"/>
              <w:bidi w:val="0"/>
              <w:adjustRightInd w:val="0"/>
              <w:snapToGrid w:val="0"/>
              <w:spacing w:line="240" w:lineRule="auto"/>
              <w:ind w:firstLine="0" w:firstLineChars="0"/>
              <w:jc w:val="left"/>
              <w:rPr>
                <w:rFonts w:hint="eastAsia" w:ascii="Times New Roman" w:hAnsi="Times New Roman"/>
                <w:color w:val="auto"/>
                <w:sz w:val="21"/>
                <w:szCs w:val="21"/>
                <w:highlight w:val="none"/>
                <w:u w:val="single"/>
                <w:lang w:val="en-US" w:eastAsia="zh-CN"/>
              </w:rPr>
            </w:pPr>
            <w:r>
              <w:rPr>
                <w:rFonts w:hint="eastAsia" w:ascii="Times New Roman" w:hAnsi="Times New Roman"/>
                <w:color w:val="auto"/>
                <w:sz w:val="21"/>
                <w:szCs w:val="21"/>
                <w:highlight w:val="none"/>
                <w:u w:val="single"/>
                <w:lang w:val="en-US" w:eastAsia="zh-CN"/>
              </w:rPr>
              <w:t>（3）精馏塔不凝气收集后导入新建RTO装置焚烧；</w:t>
            </w:r>
          </w:p>
          <w:p>
            <w:pPr>
              <w:widowControl w:val="0"/>
              <w:bidi w:val="0"/>
              <w:adjustRightInd w:val="0"/>
              <w:snapToGrid w:val="0"/>
              <w:spacing w:line="240" w:lineRule="auto"/>
              <w:ind w:firstLine="0" w:firstLineChars="0"/>
              <w:jc w:val="left"/>
              <w:rPr>
                <w:rFonts w:hint="eastAsia" w:ascii="Times New Roman" w:hAnsi="Times New Roman"/>
                <w:color w:val="auto"/>
                <w:sz w:val="21"/>
                <w:szCs w:val="21"/>
                <w:highlight w:val="none"/>
                <w:u w:val="single"/>
                <w:lang w:val="en-US" w:eastAsia="zh-CN"/>
              </w:rPr>
            </w:pPr>
            <w:r>
              <w:rPr>
                <w:rFonts w:hint="eastAsia" w:ascii="Times New Roman" w:hAnsi="Times New Roman"/>
                <w:color w:val="auto"/>
                <w:sz w:val="21"/>
                <w:szCs w:val="21"/>
                <w:highlight w:val="none"/>
                <w:u w:val="single"/>
                <w:lang w:val="en-US" w:eastAsia="zh-CN"/>
              </w:rPr>
              <w:t>（4）修补生产车间破损地面，涂刷环氧树脂地坪，加强防渗措施；</w:t>
            </w:r>
          </w:p>
          <w:p>
            <w:pPr>
              <w:widowControl w:val="0"/>
              <w:bidi w:val="0"/>
              <w:adjustRightInd w:val="0"/>
              <w:snapToGrid w:val="0"/>
              <w:spacing w:line="240" w:lineRule="auto"/>
              <w:ind w:firstLine="0" w:firstLineChars="0"/>
              <w:jc w:val="left"/>
              <w:rPr>
                <w:rFonts w:hint="eastAsia" w:ascii="Times New Roman" w:hAnsi="Times New Roman"/>
                <w:color w:val="auto"/>
                <w:sz w:val="21"/>
                <w:szCs w:val="21"/>
                <w:highlight w:val="none"/>
                <w:u w:val="single"/>
                <w:lang w:val="en-US" w:eastAsia="zh-CN"/>
              </w:rPr>
            </w:pPr>
            <w:r>
              <w:rPr>
                <w:rFonts w:hint="eastAsia" w:ascii="Times New Roman" w:hAnsi="Times New Roman"/>
                <w:color w:val="auto"/>
                <w:sz w:val="21"/>
                <w:szCs w:val="21"/>
                <w:highlight w:val="none"/>
                <w:u w:val="single"/>
                <w:lang w:val="en-US" w:eastAsia="zh-CN"/>
              </w:rPr>
              <w:t>（5）包装间密闭，负压收集后导入袋式除尘器处理后经15m排气筒排放</w:t>
            </w:r>
          </w:p>
          <w:p>
            <w:pPr>
              <w:widowControl w:val="0"/>
              <w:bidi w:val="0"/>
              <w:adjustRightInd w:val="0"/>
              <w:snapToGrid w:val="0"/>
              <w:spacing w:line="240" w:lineRule="auto"/>
              <w:ind w:firstLine="0" w:firstLineChars="0"/>
              <w:jc w:val="left"/>
              <w:rPr>
                <w:rFonts w:hint="default" w:ascii="Times New Roman" w:hAnsi="Times New Roman"/>
                <w:color w:val="auto"/>
                <w:sz w:val="21"/>
                <w:szCs w:val="21"/>
                <w:highlight w:val="none"/>
                <w:u w:val="single"/>
                <w:lang w:val="en-US" w:eastAsia="zh-CN"/>
              </w:rPr>
            </w:pPr>
            <w:r>
              <w:rPr>
                <w:rFonts w:hint="eastAsia" w:ascii="Times New Roman" w:hAnsi="Times New Roman"/>
                <w:color w:val="auto"/>
                <w:sz w:val="21"/>
                <w:szCs w:val="21"/>
                <w:highlight w:val="none"/>
                <w:u w:val="single"/>
                <w:lang w:val="en-US" w:eastAsia="zh-CN"/>
              </w:rPr>
              <w:t>（6）</w:t>
            </w:r>
            <w:r>
              <w:rPr>
                <w:rFonts w:hint="default" w:ascii="Times New Roman" w:hAnsi="Times New Roman"/>
                <w:color w:val="auto"/>
                <w:sz w:val="21"/>
                <w:szCs w:val="21"/>
                <w:highlight w:val="none"/>
                <w:u w:val="single"/>
                <w:lang w:val="en-US" w:eastAsia="zh-CN"/>
              </w:rPr>
              <w:t>设置密闭的危废上料间，危废上料、配伍密闭化、自动化，上料间负压抽风作为危废焚烧炉补风</w:t>
            </w:r>
            <w:r>
              <w:rPr>
                <w:rFonts w:hint="eastAsia" w:ascii="Times New Roman" w:hAnsi="Times New Roman"/>
                <w:color w:val="auto"/>
                <w:sz w:val="21"/>
                <w:szCs w:val="21"/>
                <w:highlight w:val="none"/>
                <w:u w:val="single"/>
                <w:lang w:val="en-US" w:eastAsia="zh-CN"/>
              </w:rPr>
              <w:t>；</w:t>
            </w:r>
          </w:p>
          <w:p>
            <w:pPr>
              <w:widowControl w:val="0"/>
              <w:bidi w:val="0"/>
              <w:adjustRightInd w:val="0"/>
              <w:snapToGrid w:val="0"/>
              <w:spacing w:line="240" w:lineRule="auto"/>
              <w:ind w:firstLine="0" w:firstLineChars="0"/>
              <w:jc w:val="left"/>
              <w:rPr>
                <w:rFonts w:hint="eastAsia" w:ascii="Times New Roman" w:hAnsi="Times New Roman"/>
                <w:color w:val="auto"/>
                <w:sz w:val="21"/>
                <w:szCs w:val="21"/>
                <w:highlight w:val="none"/>
                <w:u w:val="single"/>
                <w:lang w:val="en-US" w:eastAsia="zh-CN"/>
              </w:rPr>
            </w:pPr>
            <w:r>
              <w:rPr>
                <w:rFonts w:hint="eastAsia" w:ascii="Times New Roman" w:hAnsi="Times New Roman"/>
                <w:color w:val="auto"/>
                <w:sz w:val="21"/>
                <w:szCs w:val="21"/>
                <w:highlight w:val="none"/>
                <w:u w:val="single"/>
                <w:lang w:val="en-US" w:eastAsia="zh-CN"/>
              </w:rPr>
              <w:t>（7）</w:t>
            </w:r>
            <w:r>
              <w:rPr>
                <w:rFonts w:hint="default" w:ascii="Times New Roman" w:hAnsi="Times New Roman"/>
                <w:color w:val="auto"/>
                <w:sz w:val="21"/>
                <w:szCs w:val="21"/>
                <w:highlight w:val="none"/>
                <w:u w:val="single"/>
                <w:lang w:val="en-US" w:eastAsia="zh-CN"/>
              </w:rPr>
              <w:t>项目桶装液体主要存放于甲类仓库1，项目仓库1、危废间均密闭、整体通风换气，置换的废气送新建RTO装置焚烧处理</w:t>
            </w:r>
            <w:r>
              <w:rPr>
                <w:rFonts w:hint="eastAsia" w:ascii="Times New Roman" w:hAnsi="Times New Roman"/>
                <w:color w:val="auto"/>
                <w:sz w:val="21"/>
                <w:szCs w:val="21"/>
                <w:highlight w:val="none"/>
                <w:u w:val="single"/>
                <w:lang w:val="en-US" w:eastAsia="zh-CN"/>
              </w:rPr>
              <w:t>；</w:t>
            </w:r>
          </w:p>
          <w:p>
            <w:pPr>
              <w:widowControl w:val="0"/>
              <w:bidi w:val="0"/>
              <w:adjustRightInd w:val="0"/>
              <w:snapToGrid w:val="0"/>
              <w:spacing w:line="240" w:lineRule="auto"/>
              <w:ind w:firstLine="0" w:firstLineChars="0"/>
              <w:jc w:val="left"/>
              <w:rPr>
                <w:rFonts w:hint="eastAsia" w:ascii="Times New Roman" w:hAnsi="Times New Roman"/>
                <w:color w:val="auto"/>
                <w:sz w:val="21"/>
                <w:szCs w:val="21"/>
                <w:highlight w:val="none"/>
                <w:u w:val="single"/>
                <w:lang w:val="en-US" w:eastAsia="zh-CN"/>
              </w:rPr>
            </w:pPr>
            <w:r>
              <w:rPr>
                <w:rFonts w:hint="eastAsia" w:ascii="Times New Roman" w:hAnsi="Times New Roman"/>
                <w:color w:val="auto"/>
                <w:sz w:val="21"/>
                <w:szCs w:val="21"/>
                <w:highlight w:val="none"/>
                <w:u w:val="single"/>
                <w:lang w:val="en-US" w:eastAsia="zh-CN"/>
              </w:rPr>
              <w:t>（8）根据相关规范要求及时对危废炉与RTO在线监测设施进行调试，尽快完成废气在线监测设施验收，并与生态环境管理部门联网；</w:t>
            </w:r>
          </w:p>
          <w:p>
            <w:pPr>
              <w:widowControl w:val="0"/>
              <w:bidi w:val="0"/>
              <w:adjustRightInd w:val="0"/>
              <w:snapToGrid w:val="0"/>
              <w:spacing w:line="240" w:lineRule="auto"/>
              <w:ind w:firstLine="0" w:firstLineChars="0"/>
              <w:jc w:val="left"/>
              <w:rPr>
                <w:rFonts w:hint="default" w:ascii="Times New Roman" w:hAnsi="Times New Roman"/>
                <w:color w:val="auto"/>
                <w:sz w:val="21"/>
                <w:szCs w:val="21"/>
                <w:highlight w:val="none"/>
                <w:u w:val="single"/>
                <w:lang w:val="en-US" w:eastAsia="zh-CN"/>
              </w:rPr>
            </w:pPr>
            <w:r>
              <w:rPr>
                <w:rFonts w:hint="eastAsia" w:ascii="Times New Roman" w:hAnsi="Times New Roman"/>
                <w:color w:val="auto"/>
                <w:sz w:val="21"/>
                <w:szCs w:val="21"/>
                <w:highlight w:val="none"/>
                <w:u w:val="single"/>
                <w:lang w:val="en-US" w:eastAsia="zh-CN"/>
              </w:rPr>
              <w:t>（9）</w:t>
            </w:r>
            <w:r>
              <w:rPr>
                <w:rFonts w:hint="default" w:ascii="Times New Roman" w:hAnsi="Times New Roman"/>
                <w:color w:val="auto"/>
                <w:sz w:val="21"/>
                <w:szCs w:val="21"/>
                <w:highlight w:val="none"/>
                <w:u w:val="single"/>
                <w:lang w:val="en-US" w:eastAsia="zh-CN"/>
              </w:rPr>
              <w:t>危废库与液体化学品库应设置导流槽与收集井，或在危废间与液体化学品库门口设置围堰或缓坡，确保液态物料</w:t>
            </w:r>
            <w:r>
              <w:rPr>
                <w:rFonts w:hint="eastAsia" w:ascii="Times New Roman" w:hAnsi="Times New Roman"/>
                <w:color w:val="auto"/>
                <w:sz w:val="21"/>
                <w:szCs w:val="21"/>
                <w:highlight w:val="none"/>
                <w:u w:val="single"/>
                <w:lang w:val="en-US" w:eastAsia="zh-CN"/>
              </w:rPr>
              <w:t>泄漏</w:t>
            </w:r>
            <w:r>
              <w:rPr>
                <w:rFonts w:hint="default" w:ascii="Times New Roman" w:hAnsi="Times New Roman"/>
                <w:color w:val="auto"/>
                <w:sz w:val="21"/>
                <w:szCs w:val="21"/>
                <w:highlight w:val="none"/>
                <w:u w:val="single"/>
                <w:lang w:val="en-US" w:eastAsia="zh-CN"/>
              </w:rPr>
              <w:t>后不会溢流至危废间与化学品库外部。</w:t>
            </w:r>
          </w:p>
          <w:p>
            <w:pPr>
              <w:widowControl w:val="0"/>
              <w:bidi w:val="0"/>
              <w:adjustRightInd w:val="0"/>
              <w:snapToGrid w:val="0"/>
              <w:spacing w:line="240" w:lineRule="auto"/>
              <w:ind w:firstLine="0" w:firstLineChars="0"/>
              <w:jc w:val="left"/>
              <w:rPr>
                <w:rFonts w:hint="eastAsia" w:ascii="Times New Roman" w:hAnsi="Times New Roman"/>
                <w:color w:val="auto"/>
                <w:sz w:val="21"/>
                <w:szCs w:val="21"/>
                <w:highlight w:val="none"/>
                <w:u w:val="single"/>
                <w:lang w:val="en-US" w:eastAsia="zh-CN"/>
              </w:rPr>
            </w:pPr>
            <w:r>
              <w:rPr>
                <w:rFonts w:hint="eastAsia" w:ascii="Times New Roman" w:hAnsi="Times New Roman"/>
                <w:color w:val="auto"/>
                <w:sz w:val="21"/>
                <w:szCs w:val="21"/>
                <w:highlight w:val="none"/>
                <w:u w:val="single"/>
                <w:lang w:val="en-US" w:eastAsia="zh-CN"/>
              </w:rPr>
              <w:t>（10）根据企业安全诊断报告增加检测报警装置；定期对生产装置，特别是动力装置进行检修，避免老旧设备因漏电、摩擦导致起火；增加沙袋等应急物质，确保事故发生后废水不会进入雨水管网；</w:t>
            </w:r>
          </w:p>
          <w:p>
            <w:pPr>
              <w:widowControl w:val="0"/>
              <w:bidi w:val="0"/>
              <w:adjustRightInd w:val="0"/>
              <w:snapToGrid w:val="0"/>
              <w:spacing w:line="240" w:lineRule="auto"/>
              <w:ind w:firstLine="0" w:firstLineChars="0"/>
              <w:jc w:val="left"/>
              <w:rPr>
                <w:rFonts w:hint="eastAsia" w:ascii="Times New Roman" w:hAnsi="Times New Roman"/>
                <w:color w:val="auto"/>
                <w:sz w:val="21"/>
                <w:szCs w:val="21"/>
                <w:highlight w:val="none"/>
                <w:u w:val="single"/>
                <w:lang w:val="en-US" w:eastAsia="zh-CN"/>
              </w:rPr>
            </w:pPr>
            <w:r>
              <w:rPr>
                <w:rFonts w:hint="eastAsia" w:ascii="Times New Roman" w:hAnsi="Times New Roman"/>
                <w:color w:val="auto"/>
                <w:sz w:val="21"/>
                <w:szCs w:val="21"/>
                <w:highlight w:val="none"/>
                <w:u w:val="single"/>
                <w:lang w:val="en-US" w:eastAsia="zh-CN"/>
              </w:rPr>
              <w:t>（11）化验室废气经通风橱收集后导入新建RTO焚烧处置</w:t>
            </w:r>
          </w:p>
          <w:p>
            <w:pPr>
              <w:widowControl w:val="0"/>
              <w:bidi w:val="0"/>
              <w:adjustRightInd w:val="0"/>
              <w:snapToGrid w:val="0"/>
              <w:spacing w:line="240" w:lineRule="auto"/>
              <w:ind w:firstLine="0" w:firstLineChars="0"/>
              <w:jc w:val="left"/>
              <w:rPr>
                <w:rFonts w:hint="default" w:ascii="Times New Roman" w:hAnsi="Times New Roman"/>
                <w:color w:val="auto"/>
                <w:sz w:val="24"/>
                <w:highlight w:val="none"/>
                <w:lang w:val="en-US" w:eastAsia="zh-CN"/>
              </w:rPr>
            </w:pPr>
            <w:r>
              <w:rPr>
                <w:rFonts w:hint="eastAsia" w:ascii="Times New Roman" w:hAnsi="Times New Roman"/>
                <w:color w:val="auto"/>
                <w:sz w:val="21"/>
                <w:szCs w:val="21"/>
                <w:highlight w:val="none"/>
                <w:u w:val="single"/>
                <w:lang w:val="en-US" w:eastAsia="zh-CN"/>
              </w:rPr>
              <w:t>（12）按照企业排污许可证要求，</w:t>
            </w:r>
            <w:r>
              <w:rPr>
                <w:rFonts w:hint="eastAsia"/>
                <w:color w:val="auto"/>
                <w:sz w:val="21"/>
                <w:szCs w:val="21"/>
                <w:highlight w:val="none"/>
                <w:u w:val="single"/>
                <w:lang w:val="en-US" w:eastAsia="zh-CN"/>
              </w:rPr>
              <w:t>现有</w:t>
            </w:r>
            <w:r>
              <w:rPr>
                <w:rFonts w:hint="eastAsia" w:ascii="Times New Roman" w:hAnsi="Times New Roman"/>
                <w:color w:val="auto"/>
                <w:sz w:val="21"/>
                <w:szCs w:val="21"/>
                <w:highlight w:val="none"/>
                <w:u w:val="single"/>
                <w:lang w:val="en-US" w:eastAsia="zh-CN"/>
              </w:rPr>
              <w:t>RTO废气每年需监测臭气浓度1次。</w:t>
            </w:r>
          </w:p>
        </w:tc>
        <w:tc>
          <w:tcPr>
            <w:tcW w:w="949" w:type="pct"/>
            <w:tcBorders>
              <w:left w:val="single" w:color="auto" w:sz="4" w:space="0"/>
              <w:right w:val="single" w:color="auto" w:sz="4" w:space="0"/>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lang w:val="en-US" w:eastAsia="zh-CN" w:bidi="ar-SA"/>
              </w:rPr>
            </w:pPr>
            <w:r>
              <w:rPr>
                <w:rFonts w:hint="eastAsia" w:ascii="Times New Roman" w:hAnsi="Times New Roman" w:eastAsia="宋体" w:cs="Times New Roman"/>
                <w:b w:val="0"/>
                <w:bCs/>
                <w:color w:val="auto"/>
                <w:kern w:val="2"/>
                <w:sz w:val="21"/>
                <w:szCs w:val="21"/>
                <w:highlight w:val="none"/>
                <w:u w:val="none"/>
                <w:lang w:val="en-US" w:eastAsia="zh-CN" w:bidi="ar-SA"/>
              </w:rPr>
              <w:t>/</w:t>
            </w:r>
          </w:p>
        </w:tc>
      </w:tr>
    </w:tbl>
    <w:p>
      <w:pPr>
        <w:pStyle w:val="5"/>
        <w:rPr>
          <w:rFonts w:hint="default" w:ascii="Times New Roman" w:hAnsi="Times New Roman" w:eastAsia="宋体" w:cs="Times New Roman"/>
          <w:b/>
          <w:bCs/>
          <w:color w:val="auto"/>
          <w:kern w:val="2"/>
          <w:sz w:val="24"/>
          <w:szCs w:val="24"/>
          <w:highlight w:val="none"/>
          <w:u w:val="none"/>
          <w:lang w:val="en-US" w:eastAsia="zh-CN" w:bidi="ar-SA"/>
        </w:rPr>
      </w:pPr>
    </w:p>
    <w:p>
      <w:pPr>
        <w:rPr>
          <w:rFonts w:hint="default"/>
          <w:color w:val="auto"/>
          <w:highlight w:val="none"/>
          <w:u w:val="none"/>
          <w:lang w:val="en-US" w:eastAsia="zh-CN"/>
        </w:rPr>
      </w:pPr>
    </w:p>
    <w:p>
      <w:pPr>
        <w:spacing w:line="520" w:lineRule="exact"/>
        <w:rPr>
          <w:rFonts w:hint="default" w:ascii="Times New Roman" w:hAnsi="Times New Roman" w:cs="Times New Roman"/>
          <w:color w:val="auto"/>
          <w:highlight w:val="none"/>
          <w:u w:val="none"/>
        </w:rPr>
        <w:sectPr>
          <w:pgSz w:w="11905" w:h="16838"/>
          <w:pgMar w:top="1701" w:right="1587" w:bottom="1701" w:left="1587"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default" w:ascii="Times New Roman" w:hAnsi="Times New Roman" w:eastAsia="宋体" w:cs="Times New Roman"/>
          <w:b/>
          <w:bCs/>
          <w:color w:val="auto"/>
          <w:kern w:val="2"/>
          <w:sz w:val="24"/>
          <w:szCs w:val="24"/>
          <w:highlight w:val="none"/>
          <w:u w:val="none"/>
          <w:lang w:val="en-US" w:eastAsia="zh-CN" w:bidi="ar-SA"/>
        </w:rPr>
        <w:br w:type="page"/>
      </w:r>
    </w:p>
    <w:p>
      <w:pPr>
        <w:pStyle w:val="3"/>
        <w:bidi w:val="0"/>
        <w:rPr>
          <w:rFonts w:hint="default"/>
          <w:color w:val="auto"/>
          <w:highlight w:val="none"/>
          <w:u w:val="none"/>
          <w:lang w:val="en-US" w:eastAsia="zh-CN"/>
        </w:rPr>
      </w:pPr>
      <w:bookmarkStart w:id="272" w:name="_Toc363621698"/>
      <w:bookmarkStart w:id="273" w:name="_Toc24403"/>
      <w:bookmarkStart w:id="274" w:name="_Toc20633"/>
      <w:bookmarkStart w:id="275" w:name="_Toc13293"/>
      <w:bookmarkStart w:id="276" w:name="_Toc21837"/>
      <w:bookmarkStart w:id="277" w:name="_Toc8383"/>
      <w:r>
        <w:rPr>
          <w:rFonts w:hint="default"/>
          <w:color w:val="auto"/>
          <w:highlight w:val="none"/>
          <w:u w:val="none"/>
          <w:lang w:val="en-US" w:eastAsia="zh-CN"/>
        </w:rPr>
        <w:t>总量控制</w:t>
      </w:r>
      <w:bookmarkEnd w:id="272"/>
      <w:r>
        <w:rPr>
          <w:rFonts w:hint="default"/>
          <w:color w:val="auto"/>
          <w:highlight w:val="none"/>
          <w:u w:val="none"/>
          <w:lang w:val="en-US" w:eastAsia="zh-CN"/>
        </w:rPr>
        <w:t>分析</w:t>
      </w:r>
      <w:bookmarkEnd w:id="273"/>
      <w:bookmarkEnd w:id="274"/>
      <w:bookmarkEnd w:id="275"/>
      <w:bookmarkEnd w:id="276"/>
      <w:bookmarkEnd w:id="277"/>
    </w:p>
    <w:p>
      <w:pPr>
        <w:bidi w:val="0"/>
        <w:rPr>
          <w:rFonts w:hint="eastAsia"/>
          <w:color w:val="auto"/>
          <w:highlight w:val="none"/>
          <w:u w:val="none"/>
          <w:lang w:val="en-US" w:eastAsia="zh-CN"/>
        </w:rPr>
      </w:pPr>
      <w:r>
        <w:rPr>
          <w:rFonts w:hint="default" w:ascii="Times New Roman" w:hAnsi="Times New Roman" w:eastAsia="宋体" w:cs="Times New Roman"/>
          <w:b w:val="0"/>
          <w:bCs w:val="0"/>
          <w:color w:val="auto"/>
          <w:kern w:val="0"/>
          <w:szCs w:val="24"/>
          <w:highlight w:val="none"/>
          <w:u w:val="none"/>
          <w:lang w:val="en-US" w:eastAsia="zh-CN" w:bidi="ar-SA"/>
        </w:rPr>
        <w:t>根据《关于印发建设项目主要污染物排放总量指标审核及管理暂行办法的通知》（环境保护部环发[2014]197号）、</w:t>
      </w:r>
      <w:r>
        <w:rPr>
          <w:rFonts w:hint="default" w:ascii="Times New Roman" w:hAnsi="Times New Roman" w:eastAsia="宋体" w:cs="Times New Roman"/>
          <w:color w:val="auto"/>
          <w:szCs w:val="24"/>
          <w:highlight w:val="none"/>
          <w:u w:val="none"/>
          <w:lang w:val="en-US" w:eastAsia="zh-CN"/>
        </w:rPr>
        <w:t>《河南省人民政府关于印发河南省“十四五”生态环境保护和生态经济发展规划的通知》（豫政〔2021〕44号）</w:t>
      </w:r>
      <w:r>
        <w:rPr>
          <w:rFonts w:hint="default" w:ascii="Times New Roman" w:hAnsi="Times New Roman" w:eastAsia="宋体" w:cs="Times New Roman"/>
          <w:b w:val="0"/>
          <w:bCs w:val="0"/>
          <w:color w:val="auto"/>
          <w:kern w:val="0"/>
          <w:szCs w:val="24"/>
          <w:highlight w:val="none"/>
          <w:u w:val="none"/>
          <w:lang w:val="en-US" w:eastAsia="zh-CN" w:bidi="ar-SA"/>
        </w:rPr>
        <w:t>等相关文件要求，结合</w:t>
      </w:r>
      <w:r>
        <w:rPr>
          <w:rFonts w:hint="eastAsia" w:eastAsia="宋体" w:cs="Times New Roman"/>
          <w:b w:val="0"/>
          <w:bCs w:val="0"/>
          <w:color w:val="auto"/>
          <w:kern w:val="0"/>
          <w:szCs w:val="24"/>
          <w:highlight w:val="none"/>
          <w:u w:val="none"/>
          <w:lang w:val="en-US" w:eastAsia="zh-CN" w:bidi="ar-SA"/>
        </w:rPr>
        <w:t>柘城县相关以要求及</w:t>
      </w:r>
      <w:r>
        <w:rPr>
          <w:rFonts w:hint="default" w:ascii="Times New Roman" w:hAnsi="Times New Roman" w:eastAsia="宋体" w:cs="Times New Roman"/>
          <w:b w:val="0"/>
          <w:bCs w:val="0"/>
          <w:color w:val="auto"/>
          <w:kern w:val="0"/>
          <w:szCs w:val="24"/>
          <w:highlight w:val="none"/>
          <w:u w:val="none"/>
          <w:lang w:val="en-US" w:eastAsia="zh-CN" w:bidi="ar-SA"/>
        </w:rPr>
        <w:t>本项目污染物排放特征，需申请大气污染物总量控制指标的污染因子包括二氧化硫、氮氧化物与挥发性有机物（以非甲烷总烃表征），需申请废水污染物总量控制指标包括化学需氧量与氨</w:t>
      </w:r>
      <w:r>
        <w:rPr>
          <w:rFonts w:hint="default"/>
          <w:color w:val="auto"/>
          <w:highlight w:val="none"/>
          <w:u w:val="none"/>
          <w:lang w:val="en-US" w:eastAsia="zh-CN"/>
        </w:rPr>
        <w:t>氮</w:t>
      </w:r>
      <w:r>
        <w:rPr>
          <w:rFonts w:hint="eastAsia"/>
          <w:color w:val="auto"/>
          <w:highlight w:val="none"/>
          <w:u w:val="none"/>
          <w:lang w:val="en-US" w:eastAsia="zh-CN"/>
        </w:rPr>
        <w:t>。</w:t>
      </w:r>
    </w:p>
    <w:p>
      <w:pPr>
        <w:bidi w:val="0"/>
        <w:rPr>
          <w:rFonts w:hint="eastAsia"/>
          <w:color w:val="auto"/>
          <w:highlight w:val="none"/>
          <w:u w:val="none"/>
          <w:lang w:val="en-US" w:eastAsia="zh-CN"/>
        </w:rPr>
      </w:pPr>
      <w:r>
        <w:rPr>
          <w:rFonts w:hint="eastAsia" w:ascii="Times New Roman" w:eastAsia="宋体"/>
          <w:color w:val="auto"/>
          <w:highlight w:val="none"/>
          <w:u w:val="none"/>
          <w:lang w:val="en-US" w:eastAsia="zh-CN"/>
        </w:rPr>
        <w:t>根据《河南华商药业有限公司年产60吨缬沙坦、70吨厄贝沙坦、15吨坎地沙坦酯和240吨氰基联苯扩建项目现状环境影响评估报告》，现有工程总量控制指标为</w:t>
      </w:r>
      <w:r>
        <w:rPr>
          <w:rFonts w:hint="eastAsia" w:eastAsia="宋体"/>
          <w:color w:val="auto"/>
          <w:highlight w:val="none"/>
          <w:u w:val="none"/>
          <w:lang w:eastAsia="zh-CN"/>
        </w:rPr>
        <w:t>：</w:t>
      </w:r>
      <w:r>
        <w:rPr>
          <w:rFonts w:hint="eastAsia" w:cs="??"/>
          <w:color w:val="auto"/>
          <w:kern w:val="2"/>
          <w:sz w:val="24"/>
          <w:szCs w:val="24"/>
          <w:highlight w:val="none"/>
          <w:u w:val="none"/>
          <w:lang w:val="en-US" w:eastAsia="zh-CN" w:bidi="ar-SA"/>
        </w:rPr>
        <w:t>SO</w:t>
      </w:r>
      <w:r>
        <w:rPr>
          <w:rFonts w:hint="eastAsia" w:cs="??"/>
          <w:color w:val="auto"/>
          <w:kern w:val="2"/>
          <w:sz w:val="24"/>
          <w:szCs w:val="24"/>
          <w:highlight w:val="none"/>
          <w:u w:val="none"/>
          <w:vertAlign w:val="subscript"/>
          <w:lang w:val="en-US" w:eastAsia="zh-CN" w:bidi="ar-SA"/>
        </w:rPr>
        <w:t>2</w:t>
      </w:r>
      <w:r>
        <w:rPr>
          <w:rFonts w:hint="eastAsia" w:cs="??"/>
          <w:color w:val="auto"/>
          <w:kern w:val="2"/>
          <w:sz w:val="24"/>
          <w:szCs w:val="24"/>
          <w:highlight w:val="none"/>
          <w:u w:val="none"/>
          <w:lang w:val="en-US" w:eastAsia="zh-CN" w:bidi="ar-SA"/>
        </w:rPr>
        <w:t xml:space="preserve"> 8.01t/a、</w:t>
      </w:r>
      <w:r>
        <w:rPr>
          <w:rFonts w:cs="??"/>
          <w:color w:val="auto"/>
          <w:sz w:val="24"/>
          <w:szCs w:val="24"/>
          <w:highlight w:val="none"/>
          <w:u w:val="none"/>
        </w:rPr>
        <w:t>NOx</w:t>
      </w:r>
      <w:r>
        <w:rPr>
          <w:rFonts w:hint="eastAsia" w:cs="??"/>
          <w:color w:val="auto"/>
          <w:sz w:val="24"/>
          <w:szCs w:val="24"/>
          <w:highlight w:val="none"/>
          <w:u w:val="none"/>
          <w:lang w:val="en-US" w:eastAsia="zh-CN"/>
        </w:rPr>
        <w:t xml:space="preserve"> </w:t>
      </w:r>
      <w:r>
        <w:rPr>
          <w:rFonts w:hint="eastAsia" w:ascii="Times New Roman" w:hAnsi="Times New Roman" w:eastAsia="宋体" w:cs="??"/>
          <w:color w:val="auto"/>
          <w:kern w:val="2"/>
          <w:sz w:val="24"/>
          <w:szCs w:val="24"/>
          <w:highlight w:val="none"/>
          <w:u w:val="none"/>
          <w:lang w:val="en-US" w:eastAsia="zh-CN" w:bidi="ar-SA"/>
        </w:rPr>
        <w:t>9.27</w:t>
      </w:r>
      <w:r>
        <w:rPr>
          <w:rFonts w:hint="eastAsia" w:cs="??"/>
          <w:color w:val="auto"/>
          <w:sz w:val="24"/>
          <w:szCs w:val="24"/>
          <w:highlight w:val="none"/>
          <w:u w:val="none"/>
          <w:lang w:val="en-US" w:eastAsia="zh-CN"/>
        </w:rPr>
        <w:t>t/a</w:t>
      </w:r>
      <w:r>
        <w:rPr>
          <w:rFonts w:hint="eastAsia" w:cs="??"/>
          <w:color w:val="auto"/>
          <w:kern w:val="2"/>
          <w:sz w:val="24"/>
          <w:szCs w:val="24"/>
          <w:highlight w:val="none"/>
          <w:u w:val="none"/>
          <w:lang w:val="en-US" w:eastAsia="zh-CN" w:bidi="ar-SA"/>
        </w:rPr>
        <w:t>、</w:t>
      </w:r>
      <w:r>
        <w:rPr>
          <w:rFonts w:cs="??"/>
          <w:color w:val="auto"/>
          <w:sz w:val="24"/>
          <w:szCs w:val="24"/>
          <w:highlight w:val="none"/>
          <w:u w:val="none"/>
        </w:rPr>
        <w:t>COD</w:t>
      </w:r>
      <w:r>
        <w:rPr>
          <w:rFonts w:hint="eastAsia" w:cs="??"/>
          <w:color w:val="auto"/>
          <w:sz w:val="24"/>
          <w:szCs w:val="24"/>
          <w:highlight w:val="none"/>
          <w:u w:val="none"/>
          <w:lang w:val="en-US" w:eastAsia="zh-CN"/>
        </w:rPr>
        <w:t xml:space="preserve"> </w:t>
      </w:r>
      <w:r>
        <w:rPr>
          <w:rFonts w:hint="eastAsia" w:ascii="Times New Roman" w:hAnsi="Times New Roman" w:eastAsia="宋体" w:cs="??"/>
          <w:color w:val="auto"/>
          <w:kern w:val="2"/>
          <w:sz w:val="24"/>
          <w:szCs w:val="24"/>
          <w:highlight w:val="none"/>
          <w:u w:val="none"/>
          <w:lang w:val="en-US" w:eastAsia="zh-CN" w:bidi="ar-SA"/>
        </w:rPr>
        <w:t>14.5</w:t>
      </w:r>
      <w:r>
        <w:rPr>
          <w:rFonts w:hint="eastAsia" w:cs="??"/>
          <w:color w:val="auto"/>
          <w:sz w:val="24"/>
          <w:szCs w:val="24"/>
          <w:highlight w:val="none"/>
          <w:u w:val="none"/>
          <w:lang w:val="en-US" w:eastAsia="zh-CN"/>
        </w:rPr>
        <w:t>t/a、</w:t>
      </w:r>
      <w:r>
        <w:rPr>
          <w:rFonts w:cs="??"/>
          <w:color w:val="auto"/>
          <w:sz w:val="24"/>
          <w:szCs w:val="24"/>
          <w:highlight w:val="none"/>
          <w:u w:val="none"/>
        </w:rPr>
        <w:t>NH</w:t>
      </w:r>
      <w:r>
        <w:rPr>
          <w:rFonts w:cs="??"/>
          <w:color w:val="auto"/>
          <w:sz w:val="24"/>
          <w:szCs w:val="24"/>
          <w:highlight w:val="none"/>
          <w:u w:val="none"/>
          <w:vertAlign w:val="subscript"/>
        </w:rPr>
        <w:t>3</w:t>
      </w:r>
      <w:r>
        <w:rPr>
          <w:rFonts w:cs="??"/>
          <w:color w:val="auto"/>
          <w:sz w:val="24"/>
          <w:szCs w:val="24"/>
          <w:highlight w:val="none"/>
          <w:u w:val="none"/>
        </w:rPr>
        <w:t>-N</w:t>
      </w:r>
      <w:r>
        <w:rPr>
          <w:rFonts w:hint="eastAsia" w:cs="??"/>
          <w:color w:val="auto"/>
          <w:sz w:val="24"/>
          <w:szCs w:val="24"/>
          <w:highlight w:val="none"/>
          <w:u w:val="none"/>
          <w:lang w:val="en-US" w:eastAsia="zh-CN"/>
        </w:rPr>
        <w:t xml:space="preserve"> </w:t>
      </w:r>
      <w:r>
        <w:rPr>
          <w:rFonts w:hint="eastAsia" w:ascii="Times New Roman" w:hAnsi="Times New Roman" w:eastAsia="宋体" w:cs="??"/>
          <w:color w:val="auto"/>
          <w:kern w:val="2"/>
          <w:sz w:val="24"/>
          <w:szCs w:val="24"/>
          <w:highlight w:val="none"/>
          <w:u w:val="none"/>
          <w:lang w:val="en-US" w:eastAsia="zh-CN" w:bidi="ar-SA"/>
        </w:rPr>
        <w:t>1.5</w:t>
      </w:r>
      <w:r>
        <w:rPr>
          <w:rFonts w:hint="eastAsia" w:cs="??"/>
          <w:color w:val="auto"/>
          <w:sz w:val="24"/>
          <w:szCs w:val="24"/>
          <w:highlight w:val="none"/>
          <w:u w:val="none"/>
          <w:lang w:val="en-US" w:eastAsia="zh-CN"/>
        </w:rPr>
        <w:t>t/a。</w:t>
      </w:r>
    </w:p>
    <w:p>
      <w:pPr>
        <w:bidi w:val="0"/>
        <w:rPr>
          <w:rFonts w:hint="default"/>
          <w:color w:val="auto"/>
          <w:highlight w:val="none"/>
          <w:u w:val="none"/>
          <w:lang w:val="en-US" w:eastAsia="zh-CN"/>
        </w:rPr>
      </w:pPr>
      <w:r>
        <w:rPr>
          <w:rFonts w:hint="eastAsia"/>
          <w:color w:val="auto"/>
          <w:highlight w:val="none"/>
          <w:u w:val="none"/>
          <w:lang w:val="en-US" w:eastAsia="zh-CN"/>
        </w:rPr>
        <w:t>根据企业2022年9月重新申报的排污许可，现有工程VOCs许可排放量为8.64t/a、</w:t>
      </w:r>
      <w:r>
        <w:rPr>
          <w:rFonts w:hint="eastAsia" w:cs="??"/>
          <w:color w:val="auto"/>
          <w:kern w:val="2"/>
          <w:sz w:val="24"/>
          <w:szCs w:val="24"/>
          <w:highlight w:val="none"/>
          <w:u w:val="none"/>
          <w:lang w:val="en-US" w:eastAsia="zh-CN" w:bidi="ar-SA"/>
        </w:rPr>
        <w:t>SO</w:t>
      </w:r>
      <w:r>
        <w:rPr>
          <w:rFonts w:hint="eastAsia" w:cs="??"/>
          <w:color w:val="auto"/>
          <w:kern w:val="2"/>
          <w:sz w:val="24"/>
          <w:szCs w:val="24"/>
          <w:highlight w:val="none"/>
          <w:u w:val="none"/>
          <w:vertAlign w:val="subscript"/>
          <w:lang w:val="en-US" w:eastAsia="zh-CN" w:bidi="ar-SA"/>
        </w:rPr>
        <w:t>2</w:t>
      </w:r>
      <w:r>
        <w:rPr>
          <w:rFonts w:hint="eastAsia"/>
          <w:color w:val="auto"/>
          <w:highlight w:val="none"/>
          <w:u w:val="none"/>
          <w:lang w:val="en-US" w:eastAsia="zh-CN"/>
        </w:rPr>
        <w:t>许可排放量为</w:t>
      </w:r>
      <w:r>
        <w:rPr>
          <w:rFonts w:hint="eastAsia" w:cs="??"/>
          <w:color w:val="auto"/>
          <w:sz w:val="24"/>
          <w:szCs w:val="24"/>
          <w:highlight w:val="none"/>
          <w:u w:val="none"/>
          <w:lang w:val="en-US" w:eastAsia="zh-CN"/>
        </w:rPr>
        <w:t>14.7492t/a</w:t>
      </w:r>
      <w:r>
        <w:rPr>
          <w:rFonts w:hint="eastAsia"/>
          <w:color w:val="auto"/>
          <w:highlight w:val="none"/>
          <w:u w:val="none"/>
          <w:lang w:val="en-US" w:eastAsia="zh-CN"/>
        </w:rPr>
        <w:t>、</w:t>
      </w:r>
      <w:r>
        <w:rPr>
          <w:rFonts w:cs="??"/>
          <w:color w:val="auto"/>
          <w:sz w:val="24"/>
          <w:szCs w:val="24"/>
          <w:highlight w:val="none"/>
          <w:u w:val="none"/>
        </w:rPr>
        <w:t>NOx</w:t>
      </w:r>
      <w:r>
        <w:rPr>
          <w:rFonts w:hint="eastAsia" w:cs="??"/>
          <w:color w:val="auto"/>
          <w:sz w:val="24"/>
          <w:szCs w:val="24"/>
          <w:highlight w:val="none"/>
          <w:u w:val="none"/>
          <w:lang w:val="en-US" w:eastAsia="zh-CN"/>
        </w:rPr>
        <w:t>许可排放量为24.4332t/a</w:t>
      </w:r>
      <w:r>
        <w:rPr>
          <w:rFonts w:hint="eastAsia"/>
          <w:color w:val="auto"/>
          <w:highlight w:val="none"/>
          <w:u w:val="none"/>
          <w:lang w:val="en-US" w:eastAsia="zh-CN"/>
        </w:rPr>
        <w:t>。</w:t>
      </w:r>
    </w:p>
    <w:p>
      <w:pPr>
        <w:bidi w:val="0"/>
        <w:rPr>
          <w:rFonts w:hint="eastAsia"/>
          <w:color w:val="auto"/>
          <w:highlight w:val="none"/>
          <w:u w:val="none"/>
          <w:lang w:val="en-US" w:eastAsia="zh-CN"/>
        </w:rPr>
      </w:pPr>
      <w:r>
        <w:rPr>
          <w:rFonts w:hint="eastAsia"/>
          <w:color w:val="auto"/>
          <w:highlight w:val="none"/>
          <w:u w:val="none"/>
          <w:lang w:val="en-US" w:eastAsia="zh-CN"/>
        </w:rPr>
        <w:t>综上，河南华商药业有限公司现有工程主要污染物排放总量控制指标为：SO</w:t>
      </w:r>
      <w:r>
        <w:rPr>
          <w:rFonts w:hint="eastAsia"/>
          <w:color w:val="auto"/>
          <w:highlight w:val="none"/>
          <w:u w:val="none"/>
          <w:vertAlign w:val="subscript"/>
          <w:lang w:val="en-US" w:eastAsia="zh-CN"/>
        </w:rPr>
        <w:t xml:space="preserve">2 </w:t>
      </w:r>
      <w:r>
        <w:rPr>
          <w:rFonts w:hint="eastAsia"/>
          <w:color w:val="auto"/>
          <w:highlight w:val="none"/>
          <w:u w:val="none"/>
          <w:lang w:val="en-US" w:eastAsia="zh-CN"/>
        </w:rPr>
        <w:t>14.7492t/a、NOx 24.4332t/a、VOCs8.64t/a、COD 14.5t/a、NH</w:t>
      </w:r>
      <w:r>
        <w:rPr>
          <w:rFonts w:hint="eastAsia"/>
          <w:color w:val="auto"/>
          <w:highlight w:val="none"/>
          <w:u w:val="none"/>
          <w:vertAlign w:val="subscript"/>
          <w:lang w:val="en-US" w:eastAsia="zh-CN"/>
        </w:rPr>
        <w:t>3</w:t>
      </w:r>
      <w:r>
        <w:rPr>
          <w:rFonts w:hint="eastAsia"/>
          <w:color w:val="auto"/>
          <w:highlight w:val="none"/>
          <w:u w:val="none"/>
          <w:lang w:val="en-US" w:eastAsia="zh-CN"/>
        </w:rPr>
        <w:t>-N 1.5t/a。</w:t>
      </w:r>
    </w:p>
    <w:p>
      <w:pPr>
        <w:pStyle w:val="4"/>
        <w:bidi w:val="0"/>
        <w:rPr>
          <w:rFonts w:hint="default"/>
          <w:color w:val="auto"/>
          <w:highlight w:val="none"/>
          <w:u w:val="none"/>
          <w:lang w:val="en-US" w:eastAsia="zh-CN"/>
        </w:rPr>
      </w:pPr>
      <w:bookmarkStart w:id="278" w:name="_Toc17928"/>
      <w:bookmarkStart w:id="279" w:name="_Toc21127"/>
      <w:bookmarkStart w:id="280" w:name="_Toc25418"/>
      <w:r>
        <w:rPr>
          <w:rFonts w:hint="default"/>
          <w:color w:val="auto"/>
          <w:highlight w:val="none"/>
          <w:u w:val="none"/>
          <w:lang w:val="en-US" w:eastAsia="zh-CN"/>
        </w:rPr>
        <w:t>废水</w:t>
      </w:r>
      <w:bookmarkEnd w:id="278"/>
      <w:bookmarkEnd w:id="279"/>
      <w:bookmarkEnd w:id="280"/>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根据工程分析，</w:t>
      </w:r>
      <w:r>
        <w:rPr>
          <w:rFonts w:hint="eastAsia" w:eastAsia="宋体" w:cs="Times New Roman"/>
          <w:color w:val="auto"/>
          <w:sz w:val="24"/>
          <w:szCs w:val="24"/>
          <w:highlight w:val="none"/>
          <w:u w:val="none"/>
          <w:lang w:val="en-US" w:eastAsia="zh-CN"/>
        </w:rPr>
        <w:t>改建工程新增</w:t>
      </w:r>
      <w:r>
        <w:rPr>
          <w:rFonts w:hint="default" w:ascii="Times New Roman" w:hAnsi="Times New Roman" w:eastAsia="宋体" w:cs="Times New Roman"/>
          <w:color w:val="auto"/>
          <w:sz w:val="24"/>
          <w:szCs w:val="24"/>
          <w:highlight w:val="none"/>
          <w:u w:val="none"/>
          <w:lang w:val="en-US" w:eastAsia="zh-CN"/>
        </w:rPr>
        <w:t>废水排放总量为</w:t>
      </w:r>
      <w:r>
        <w:rPr>
          <w:rFonts w:hint="eastAsia" w:eastAsia="宋体" w:cs="Times New Roman"/>
          <w:color w:val="auto"/>
          <w:sz w:val="24"/>
          <w:szCs w:val="24"/>
          <w:highlight w:val="none"/>
          <w:u w:val="none"/>
          <w:lang w:val="en-US" w:eastAsia="zh-CN"/>
        </w:rPr>
        <w:t>306128.5</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3</w:t>
      </w:r>
      <w:r>
        <w:rPr>
          <w:rFonts w:hint="default" w:ascii="Times New Roman" w:hAnsi="Times New Roman" w:eastAsia="宋体" w:cs="Times New Roman"/>
          <w:color w:val="auto"/>
          <w:sz w:val="24"/>
          <w:szCs w:val="24"/>
          <w:highlight w:val="none"/>
          <w:u w:val="none"/>
          <w:lang w:val="en-US" w:eastAsia="zh-CN"/>
        </w:rPr>
        <w:t>/a</w:t>
      </w:r>
      <w:r>
        <w:rPr>
          <w:rFonts w:hint="eastAsia" w:eastAsia="宋体" w:cs="Times New Roman"/>
          <w:color w:val="auto"/>
          <w:sz w:val="24"/>
          <w:szCs w:val="24"/>
          <w:highlight w:val="none"/>
          <w:u w:val="none"/>
          <w:lang w:val="en-US" w:eastAsia="zh-CN"/>
        </w:rPr>
        <w:t>，现有工程废水排放总量245985</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3</w:t>
      </w:r>
      <w:r>
        <w:rPr>
          <w:rFonts w:hint="default" w:ascii="Times New Roman" w:hAnsi="Times New Roman" w:eastAsia="宋体" w:cs="Times New Roman"/>
          <w:color w:val="auto"/>
          <w:sz w:val="24"/>
          <w:szCs w:val="24"/>
          <w:highlight w:val="none"/>
          <w:u w:val="none"/>
          <w:lang w:val="en-US" w:eastAsia="zh-CN"/>
        </w:rPr>
        <w:t>/a</w:t>
      </w:r>
      <w:r>
        <w:rPr>
          <w:rFonts w:hint="eastAsia" w:eastAsia="宋体" w:cs="Times New Roman"/>
          <w:color w:val="auto"/>
          <w:sz w:val="24"/>
          <w:szCs w:val="24"/>
          <w:highlight w:val="none"/>
          <w:u w:val="none"/>
          <w:lang w:val="en-US" w:eastAsia="zh-CN"/>
        </w:rPr>
        <w:t>，以新带老削减量163485</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3</w:t>
      </w:r>
      <w:r>
        <w:rPr>
          <w:rFonts w:hint="default" w:ascii="Times New Roman" w:hAnsi="Times New Roman" w:eastAsia="宋体" w:cs="Times New Roman"/>
          <w:color w:val="auto"/>
          <w:sz w:val="24"/>
          <w:szCs w:val="24"/>
          <w:highlight w:val="none"/>
          <w:u w:val="none"/>
          <w:lang w:val="en-US" w:eastAsia="zh-CN"/>
        </w:rPr>
        <w:t>/a</w:t>
      </w:r>
      <w:r>
        <w:rPr>
          <w:rFonts w:hint="eastAsia" w:eastAsia="宋体" w:cs="Times New Roman"/>
          <w:color w:val="auto"/>
          <w:sz w:val="24"/>
          <w:szCs w:val="24"/>
          <w:highlight w:val="none"/>
          <w:u w:val="none"/>
          <w:lang w:val="en-US" w:eastAsia="zh-CN"/>
        </w:rPr>
        <w:t>，全厂排放总量388628.5</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3</w:t>
      </w:r>
      <w:r>
        <w:rPr>
          <w:rFonts w:hint="default" w:ascii="Times New Roman" w:hAnsi="Times New Roman" w:eastAsia="宋体" w:cs="Times New Roman"/>
          <w:color w:val="auto"/>
          <w:sz w:val="24"/>
          <w:szCs w:val="24"/>
          <w:highlight w:val="none"/>
          <w:u w:val="none"/>
          <w:lang w:val="en-US" w:eastAsia="zh-CN"/>
        </w:rPr>
        <w:t>/a。</w:t>
      </w:r>
    </w:p>
    <w:p>
      <w:pPr>
        <w:pStyle w:val="6"/>
        <w:bidi w:val="0"/>
        <w:rPr>
          <w:rFonts w:hint="default"/>
          <w:color w:val="auto"/>
          <w:highlight w:val="none"/>
          <w:u w:val="none"/>
          <w:lang w:val="en-US" w:eastAsia="zh-CN"/>
        </w:rPr>
      </w:pPr>
      <w:r>
        <w:rPr>
          <w:rFonts w:hint="eastAsia"/>
          <w:color w:val="auto"/>
          <w:highlight w:val="none"/>
          <w:u w:val="none"/>
          <w:lang w:val="en-US" w:eastAsia="zh-CN"/>
        </w:rPr>
        <w:t>出厂界的废水污染物排放量</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eastAsia="宋体" w:cs="Times New Roman"/>
          <w:color w:val="auto"/>
          <w:sz w:val="24"/>
          <w:szCs w:val="24"/>
          <w:highlight w:val="none"/>
          <w:u w:val="none"/>
          <w:lang w:val="en-US" w:eastAsia="zh-CN"/>
        </w:rPr>
        <w:t>（1）改建工程废水污染物出厂界排放量</w:t>
      </w:r>
    </w:p>
    <w:p>
      <w:pPr>
        <w:bidi w:val="0"/>
        <w:adjustRightInd w:val="0"/>
        <w:snapToGrid w:val="0"/>
        <w:spacing w:line="480" w:lineRule="exact"/>
        <w:ind w:firstLine="480" w:firstLineChars="200"/>
        <w:rPr>
          <w:rFonts w:hint="eastAsia" w:eastAsia="宋体" w:cs="Times New Roman"/>
          <w:color w:val="auto"/>
          <w:sz w:val="24"/>
          <w:szCs w:val="24"/>
          <w:highlight w:val="none"/>
          <w:u w:val="none"/>
          <w:lang w:val="en-US" w:eastAsia="zh-CN"/>
        </w:rPr>
      </w:pPr>
      <w:r>
        <w:rPr>
          <w:rFonts w:hint="eastAsia" w:eastAsia="宋体" w:cs="Times New Roman"/>
          <w:color w:val="auto"/>
          <w:sz w:val="24"/>
          <w:szCs w:val="24"/>
          <w:highlight w:val="none"/>
          <w:u w:val="none"/>
          <w:lang w:val="en-US" w:eastAsia="zh-CN"/>
        </w:rPr>
        <w:t>改建工程废水排放量306128.5</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3</w:t>
      </w:r>
      <w:r>
        <w:rPr>
          <w:rFonts w:hint="default" w:ascii="Times New Roman" w:hAnsi="Times New Roman" w:eastAsia="宋体" w:cs="Times New Roman"/>
          <w:color w:val="auto"/>
          <w:sz w:val="24"/>
          <w:szCs w:val="24"/>
          <w:highlight w:val="none"/>
          <w:u w:val="none"/>
          <w:lang w:val="en-US" w:eastAsia="zh-CN"/>
        </w:rPr>
        <w:t>/a</w:t>
      </w:r>
      <w:r>
        <w:rPr>
          <w:rFonts w:hint="eastAsia" w:eastAsia="宋体" w:cs="Times New Roman"/>
          <w:color w:val="auto"/>
          <w:sz w:val="24"/>
          <w:szCs w:val="24"/>
          <w:highlight w:val="none"/>
          <w:u w:val="none"/>
          <w:lang w:val="en-US" w:eastAsia="zh-CN"/>
        </w:rPr>
        <w:t>，出厂界废水排放浓度</w:t>
      </w:r>
      <w:r>
        <w:rPr>
          <w:rFonts w:hint="default" w:ascii="Times New Roman" w:hAnsi="Times New Roman" w:eastAsia="宋体" w:cs="Times New Roman"/>
          <w:color w:val="auto"/>
          <w:sz w:val="24"/>
          <w:szCs w:val="24"/>
          <w:highlight w:val="none"/>
          <w:u w:val="none"/>
          <w:lang w:val="en-US" w:eastAsia="zh-CN"/>
        </w:rPr>
        <w:t>COD</w:t>
      </w:r>
      <w:r>
        <w:rPr>
          <w:rFonts w:hint="eastAsia" w:cs="Times New Roman"/>
          <w:color w:val="auto"/>
          <w:highlight w:val="none"/>
          <w:u w:val="none"/>
          <w:lang w:val="en-US" w:eastAsia="zh-CN"/>
        </w:rPr>
        <w:t>107</w:t>
      </w:r>
      <w:r>
        <w:rPr>
          <w:rFonts w:hint="default" w:ascii="Times New Roman" w:hAnsi="Times New Roman" w:eastAsia="宋体" w:cs="Times New Roman"/>
          <w:color w:val="auto"/>
          <w:sz w:val="24"/>
          <w:szCs w:val="24"/>
          <w:highlight w:val="none"/>
          <w:u w:val="none"/>
          <w:lang w:val="en-US" w:eastAsia="zh-CN"/>
        </w:rPr>
        <w:t>mg/L、氨氮</w:t>
      </w:r>
      <w:r>
        <w:rPr>
          <w:rFonts w:hint="eastAsia" w:cs="Times New Roman"/>
          <w:color w:val="auto"/>
          <w:highlight w:val="none"/>
          <w:u w:val="none"/>
          <w:lang w:val="en-US" w:eastAsia="zh-CN"/>
        </w:rPr>
        <w:t>6.7</w:t>
      </w:r>
      <w:r>
        <w:rPr>
          <w:rFonts w:hint="default" w:ascii="Times New Roman" w:hAnsi="Times New Roman" w:eastAsia="宋体" w:cs="Times New Roman"/>
          <w:color w:val="auto"/>
          <w:sz w:val="24"/>
          <w:szCs w:val="24"/>
          <w:highlight w:val="none"/>
          <w:u w:val="none"/>
          <w:lang w:val="en-US" w:eastAsia="zh-CN"/>
        </w:rPr>
        <w:t>mg/L</w:t>
      </w:r>
      <w:r>
        <w:rPr>
          <w:rFonts w:hint="eastAsia" w:eastAsia="宋体" w:cs="Times New Roman"/>
          <w:color w:val="auto"/>
          <w:sz w:val="24"/>
          <w:szCs w:val="24"/>
          <w:highlight w:val="none"/>
          <w:u w:val="none"/>
          <w:lang w:val="en-US" w:eastAsia="zh-CN"/>
        </w:rPr>
        <w:t>。则改建工程废水污染物排放量计算如下：</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COD排放量=废水量</w:t>
      </w:r>
      <w:r>
        <w:rPr>
          <w:rFonts w:hint="default" w:ascii="Times New Roman" w:hAnsi="Times New Roman" w:eastAsia="宋体" w:cs="Times New Roman"/>
          <w:color w:val="auto"/>
          <w:sz w:val="24"/>
          <w:szCs w:val="24"/>
          <w:highlight w:val="none"/>
          <w:u w:val="none"/>
        </w:rPr>
        <w:t>×</w:t>
      </w:r>
      <w:r>
        <w:rPr>
          <w:rFonts w:hint="eastAsia" w:eastAsia="宋体" w:cs="Times New Roman"/>
          <w:color w:val="auto"/>
          <w:sz w:val="24"/>
          <w:szCs w:val="24"/>
          <w:highlight w:val="none"/>
          <w:u w:val="none"/>
          <w:lang w:val="en-US" w:eastAsia="zh-CN"/>
        </w:rPr>
        <w:t>出厂界排放浓度</w:t>
      </w:r>
      <w:r>
        <w:rPr>
          <w:rFonts w:hint="default" w:ascii="Times New Roman" w:hAnsi="Times New Roman" w:eastAsia="宋体" w:cs="Times New Roman"/>
          <w:color w:val="auto"/>
          <w:sz w:val="24"/>
          <w:szCs w:val="24"/>
          <w:highlight w:val="none"/>
          <w:u w:val="none"/>
          <w:lang w:val="en-US" w:eastAsia="zh-CN"/>
        </w:rPr>
        <w:t xml:space="preserve"> </w:t>
      </w:r>
    </w:p>
    <w:p>
      <w:pPr>
        <w:bidi w:val="0"/>
        <w:adjustRightInd w:val="0"/>
        <w:snapToGrid w:val="0"/>
        <w:spacing w:line="480" w:lineRule="exact"/>
        <w:ind w:firstLine="1680" w:firstLineChars="7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 xml:space="preserve">= </w:t>
      </w:r>
      <w:r>
        <w:rPr>
          <w:rFonts w:hint="eastAsia" w:eastAsia="宋体" w:cs="Times New Roman"/>
          <w:color w:val="auto"/>
          <w:sz w:val="24"/>
          <w:szCs w:val="24"/>
          <w:highlight w:val="none"/>
          <w:u w:val="none"/>
          <w:lang w:val="en-US" w:eastAsia="zh-CN"/>
        </w:rPr>
        <w:t>306128.5</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3</w:t>
      </w:r>
      <w:r>
        <w:rPr>
          <w:rFonts w:hint="default" w:ascii="Times New Roman" w:hAnsi="Times New Roman" w:eastAsia="宋体" w:cs="Times New Roman"/>
          <w:color w:val="auto"/>
          <w:sz w:val="24"/>
          <w:szCs w:val="24"/>
          <w:highlight w:val="none"/>
          <w:u w:val="none"/>
          <w:lang w:val="en-US" w:eastAsia="zh-CN"/>
        </w:rPr>
        <w:t>/a</w:t>
      </w:r>
      <w:r>
        <w:rPr>
          <w:rFonts w:hint="default" w:ascii="Times New Roman" w:hAnsi="Times New Roman" w:eastAsia="宋体" w:cs="Times New Roman"/>
          <w:color w:val="auto"/>
          <w:sz w:val="24"/>
          <w:szCs w:val="24"/>
          <w:highlight w:val="none"/>
          <w:u w:val="none"/>
        </w:rPr>
        <w:t>×</w:t>
      </w:r>
      <w:r>
        <w:rPr>
          <w:rFonts w:hint="eastAsia" w:cs="Times New Roman"/>
          <w:color w:val="auto"/>
          <w:highlight w:val="none"/>
          <w:u w:val="none"/>
          <w:lang w:val="en-US" w:eastAsia="zh-CN"/>
        </w:rPr>
        <w:t>107</w:t>
      </w:r>
      <w:r>
        <w:rPr>
          <w:rFonts w:hint="default" w:ascii="Times New Roman" w:hAnsi="Times New Roman" w:eastAsia="宋体" w:cs="Times New Roman"/>
          <w:color w:val="auto"/>
          <w:sz w:val="24"/>
          <w:szCs w:val="24"/>
          <w:highlight w:val="none"/>
          <w:u w:val="none"/>
          <w:lang w:val="en-US" w:eastAsia="zh-CN"/>
        </w:rPr>
        <w:t>mg/L</w:t>
      </w:r>
      <w:r>
        <w:rPr>
          <w:rFonts w:hint="default" w:ascii="Times New Roman" w:hAnsi="Times New Roman" w:eastAsia="宋体" w:cs="Times New Roman"/>
          <w:color w:val="auto"/>
          <w:sz w:val="24"/>
          <w:szCs w:val="24"/>
          <w:highlight w:val="none"/>
          <w:u w:val="none"/>
        </w:rPr>
        <w:t>×</w:t>
      </w:r>
      <w:r>
        <w:rPr>
          <w:rFonts w:hint="eastAsia" w:eastAsia="宋体" w:cs="Times New Roman"/>
          <w:color w:val="auto"/>
          <w:sz w:val="24"/>
          <w:szCs w:val="24"/>
          <w:highlight w:val="none"/>
          <w:u w:val="none"/>
          <w:lang w:val="en-US" w:eastAsia="zh-CN"/>
        </w:rPr>
        <w:t>10</w:t>
      </w:r>
      <w:r>
        <w:rPr>
          <w:rFonts w:hint="eastAsia" w:eastAsia="宋体" w:cs="Times New Roman"/>
          <w:color w:val="auto"/>
          <w:sz w:val="24"/>
          <w:szCs w:val="24"/>
          <w:highlight w:val="none"/>
          <w:u w:val="none"/>
          <w:vertAlign w:val="superscript"/>
          <w:lang w:val="en-US" w:eastAsia="zh-CN"/>
        </w:rPr>
        <w:t>-6</w:t>
      </w:r>
      <w:r>
        <w:rPr>
          <w:rFonts w:hint="default" w:ascii="Times New Roman" w:hAnsi="Times New Roman" w:eastAsia="宋体" w:cs="Times New Roman"/>
          <w:color w:val="auto"/>
          <w:sz w:val="24"/>
          <w:szCs w:val="24"/>
          <w:highlight w:val="none"/>
          <w:u w:val="none"/>
          <w:lang w:val="en-US" w:eastAsia="zh-CN"/>
        </w:rPr>
        <w:t>=</w:t>
      </w:r>
      <w:r>
        <w:rPr>
          <w:rFonts w:hint="eastAsia" w:eastAsia="宋体" w:cs="Times New Roman"/>
          <w:color w:val="auto"/>
          <w:sz w:val="24"/>
          <w:szCs w:val="24"/>
          <w:highlight w:val="none"/>
          <w:u w:val="none"/>
          <w:lang w:val="en-US" w:eastAsia="zh-CN"/>
        </w:rPr>
        <w:t>32.7557</w:t>
      </w:r>
      <w:r>
        <w:rPr>
          <w:rFonts w:hint="default" w:ascii="Times New Roman" w:hAnsi="Times New Roman" w:eastAsia="宋体" w:cs="Times New Roman"/>
          <w:color w:val="auto"/>
          <w:sz w:val="24"/>
          <w:szCs w:val="24"/>
          <w:highlight w:val="none"/>
          <w:u w:val="none"/>
          <w:lang w:val="en-US" w:eastAsia="zh-CN"/>
        </w:rPr>
        <w:t>t/a；</w:t>
      </w:r>
    </w:p>
    <w:p>
      <w:pPr>
        <w:widowControl w:val="0"/>
        <w:adjustRightInd w:val="0"/>
        <w:snapToGrid w:val="0"/>
        <w:spacing w:line="480" w:lineRule="exact"/>
        <w:ind w:firstLine="480" w:firstLineChars="200"/>
        <w:jc w:val="both"/>
        <w:rPr>
          <w:rFonts w:hint="default" w:ascii="Times New Roman" w:hAnsi="Times New Roman" w:eastAsia="宋体" w:cs="Times New Roman"/>
          <w:color w:val="auto"/>
          <w:kern w:val="2"/>
          <w:sz w:val="24"/>
          <w:szCs w:val="24"/>
          <w:highlight w:val="none"/>
          <w:u w:val="none"/>
          <w:lang w:val="en-US" w:eastAsia="zh-CN" w:bidi="ar-SA"/>
        </w:rPr>
      </w:pPr>
      <w:r>
        <w:rPr>
          <w:rFonts w:hint="default" w:ascii="Times New Roman" w:hAnsi="Times New Roman" w:eastAsia="宋体" w:cs="Times New Roman"/>
          <w:color w:val="auto"/>
          <w:kern w:val="2"/>
          <w:sz w:val="24"/>
          <w:szCs w:val="24"/>
          <w:highlight w:val="none"/>
          <w:u w:val="none"/>
          <w:lang w:val="en-US" w:eastAsia="zh-CN" w:bidi="ar-SA"/>
        </w:rPr>
        <w:t>氨氮排放量=</w:t>
      </w:r>
      <w:r>
        <w:rPr>
          <w:rFonts w:hint="default" w:ascii="Times New Roman" w:hAnsi="Times New Roman" w:eastAsia="宋体" w:cs="Times New Roman"/>
          <w:color w:val="auto"/>
          <w:kern w:val="2"/>
          <w:sz w:val="24"/>
          <w:szCs w:val="21"/>
          <w:highlight w:val="none"/>
          <w:u w:val="none"/>
          <w:lang w:val="en-US" w:eastAsia="zh-CN" w:bidi="ar-SA"/>
        </w:rPr>
        <w:t>废水量</w:t>
      </w:r>
      <w:r>
        <w:rPr>
          <w:rFonts w:hint="default" w:ascii="Times New Roman" w:hAnsi="Times New Roman" w:eastAsia="宋体" w:cs="Times New Roman"/>
          <w:color w:val="auto"/>
          <w:kern w:val="2"/>
          <w:sz w:val="24"/>
          <w:szCs w:val="24"/>
          <w:highlight w:val="none"/>
          <w:u w:val="none"/>
          <w:lang w:val="en-US" w:eastAsia="zh-CN" w:bidi="ar-SA"/>
        </w:rPr>
        <w:t xml:space="preserve">×出厂界排放浓度 </w:t>
      </w:r>
    </w:p>
    <w:p>
      <w:pPr>
        <w:widowControl w:val="0"/>
        <w:adjustRightInd w:val="0"/>
        <w:snapToGrid w:val="0"/>
        <w:spacing w:line="480" w:lineRule="exact"/>
        <w:ind w:firstLine="1680" w:firstLineChars="700"/>
        <w:jc w:val="both"/>
        <w:rPr>
          <w:rFonts w:hint="default" w:ascii="Times New Roman" w:hAnsi="Times New Roman" w:eastAsia="宋体" w:cs="Times New Roman"/>
          <w:color w:val="auto"/>
          <w:kern w:val="2"/>
          <w:sz w:val="24"/>
          <w:szCs w:val="21"/>
          <w:highlight w:val="none"/>
          <w:u w:val="none"/>
          <w:lang w:val="en-US" w:eastAsia="zh-CN" w:bidi="ar-SA"/>
        </w:rPr>
      </w:pPr>
      <w:r>
        <w:rPr>
          <w:rFonts w:hint="default" w:ascii="Times New Roman" w:hAnsi="Times New Roman" w:eastAsia="宋体" w:cs="Times New Roman"/>
          <w:color w:val="auto"/>
          <w:kern w:val="2"/>
          <w:sz w:val="24"/>
          <w:szCs w:val="24"/>
          <w:highlight w:val="none"/>
          <w:u w:val="none"/>
          <w:lang w:val="en-US" w:eastAsia="zh-CN" w:bidi="ar-SA"/>
        </w:rPr>
        <w:t xml:space="preserve">= </w:t>
      </w:r>
      <w:r>
        <w:rPr>
          <w:rFonts w:hint="eastAsia" w:eastAsia="宋体" w:cs="Times New Roman"/>
          <w:color w:val="auto"/>
          <w:sz w:val="24"/>
          <w:szCs w:val="24"/>
          <w:highlight w:val="none"/>
          <w:u w:val="none"/>
          <w:lang w:val="en-US" w:eastAsia="zh-CN"/>
        </w:rPr>
        <w:t>306128.5</w:t>
      </w:r>
      <w:r>
        <w:rPr>
          <w:rFonts w:hint="default" w:ascii="Times New Roman" w:hAnsi="Times New Roman" w:eastAsia="宋体" w:cs="Times New Roman"/>
          <w:color w:val="auto"/>
          <w:kern w:val="2"/>
          <w:sz w:val="24"/>
          <w:szCs w:val="21"/>
          <w:highlight w:val="none"/>
          <w:u w:val="none"/>
          <w:lang w:val="en-US" w:eastAsia="zh-CN" w:bidi="ar-SA"/>
        </w:rPr>
        <w:t>m</w:t>
      </w:r>
      <w:r>
        <w:rPr>
          <w:rFonts w:hint="default" w:ascii="Times New Roman" w:hAnsi="Times New Roman" w:eastAsia="宋体" w:cs="Times New Roman"/>
          <w:color w:val="auto"/>
          <w:kern w:val="2"/>
          <w:sz w:val="24"/>
          <w:szCs w:val="21"/>
          <w:highlight w:val="none"/>
          <w:u w:val="none"/>
          <w:vertAlign w:val="superscript"/>
          <w:lang w:val="en-US" w:eastAsia="zh-CN" w:bidi="ar-SA"/>
        </w:rPr>
        <w:t>3</w:t>
      </w:r>
      <w:r>
        <w:rPr>
          <w:rFonts w:hint="default" w:ascii="Times New Roman" w:hAnsi="Times New Roman" w:eastAsia="宋体" w:cs="Times New Roman"/>
          <w:color w:val="auto"/>
          <w:kern w:val="2"/>
          <w:sz w:val="24"/>
          <w:szCs w:val="21"/>
          <w:highlight w:val="none"/>
          <w:u w:val="none"/>
          <w:lang w:val="en-US" w:eastAsia="zh-CN" w:bidi="ar-SA"/>
        </w:rPr>
        <w:t>/a</w:t>
      </w:r>
      <w:r>
        <w:rPr>
          <w:rFonts w:hint="default" w:ascii="Times New Roman" w:hAnsi="Times New Roman" w:eastAsia="宋体" w:cs="Times New Roman"/>
          <w:color w:val="auto"/>
          <w:kern w:val="2"/>
          <w:sz w:val="24"/>
          <w:szCs w:val="24"/>
          <w:highlight w:val="none"/>
          <w:u w:val="none"/>
          <w:lang w:val="en-US" w:eastAsia="zh-CN" w:bidi="ar-SA"/>
        </w:rPr>
        <w:t>×</w:t>
      </w:r>
      <w:r>
        <w:rPr>
          <w:rFonts w:hint="eastAsia" w:cs="Times New Roman"/>
          <w:color w:val="auto"/>
          <w:highlight w:val="none"/>
          <w:u w:val="none"/>
          <w:lang w:val="en-US" w:eastAsia="zh-CN"/>
        </w:rPr>
        <w:t>6.7</w:t>
      </w:r>
      <w:r>
        <w:rPr>
          <w:rFonts w:hint="default" w:ascii="Times New Roman" w:hAnsi="Times New Roman" w:eastAsia="宋体" w:cs="Times New Roman"/>
          <w:color w:val="auto"/>
          <w:kern w:val="2"/>
          <w:sz w:val="24"/>
          <w:szCs w:val="21"/>
          <w:highlight w:val="none"/>
          <w:u w:val="none"/>
          <w:lang w:val="en-US" w:eastAsia="zh-CN" w:bidi="ar-SA"/>
        </w:rPr>
        <w:t>mg/L</w:t>
      </w:r>
      <w:r>
        <w:rPr>
          <w:rFonts w:hint="default" w:ascii="Times New Roman" w:hAnsi="Times New Roman" w:eastAsia="宋体" w:cs="Times New Roman"/>
          <w:color w:val="auto"/>
          <w:sz w:val="24"/>
          <w:szCs w:val="24"/>
          <w:highlight w:val="none"/>
          <w:u w:val="none"/>
        </w:rPr>
        <w:t>×</w:t>
      </w:r>
      <w:r>
        <w:rPr>
          <w:rFonts w:hint="eastAsia" w:eastAsia="宋体" w:cs="Times New Roman"/>
          <w:color w:val="auto"/>
          <w:sz w:val="24"/>
          <w:szCs w:val="24"/>
          <w:highlight w:val="none"/>
          <w:u w:val="none"/>
          <w:lang w:val="en-US" w:eastAsia="zh-CN"/>
        </w:rPr>
        <w:t>10</w:t>
      </w:r>
      <w:r>
        <w:rPr>
          <w:rFonts w:hint="eastAsia" w:eastAsia="宋体" w:cs="Times New Roman"/>
          <w:color w:val="auto"/>
          <w:sz w:val="24"/>
          <w:szCs w:val="24"/>
          <w:highlight w:val="none"/>
          <w:u w:val="none"/>
          <w:vertAlign w:val="superscript"/>
          <w:lang w:val="en-US" w:eastAsia="zh-CN"/>
        </w:rPr>
        <w:t>-6</w:t>
      </w:r>
      <w:r>
        <w:rPr>
          <w:rFonts w:hint="default" w:ascii="Times New Roman" w:hAnsi="Times New Roman" w:eastAsia="宋体" w:cs="Times New Roman"/>
          <w:color w:val="auto"/>
          <w:kern w:val="2"/>
          <w:sz w:val="24"/>
          <w:szCs w:val="21"/>
          <w:highlight w:val="none"/>
          <w:u w:val="none"/>
          <w:lang w:val="en-US" w:eastAsia="zh-CN" w:bidi="ar-SA"/>
        </w:rPr>
        <w:t>=</w:t>
      </w:r>
      <w:r>
        <w:rPr>
          <w:rFonts w:hint="eastAsia" w:eastAsia="宋体" w:cs="Times New Roman"/>
          <w:color w:val="auto"/>
          <w:sz w:val="24"/>
          <w:szCs w:val="24"/>
          <w:highlight w:val="none"/>
          <w:u w:val="none"/>
          <w:lang w:val="en-US" w:eastAsia="zh-CN"/>
        </w:rPr>
        <w:t xml:space="preserve">2.0511 </w:t>
      </w:r>
      <w:r>
        <w:rPr>
          <w:rFonts w:hint="default" w:ascii="Times New Roman" w:hAnsi="Times New Roman" w:eastAsia="宋体" w:cs="Times New Roman"/>
          <w:color w:val="auto"/>
          <w:kern w:val="2"/>
          <w:sz w:val="24"/>
          <w:szCs w:val="21"/>
          <w:highlight w:val="none"/>
          <w:u w:val="none"/>
          <w:lang w:val="en-US" w:eastAsia="zh-CN" w:bidi="ar-SA"/>
        </w:rPr>
        <w:t>t/a；</w:t>
      </w:r>
    </w:p>
    <w:p>
      <w:pPr>
        <w:pStyle w:val="5"/>
        <w:numPr>
          <w:ilvl w:val="0"/>
          <w:numId w:val="0"/>
        </w:numPr>
        <w:ind w:left="0" w:leftChars="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（2）改建工程完成后全厂</w:t>
      </w:r>
      <w:r>
        <w:rPr>
          <w:rFonts w:hint="eastAsia" w:eastAsia="宋体" w:cs="Times New Roman"/>
          <w:color w:val="auto"/>
          <w:sz w:val="24"/>
          <w:szCs w:val="24"/>
          <w:highlight w:val="none"/>
          <w:u w:val="none"/>
          <w:lang w:val="en-US" w:eastAsia="zh-CN"/>
        </w:rPr>
        <w:t>废水污染物出厂界排放量</w:t>
      </w:r>
    </w:p>
    <w:p>
      <w:pPr>
        <w:bidi w:val="0"/>
        <w:rPr>
          <w:rFonts w:hint="default"/>
          <w:color w:val="auto"/>
          <w:highlight w:val="none"/>
          <w:u w:val="none"/>
          <w:lang w:val="en-US" w:eastAsia="zh-CN"/>
        </w:rPr>
      </w:pPr>
      <w:r>
        <w:rPr>
          <w:rFonts w:hint="eastAsia"/>
          <w:color w:val="auto"/>
          <w:highlight w:val="none"/>
          <w:u w:val="none"/>
          <w:lang w:val="en-US" w:eastAsia="zh-CN"/>
        </w:rPr>
        <w:t>改建后全厂废水排放总量为</w:t>
      </w:r>
      <w:r>
        <w:rPr>
          <w:rFonts w:hint="eastAsia" w:eastAsia="宋体" w:cs="Times New Roman"/>
          <w:color w:val="auto"/>
          <w:sz w:val="24"/>
          <w:szCs w:val="24"/>
          <w:highlight w:val="none"/>
          <w:u w:val="none"/>
          <w:lang w:val="en-US" w:eastAsia="zh-CN"/>
        </w:rPr>
        <w:t>388628.5</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3</w:t>
      </w:r>
      <w:r>
        <w:rPr>
          <w:rFonts w:hint="default" w:ascii="Times New Roman" w:hAnsi="Times New Roman" w:eastAsia="宋体" w:cs="Times New Roman"/>
          <w:color w:val="auto"/>
          <w:sz w:val="24"/>
          <w:szCs w:val="24"/>
          <w:highlight w:val="none"/>
          <w:u w:val="none"/>
          <w:lang w:val="en-US" w:eastAsia="zh-CN"/>
        </w:rPr>
        <w:t>/a</w:t>
      </w:r>
      <w:r>
        <w:rPr>
          <w:rFonts w:hint="eastAsia" w:eastAsia="宋体" w:cs="Times New Roman"/>
          <w:color w:val="auto"/>
          <w:sz w:val="24"/>
          <w:szCs w:val="24"/>
          <w:highlight w:val="none"/>
          <w:u w:val="none"/>
          <w:lang w:val="en-US" w:eastAsia="zh-CN"/>
        </w:rPr>
        <w:t>，出厂界废水排放浓度</w:t>
      </w:r>
      <w:r>
        <w:rPr>
          <w:rFonts w:hint="default" w:ascii="Times New Roman" w:hAnsi="Times New Roman" w:eastAsia="宋体" w:cs="Times New Roman"/>
          <w:color w:val="auto"/>
          <w:sz w:val="24"/>
          <w:szCs w:val="24"/>
          <w:highlight w:val="none"/>
          <w:u w:val="none"/>
          <w:lang w:val="en-US" w:eastAsia="zh-CN"/>
        </w:rPr>
        <w:t>COD</w:t>
      </w:r>
      <w:r>
        <w:rPr>
          <w:rFonts w:hint="eastAsia" w:cs="Times New Roman"/>
          <w:color w:val="auto"/>
          <w:highlight w:val="none"/>
          <w:u w:val="none"/>
          <w:lang w:val="en-US" w:eastAsia="zh-CN"/>
        </w:rPr>
        <w:t>107</w:t>
      </w:r>
      <w:r>
        <w:rPr>
          <w:rFonts w:hint="default" w:ascii="Times New Roman" w:hAnsi="Times New Roman" w:eastAsia="宋体" w:cs="Times New Roman"/>
          <w:color w:val="auto"/>
          <w:sz w:val="24"/>
          <w:szCs w:val="24"/>
          <w:highlight w:val="none"/>
          <w:u w:val="none"/>
          <w:lang w:val="en-US" w:eastAsia="zh-CN"/>
        </w:rPr>
        <w:t>mg/L、氨氮</w:t>
      </w:r>
      <w:r>
        <w:rPr>
          <w:rFonts w:hint="eastAsia" w:cs="Times New Roman"/>
          <w:color w:val="auto"/>
          <w:highlight w:val="none"/>
          <w:u w:val="none"/>
          <w:lang w:val="en-US" w:eastAsia="zh-CN"/>
        </w:rPr>
        <w:t>6.7</w:t>
      </w:r>
      <w:r>
        <w:rPr>
          <w:rFonts w:hint="default" w:ascii="Times New Roman" w:hAnsi="Times New Roman" w:eastAsia="宋体" w:cs="Times New Roman"/>
          <w:color w:val="auto"/>
          <w:sz w:val="24"/>
          <w:szCs w:val="24"/>
          <w:highlight w:val="none"/>
          <w:u w:val="none"/>
          <w:lang w:val="en-US" w:eastAsia="zh-CN"/>
        </w:rPr>
        <w:t>mg/L</w:t>
      </w:r>
      <w:r>
        <w:rPr>
          <w:rFonts w:hint="eastAsia" w:eastAsia="宋体" w:cs="Times New Roman"/>
          <w:color w:val="auto"/>
          <w:sz w:val="24"/>
          <w:szCs w:val="24"/>
          <w:highlight w:val="none"/>
          <w:u w:val="none"/>
          <w:lang w:val="en-US" w:eastAsia="zh-CN"/>
        </w:rPr>
        <w:t>。则改建工程建成后全厂出厂界处废水污染物排放总量为：</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bookmarkStart w:id="281" w:name="_Toc7504"/>
      <w:bookmarkStart w:id="282" w:name="_Toc29109"/>
      <w:bookmarkStart w:id="283" w:name="_Toc19928"/>
      <w:r>
        <w:rPr>
          <w:rFonts w:hint="default" w:ascii="Times New Roman" w:hAnsi="Times New Roman" w:eastAsia="宋体" w:cs="Times New Roman"/>
          <w:color w:val="auto"/>
          <w:sz w:val="24"/>
          <w:szCs w:val="24"/>
          <w:highlight w:val="none"/>
          <w:u w:val="none"/>
          <w:lang w:val="en-US" w:eastAsia="zh-CN"/>
        </w:rPr>
        <w:t>COD排放量=废水量</w:t>
      </w:r>
      <w:r>
        <w:rPr>
          <w:rFonts w:hint="default" w:ascii="Times New Roman" w:hAnsi="Times New Roman" w:eastAsia="宋体" w:cs="Times New Roman"/>
          <w:color w:val="auto"/>
          <w:sz w:val="24"/>
          <w:szCs w:val="24"/>
          <w:highlight w:val="none"/>
          <w:u w:val="none"/>
        </w:rPr>
        <w:t>×</w:t>
      </w:r>
      <w:r>
        <w:rPr>
          <w:rFonts w:hint="default" w:ascii="Times New Roman" w:hAnsi="Times New Roman" w:eastAsia="宋体" w:cs="Times New Roman"/>
          <w:color w:val="auto"/>
          <w:sz w:val="24"/>
          <w:szCs w:val="24"/>
          <w:highlight w:val="none"/>
          <w:u w:val="none"/>
          <w:lang w:val="en-US" w:eastAsia="zh-CN"/>
        </w:rPr>
        <w:t xml:space="preserve">出厂界排放浓度 </w:t>
      </w:r>
    </w:p>
    <w:p>
      <w:pPr>
        <w:bidi w:val="0"/>
        <w:adjustRightInd w:val="0"/>
        <w:snapToGrid w:val="0"/>
        <w:spacing w:line="480" w:lineRule="exact"/>
        <w:ind w:firstLine="1680" w:firstLineChars="7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 xml:space="preserve">= </w:t>
      </w:r>
      <w:r>
        <w:rPr>
          <w:rFonts w:hint="eastAsia" w:eastAsia="宋体" w:cs="Times New Roman"/>
          <w:color w:val="auto"/>
          <w:sz w:val="24"/>
          <w:szCs w:val="24"/>
          <w:highlight w:val="none"/>
          <w:u w:val="none"/>
          <w:lang w:val="en-US" w:eastAsia="zh-CN"/>
        </w:rPr>
        <w:t>388628.5</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3</w:t>
      </w:r>
      <w:r>
        <w:rPr>
          <w:rFonts w:hint="default" w:ascii="Times New Roman" w:hAnsi="Times New Roman" w:eastAsia="宋体" w:cs="Times New Roman"/>
          <w:color w:val="auto"/>
          <w:sz w:val="24"/>
          <w:szCs w:val="24"/>
          <w:highlight w:val="none"/>
          <w:u w:val="none"/>
          <w:lang w:val="en-US" w:eastAsia="zh-CN"/>
        </w:rPr>
        <w:t>/a</w:t>
      </w:r>
      <w:r>
        <w:rPr>
          <w:rFonts w:hint="default" w:ascii="Times New Roman" w:hAnsi="Times New Roman" w:eastAsia="宋体" w:cs="Times New Roman"/>
          <w:color w:val="auto"/>
          <w:sz w:val="24"/>
          <w:szCs w:val="24"/>
          <w:highlight w:val="none"/>
          <w:u w:val="none"/>
        </w:rPr>
        <w:t>×</w:t>
      </w:r>
      <w:r>
        <w:rPr>
          <w:rFonts w:hint="eastAsia" w:cs="Times New Roman"/>
          <w:color w:val="auto"/>
          <w:highlight w:val="none"/>
          <w:u w:val="none"/>
          <w:lang w:val="en-US" w:eastAsia="zh-CN"/>
        </w:rPr>
        <w:t>107</w:t>
      </w:r>
      <w:r>
        <w:rPr>
          <w:rFonts w:hint="default" w:ascii="Times New Roman" w:hAnsi="Times New Roman" w:eastAsia="宋体" w:cs="Times New Roman"/>
          <w:color w:val="auto"/>
          <w:sz w:val="24"/>
          <w:szCs w:val="24"/>
          <w:highlight w:val="none"/>
          <w:u w:val="none"/>
          <w:lang w:val="en-US" w:eastAsia="zh-CN"/>
        </w:rPr>
        <w:t>mg/L</w:t>
      </w:r>
      <w:r>
        <w:rPr>
          <w:rFonts w:hint="default" w:ascii="Times New Roman" w:hAnsi="Times New Roman" w:eastAsia="宋体" w:cs="Times New Roman"/>
          <w:color w:val="auto"/>
          <w:sz w:val="24"/>
          <w:szCs w:val="24"/>
          <w:highlight w:val="none"/>
          <w:u w:val="none"/>
        </w:rPr>
        <w:t>×</w:t>
      </w:r>
      <w:r>
        <w:rPr>
          <w:rFonts w:hint="eastAsia" w:eastAsia="宋体" w:cs="Times New Roman"/>
          <w:color w:val="auto"/>
          <w:sz w:val="24"/>
          <w:szCs w:val="24"/>
          <w:highlight w:val="none"/>
          <w:u w:val="none"/>
          <w:lang w:val="en-US" w:eastAsia="zh-CN"/>
        </w:rPr>
        <w:t>10</w:t>
      </w:r>
      <w:r>
        <w:rPr>
          <w:rFonts w:hint="eastAsia" w:eastAsia="宋体" w:cs="Times New Roman"/>
          <w:color w:val="auto"/>
          <w:sz w:val="24"/>
          <w:szCs w:val="24"/>
          <w:highlight w:val="none"/>
          <w:u w:val="none"/>
          <w:vertAlign w:val="superscript"/>
          <w:lang w:val="en-US" w:eastAsia="zh-CN"/>
        </w:rPr>
        <w:t>-6</w:t>
      </w:r>
      <w:r>
        <w:rPr>
          <w:rFonts w:hint="default" w:ascii="Times New Roman" w:hAnsi="Times New Roman" w:eastAsia="宋体" w:cs="Times New Roman"/>
          <w:color w:val="auto"/>
          <w:sz w:val="24"/>
          <w:szCs w:val="24"/>
          <w:highlight w:val="none"/>
          <w:u w:val="none"/>
          <w:lang w:val="en-US" w:eastAsia="zh-CN"/>
        </w:rPr>
        <w:t>=</w:t>
      </w:r>
      <w:r>
        <w:rPr>
          <w:rFonts w:hint="eastAsia" w:eastAsia="宋体" w:cs="Times New Roman"/>
          <w:color w:val="auto"/>
          <w:sz w:val="24"/>
          <w:szCs w:val="24"/>
          <w:highlight w:val="none"/>
          <w:u w:val="none"/>
          <w:lang w:val="en-US" w:eastAsia="zh-CN"/>
        </w:rPr>
        <w:t>41.5832</w:t>
      </w:r>
      <w:r>
        <w:rPr>
          <w:rFonts w:hint="default" w:ascii="Times New Roman" w:hAnsi="Times New Roman" w:eastAsia="宋体" w:cs="Times New Roman"/>
          <w:color w:val="auto"/>
          <w:sz w:val="24"/>
          <w:szCs w:val="24"/>
          <w:highlight w:val="none"/>
          <w:u w:val="none"/>
          <w:lang w:val="en-US" w:eastAsia="zh-CN"/>
        </w:rPr>
        <w:t>t/a；</w:t>
      </w:r>
    </w:p>
    <w:p>
      <w:pPr>
        <w:widowControl w:val="0"/>
        <w:adjustRightInd w:val="0"/>
        <w:snapToGrid w:val="0"/>
        <w:spacing w:line="480" w:lineRule="exact"/>
        <w:ind w:firstLine="480" w:firstLineChars="200"/>
        <w:jc w:val="both"/>
        <w:rPr>
          <w:rFonts w:hint="default" w:ascii="Times New Roman" w:hAnsi="Times New Roman" w:eastAsia="宋体" w:cs="Times New Roman"/>
          <w:color w:val="auto"/>
          <w:kern w:val="2"/>
          <w:sz w:val="24"/>
          <w:szCs w:val="24"/>
          <w:highlight w:val="none"/>
          <w:u w:val="none"/>
          <w:lang w:val="en-US" w:eastAsia="zh-CN" w:bidi="ar-SA"/>
        </w:rPr>
      </w:pPr>
      <w:r>
        <w:rPr>
          <w:rFonts w:hint="default" w:ascii="Times New Roman" w:hAnsi="Times New Roman" w:eastAsia="宋体" w:cs="Times New Roman"/>
          <w:color w:val="auto"/>
          <w:kern w:val="2"/>
          <w:sz w:val="24"/>
          <w:szCs w:val="24"/>
          <w:highlight w:val="none"/>
          <w:u w:val="none"/>
          <w:lang w:val="en-US" w:eastAsia="zh-CN" w:bidi="ar-SA"/>
        </w:rPr>
        <w:t>氨氮排放量=</w:t>
      </w:r>
      <w:r>
        <w:rPr>
          <w:rFonts w:hint="default" w:ascii="Times New Roman" w:hAnsi="Times New Roman" w:eastAsia="宋体" w:cs="Times New Roman"/>
          <w:color w:val="auto"/>
          <w:kern w:val="2"/>
          <w:sz w:val="24"/>
          <w:szCs w:val="21"/>
          <w:highlight w:val="none"/>
          <w:u w:val="none"/>
          <w:lang w:val="en-US" w:eastAsia="zh-CN" w:bidi="ar-SA"/>
        </w:rPr>
        <w:t>废水量</w:t>
      </w:r>
      <w:r>
        <w:rPr>
          <w:rFonts w:hint="default" w:ascii="Times New Roman" w:hAnsi="Times New Roman" w:eastAsia="宋体" w:cs="Times New Roman"/>
          <w:color w:val="auto"/>
          <w:kern w:val="2"/>
          <w:sz w:val="24"/>
          <w:szCs w:val="24"/>
          <w:highlight w:val="none"/>
          <w:u w:val="none"/>
          <w:lang w:val="en-US" w:eastAsia="zh-CN" w:bidi="ar-SA"/>
        </w:rPr>
        <w:t xml:space="preserve">×出厂界排放浓度 </w:t>
      </w:r>
    </w:p>
    <w:p>
      <w:pPr>
        <w:bidi w:val="0"/>
        <w:ind w:firstLine="1680" w:firstLineChars="700"/>
        <w:rPr>
          <w:rFonts w:hint="default" w:ascii="Times New Roman" w:hAnsi="Times New Roman" w:eastAsia="宋体" w:cs="Times New Roman"/>
          <w:color w:val="auto"/>
          <w:kern w:val="2"/>
          <w:sz w:val="24"/>
          <w:szCs w:val="21"/>
          <w:highlight w:val="none"/>
          <w:u w:val="none"/>
          <w:lang w:val="en-US" w:eastAsia="zh-CN" w:bidi="ar-SA"/>
        </w:rPr>
      </w:pPr>
      <w:r>
        <w:rPr>
          <w:rFonts w:hint="default" w:ascii="Times New Roman" w:hAnsi="Times New Roman" w:eastAsia="宋体" w:cs="Times New Roman"/>
          <w:color w:val="auto"/>
          <w:kern w:val="2"/>
          <w:sz w:val="24"/>
          <w:szCs w:val="24"/>
          <w:highlight w:val="none"/>
          <w:u w:val="none"/>
          <w:lang w:val="en-US" w:eastAsia="zh-CN" w:bidi="ar-SA"/>
        </w:rPr>
        <w:t xml:space="preserve">= </w:t>
      </w:r>
      <w:r>
        <w:rPr>
          <w:rFonts w:hint="eastAsia" w:eastAsia="宋体" w:cs="Times New Roman"/>
          <w:color w:val="auto"/>
          <w:sz w:val="24"/>
          <w:szCs w:val="24"/>
          <w:highlight w:val="none"/>
          <w:u w:val="none"/>
          <w:lang w:val="en-US" w:eastAsia="zh-CN"/>
        </w:rPr>
        <w:t>388628.5</w:t>
      </w:r>
      <w:r>
        <w:rPr>
          <w:rFonts w:hint="default" w:ascii="Times New Roman" w:hAnsi="Times New Roman" w:eastAsia="宋体" w:cs="Times New Roman"/>
          <w:color w:val="auto"/>
          <w:kern w:val="2"/>
          <w:sz w:val="24"/>
          <w:szCs w:val="21"/>
          <w:highlight w:val="none"/>
          <w:u w:val="none"/>
          <w:lang w:val="en-US" w:eastAsia="zh-CN" w:bidi="ar-SA"/>
        </w:rPr>
        <w:t>m</w:t>
      </w:r>
      <w:r>
        <w:rPr>
          <w:rFonts w:hint="default" w:ascii="Times New Roman" w:hAnsi="Times New Roman" w:eastAsia="宋体" w:cs="Times New Roman"/>
          <w:color w:val="auto"/>
          <w:kern w:val="2"/>
          <w:sz w:val="24"/>
          <w:szCs w:val="21"/>
          <w:highlight w:val="none"/>
          <w:u w:val="none"/>
          <w:vertAlign w:val="superscript"/>
          <w:lang w:val="en-US" w:eastAsia="zh-CN" w:bidi="ar-SA"/>
        </w:rPr>
        <w:t>3</w:t>
      </w:r>
      <w:r>
        <w:rPr>
          <w:rFonts w:hint="default" w:ascii="Times New Roman" w:hAnsi="Times New Roman" w:eastAsia="宋体" w:cs="Times New Roman"/>
          <w:color w:val="auto"/>
          <w:kern w:val="2"/>
          <w:sz w:val="24"/>
          <w:szCs w:val="21"/>
          <w:highlight w:val="none"/>
          <w:u w:val="none"/>
          <w:lang w:val="en-US" w:eastAsia="zh-CN" w:bidi="ar-SA"/>
        </w:rPr>
        <w:t>/a</w:t>
      </w:r>
      <w:r>
        <w:rPr>
          <w:rFonts w:hint="default" w:ascii="Times New Roman" w:hAnsi="Times New Roman" w:eastAsia="宋体" w:cs="Times New Roman"/>
          <w:color w:val="auto"/>
          <w:kern w:val="2"/>
          <w:sz w:val="24"/>
          <w:szCs w:val="24"/>
          <w:highlight w:val="none"/>
          <w:u w:val="none"/>
          <w:lang w:val="en-US" w:eastAsia="zh-CN" w:bidi="ar-SA"/>
        </w:rPr>
        <w:t>×</w:t>
      </w:r>
      <w:r>
        <w:rPr>
          <w:rFonts w:hint="eastAsia" w:cs="Times New Roman"/>
          <w:color w:val="auto"/>
          <w:highlight w:val="none"/>
          <w:u w:val="none"/>
          <w:lang w:val="en-US" w:eastAsia="zh-CN"/>
        </w:rPr>
        <w:t>6.7</w:t>
      </w:r>
      <w:r>
        <w:rPr>
          <w:rFonts w:hint="default" w:ascii="Times New Roman" w:hAnsi="Times New Roman" w:eastAsia="宋体" w:cs="Times New Roman"/>
          <w:color w:val="auto"/>
          <w:kern w:val="2"/>
          <w:sz w:val="24"/>
          <w:szCs w:val="21"/>
          <w:highlight w:val="none"/>
          <w:u w:val="none"/>
          <w:lang w:val="en-US" w:eastAsia="zh-CN" w:bidi="ar-SA"/>
        </w:rPr>
        <w:t>mg/L</w:t>
      </w:r>
      <w:r>
        <w:rPr>
          <w:rFonts w:hint="default" w:ascii="Times New Roman" w:hAnsi="Times New Roman" w:eastAsia="宋体" w:cs="Times New Roman"/>
          <w:color w:val="auto"/>
          <w:sz w:val="24"/>
          <w:szCs w:val="24"/>
          <w:highlight w:val="none"/>
          <w:u w:val="none"/>
        </w:rPr>
        <w:t>×</w:t>
      </w:r>
      <w:r>
        <w:rPr>
          <w:rFonts w:hint="eastAsia" w:eastAsia="宋体" w:cs="Times New Roman"/>
          <w:color w:val="auto"/>
          <w:sz w:val="24"/>
          <w:szCs w:val="24"/>
          <w:highlight w:val="none"/>
          <w:u w:val="none"/>
          <w:lang w:val="en-US" w:eastAsia="zh-CN"/>
        </w:rPr>
        <w:t>10</w:t>
      </w:r>
      <w:r>
        <w:rPr>
          <w:rFonts w:hint="eastAsia" w:eastAsia="宋体" w:cs="Times New Roman"/>
          <w:color w:val="auto"/>
          <w:sz w:val="24"/>
          <w:szCs w:val="24"/>
          <w:highlight w:val="none"/>
          <w:u w:val="none"/>
          <w:vertAlign w:val="superscript"/>
          <w:lang w:val="en-US" w:eastAsia="zh-CN"/>
        </w:rPr>
        <w:t>-6</w:t>
      </w:r>
      <w:r>
        <w:rPr>
          <w:rFonts w:hint="default" w:ascii="Times New Roman" w:hAnsi="Times New Roman" w:eastAsia="宋体" w:cs="Times New Roman"/>
          <w:color w:val="auto"/>
          <w:kern w:val="2"/>
          <w:sz w:val="24"/>
          <w:szCs w:val="21"/>
          <w:highlight w:val="none"/>
          <w:u w:val="none"/>
          <w:lang w:val="en-US" w:eastAsia="zh-CN" w:bidi="ar-SA"/>
        </w:rPr>
        <w:t>=</w:t>
      </w:r>
      <w:r>
        <w:rPr>
          <w:rFonts w:hint="eastAsia" w:eastAsia="宋体" w:cs="Times New Roman"/>
          <w:color w:val="auto"/>
          <w:sz w:val="24"/>
          <w:szCs w:val="24"/>
          <w:highlight w:val="none"/>
          <w:u w:val="none"/>
          <w:lang w:val="en-US" w:eastAsia="zh-CN"/>
        </w:rPr>
        <w:t>2.6038</w:t>
      </w:r>
      <w:r>
        <w:rPr>
          <w:rFonts w:hint="default" w:ascii="Times New Roman" w:hAnsi="Times New Roman" w:eastAsia="宋体" w:cs="Times New Roman"/>
          <w:color w:val="auto"/>
          <w:kern w:val="2"/>
          <w:sz w:val="24"/>
          <w:szCs w:val="21"/>
          <w:highlight w:val="none"/>
          <w:u w:val="none"/>
          <w:lang w:val="en-US" w:eastAsia="zh-CN" w:bidi="ar-SA"/>
        </w:rPr>
        <w:t>t/a；</w:t>
      </w:r>
    </w:p>
    <w:p>
      <w:pPr>
        <w:bidi w:val="0"/>
        <w:rPr>
          <w:rFonts w:hint="default"/>
          <w:color w:val="auto"/>
          <w:u w:val="single"/>
          <w:lang w:val="en-US" w:eastAsia="zh-CN"/>
        </w:rPr>
      </w:pPr>
      <w:r>
        <w:rPr>
          <w:rFonts w:hint="eastAsia"/>
          <w:color w:val="auto"/>
          <w:u w:val="none"/>
          <w:lang w:val="en-US" w:eastAsia="zh-CN"/>
        </w:rPr>
        <w:t>改扩建后项目需及时变更排污许可，许可排放量为COD41.5832t/a、氨氮2.6038t/a。</w:t>
      </w:r>
    </w:p>
    <w:p>
      <w:pPr>
        <w:pStyle w:val="6"/>
        <w:bidi w:val="0"/>
        <w:rPr>
          <w:rFonts w:hint="default"/>
          <w:color w:val="auto"/>
          <w:highlight w:val="none"/>
          <w:u w:val="none"/>
          <w:lang w:val="en-US" w:eastAsia="zh-CN"/>
        </w:rPr>
      </w:pPr>
      <w:r>
        <w:rPr>
          <w:rFonts w:hint="eastAsia"/>
          <w:color w:val="auto"/>
          <w:highlight w:val="none"/>
          <w:u w:val="none"/>
          <w:lang w:val="en-US" w:eastAsia="zh-CN"/>
        </w:rPr>
        <w:t>进入外环境的废水污染物排放量</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eastAsia="宋体" w:cs="Times New Roman"/>
          <w:color w:val="auto"/>
          <w:sz w:val="24"/>
          <w:szCs w:val="24"/>
          <w:highlight w:val="none"/>
          <w:u w:val="none"/>
          <w:lang w:val="en-US" w:eastAsia="zh-CN"/>
        </w:rPr>
        <w:t>（1）改建工程</w:t>
      </w:r>
      <w:r>
        <w:rPr>
          <w:rFonts w:hint="default" w:ascii="Times New Roman" w:hAnsi="Times New Roman" w:eastAsia="宋体" w:cs="Times New Roman"/>
          <w:color w:val="auto"/>
          <w:sz w:val="24"/>
          <w:szCs w:val="24"/>
          <w:highlight w:val="none"/>
          <w:u w:val="none"/>
          <w:lang w:val="en-US" w:eastAsia="zh-CN"/>
        </w:rPr>
        <w:t>废水进入外环境总量排放情况</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eastAsia="宋体" w:cs="Times New Roman"/>
          <w:color w:val="auto"/>
          <w:sz w:val="24"/>
          <w:szCs w:val="24"/>
          <w:highlight w:val="none"/>
          <w:u w:val="none"/>
          <w:lang w:val="en-US" w:eastAsia="zh-CN"/>
        </w:rPr>
        <w:t>改建工程</w:t>
      </w:r>
      <w:r>
        <w:rPr>
          <w:rFonts w:hint="default" w:ascii="Times New Roman" w:hAnsi="Times New Roman" w:eastAsia="宋体" w:cs="Times New Roman"/>
          <w:color w:val="auto"/>
          <w:sz w:val="24"/>
          <w:szCs w:val="24"/>
          <w:highlight w:val="none"/>
          <w:u w:val="none"/>
          <w:lang w:val="en-US" w:eastAsia="zh-CN"/>
        </w:rPr>
        <w:t>排水进入</w:t>
      </w:r>
      <w:r>
        <w:rPr>
          <w:rFonts w:hint="eastAsia" w:eastAsia="宋体" w:cs="Times New Roman"/>
          <w:color w:val="auto"/>
          <w:sz w:val="24"/>
          <w:szCs w:val="24"/>
          <w:highlight w:val="none"/>
          <w:u w:val="none"/>
          <w:lang w:val="en-US" w:eastAsia="zh-CN"/>
        </w:rPr>
        <w:t>柘城县第二污水处理厂进行深度</w:t>
      </w:r>
      <w:r>
        <w:rPr>
          <w:rFonts w:hint="default" w:ascii="Times New Roman" w:hAnsi="Times New Roman" w:eastAsia="宋体" w:cs="Times New Roman"/>
          <w:color w:val="auto"/>
          <w:sz w:val="24"/>
          <w:szCs w:val="24"/>
          <w:highlight w:val="none"/>
          <w:u w:val="none"/>
          <w:lang w:val="en-US" w:eastAsia="zh-CN"/>
        </w:rPr>
        <w:t>处理，</w:t>
      </w:r>
      <w:r>
        <w:rPr>
          <w:rFonts w:hint="eastAsia" w:eastAsia="宋体" w:cs="Times New Roman"/>
          <w:color w:val="auto"/>
          <w:sz w:val="24"/>
          <w:szCs w:val="24"/>
          <w:highlight w:val="none"/>
          <w:u w:val="none"/>
          <w:lang w:val="en-US" w:eastAsia="zh-CN"/>
        </w:rPr>
        <w:t>根据《商丘市惠济河流域地表水水质提升“一河一策”专项方案》（商环攻办[2021]9号），二污将进行升级改造（文件要求2022年底完成改造，实际预计2023年6月完成改造），实现出水COD≤30mg/L、氨氮≤1.5mg/L。改建工程废水排放量306128.5</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3</w:t>
      </w:r>
      <w:r>
        <w:rPr>
          <w:rFonts w:hint="default" w:ascii="Times New Roman" w:hAnsi="Times New Roman" w:eastAsia="宋体" w:cs="Times New Roman"/>
          <w:color w:val="auto"/>
          <w:sz w:val="24"/>
          <w:szCs w:val="24"/>
          <w:highlight w:val="none"/>
          <w:u w:val="none"/>
          <w:lang w:val="en-US" w:eastAsia="zh-CN"/>
        </w:rPr>
        <w:t>/a</w:t>
      </w:r>
      <w:r>
        <w:rPr>
          <w:rFonts w:hint="eastAsia" w:eastAsia="宋体" w:cs="Times New Roman"/>
          <w:color w:val="auto"/>
          <w:sz w:val="24"/>
          <w:szCs w:val="24"/>
          <w:highlight w:val="none"/>
          <w:u w:val="none"/>
          <w:lang w:val="en-US" w:eastAsia="zh-CN"/>
        </w:rPr>
        <w:t>，污染物排放量计算如下：</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COD排放量=废水量</w:t>
      </w:r>
      <w:r>
        <w:rPr>
          <w:rFonts w:hint="default" w:ascii="Times New Roman" w:hAnsi="Times New Roman" w:eastAsia="宋体" w:cs="Times New Roman"/>
          <w:color w:val="auto"/>
          <w:sz w:val="24"/>
          <w:szCs w:val="24"/>
          <w:highlight w:val="none"/>
          <w:u w:val="none"/>
        </w:rPr>
        <w:t>×</w:t>
      </w:r>
      <w:r>
        <w:rPr>
          <w:rFonts w:hint="default" w:ascii="Times New Roman" w:hAnsi="Times New Roman" w:eastAsia="宋体" w:cs="Times New Roman"/>
          <w:color w:val="auto"/>
          <w:sz w:val="24"/>
          <w:szCs w:val="24"/>
          <w:highlight w:val="none"/>
          <w:u w:val="none"/>
          <w:lang w:val="en-US" w:eastAsia="zh-CN"/>
        </w:rPr>
        <w:t>集聚区</w:t>
      </w:r>
      <w:r>
        <w:rPr>
          <w:rFonts w:hint="default" w:ascii="Times New Roman" w:hAnsi="Times New Roman" w:eastAsia="宋体" w:cs="Times New Roman"/>
          <w:color w:val="auto"/>
          <w:sz w:val="24"/>
          <w:szCs w:val="24"/>
          <w:highlight w:val="none"/>
          <w:u w:val="none"/>
        </w:rPr>
        <w:t>污水处理厂出水浓度</w:t>
      </w:r>
      <w:r>
        <w:rPr>
          <w:rFonts w:hint="default" w:ascii="Times New Roman" w:hAnsi="Times New Roman" w:eastAsia="宋体" w:cs="Times New Roman"/>
          <w:color w:val="auto"/>
          <w:sz w:val="24"/>
          <w:szCs w:val="24"/>
          <w:highlight w:val="none"/>
          <w:u w:val="none"/>
          <w:lang w:val="en-US" w:eastAsia="zh-CN"/>
        </w:rPr>
        <w:t xml:space="preserve"> </w:t>
      </w:r>
    </w:p>
    <w:p>
      <w:pPr>
        <w:bidi w:val="0"/>
        <w:adjustRightInd w:val="0"/>
        <w:snapToGrid w:val="0"/>
        <w:spacing w:line="480" w:lineRule="exact"/>
        <w:ind w:firstLine="1680" w:firstLineChars="7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w:t>
      </w:r>
      <w:r>
        <w:rPr>
          <w:rFonts w:hint="eastAsia" w:eastAsia="宋体" w:cs="Times New Roman"/>
          <w:color w:val="auto"/>
          <w:sz w:val="24"/>
          <w:szCs w:val="24"/>
          <w:highlight w:val="none"/>
          <w:u w:val="none"/>
          <w:lang w:val="en-US" w:eastAsia="zh-CN"/>
        </w:rPr>
        <w:t>306128.5</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3</w:t>
      </w:r>
      <w:r>
        <w:rPr>
          <w:rFonts w:hint="default" w:ascii="Times New Roman" w:hAnsi="Times New Roman" w:eastAsia="宋体" w:cs="Times New Roman"/>
          <w:color w:val="auto"/>
          <w:sz w:val="24"/>
          <w:szCs w:val="24"/>
          <w:highlight w:val="none"/>
          <w:u w:val="none"/>
          <w:lang w:val="en-US" w:eastAsia="zh-CN"/>
        </w:rPr>
        <w:t>/a</w:t>
      </w:r>
      <w:r>
        <w:rPr>
          <w:rFonts w:hint="default" w:ascii="Times New Roman" w:hAnsi="Times New Roman" w:eastAsia="宋体" w:cs="Times New Roman"/>
          <w:color w:val="auto"/>
          <w:sz w:val="24"/>
          <w:szCs w:val="24"/>
          <w:highlight w:val="none"/>
          <w:u w:val="none"/>
        </w:rPr>
        <w:t>×</w:t>
      </w:r>
      <w:r>
        <w:rPr>
          <w:rFonts w:hint="eastAsia" w:eastAsia="宋体" w:cs="Times New Roman"/>
          <w:color w:val="auto"/>
          <w:sz w:val="24"/>
          <w:szCs w:val="24"/>
          <w:highlight w:val="none"/>
          <w:u w:val="none"/>
          <w:lang w:val="en-US" w:eastAsia="zh-CN"/>
        </w:rPr>
        <w:t>3</w:t>
      </w:r>
      <w:r>
        <w:rPr>
          <w:rFonts w:hint="default" w:ascii="Times New Roman" w:hAnsi="Times New Roman" w:eastAsia="宋体" w:cs="Times New Roman"/>
          <w:color w:val="auto"/>
          <w:sz w:val="24"/>
          <w:szCs w:val="24"/>
          <w:highlight w:val="none"/>
          <w:u w:val="none"/>
          <w:lang w:val="en-US" w:eastAsia="zh-CN"/>
        </w:rPr>
        <w:t>0mg/L</w:t>
      </w:r>
      <w:r>
        <w:rPr>
          <w:rFonts w:hint="default" w:ascii="Times New Roman" w:hAnsi="Times New Roman" w:eastAsia="宋体" w:cs="Times New Roman"/>
          <w:color w:val="auto"/>
          <w:sz w:val="24"/>
          <w:szCs w:val="24"/>
          <w:highlight w:val="none"/>
          <w:u w:val="none"/>
        </w:rPr>
        <w:t>×</w:t>
      </w:r>
      <w:r>
        <w:rPr>
          <w:rFonts w:hint="eastAsia" w:eastAsia="宋体" w:cs="Times New Roman"/>
          <w:color w:val="auto"/>
          <w:sz w:val="24"/>
          <w:szCs w:val="24"/>
          <w:highlight w:val="none"/>
          <w:u w:val="none"/>
          <w:lang w:val="en-US" w:eastAsia="zh-CN"/>
        </w:rPr>
        <w:t>10</w:t>
      </w:r>
      <w:r>
        <w:rPr>
          <w:rFonts w:hint="eastAsia" w:eastAsia="宋体" w:cs="Times New Roman"/>
          <w:color w:val="auto"/>
          <w:sz w:val="24"/>
          <w:szCs w:val="24"/>
          <w:highlight w:val="none"/>
          <w:u w:val="none"/>
          <w:vertAlign w:val="superscript"/>
          <w:lang w:val="en-US" w:eastAsia="zh-CN"/>
        </w:rPr>
        <w:t>-6</w:t>
      </w:r>
      <w:r>
        <w:rPr>
          <w:rFonts w:hint="default" w:ascii="Times New Roman" w:hAnsi="Times New Roman" w:eastAsia="宋体" w:cs="Times New Roman"/>
          <w:color w:val="auto"/>
          <w:sz w:val="24"/>
          <w:szCs w:val="24"/>
          <w:highlight w:val="none"/>
          <w:u w:val="none"/>
          <w:lang w:val="en-US" w:eastAsia="zh-CN"/>
        </w:rPr>
        <w:t>=</w:t>
      </w:r>
      <w:r>
        <w:rPr>
          <w:rFonts w:hint="eastAsia" w:cs="Times New Roman"/>
          <w:color w:val="auto"/>
          <w:highlight w:val="none"/>
          <w:u w:val="none"/>
          <w:lang w:val="en-US" w:eastAsia="zh-CN"/>
        </w:rPr>
        <w:t xml:space="preserve">9.1839 </w:t>
      </w:r>
      <w:r>
        <w:rPr>
          <w:rFonts w:hint="default" w:ascii="Times New Roman" w:hAnsi="Times New Roman" w:eastAsia="宋体" w:cs="Times New Roman"/>
          <w:color w:val="auto"/>
          <w:sz w:val="24"/>
          <w:szCs w:val="24"/>
          <w:highlight w:val="none"/>
          <w:u w:val="none"/>
          <w:lang w:val="en-US" w:eastAsia="zh-CN"/>
        </w:rPr>
        <w:t>t/a；</w:t>
      </w:r>
    </w:p>
    <w:p>
      <w:pPr>
        <w:widowControl w:val="0"/>
        <w:adjustRightInd w:val="0"/>
        <w:snapToGrid w:val="0"/>
        <w:spacing w:line="480" w:lineRule="exact"/>
        <w:ind w:firstLine="480" w:firstLineChars="200"/>
        <w:jc w:val="both"/>
        <w:rPr>
          <w:rFonts w:hint="default" w:ascii="Times New Roman" w:hAnsi="Times New Roman" w:eastAsia="宋体" w:cs="Times New Roman"/>
          <w:color w:val="auto"/>
          <w:kern w:val="2"/>
          <w:sz w:val="24"/>
          <w:szCs w:val="24"/>
          <w:highlight w:val="none"/>
          <w:u w:val="none"/>
          <w:lang w:val="en-US" w:eastAsia="zh-CN" w:bidi="ar-SA"/>
        </w:rPr>
      </w:pPr>
      <w:r>
        <w:rPr>
          <w:rFonts w:hint="default" w:ascii="Times New Roman" w:hAnsi="Times New Roman" w:eastAsia="宋体" w:cs="Times New Roman"/>
          <w:color w:val="auto"/>
          <w:kern w:val="2"/>
          <w:sz w:val="24"/>
          <w:szCs w:val="24"/>
          <w:highlight w:val="none"/>
          <w:u w:val="none"/>
          <w:lang w:val="en-US" w:eastAsia="zh-CN" w:bidi="ar-SA"/>
        </w:rPr>
        <w:t>氨氮排放量=</w:t>
      </w:r>
      <w:r>
        <w:rPr>
          <w:rFonts w:hint="default" w:ascii="Times New Roman" w:hAnsi="Times New Roman" w:eastAsia="宋体" w:cs="Times New Roman"/>
          <w:color w:val="auto"/>
          <w:kern w:val="2"/>
          <w:sz w:val="24"/>
          <w:szCs w:val="21"/>
          <w:highlight w:val="none"/>
          <w:u w:val="none"/>
          <w:lang w:val="en-US" w:eastAsia="zh-CN" w:bidi="ar-SA"/>
        </w:rPr>
        <w:t>废水量</w:t>
      </w:r>
      <w:r>
        <w:rPr>
          <w:rFonts w:hint="default" w:ascii="Times New Roman" w:hAnsi="Times New Roman" w:eastAsia="宋体" w:cs="Times New Roman"/>
          <w:color w:val="auto"/>
          <w:kern w:val="2"/>
          <w:sz w:val="24"/>
          <w:szCs w:val="24"/>
          <w:highlight w:val="none"/>
          <w:u w:val="none"/>
          <w:lang w:val="en-US" w:eastAsia="zh-CN" w:bidi="ar-SA"/>
        </w:rPr>
        <w:t xml:space="preserve">×集聚区污水处理厂出水浓度 </w:t>
      </w:r>
    </w:p>
    <w:p>
      <w:pPr>
        <w:widowControl w:val="0"/>
        <w:adjustRightInd w:val="0"/>
        <w:snapToGrid w:val="0"/>
        <w:spacing w:line="480" w:lineRule="exact"/>
        <w:ind w:firstLine="1680" w:firstLineChars="700"/>
        <w:jc w:val="both"/>
        <w:rPr>
          <w:rFonts w:hint="default" w:ascii="Times New Roman" w:hAnsi="Times New Roman" w:eastAsia="宋体" w:cs="Times New Roman"/>
          <w:color w:val="auto"/>
          <w:kern w:val="2"/>
          <w:sz w:val="24"/>
          <w:szCs w:val="21"/>
          <w:highlight w:val="none"/>
          <w:u w:val="none"/>
          <w:lang w:val="en-US" w:eastAsia="zh-CN" w:bidi="ar-SA"/>
        </w:rPr>
      </w:pPr>
      <w:r>
        <w:rPr>
          <w:rFonts w:hint="default" w:ascii="Times New Roman" w:hAnsi="Times New Roman" w:eastAsia="宋体" w:cs="Times New Roman"/>
          <w:color w:val="auto"/>
          <w:kern w:val="2"/>
          <w:sz w:val="24"/>
          <w:szCs w:val="24"/>
          <w:highlight w:val="none"/>
          <w:u w:val="none"/>
          <w:lang w:val="en-US" w:eastAsia="zh-CN" w:bidi="ar-SA"/>
        </w:rPr>
        <w:t xml:space="preserve">= </w:t>
      </w:r>
      <w:r>
        <w:rPr>
          <w:rFonts w:hint="eastAsia" w:eastAsia="宋体" w:cs="Times New Roman"/>
          <w:color w:val="auto"/>
          <w:sz w:val="24"/>
          <w:szCs w:val="24"/>
          <w:highlight w:val="none"/>
          <w:u w:val="none"/>
          <w:lang w:val="en-US" w:eastAsia="zh-CN"/>
        </w:rPr>
        <w:t>306128.5</w:t>
      </w:r>
      <w:r>
        <w:rPr>
          <w:rFonts w:hint="default" w:ascii="Times New Roman" w:hAnsi="Times New Roman" w:eastAsia="宋体" w:cs="Times New Roman"/>
          <w:color w:val="auto"/>
          <w:kern w:val="2"/>
          <w:sz w:val="24"/>
          <w:szCs w:val="21"/>
          <w:highlight w:val="none"/>
          <w:u w:val="none"/>
          <w:lang w:val="en-US" w:eastAsia="zh-CN" w:bidi="ar-SA"/>
        </w:rPr>
        <w:t>m</w:t>
      </w:r>
      <w:r>
        <w:rPr>
          <w:rFonts w:hint="default" w:ascii="Times New Roman" w:hAnsi="Times New Roman" w:eastAsia="宋体" w:cs="Times New Roman"/>
          <w:color w:val="auto"/>
          <w:kern w:val="2"/>
          <w:sz w:val="24"/>
          <w:szCs w:val="21"/>
          <w:highlight w:val="none"/>
          <w:u w:val="none"/>
          <w:vertAlign w:val="superscript"/>
          <w:lang w:val="en-US" w:eastAsia="zh-CN" w:bidi="ar-SA"/>
        </w:rPr>
        <w:t>3</w:t>
      </w:r>
      <w:r>
        <w:rPr>
          <w:rFonts w:hint="default" w:ascii="Times New Roman" w:hAnsi="Times New Roman" w:eastAsia="宋体" w:cs="Times New Roman"/>
          <w:color w:val="auto"/>
          <w:kern w:val="2"/>
          <w:sz w:val="24"/>
          <w:szCs w:val="21"/>
          <w:highlight w:val="none"/>
          <w:u w:val="none"/>
          <w:lang w:val="en-US" w:eastAsia="zh-CN" w:bidi="ar-SA"/>
        </w:rPr>
        <w:t>/a</w:t>
      </w:r>
      <w:r>
        <w:rPr>
          <w:rFonts w:hint="default" w:ascii="Times New Roman" w:hAnsi="Times New Roman" w:eastAsia="宋体" w:cs="Times New Roman"/>
          <w:color w:val="auto"/>
          <w:kern w:val="2"/>
          <w:sz w:val="24"/>
          <w:szCs w:val="24"/>
          <w:highlight w:val="none"/>
          <w:u w:val="none"/>
          <w:lang w:val="en-US" w:eastAsia="zh-CN" w:bidi="ar-SA"/>
        </w:rPr>
        <w:t>×</w:t>
      </w:r>
      <w:r>
        <w:rPr>
          <w:rFonts w:hint="eastAsia" w:eastAsia="宋体" w:cs="Times New Roman"/>
          <w:color w:val="auto"/>
          <w:kern w:val="2"/>
          <w:sz w:val="24"/>
          <w:szCs w:val="24"/>
          <w:highlight w:val="none"/>
          <w:u w:val="none"/>
          <w:lang w:val="en-US" w:eastAsia="zh-CN" w:bidi="ar-SA"/>
        </w:rPr>
        <w:t>1.5</w:t>
      </w:r>
      <w:r>
        <w:rPr>
          <w:rFonts w:hint="default" w:ascii="Times New Roman" w:hAnsi="Times New Roman" w:eastAsia="宋体" w:cs="Times New Roman"/>
          <w:color w:val="auto"/>
          <w:kern w:val="2"/>
          <w:sz w:val="24"/>
          <w:szCs w:val="21"/>
          <w:highlight w:val="none"/>
          <w:u w:val="none"/>
          <w:lang w:val="en-US" w:eastAsia="zh-CN" w:bidi="ar-SA"/>
        </w:rPr>
        <w:t>mg/L</w:t>
      </w:r>
      <w:r>
        <w:rPr>
          <w:rFonts w:hint="default" w:ascii="Times New Roman" w:hAnsi="Times New Roman" w:eastAsia="宋体" w:cs="Times New Roman"/>
          <w:color w:val="auto"/>
          <w:sz w:val="24"/>
          <w:szCs w:val="24"/>
          <w:highlight w:val="none"/>
          <w:u w:val="none"/>
        </w:rPr>
        <w:t>×</w:t>
      </w:r>
      <w:r>
        <w:rPr>
          <w:rFonts w:hint="eastAsia" w:eastAsia="宋体" w:cs="Times New Roman"/>
          <w:color w:val="auto"/>
          <w:sz w:val="24"/>
          <w:szCs w:val="24"/>
          <w:highlight w:val="none"/>
          <w:u w:val="none"/>
          <w:lang w:val="en-US" w:eastAsia="zh-CN"/>
        </w:rPr>
        <w:t>10</w:t>
      </w:r>
      <w:r>
        <w:rPr>
          <w:rFonts w:hint="eastAsia" w:eastAsia="宋体" w:cs="Times New Roman"/>
          <w:color w:val="auto"/>
          <w:sz w:val="24"/>
          <w:szCs w:val="24"/>
          <w:highlight w:val="none"/>
          <w:u w:val="none"/>
          <w:vertAlign w:val="superscript"/>
          <w:lang w:val="en-US" w:eastAsia="zh-CN"/>
        </w:rPr>
        <w:t>-6</w:t>
      </w:r>
      <w:r>
        <w:rPr>
          <w:rFonts w:hint="default" w:ascii="Times New Roman" w:hAnsi="Times New Roman" w:eastAsia="宋体" w:cs="Times New Roman"/>
          <w:color w:val="auto"/>
          <w:kern w:val="2"/>
          <w:sz w:val="24"/>
          <w:szCs w:val="21"/>
          <w:highlight w:val="none"/>
          <w:u w:val="none"/>
          <w:lang w:val="en-US" w:eastAsia="zh-CN" w:bidi="ar-SA"/>
        </w:rPr>
        <w:t>=</w:t>
      </w:r>
      <w:r>
        <w:rPr>
          <w:rFonts w:hint="eastAsia" w:cs="Times New Roman"/>
          <w:color w:val="auto"/>
          <w:highlight w:val="none"/>
          <w:u w:val="none"/>
          <w:lang w:val="en-US" w:eastAsia="zh-CN"/>
        </w:rPr>
        <w:t>0.4592</w:t>
      </w:r>
      <w:r>
        <w:rPr>
          <w:rFonts w:hint="default" w:ascii="Times New Roman" w:hAnsi="Times New Roman" w:eastAsia="宋体" w:cs="Times New Roman"/>
          <w:color w:val="auto"/>
          <w:kern w:val="2"/>
          <w:sz w:val="24"/>
          <w:szCs w:val="21"/>
          <w:highlight w:val="none"/>
          <w:u w:val="none"/>
          <w:lang w:val="en-US" w:eastAsia="zh-CN" w:bidi="ar-SA"/>
        </w:rPr>
        <w:t>t/a；</w:t>
      </w:r>
    </w:p>
    <w:p>
      <w:pPr>
        <w:pStyle w:val="5"/>
        <w:numPr>
          <w:ilvl w:val="0"/>
          <w:numId w:val="0"/>
        </w:numPr>
        <w:ind w:left="0" w:leftChars="0"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（2）改建完成后全厂总量指标</w:t>
      </w:r>
    </w:p>
    <w:p>
      <w:pPr>
        <w:bidi w:val="0"/>
        <w:rPr>
          <w:rFonts w:hint="default"/>
          <w:color w:val="auto"/>
          <w:highlight w:val="none"/>
          <w:u w:val="none"/>
          <w:lang w:val="en-US" w:eastAsia="zh-CN"/>
        </w:rPr>
      </w:pPr>
      <w:r>
        <w:rPr>
          <w:rFonts w:hint="eastAsia"/>
          <w:color w:val="auto"/>
          <w:highlight w:val="none"/>
          <w:u w:val="none"/>
          <w:lang w:val="en-US" w:eastAsia="zh-CN"/>
        </w:rPr>
        <w:t>改建</w:t>
      </w:r>
      <w:r>
        <w:rPr>
          <w:rFonts w:hint="eastAsia" w:ascii="Times New Roman" w:eastAsiaTheme="minorEastAsia"/>
          <w:color w:val="auto"/>
          <w:highlight w:val="none"/>
          <w:u w:val="none"/>
          <w:lang w:val="en-US" w:eastAsia="zh-CN"/>
        </w:rPr>
        <w:t>后全厂废水排放总量为</w:t>
      </w:r>
      <w:r>
        <w:rPr>
          <w:rFonts w:hint="eastAsia" w:eastAsia="宋体" w:cs="Times New Roman"/>
          <w:color w:val="auto"/>
          <w:sz w:val="24"/>
          <w:szCs w:val="24"/>
          <w:highlight w:val="none"/>
          <w:u w:val="none"/>
          <w:lang w:val="en-US" w:eastAsia="zh-CN"/>
        </w:rPr>
        <w:t>388628.5</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3</w:t>
      </w:r>
      <w:r>
        <w:rPr>
          <w:rFonts w:hint="default" w:ascii="Times New Roman" w:hAnsi="Times New Roman" w:eastAsia="宋体" w:cs="Times New Roman"/>
          <w:color w:val="auto"/>
          <w:sz w:val="24"/>
          <w:szCs w:val="24"/>
          <w:highlight w:val="none"/>
          <w:u w:val="none"/>
          <w:lang w:val="en-US" w:eastAsia="zh-CN"/>
        </w:rPr>
        <w:t>/a</w:t>
      </w:r>
      <w:r>
        <w:rPr>
          <w:rFonts w:hint="eastAsia" w:eastAsia="宋体" w:cs="Times New Roman"/>
          <w:color w:val="auto"/>
          <w:sz w:val="24"/>
          <w:szCs w:val="24"/>
          <w:highlight w:val="none"/>
          <w:u w:val="none"/>
          <w:lang w:val="en-US" w:eastAsia="zh-CN"/>
        </w:rPr>
        <w:t>，则改建工程建成后全厂排入外环境的废水污染物总量为：</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COD排放量=废水量</w:t>
      </w:r>
      <w:r>
        <w:rPr>
          <w:rFonts w:hint="default" w:ascii="Times New Roman" w:hAnsi="Times New Roman" w:eastAsia="宋体" w:cs="Times New Roman"/>
          <w:color w:val="auto"/>
          <w:sz w:val="24"/>
          <w:szCs w:val="24"/>
          <w:highlight w:val="none"/>
          <w:u w:val="none"/>
        </w:rPr>
        <w:t>×</w:t>
      </w:r>
      <w:r>
        <w:rPr>
          <w:rFonts w:hint="default" w:ascii="Times New Roman" w:hAnsi="Times New Roman" w:eastAsia="宋体" w:cs="Times New Roman"/>
          <w:color w:val="auto"/>
          <w:sz w:val="24"/>
          <w:szCs w:val="24"/>
          <w:highlight w:val="none"/>
          <w:u w:val="none"/>
          <w:lang w:val="en-US" w:eastAsia="zh-CN"/>
        </w:rPr>
        <w:t>集聚区</w:t>
      </w:r>
      <w:r>
        <w:rPr>
          <w:rFonts w:hint="default" w:ascii="Times New Roman" w:hAnsi="Times New Roman" w:eastAsia="宋体" w:cs="Times New Roman"/>
          <w:color w:val="auto"/>
          <w:sz w:val="24"/>
          <w:szCs w:val="24"/>
          <w:highlight w:val="none"/>
          <w:u w:val="none"/>
        </w:rPr>
        <w:t>污水处理厂出水浓度</w:t>
      </w:r>
      <w:r>
        <w:rPr>
          <w:rFonts w:hint="default" w:ascii="Times New Roman" w:hAnsi="Times New Roman" w:eastAsia="宋体" w:cs="Times New Roman"/>
          <w:color w:val="auto"/>
          <w:sz w:val="24"/>
          <w:szCs w:val="24"/>
          <w:highlight w:val="none"/>
          <w:u w:val="none"/>
          <w:lang w:val="en-US" w:eastAsia="zh-CN"/>
        </w:rPr>
        <w:t xml:space="preserve"> </w:t>
      </w:r>
    </w:p>
    <w:p>
      <w:pPr>
        <w:bidi w:val="0"/>
        <w:adjustRightInd w:val="0"/>
        <w:snapToGrid w:val="0"/>
        <w:spacing w:line="480" w:lineRule="exact"/>
        <w:ind w:firstLine="1680" w:firstLineChars="7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 xml:space="preserve">= </w:t>
      </w:r>
      <w:r>
        <w:rPr>
          <w:rFonts w:hint="eastAsia" w:eastAsia="宋体" w:cs="Times New Roman"/>
          <w:color w:val="auto"/>
          <w:sz w:val="24"/>
          <w:szCs w:val="24"/>
          <w:highlight w:val="none"/>
          <w:u w:val="none"/>
          <w:lang w:val="en-US" w:eastAsia="zh-CN"/>
        </w:rPr>
        <w:t>388628.5</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3</w:t>
      </w:r>
      <w:r>
        <w:rPr>
          <w:rFonts w:hint="default" w:ascii="Times New Roman" w:hAnsi="Times New Roman" w:eastAsia="宋体" w:cs="Times New Roman"/>
          <w:color w:val="auto"/>
          <w:sz w:val="24"/>
          <w:szCs w:val="24"/>
          <w:highlight w:val="none"/>
          <w:u w:val="none"/>
          <w:lang w:val="en-US" w:eastAsia="zh-CN"/>
        </w:rPr>
        <w:t>/a</w:t>
      </w:r>
      <w:r>
        <w:rPr>
          <w:rFonts w:hint="default" w:ascii="Times New Roman" w:hAnsi="Times New Roman" w:eastAsia="宋体" w:cs="Times New Roman"/>
          <w:color w:val="auto"/>
          <w:sz w:val="24"/>
          <w:szCs w:val="24"/>
          <w:highlight w:val="none"/>
          <w:u w:val="none"/>
        </w:rPr>
        <w:t>×</w:t>
      </w:r>
      <w:r>
        <w:rPr>
          <w:rFonts w:hint="eastAsia" w:eastAsia="宋体" w:cs="Times New Roman"/>
          <w:color w:val="auto"/>
          <w:sz w:val="24"/>
          <w:szCs w:val="24"/>
          <w:highlight w:val="none"/>
          <w:u w:val="none"/>
          <w:lang w:val="en-US" w:eastAsia="zh-CN"/>
        </w:rPr>
        <w:t>3</w:t>
      </w:r>
      <w:r>
        <w:rPr>
          <w:rFonts w:hint="default" w:ascii="Times New Roman" w:hAnsi="Times New Roman" w:eastAsia="宋体" w:cs="Times New Roman"/>
          <w:color w:val="auto"/>
          <w:sz w:val="24"/>
          <w:szCs w:val="24"/>
          <w:highlight w:val="none"/>
          <w:u w:val="none"/>
          <w:lang w:val="en-US" w:eastAsia="zh-CN"/>
        </w:rPr>
        <w:t>0mg/L</w:t>
      </w:r>
      <w:r>
        <w:rPr>
          <w:rFonts w:hint="default" w:ascii="Times New Roman" w:hAnsi="Times New Roman" w:eastAsia="宋体" w:cs="Times New Roman"/>
          <w:color w:val="auto"/>
          <w:sz w:val="24"/>
          <w:szCs w:val="24"/>
          <w:highlight w:val="none"/>
          <w:u w:val="none"/>
        </w:rPr>
        <w:t>×</w:t>
      </w:r>
      <w:r>
        <w:rPr>
          <w:rFonts w:hint="eastAsia" w:eastAsia="宋体" w:cs="Times New Roman"/>
          <w:color w:val="auto"/>
          <w:sz w:val="24"/>
          <w:szCs w:val="24"/>
          <w:highlight w:val="none"/>
          <w:u w:val="none"/>
          <w:lang w:val="en-US" w:eastAsia="zh-CN"/>
        </w:rPr>
        <w:t>10</w:t>
      </w:r>
      <w:r>
        <w:rPr>
          <w:rFonts w:hint="eastAsia" w:eastAsia="宋体" w:cs="Times New Roman"/>
          <w:color w:val="auto"/>
          <w:sz w:val="24"/>
          <w:szCs w:val="24"/>
          <w:highlight w:val="none"/>
          <w:u w:val="none"/>
          <w:vertAlign w:val="superscript"/>
          <w:lang w:val="en-US" w:eastAsia="zh-CN"/>
        </w:rPr>
        <w:t>-6</w:t>
      </w:r>
      <w:r>
        <w:rPr>
          <w:rFonts w:hint="default" w:ascii="Times New Roman" w:hAnsi="Times New Roman" w:eastAsia="宋体" w:cs="Times New Roman"/>
          <w:color w:val="auto"/>
          <w:sz w:val="24"/>
          <w:szCs w:val="24"/>
          <w:highlight w:val="none"/>
          <w:u w:val="none"/>
          <w:lang w:val="en-US" w:eastAsia="zh-CN"/>
        </w:rPr>
        <w:t>=</w:t>
      </w:r>
      <w:r>
        <w:rPr>
          <w:rFonts w:hint="eastAsia" w:eastAsia="宋体" w:cs="Times New Roman"/>
          <w:color w:val="auto"/>
          <w:sz w:val="24"/>
          <w:szCs w:val="24"/>
          <w:highlight w:val="none"/>
          <w:u w:val="none"/>
          <w:lang w:val="en-US" w:eastAsia="zh-CN"/>
        </w:rPr>
        <w:t>11.6589</w:t>
      </w:r>
      <w:r>
        <w:rPr>
          <w:rFonts w:hint="default" w:ascii="Times New Roman" w:hAnsi="Times New Roman" w:eastAsia="宋体" w:cs="Times New Roman"/>
          <w:color w:val="auto"/>
          <w:sz w:val="24"/>
          <w:szCs w:val="24"/>
          <w:highlight w:val="none"/>
          <w:u w:val="none"/>
          <w:lang w:val="en-US" w:eastAsia="zh-CN"/>
        </w:rPr>
        <w:t>t/a；</w:t>
      </w:r>
    </w:p>
    <w:p>
      <w:pPr>
        <w:widowControl w:val="0"/>
        <w:adjustRightInd w:val="0"/>
        <w:snapToGrid w:val="0"/>
        <w:spacing w:line="480" w:lineRule="exact"/>
        <w:ind w:firstLine="480" w:firstLineChars="200"/>
        <w:jc w:val="both"/>
        <w:rPr>
          <w:rFonts w:hint="default" w:ascii="Times New Roman" w:hAnsi="Times New Roman" w:eastAsia="宋体" w:cs="Times New Roman"/>
          <w:color w:val="auto"/>
          <w:kern w:val="2"/>
          <w:sz w:val="24"/>
          <w:szCs w:val="24"/>
          <w:highlight w:val="none"/>
          <w:u w:val="none"/>
          <w:lang w:val="en-US" w:eastAsia="zh-CN" w:bidi="ar-SA"/>
        </w:rPr>
      </w:pPr>
      <w:r>
        <w:rPr>
          <w:rFonts w:hint="default" w:ascii="Times New Roman" w:hAnsi="Times New Roman" w:eastAsia="宋体" w:cs="Times New Roman"/>
          <w:color w:val="auto"/>
          <w:kern w:val="2"/>
          <w:sz w:val="24"/>
          <w:szCs w:val="24"/>
          <w:highlight w:val="none"/>
          <w:u w:val="none"/>
          <w:lang w:val="en-US" w:eastAsia="zh-CN" w:bidi="ar-SA"/>
        </w:rPr>
        <w:t>氨氮排放量=</w:t>
      </w:r>
      <w:r>
        <w:rPr>
          <w:rFonts w:hint="default" w:ascii="Times New Roman" w:hAnsi="Times New Roman" w:eastAsia="宋体" w:cs="Times New Roman"/>
          <w:color w:val="auto"/>
          <w:kern w:val="2"/>
          <w:sz w:val="24"/>
          <w:szCs w:val="21"/>
          <w:highlight w:val="none"/>
          <w:u w:val="none"/>
          <w:lang w:val="en-US" w:eastAsia="zh-CN" w:bidi="ar-SA"/>
        </w:rPr>
        <w:t>废水量</w:t>
      </w:r>
      <w:r>
        <w:rPr>
          <w:rFonts w:hint="default" w:ascii="Times New Roman" w:hAnsi="Times New Roman" w:eastAsia="宋体" w:cs="Times New Roman"/>
          <w:color w:val="auto"/>
          <w:kern w:val="2"/>
          <w:sz w:val="24"/>
          <w:szCs w:val="24"/>
          <w:highlight w:val="none"/>
          <w:u w:val="none"/>
          <w:lang w:val="en-US" w:eastAsia="zh-CN" w:bidi="ar-SA"/>
        </w:rPr>
        <w:t xml:space="preserve">×集聚区污水处理厂出水浓度 </w:t>
      </w:r>
    </w:p>
    <w:p>
      <w:pPr>
        <w:bidi w:val="0"/>
        <w:ind w:firstLine="1680" w:firstLineChars="700"/>
        <w:rPr>
          <w:rFonts w:hint="eastAsia" w:eastAsia="宋体" w:cs="Times New Roman"/>
          <w:b/>
          <w:bCs/>
          <w:color w:val="auto"/>
          <w:kern w:val="2"/>
          <w:sz w:val="24"/>
          <w:szCs w:val="32"/>
          <w:highlight w:val="none"/>
          <w:u w:val="none"/>
          <w:lang w:val="en-US" w:eastAsia="zh-CN" w:bidi="ar-SA"/>
        </w:rPr>
      </w:pPr>
      <w:r>
        <w:rPr>
          <w:rFonts w:hint="default" w:ascii="Times New Roman" w:hAnsi="Times New Roman" w:eastAsia="宋体" w:cs="Times New Roman"/>
          <w:color w:val="auto"/>
          <w:kern w:val="2"/>
          <w:sz w:val="24"/>
          <w:szCs w:val="24"/>
          <w:highlight w:val="none"/>
          <w:u w:val="none"/>
          <w:lang w:val="en-US" w:eastAsia="zh-CN" w:bidi="ar-SA"/>
        </w:rPr>
        <w:t xml:space="preserve">= </w:t>
      </w:r>
      <w:r>
        <w:rPr>
          <w:rFonts w:hint="eastAsia" w:eastAsia="宋体" w:cs="Times New Roman"/>
          <w:color w:val="auto"/>
          <w:sz w:val="24"/>
          <w:szCs w:val="24"/>
          <w:highlight w:val="none"/>
          <w:u w:val="none"/>
          <w:lang w:val="en-US" w:eastAsia="zh-CN"/>
        </w:rPr>
        <w:t>388628.5</w:t>
      </w:r>
      <w:r>
        <w:rPr>
          <w:rFonts w:hint="default" w:ascii="Times New Roman" w:hAnsi="Times New Roman" w:eastAsia="宋体" w:cs="Times New Roman"/>
          <w:color w:val="auto"/>
          <w:kern w:val="2"/>
          <w:sz w:val="24"/>
          <w:szCs w:val="21"/>
          <w:highlight w:val="none"/>
          <w:u w:val="none"/>
          <w:lang w:val="en-US" w:eastAsia="zh-CN" w:bidi="ar-SA"/>
        </w:rPr>
        <w:t>m</w:t>
      </w:r>
      <w:r>
        <w:rPr>
          <w:rFonts w:hint="default" w:ascii="Times New Roman" w:hAnsi="Times New Roman" w:eastAsia="宋体" w:cs="Times New Roman"/>
          <w:color w:val="auto"/>
          <w:kern w:val="2"/>
          <w:sz w:val="24"/>
          <w:szCs w:val="21"/>
          <w:highlight w:val="none"/>
          <w:u w:val="none"/>
          <w:vertAlign w:val="superscript"/>
          <w:lang w:val="en-US" w:eastAsia="zh-CN" w:bidi="ar-SA"/>
        </w:rPr>
        <w:t>3</w:t>
      </w:r>
      <w:r>
        <w:rPr>
          <w:rFonts w:hint="default" w:ascii="Times New Roman" w:hAnsi="Times New Roman" w:eastAsia="宋体" w:cs="Times New Roman"/>
          <w:color w:val="auto"/>
          <w:kern w:val="2"/>
          <w:sz w:val="24"/>
          <w:szCs w:val="21"/>
          <w:highlight w:val="none"/>
          <w:u w:val="none"/>
          <w:lang w:val="en-US" w:eastAsia="zh-CN" w:bidi="ar-SA"/>
        </w:rPr>
        <w:t>/a</w:t>
      </w:r>
      <w:r>
        <w:rPr>
          <w:rFonts w:hint="default" w:ascii="Times New Roman" w:hAnsi="Times New Roman" w:eastAsia="宋体" w:cs="Times New Roman"/>
          <w:color w:val="auto"/>
          <w:kern w:val="2"/>
          <w:sz w:val="24"/>
          <w:szCs w:val="24"/>
          <w:highlight w:val="none"/>
          <w:u w:val="none"/>
          <w:lang w:val="en-US" w:eastAsia="zh-CN" w:bidi="ar-SA"/>
        </w:rPr>
        <w:t>×</w:t>
      </w:r>
      <w:r>
        <w:rPr>
          <w:rFonts w:hint="eastAsia" w:eastAsia="宋体" w:cs="Times New Roman"/>
          <w:color w:val="auto"/>
          <w:kern w:val="2"/>
          <w:sz w:val="24"/>
          <w:szCs w:val="24"/>
          <w:highlight w:val="none"/>
          <w:u w:val="none"/>
          <w:lang w:val="en-US" w:eastAsia="zh-CN" w:bidi="ar-SA"/>
        </w:rPr>
        <w:t>1.5</w:t>
      </w:r>
      <w:r>
        <w:rPr>
          <w:rFonts w:hint="default" w:ascii="Times New Roman" w:hAnsi="Times New Roman" w:eastAsia="宋体" w:cs="Times New Roman"/>
          <w:color w:val="auto"/>
          <w:kern w:val="2"/>
          <w:sz w:val="24"/>
          <w:szCs w:val="21"/>
          <w:highlight w:val="none"/>
          <w:u w:val="none"/>
          <w:lang w:val="en-US" w:eastAsia="zh-CN" w:bidi="ar-SA"/>
        </w:rPr>
        <w:t>mg/L</w:t>
      </w:r>
      <w:r>
        <w:rPr>
          <w:rFonts w:hint="default" w:ascii="Times New Roman" w:hAnsi="Times New Roman" w:eastAsia="宋体" w:cs="Times New Roman"/>
          <w:color w:val="auto"/>
          <w:sz w:val="24"/>
          <w:szCs w:val="24"/>
          <w:highlight w:val="none"/>
          <w:u w:val="none"/>
        </w:rPr>
        <w:t>×</w:t>
      </w:r>
      <w:r>
        <w:rPr>
          <w:rFonts w:hint="eastAsia" w:eastAsia="宋体" w:cs="Times New Roman"/>
          <w:color w:val="auto"/>
          <w:sz w:val="24"/>
          <w:szCs w:val="24"/>
          <w:highlight w:val="none"/>
          <w:u w:val="none"/>
          <w:lang w:val="en-US" w:eastAsia="zh-CN"/>
        </w:rPr>
        <w:t>10</w:t>
      </w:r>
      <w:r>
        <w:rPr>
          <w:rFonts w:hint="eastAsia" w:eastAsia="宋体" w:cs="Times New Roman"/>
          <w:color w:val="auto"/>
          <w:sz w:val="24"/>
          <w:szCs w:val="24"/>
          <w:highlight w:val="none"/>
          <w:u w:val="none"/>
          <w:vertAlign w:val="superscript"/>
          <w:lang w:val="en-US" w:eastAsia="zh-CN"/>
        </w:rPr>
        <w:t>-6</w:t>
      </w:r>
      <w:r>
        <w:rPr>
          <w:rFonts w:hint="default" w:ascii="Times New Roman" w:hAnsi="Times New Roman" w:eastAsia="宋体" w:cs="Times New Roman"/>
          <w:color w:val="auto"/>
          <w:kern w:val="2"/>
          <w:sz w:val="24"/>
          <w:szCs w:val="21"/>
          <w:highlight w:val="none"/>
          <w:u w:val="none"/>
          <w:lang w:val="en-US" w:eastAsia="zh-CN" w:bidi="ar-SA"/>
        </w:rPr>
        <w:t>=</w:t>
      </w:r>
      <w:r>
        <w:rPr>
          <w:rFonts w:hint="eastAsia" w:eastAsia="宋体" w:cs="Times New Roman"/>
          <w:color w:val="auto"/>
          <w:sz w:val="24"/>
          <w:szCs w:val="24"/>
          <w:highlight w:val="none"/>
          <w:u w:val="none"/>
          <w:lang w:val="en-US" w:eastAsia="zh-CN"/>
        </w:rPr>
        <w:t>0.5829</w:t>
      </w:r>
      <w:r>
        <w:rPr>
          <w:rFonts w:hint="default" w:ascii="Times New Roman" w:hAnsi="Times New Roman" w:eastAsia="宋体" w:cs="Times New Roman"/>
          <w:color w:val="auto"/>
          <w:kern w:val="2"/>
          <w:sz w:val="24"/>
          <w:szCs w:val="21"/>
          <w:highlight w:val="none"/>
          <w:u w:val="none"/>
          <w:lang w:val="en-US" w:eastAsia="zh-CN" w:bidi="ar-SA"/>
        </w:rPr>
        <w:t>t/a；</w:t>
      </w:r>
    </w:p>
    <w:p>
      <w:pPr>
        <w:bidi w:val="0"/>
        <w:adjustRightInd w:val="0"/>
        <w:snapToGrid w:val="0"/>
        <w:spacing w:line="480" w:lineRule="exact"/>
        <w:ind w:left="0" w:leftChars="0" w:firstLine="480" w:firstLineChars="200"/>
        <w:rPr>
          <w:rFonts w:hint="eastAsia" w:eastAsia="宋体" w:cs="Times New Roman"/>
          <w:color w:val="auto"/>
          <w:sz w:val="24"/>
          <w:szCs w:val="24"/>
          <w:highlight w:val="none"/>
          <w:u w:val="none"/>
          <w:lang w:val="en-US" w:eastAsia="zh-CN"/>
        </w:rPr>
      </w:pPr>
      <w:r>
        <w:rPr>
          <w:rFonts w:hint="eastAsia" w:eastAsia="宋体" w:cs="Times New Roman"/>
          <w:color w:val="auto"/>
          <w:sz w:val="24"/>
          <w:szCs w:val="24"/>
          <w:highlight w:val="none"/>
          <w:u w:val="none"/>
          <w:lang w:val="en-US" w:eastAsia="zh-CN"/>
        </w:rPr>
        <w:t>现有工程废水污染物允许排放量指标为COD14.5t/a，氨氮1.5t/a，可满足改建后全厂废水污染物排放量指标，故本次不需新申废水污染物排放量指标。</w:t>
      </w:r>
    </w:p>
    <w:p>
      <w:pPr>
        <w:pStyle w:val="9"/>
        <w:bidi w:val="0"/>
        <w:rPr>
          <w:rFonts w:hint="default"/>
          <w:color w:val="auto"/>
          <w:highlight w:val="none"/>
          <w:u w:val="single"/>
          <w:lang w:val="en-US" w:eastAsia="zh-CN"/>
        </w:rPr>
      </w:pPr>
      <w:r>
        <w:rPr>
          <w:color w:val="auto"/>
          <w:highlight w:val="none"/>
          <w:u w:val="single"/>
        </w:rPr>
        <w:t xml:space="preserve">表 </w:t>
      </w:r>
      <w:r>
        <w:rPr>
          <w:color w:val="auto"/>
          <w:highlight w:val="none"/>
          <w:u w:val="single"/>
        </w:rPr>
        <w:fldChar w:fldCharType="begin"/>
      </w:r>
      <w:r>
        <w:rPr>
          <w:color w:val="auto"/>
          <w:highlight w:val="none"/>
          <w:u w:val="single"/>
        </w:rPr>
        <w:instrText xml:space="preserve"> STYLEREF 2 \s </w:instrText>
      </w:r>
      <w:r>
        <w:rPr>
          <w:color w:val="auto"/>
          <w:highlight w:val="none"/>
          <w:u w:val="single"/>
        </w:rPr>
        <w:fldChar w:fldCharType="separate"/>
      </w:r>
      <w:r>
        <w:rPr>
          <w:color w:val="auto"/>
          <w:highlight w:val="none"/>
          <w:u w:val="single"/>
        </w:rPr>
        <w:t>10.5</w:t>
      </w:r>
      <w:r>
        <w:rPr>
          <w:color w:val="auto"/>
          <w:highlight w:val="none"/>
          <w:u w:val="single"/>
        </w:rPr>
        <w:fldChar w:fldCharType="end"/>
      </w:r>
      <w:r>
        <w:rPr>
          <w:rFonts w:hint="eastAsia"/>
          <w:color w:val="auto"/>
          <w:highlight w:val="none"/>
          <w:u w:val="single"/>
          <w:lang w:eastAsia="zh-CN"/>
        </w:rPr>
        <w:t>-</w:t>
      </w:r>
      <w:r>
        <w:rPr>
          <w:color w:val="auto"/>
          <w:highlight w:val="none"/>
          <w:u w:val="single"/>
        </w:rPr>
        <w:fldChar w:fldCharType="begin"/>
      </w:r>
      <w:r>
        <w:rPr>
          <w:color w:val="auto"/>
          <w:highlight w:val="none"/>
          <w:u w:val="single"/>
        </w:rPr>
        <w:instrText xml:space="preserve"> SEQ 表 \* ARABIC \s 2 </w:instrText>
      </w:r>
      <w:r>
        <w:rPr>
          <w:color w:val="auto"/>
          <w:highlight w:val="none"/>
          <w:u w:val="single"/>
        </w:rPr>
        <w:fldChar w:fldCharType="separate"/>
      </w:r>
      <w:r>
        <w:rPr>
          <w:color w:val="auto"/>
          <w:highlight w:val="none"/>
          <w:u w:val="single"/>
        </w:rPr>
        <w:t>1</w:t>
      </w:r>
      <w:r>
        <w:rPr>
          <w:color w:val="auto"/>
          <w:highlight w:val="none"/>
          <w:u w:val="single"/>
        </w:rPr>
        <w:fldChar w:fldCharType="end"/>
      </w:r>
      <w:r>
        <w:rPr>
          <w:rFonts w:hint="default" w:ascii="Times New Roman" w:hAnsi="Times New Roman" w:eastAsia="宋体" w:cs="Times New Roman"/>
          <w:b/>
          <w:bCs/>
          <w:color w:val="auto"/>
          <w:kern w:val="2"/>
          <w:sz w:val="24"/>
          <w:szCs w:val="24"/>
          <w:highlight w:val="none"/>
          <w:u w:val="single"/>
          <w:lang w:val="en-US" w:eastAsia="zh-CN" w:bidi="ar-SA"/>
        </w:rPr>
        <w:t xml:space="preserve">  </w:t>
      </w:r>
      <w:r>
        <w:rPr>
          <w:rFonts w:hint="eastAsia" w:eastAsia="宋体" w:cs="Times New Roman"/>
          <w:b/>
          <w:bCs/>
          <w:color w:val="auto"/>
          <w:kern w:val="2"/>
          <w:sz w:val="24"/>
          <w:szCs w:val="24"/>
          <w:highlight w:val="none"/>
          <w:u w:val="single"/>
          <w:lang w:val="en-US" w:eastAsia="zh-CN" w:bidi="ar-SA"/>
        </w:rPr>
        <w:t>项目废水污染物总量核算结果一览表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75"/>
        <w:gridCol w:w="1219"/>
        <w:gridCol w:w="1194"/>
        <w:gridCol w:w="1341"/>
        <w:gridCol w:w="1172"/>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tcPr>
          <w:p>
            <w:pPr>
              <w:pStyle w:val="22"/>
              <w:bidi w:val="0"/>
              <w:rPr>
                <w:rFonts w:hint="default"/>
                <w:color w:val="auto"/>
                <w:highlight w:val="none"/>
                <w:u w:val="single"/>
                <w:lang w:val="en-US" w:eastAsia="zh-CN"/>
              </w:rPr>
            </w:pPr>
            <w:r>
              <w:rPr>
                <w:rFonts w:hint="eastAsia"/>
                <w:color w:val="auto"/>
                <w:highlight w:val="none"/>
                <w:u w:val="single"/>
                <w:lang w:val="en-US" w:eastAsia="zh-CN"/>
              </w:rPr>
              <w:t>污染物</w:t>
            </w:r>
          </w:p>
        </w:tc>
        <w:tc>
          <w:tcPr>
            <w:tcW w:w="1075" w:type="dxa"/>
          </w:tcPr>
          <w:p>
            <w:pPr>
              <w:pStyle w:val="22"/>
              <w:bidi w:val="0"/>
              <w:rPr>
                <w:rFonts w:hint="default"/>
                <w:color w:val="auto"/>
                <w:highlight w:val="none"/>
                <w:u w:val="single"/>
                <w:lang w:val="en-US" w:eastAsia="zh-CN"/>
              </w:rPr>
            </w:pPr>
            <w:r>
              <w:rPr>
                <w:rFonts w:hint="eastAsia"/>
                <w:color w:val="auto"/>
                <w:highlight w:val="none"/>
                <w:u w:val="single"/>
                <w:lang w:val="en-US" w:eastAsia="zh-CN"/>
              </w:rPr>
              <w:t>改建工程排放量</w:t>
            </w:r>
          </w:p>
        </w:tc>
        <w:tc>
          <w:tcPr>
            <w:tcW w:w="0" w:type="auto"/>
          </w:tcPr>
          <w:p>
            <w:pPr>
              <w:pStyle w:val="22"/>
              <w:bidi w:val="0"/>
              <w:rPr>
                <w:rFonts w:hint="default"/>
                <w:color w:val="auto"/>
                <w:highlight w:val="none"/>
                <w:u w:val="single"/>
                <w:lang w:val="en-US" w:eastAsia="zh-CN"/>
              </w:rPr>
            </w:pPr>
            <w:r>
              <w:rPr>
                <w:rFonts w:hint="eastAsia"/>
                <w:color w:val="auto"/>
                <w:highlight w:val="none"/>
                <w:u w:val="single"/>
                <w:lang w:val="en-US" w:eastAsia="zh-CN"/>
              </w:rPr>
              <w:t>现有工程排放量</w:t>
            </w:r>
          </w:p>
        </w:tc>
        <w:tc>
          <w:tcPr>
            <w:tcW w:w="0" w:type="auto"/>
          </w:tcPr>
          <w:p>
            <w:pPr>
              <w:pStyle w:val="22"/>
              <w:bidi w:val="0"/>
              <w:rPr>
                <w:rFonts w:hint="default"/>
                <w:color w:val="auto"/>
                <w:highlight w:val="none"/>
                <w:u w:val="single"/>
                <w:lang w:val="en-US" w:eastAsia="zh-CN"/>
              </w:rPr>
            </w:pPr>
            <w:r>
              <w:rPr>
                <w:rFonts w:hint="eastAsia"/>
                <w:color w:val="auto"/>
                <w:highlight w:val="none"/>
                <w:u w:val="single"/>
                <w:lang w:val="en-US" w:eastAsia="zh-CN"/>
              </w:rPr>
              <w:t>以新带老削减量</w:t>
            </w:r>
          </w:p>
        </w:tc>
        <w:tc>
          <w:tcPr>
            <w:tcW w:w="0" w:type="auto"/>
          </w:tcPr>
          <w:p>
            <w:pPr>
              <w:pStyle w:val="22"/>
              <w:bidi w:val="0"/>
              <w:rPr>
                <w:rFonts w:hint="default"/>
                <w:color w:val="auto"/>
                <w:highlight w:val="none"/>
                <w:u w:val="single"/>
                <w:lang w:val="en-US" w:eastAsia="zh-CN"/>
              </w:rPr>
            </w:pPr>
            <w:r>
              <w:rPr>
                <w:rFonts w:hint="eastAsia"/>
                <w:color w:val="auto"/>
                <w:highlight w:val="none"/>
                <w:u w:val="single"/>
                <w:lang w:val="en-US" w:eastAsia="zh-CN"/>
              </w:rPr>
              <w:t>改建后全厂排放量</w:t>
            </w:r>
          </w:p>
        </w:tc>
        <w:tc>
          <w:tcPr>
            <w:tcW w:w="0" w:type="auto"/>
          </w:tcPr>
          <w:p>
            <w:pPr>
              <w:pStyle w:val="22"/>
              <w:bidi w:val="0"/>
              <w:rPr>
                <w:rFonts w:hint="default"/>
                <w:color w:val="auto"/>
                <w:highlight w:val="none"/>
                <w:u w:val="single"/>
                <w:lang w:val="en-US" w:eastAsia="zh-CN"/>
              </w:rPr>
            </w:pPr>
            <w:r>
              <w:rPr>
                <w:rFonts w:hint="eastAsia"/>
                <w:color w:val="auto"/>
                <w:highlight w:val="none"/>
                <w:u w:val="single"/>
                <w:lang w:val="en-US" w:eastAsia="zh-CN"/>
              </w:rPr>
              <w:t>现有工程总量指标</w:t>
            </w:r>
          </w:p>
        </w:tc>
        <w:tc>
          <w:tcPr>
            <w:tcW w:w="0" w:type="auto"/>
          </w:tcPr>
          <w:p>
            <w:pPr>
              <w:pStyle w:val="22"/>
              <w:bidi w:val="0"/>
              <w:rPr>
                <w:rFonts w:hint="default"/>
                <w:color w:val="auto"/>
                <w:highlight w:val="none"/>
                <w:u w:val="single"/>
                <w:lang w:val="en-US" w:eastAsia="zh-CN"/>
              </w:rPr>
            </w:pPr>
            <w:r>
              <w:rPr>
                <w:rFonts w:hint="eastAsia"/>
                <w:color w:val="auto"/>
                <w:highlight w:val="none"/>
                <w:u w:val="single"/>
                <w:lang w:val="en-US" w:eastAsia="zh-CN"/>
              </w:rPr>
              <w:t>本次需申请的污染物排放量指标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tcPr>
          <w:p>
            <w:pPr>
              <w:pStyle w:val="22"/>
              <w:bidi w:val="0"/>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废水（t/a）</w:t>
            </w:r>
          </w:p>
        </w:tc>
        <w:tc>
          <w:tcPr>
            <w:tcW w:w="1075" w:type="dxa"/>
            <w:vAlign w:val="top"/>
          </w:tcPr>
          <w:p>
            <w:pPr>
              <w:pStyle w:val="22"/>
              <w:bidi w:val="0"/>
              <w:rPr>
                <w:rFonts w:hint="eastAsia"/>
                <w:color w:val="auto"/>
                <w:u w:val="single"/>
                <w:lang w:val="en-US" w:eastAsia="zh-CN"/>
              </w:rPr>
            </w:pPr>
            <w:r>
              <w:rPr>
                <w:rFonts w:hint="default"/>
                <w:color w:val="auto"/>
                <w:u w:val="single"/>
                <w:lang w:val="en-US" w:eastAsia="zh-CN"/>
              </w:rPr>
              <w:t>306128.5</w:t>
            </w:r>
          </w:p>
        </w:tc>
        <w:tc>
          <w:tcPr>
            <w:tcW w:w="1219" w:type="dxa"/>
            <w:vAlign w:val="center"/>
          </w:tcPr>
          <w:p>
            <w:pPr>
              <w:pStyle w:val="22"/>
              <w:bidi w:val="0"/>
              <w:rPr>
                <w:rFonts w:hint="eastAsia"/>
                <w:color w:val="auto"/>
                <w:u w:val="single"/>
                <w:lang w:val="en-US" w:eastAsia="zh-CN"/>
              </w:rPr>
            </w:pPr>
            <w:r>
              <w:rPr>
                <w:rFonts w:hint="default"/>
                <w:color w:val="auto"/>
                <w:u w:val="single"/>
                <w:lang w:val="en-US" w:eastAsia="zh-CN"/>
              </w:rPr>
              <w:t>245985</w:t>
            </w:r>
          </w:p>
        </w:tc>
        <w:tc>
          <w:tcPr>
            <w:tcW w:w="1194" w:type="dxa"/>
            <w:vAlign w:val="center"/>
          </w:tcPr>
          <w:p>
            <w:pPr>
              <w:pStyle w:val="22"/>
              <w:bidi w:val="0"/>
              <w:rPr>
                <w:rFonts w:hint="eastAsia"/>
                <w:color w:val="auto"/>
                <w:u w:val="single"/>
                <w:lang w:val="en-US" w:eastAsia="zh-CN"/>
              </w:rPr>
            </w:pPr>
            <w:r>
              <w:rPr>
                <w:rFonts w:hint="default"/>
                <w:color w:val="auto"/>
                <w:u w:val="single"/>
                <w:lang w:val="en-US" w:eastAsia="zh-CN"/>
              </w:rPr>
              <w:t>163485</w:t>
            </w:r>
          </w:p>
        </w:tc>
        <w:tc>
          <w:tcPr>
            <w:tcW w:w="1341" w:type="dxa"/>
            <w:vAlign w:val="top"/>
          </w:tcPr>
          <w:p>
            <w:pPr>
              <w:pStyle w:val="22"/>
              <w:bidi w:val="0"/>
              <w:rPr>
                <w:rFonts w:hint="default"/>
                <w:color w:val="auto"/>
                <w:u w:val="single"/>
                <w:lang w:val="en-US" w:eastAsia="zh-CN"/>
              </w:rPr>
            </w:pPr>
            <w:r>
              <w:rPr>
                <w:rFonts w:hint="default"/>
                <w:color w:val="auto"/>
                <w:u w:val="single"/>
                <w:lang w:val="en-US" w:eastAsia="zh-CN"/>
              </w:rPr>
              <w:t>388628.5</w:t>
            </w:r>
          </w:p>
        </w:tc>
        <w:tc>
          <w:tcPr>
            <w:tcW w:w="1172" w:type="dxa"/>
            <w:vAlign w:val="top"/>
          </w:tcPr>
          <w:p>
            <w:pPr>
              <w:pStyle w:val="22"/>
              <w:bidi w:val="0"/>
              <w:rPr>
                <w:rFonts w:hint="default"/>
                <w:color w:val="auto"/>
                <w:u w:val="single"/>
                <w:lang w:val="en-US" w:eastAsia="zh-CN"/>
              </w:rPr>
            </w:pPr>
            <w:r>
              <w:rPr>
                <w:rFonts w:hint="default"/>
                <w:color w:val="auto"/>
                <w:u w:val="single"/>
                <w:lang w:val="en-US" w:eastAsia="zh-CN"/>
              </w:rPr>
              <w:t>/</w:t>
            </w:r>
          </w:p>
        </w:tc>
        <w:tc>
          <w:tcPr>
            <w:tcW w:w="1731" w:type="dxa"/>
            <w:vAlign w:val="top"/>
          </w:tcPr>
          <w:p>
            <w:pPr>
              <w:pStyle w:val="22"/>
              <w:bidi w:val="0"/>
              <w:rPr>
                <w:rFonts w:hint="default"/>
                <w:color w:val="auto"/>
                <w:u w:val="single"/>
                <w:lang w:val="en-US" w:eastAsia="zh-CN"/>
              </w:rPr>
            </w:pPr>
            <w:r>
              <w:rPr>
                <w:rFonts w:hint="default"/>
                <w:color w:val="auto"/>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215" w:type="dxa"/>
          </w:tcPr>
          <w:p>
            <w:pPr>
              <w:pStyle w:val="22"/>
              <w:bidi w:val="0"/>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COD（t/a）</w:t>
            </w:r>
          </w:p>
        </w:tc>
        <w:tc>
          <w:tcPr>
            <w:tcW w:w="1075" w:type="dxa"/>
            <w:vAlign w:val="top"/>
          </w:tcPr>
          <w:p>
            <w:pPr>
              <w:pStyle w:val="22"/>
              <w:bidi w:val="0"/>
              <w:rPr>
                <w:rFonts w:hint="eastAsia"/>
                <w:color w:val="auto"/>
                <w:u w:val="single"/>
                <w:lang w:val="en-US" w:eastAsia="zh-CN"/>
              </w:rPr>
            </w:pPr>
            <w:r>
              <w:rPr>
                <w:rFonts w:hint="default"/>
                <w:color w:val="auto"/>
                <w:u w:val="single"/>
                <w:lang w:val="en-US" w:eastAsia="zh-CN"/>
              </w:rPr>
              <w:t>9.1839</w:t>
            </w:r>
          </w:p>
        </w:tc>
        <w:tc>
          <w:tcPr>
            <w:tcW w:w="1219" w:type="dxa"/>
            <w:vAlign w:val="center"/>
          </w:tcPr>
          <w:p>
            <w:pPr>
              <w:pStyle w:val="22"/>
              <w:bidi w:val="0"/>
              <w:rPr>
                <w:rFonts w:hint="eastAsia"/>
                <w:color w:val="auto"/>
                <w:u w:val="single"/>
                <w:lang w:val="en-US" w:eastAsia="zh-CN"/>
              </w:rPr>
            </w:pPr>
            <w:r>
              <w:rPr>
                <w:rFonts w:hint="default"/>
                <w:color w:val="auto"/>
                <w:u w:val="single"/>
                <w:lang w:val="en-US" w:eastAsia="zh-CN"/>
              </w:rPr>
              <w:t xml:space="preserve">12.2993 </w:t>
            </w:r>
          </w:p>
        </w:tc>
        <w:tc>
          <w:tcPr>
            <w:tcW w:w="1194" w:type="dxa"/>
            <w:vAlign w:val="center"/>
          </w:tcPr>
          <w:p>
            <w:pPr>
              <w:pStyle w:val="22"/>
              <w:bidi w:val="0"/>
              <w:rPr>
                <w:rFonts w:hint="eastAsia"/>
                <w:color w:val="auto"/>
                <w:u w:val="single"/>
                <w:lang w:val="en-US" w:eastAsia="zh-CN"/>
              </w:rPr>
            </w:pPr>
            <w:r>
              <w:rPr>
                <w:rFonts w:hint="eastAsia"/>
                <w:color w:val="auto"/>
                <w:u w:val="single"/>
                <w:lang w:val="en-US" w:eastAsia="zh-CN"/>
              </w:rPr>
              <w:t>9.8243</w:t>
            </w:r>
          </w:p>
        </w:tc>
        <w:tc>
          <w:tcPr>
            <w:tcW w:w="1341" w:type="dxa"/>
            <w:vAlign w:val="top"/>
          </w:tcPr>
          <w:p>
            <w:pPr>
              <w:pStyle w:val="22"/>
              <w:bidi w:val="0"/>
              <w:rPr>
                <w:rFonts w:hint="default"/>
                <w:color w:val="auto"/>
                <w:u w:val="single"/>
                <w:lang w:val="en-US" w:eastAsia="zh-CN"/>
              </w:rPr>
            </w:pPr>
            <w:r>
              <w:rPr>
                <w:rFonts w:hint="default"/>
                <w:color w:val="auto"/>
                <w:u w:val="single"/>
                <w:lang w:val="en-US" w:eastAsia="zh-CN"/>
              </w:rPr>
              <w:t>11.6589</w:t>
            </w:r>
          </w:p>
        </w:tc>
        <w:tc>
          <w:tcPr>
            <w:tcW w:w="1172" w:type="dxa"/>
            <w:vAlign w:val="top"/>
          </w:tcPr>
          <w:p>
            <w:pPr>
              <w:pStyle w:val="22"/>
              <w:bidi w:val="0"/>
              <w:rPr>
                <w:rFonts w:hint="eastAsia"/>
                <w:color w:val="auto"/>
                <w:u w:val="single"/>
                <w:lang w:val="en-US" w:eastAsia="zh-CN"/>
              </w:rPr>
            </w:pPr>
            <w:r>
              <w:rPr>
                <w:rFonts w:hint="default"/>
                <w:color w:val="auto"/>
                <w:u w:val="single"/>
                <w:lang w:val="en-US" w:eastAsia="zh-CN"/>
              </w:rPr>
              <w:t>14.5</w:t>
            </w:r>
          </w:p>
        </w:tc>
        <w:tc>
          <w:tcPr>
            <w:tcW w:w="1732" w:type="dxa"/>
            <w:vAlign w:val="center"/>
          </w:tcPr>
          <w:p>
            <w:pPr>
              <w:pStyle w:val="22"/>
              <w:bidi w:val="0"/>
              <w:rPr>
                <w:rFonts w:hint="eastAsia"/>
                <w:color w:val="auto"/>
                <w:u w:val="single"/>
                <w:lang w:val="en-US" w:eastAsia="zh-CN"/>
              </w:rPr>
            </w:pPr>
            <w:r>
              <w:rPr>
                <w:rFonts w:hint="default"/>
                <w:color w:val="auto"/>
                <w:u w:val="singl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tcPr>
          <w:p>
            <w:pPr>
              <w:pStyle w:val="22"/>
              <w:bidi w:val="0"/>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氨氮（t/a）</w:t>
            </w:r>
          </w:p>
        </w:tc>
        <w:tc>
          <w:tcPr>
            <w:tcW w:w="1075" w:type="dxa"/>
            <w:vAlign w:val="top"/>
          </w:tcPr>
          <w:p>
            <w:pPr>
              <w:pStyle w:val="22"/>
              <w:bidi w:val="0"/>
              <w:rPr>
                <w:rFonts w:hint="default"/>
                <w:color w:val="auto"/>
                <w:u w:val="single"/>
                <w:lang w:val="en-US" w:eastAsia="zh-CN"/>
              </w:rPr>
            </w:pPr>
            <w:r>
              <w:rPr>
                <w:rFonts w:hint="default"/>
                <w:color w:val="auto"/>
                <w:u w:val="single"/>
                <w:lang w:val="en-US" w:eastAsia="zh-CN"/>
              </w:rPr>
              <w:t>0.4592</w:t>
            </w:r>
          </w:p>
        </w:tc>
        <w:tc>
          <w:tcPr>
            <w:tcW w:w="1219" w:type="dxa"/>
            <w:vAlign w:val="center"/>
          </w:tcPr>
          <w:p>
            <w:pPr>
              <w:pStyle w:val="22"/>
              <w:bidi w:val="0"/>
              <w:rPr>
                <w:rFonts w:hint="eastAsia"/>
                <w:color w:val="auto"/>
                <w:u w:val="single"/>
                <w:lang w:val="en-US" w:eastAsia="zh-CN"/>
              </w:rPr>
            </w:pPr>
            <w:r>
              <w:rPr>
                <w:rFonts w:hint="default"/>
                <w:color w:val="auto"/>
                <w:u w:val="single"/>
                <w:lang w:val="en-US" w:eastAsia="zh-CN"/>
              </w:rPr>
              <w:t xml:space="preserve">1.2299 </w:t>
            </w:r>
          </w:p>
        </w:tc>
        <w:tc>
          <w:tcPr>
            <w:tcW w:w="1194" w:type="dxa"/>
            <w:vAlign w:val="center"/>
          </w:tcPr>
          <w:p>
            <w:pPr>
              <w:pStyle w:val="22"/>
              <w:bidi w:val="0"/>
              <w:rPr>
                <w:rFonts w:hint="eastAsia"/>
                <w:color w:val="auto"/>
                <w:u w:val="single"/>
                <w:lang w:val="en-US" w:eastAsia="zh-CN"/>
              </w:rPr>
            </w:pPr>
            <w:r>
              <w:rPr>
                <w:rFonts w:hint="eastAsia"/>
                <w:color w:val="auto"/>
                <w:u w:val="single"/>
                <w:lang w:val="en-US" w:eastAsia="zh-CN"/>
              </w:rPr>
              <w:t xml:space="preserve">1.1062 </w:t>
            </w:r>
          </w:p>
        </w:tc>
        <w:tc>
          <w:tcPr>
            <w:tcW w:w="1341" w:type="dxa"/>
            <w:vAlign w:val="top"/>
          </w:tcPr>
          <w:p>
            <w:pPr>
              <w:pStyle w:val="22"/>
              <w:bidi w:val="0"/>
              <w:rPr>
                <w:rFonts w:hint="eastAsia"/>
                <w:color w:val="auto"/>
                <w:u w:val="single"/>
                <w:lang w:val="en-US" w:eastAsia="zh-CN"/>
              </w:rPr>
            </w:pPr>
            <w:r>
              <w:rPr>
                <w:rFonts w:hint="default"/>
                <w:color w:val="auto"/>
                <w:u w:val="single"/>
                <w:lang w:val="en-US" w:eastAsia="zh-CN"/>
              </w:rPr>
              <w:t>0.5829</w:t>
            </w:r>
          </w:p>
        </w:tc>
        <w:tc>
          <w:tcPr>
            <w:tcW w:w="1172" w:type="dxa"/>
            <w:vAlign w:val="top"/>
          </w:tcPr>
          <w:p>
            <w:pPr>
              <w:pStyle w:val="22"/>
              <w:bidi w:val="0"/>
              <w:rPr>
                <w:rFonts w:hint="eastAsia"/>
                <w:color w:val="auto"/>
                <w:u w:val="single"/>
                <w:lang w:val="en-US" w:eastAsia="zh-CN"/>
              </w:rPr>
            </w:pPr>
            <w:r>
              <w:rPr>
                <w:rFonts w:hint="default"/>
                <w:color w:val="auto"/>
                <w:u w:val="single"/>
                <w:lang w:val="en-US" w:eastAsia="zh-CN"/>
              </w:rPr>
              <w:t>1.5</w:t>
            </w:r>
          </w:p>
        </w:tc>
        <w:tc>
          <w:tcPr>
            <w:tcW w:w="1732" w:type="dxa"/>
            <w:vAlign w:val="center"/>
          </w:tcPr>
          <w:p>
            <w:pPr>
              <w:pStyle w:val="22"/>
              <w:bidi w:val="0"/>
              <w:rPr>
                <w:rFonts w:hint="eastAsia"/>
                <w:color w:val="auto"/>
                <w:u w:val="single"/>
                <w:lang w:val="en-US" w:eastAsia="zh-CN"/>
              </w:rPr>
            </w:pPr>
            <w:r>
              <w:rPr>
                <w:rFonts w:hint="default"/>
                <w:color w:val="auto"/>
                <w:u w:val="single"/>
                <w:lang w:val="en-US" w:eastAsia="zh-CN"/>
              </w:rPr>
              <w:t>0</w:t>
            </w:r>
          </w:p>
        </w:tc>
      </w:tr>
    </w:tbl>
    <w:p>
      <w:pPr>
        <w:pStyle w:val="4"/>
        <w:bidi w:val="0"/>
        <w:rPr>
          <w:rFonts w:hint="default"/>
          <w:color w:val="auto"/>
          <w:highlight w:val="none"/>
          <w:u w:val="single"/>
          <w:lang w:val="en-US" w:eastAsia="zh-CN"/>
        </w:rPr>
      </w:pPr>
      <w:r>
        <w:rPr>
          <w:rFonts w:hint="default"/>
          <w:color w:val="auto"/>
          <w:highlight w:val="none"/>
          <w:u w:val="single"/>
          <w:lang w:val="en-US" w:eastAsia="zh-CN"/>
        </w:rPr>
        <w:t>废气</w:t>
      </w:r>
      <w:bookmarkEnd w:id="281"/>
      <w:bookmarkEnd w:id="282"/>
      <w:bookmarkEnd w:id="283"/>
    </w:p>
    <w:p>
      <w:pPr>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根据项目工程分析内容，</w:t>
      </w:r>
      <w:r>
        <w:rPr>
          <w:rFonts w:hint="eastAsia" w:eastAsia="宋体" w:cs="Times New Roman"/>
          <w:color w:val="auto"/>
          <w:sz w:val="24"/>
          <w:szCs w:val="24"/>
          <w:highlight w:val="none"/>
          <w:u w:val="single"/>
          <w:lang w:val="en-US" w:eastAsia="zh-CN"/>
        </w:rPr>
        <w:t>改建工程</w:t>
      </w:r>
      <w:r>
        <w:rPr>
          <w:rFonts w:hint="default" w:ascii="Times New Roman" w:hAnsi="Times New Roman" w:eastAsia="宋体" w:cs="Times New Roman"/>
          <w:color w:val="auto"/>
          <w:sz w:val="24"/>
          <w:szCs w:val="24"/>
          <w:highlight w:val="none"/>
          <w:u w:val="single"/>
          <w:lang w:val="en-US" w:eastAsia="zh-CN"/>
        </w:rPr>
        <w:t>二氧化硫、氮氧化物排放总量分别为</w:t>
      </w:r>
      <w:r>
        <w:rPr>
          <w:rFonts w:hint="eastAsia"/>
          <w:color w:val="auto"/>
          <w:highlight w:val="none"/>
          <w:u w:val="single"/>
          <w:lang w:val="en-US" w:eastAsia="zh-CN"/>
        </w:rPr>
        <w:t>1.27</w:t>
      </w:r>
      <w:r>
        <w:rPr>
          <w:rFonts w:hint="default" w:ascii="Times New Roman" w:hAnsi="Times New Roman" w:eastAsia="宋体" w:cs="Times New Roman"/>
          <w:color w:val="auto"/>
          <w:sz w:val="24"/>
          <w:szCs w:val="24"/>
          <w:highlight w:val="none"/>
          <w:u w:val="single"/>
          <w:lang w:val="en-US" w:eastAsia="zh-CN"/>
        </w:rPr>
        <w:t>t/a、</w:t>
      </w:r>
      <w:r>
        <w:rPr>
          <w:rFonts w:hint="default"/>
          <w:color w:val="auto"/>
          <w:highlight w:val="none"/>
          <w:u w:val="single"/>
          <w:lang w:val="en-US" w:eastAsia="zh-CN"/>
        </w:rPr>
        <w:t>15.5266</w:t>
      </w:r>
      <w:r>
        <w:rPr>
          <w:rFonts w:hint="default" w:ascii="Times New Roman" w:hAnsi="Times New Roman" w:eastAsia="宋体" w:cs="Times New Roman"/>
          <w:color w:val="auto"/>
          <w:sz w:val="24"/>
          <w:szCs w:val="24"/>
          <w:highlight w:val="none"/>
          <w:u w:val="single"/>
          <w:lang w:val="en-US" w:eastAsia="zh-CN"/>
        </w:rPr>
        <w:t>t/a</w:t>
      </w:r>
      <w:r>
        <w:rPr>
          <w:rFonts w:hint="eastAsia" w:eastAsia="宋体" w:cs="Times New Roman"/>
          <w:color w:val="auto"/>
          <w:sz w:val="24"/>
          <w:szCs w:val="24"/>
          <w:highlight w:val="none"/>
          <w:u w:val="single"/>
          <w:lang w:val="en-US" w:eastAsia="zh-CN"/>
        </w:rPr>
        <w:t>；</w:t>
      </w:r>
      <w:r>
        <w:rPr>
          <w:rFonts w:hint="default" w:ascii="Times New Roman" w:hAnsi="Times New Roman" w:eastAsia="宋体" w:cs="Times New Roman"/>
          <w:color w:val="auto"/>
          <w:sz w:val="24"/>
          <w:szCs w:val="24"/>
          <w:highlight w:val="none"/>
          <w:u w:val="single"/>
          <w:lang w:val="en-US" w:eastAsia="zh-CN"/>
        </w:rPr>
        <w:t>非甲烷总烃有组织排放量为</w:t>
      </w:r>
      <w:r>
        <w:rPr>
          <w:rFonts w:hint="eastAsia" w:ascii="Times New Roman" w:eastAsia="宋体"/>
          <w:color w:val="auto"/>
          <w:highlight w:val="none"/>
          <w:u w:val="single"/>
          <w:lang w:val="en-US" w:eastAsia="zh-CN"/>
        </w:rPr>
        <w:t>4.7348</w:t>
      </w:r>
      <w:r>
        <w:rPr>
          <w:rFonts w:hint="default" w:ascii="Times New Roman" w:hAnsi="Times New Roman" w:eastAsia="宋体" w:cs="Times New Roman"/>
          <w:color w:val="auto"/>
          <w:sz w:val="24"/>
          <w:szCs w:val="24"/>
          <w:highlight w:val="none"/>
          <w:u w:val="single"/>
          <w:lang w:val="en-US" w:eastAsia="zh-CN"/>
        </w:rPr>
        <w:t>t/a，无组织排放量为</w:t>
      </w:r>
      <w:r>
        <w:rPr>
          <w:rFonts w:hint="eastAsia" w:cs="Times New Roman"/>
          <w:color w:val="auto"/>
          <w:highlight w:val="none"/>
          <w:u w:val="single"/>
          <w:lang w:eastAsia="zh-CN"/>
        </w:rPr>
        <w:t>1.4125</w:t>
      </w:r>
      <w:r>
        <w:rPr>
          <w:rFonts w:hint="default" w:ascii="Times New Roman" w:hAnsi="Times New Roman" w:eastAsia="宋体" w:cs="Times New Roman"/>
          <w:color w:val="auto"/>
          <w:sz w:val="24"/>
          <w:szCs w:val="24"/>
          <w:highlight w:val="none"/>
          <w:u w:val="single"/>
          <w:lang w:val="en-US" w:eastAsia="zh-CN"/>
        </w:rPr>
        <w:t>t/a，非甲烷总烃排放总量为</w:t>
      </w:r>
      <w:r>
        <w:rPr>
          <w:rFonts w:hint="default"/>
          <w:color w:val="auto"/>
          <w:highlight w:val="none"/>
          <w:u w:val="single"/>
          <w:lang w:val="en-US" w:eastAsia="zh-CN"/>
        </w:rPr>
        <w:t>6.1473</w:t>
      </w:r>
      <w:r>
        <w:rPr>
          <w:rFonts w:hint="default" w:ascii="Times New Roman" w:hAnsi="Times New Roman" w:eastAsia="宋体" w:cs="Times New Roman"/>
          <w:color w:val="auto"/>
          <w:sz w:val="24"/>
          <w:szCs w:val="24"/>
          <w:highlight w:val="none"/>
          <w:u w:val="single"/>
          <w:lang w:val="en-US" w:eastAsia="zh-CN"/>
        </w:rPr>
        <w:t>t/a。</w:t>
      </w:r>
    </w:p>
    <w:p>
      <w:pPr>
        <w:adjustRightInd w:val="0"/>
        <w:snapToGrid w:val="0"/>
        <w:spacing w:line="480" w:lineRule="exact"/>
        <w:ind w:firstLine="480" w:firstLineChars="200"/>
        <w:rPr>
          <w:rFonts w:hint="eastAsia" w:eastAsia="宋体" w:cs="Times New Roman"/>
          <w:color w:val="auto"/>
          <w:sz w:val="24"/>
          <w:szCs w:val="24"/>
          <w:highlight w:val="none"/>
          <w:u w:val="single"/>
          <w:lang w:val="en-US" w:eastAsia="zh-CN"/>
        </w:rPr>
      </w:pPr>
      <w:r>
        <w:rPr>
          <w:rFonts w:hint="eastAsia" w:eastAsia="宋体" w:cs="Times New Roman"/>
          <w:color w:val="auto"/>
          <w:sz w:val="24"/>
          <w:szCs w:val="24"/>
          <w:highlight w:val="none"/>
          <w:u w:val="single"/>
          <w:lang w:val="en-US" w:eastAsia="zh-CN"/>
        </w:rPr>
        <w:t>改建工程实施后，全厂废气污染物排放量分别为：二</w:t>
      </w:r>
      <w:r>
        <w:rPr>
          <w:rFonts w:hint="default" w:ascii="Times New Roman" w:hAnsi="Times New Roman" w:eastAsia="宋体" w:cs="Times New Roman"/>
          <w:color w:val="auto"/>
          <w:sz w:val="24"/>
          <w:szCs w:val="24"/>
          <w:highlight w:val="none"/>
          <w:u w:val="single"/>
          <w:lang w:val="en-US" w:eastAsia="zh-CN"/>
        </w:rPr>
        <w:t>氧化硫</w:t>
      </w:r>
      <w:r>
        <w:rPr>
          <w:rFonts w:hint="default"/>
          <w:color w:val="auto"/>
          <w:highlight w:val="none"/>
          <w:u w:val="single"/>
          <w:lang w:val="en-US" w:eastAsia="zh-CN"/>
        </w:rPr>
        <w:t>1.5504</w:t>
      </w:r>
      <w:r>
        <w:rPr>
          <w:rFonts w:hint="default" w:ascii="Times New Roman" w:hAnsi="Times New Roman" w:eastAsia="宋体" w:cs="Times New Roman"/>
          <w:color w:val="auto"/>
          <w:sz w:val="24"/>
          <w:szCs w:val="24"/>
          <w:highlight w:val="none"/>
          <w:u w:val="single"/>
          <w:lang w:val="en-US" w:eastAsia="zh-CN"/>
        </w:rPr>
        <w:t>t/a、氮氧化物</w:t>
      </w:r>
      <w:r>
        <w:rPr>
          <w:rFonts w:hint="eastAsia"/>
          <w:color w:val="auto"/>
          <w:highlight w:val="none"/>
          <w:u w:val="single"/>
          <w:lang w:val="en-US" w:eastAsia="zh-CN"/>
        </w:rPr>
        <w:t>18.3587</w:t>
      </w:r>
      <w:r>
        <w:rPr>
          <w:rFonts w:hint="default" w:ascii="Times New Roman" w:hAnsi="Times New Roman" w:eastAsia="宋体" w:cs="Times New Roman"/>
          <w:color w:val="auto"/>
          <w:sz w:val="24"/>
          <w:szCs w:val="24"/>
          <w:highlight w:val="none"/>
          <w:u w:val="single"/>
          <w:lang w:val="en-US" w:eastAsia="zh-CN"/>
        </w:rPr>
        <w:t>/a、非甲烷总烃</w:t>
      </w:r>
      <w:r>
        <w:rPr>
          <w:rFonts w:hint="eastAsia"/>
          <w:color w:val="auto"/>
          <w:highlight w:val="none"/>
          <w:u w:val="single"/>
          <w:lang w:val="en-US" w:eastAsia="zh-CN"/>
        </w:rPr>
        <w:t>6.7933</w:t>
      </w:r>
      <w:r>
        <w:rPr>
          <w:rFonts w:hint="default" w:ascii="Times New Roman" w:hAnsi="Times New Roman" w:eastAsia="宋体" w:cs="Times New Roman"/>
          <w:color w:val="auto"/>
          <w:sz w:val="24"/>
          <w:szCs w:val="24"/>
          <w:highlight w:val="none"/>
          <w:u w:val="single"/>
          <w:lang w:val="en-US" w:eastAsia="zh-CN"/>
        </w:rPr>
        <w:t>t/a</w:t>
      </w:r>
      <w:r>
        <w:rPr>
          <w:rFonts w:hint="eastAsia" w:eastAsia="宋体" w:cs="Times New Roman"/>
          <w:color w:val="auto"/>
          <w:sz w:val="24"/>
          <w:szCs w:val="24"/>
          <w:highlight w:val="none"/>
          <w:u w:val="single"/>
          <w:lang w:val="en-US" w:eastAsia="zh-CN"/>
        </w:rPr>
        <w:t>。</w:t>
      </w:r>
    </w:p>
    <w:p>
      <w:pPr>
        <w:adjustRightInd w:val="0"/>
        <w:snapToGrid w:val="0"/>
        <w:spacing w:line="480" w:lineRule="exact"/>
        <w:ind w:firstLine="480" w:firstLineChars="200"/>
        <w:rPr>
          <w:rFonts w:hint="default" w:ascii="Times New Roman" w:hAnsi="Times New Roman" w:eastAsia="宋体" w:cs="Times New Roman"/>
          <w:b w:val="0"/>
          <w:bCs w:val="0"/>
          <w:color w:val="auto"/>
          <w:sz w:val="24"/>
          <w:szCs w:val="24"/>
          <w:highlight w:val="none"/>
          <w:u w:val="single"/>
          <w:lang w:val="en-US"/>
        </w:rPr>
      </w:pPr>
      <w:r>
        <w:rPr>
          <w:rFonts w:hint="eastAsia" w:eastAsia="宋体" w:cs="Times New Roman"/>
          <w:color w:val="auto"/>
          <w:sz w:val="24"/>
          <w:szCs w:val="24"/>
          <w:highlight w:val="none"/>
          <w:u w:val="single"/>
          <w:lang w:val="en-US" w:eastAsia="zh-CN"/>
        </w:rPr>
        <w:t>现有工程废气污染物允许排放量指标为：</w:t>
      </w:r>
      <w:r>
        <w:rPr>
          <w:rFonts w:hint="eastAsia" w:ascii="Times New Roman" w:eastAsia="宋体"/>
          <w:color w:val="auto"/>
          <w:highlight w:val="none"/>
          <w:u w:val="single"/>
          <w:lang w:val="en-US" w:eastAsia="zh-CN"/>
        </w:rPr>
        <w:t>SO</w:t>
      </w:r>
      <w:r>
        <w:rPr>
          <w:rFonts w:hint="eastAsia" w:ascii="Times New Roman" w:eastAsia="宋体"/>
          <w:color w:val="auto"/>
          <w:highlight w:val="none"/>
          <w:u w:val="single"/>
          <w:vertAlign w:val="subscript"/>
          <w:lang w:val="en-US" w:eastAsia="zh-CN"/>
        </w:rPr>
        <w:t xml:space="preserve">2 </w:t>
      </w:r>
      <w:r>
        <w:rPr>
          <w:rFonts w:hint="eastAsia" w:ascii="Times New Roman" w:eastAsia="宋体"/>
          <w:color w:val="auto"/>
          <w:highlight w:val="none"/>
          <w:u w:val="single"/>
          <w:lang w:val="en-US" w:eastAsia="zh-CN"/>
        </w:rPr>
        <w:t>14.7492t/a、NOx 24.4332t/a、VOCs</w:t>
      </w:r>
      <w:r>
        <w:rPr>
          <w:rFonts w:hint="eastAsia" w:eastAsia="宋体"/>
          <w:color w:val="auto"/>
          <w:highlight w:val="none"/>
          <w:u w:val="single"/>
          <w:lang w:val="en-US" w:eastAsia="zh-CN"/>
        </w:rPr>
        <w:t>8.64</w:t>
      </w:r>
      <w:r>
        <w:rPr>
          <w:rFonts w:hint="eastAsia" w:ascii="Times New Roman" w:eastAsia="宋体"/>
          <w:color w:val="auto"/>
          <w:highlight w:val="none"/>
          <w:u w:val="single"/>
          <w:lang w:val="en-US" w:eastAsia="zh-CN"/>
        </w:rPr>
        <w:t>t/a</w:t>
      </w:r>
      <w:r>
        <w:rPr>
          <w:rFonts w:hint="eastAsia" w:eastAsia="宋体" w:cs="Times New Roman"/>
          <w:color w:val="auto"/>
          <w:sz w:val="24"/>
          <w:szCs w:val="24"/>
          <w:highlight w:val="none"/>
          <w:u w:val="single"/>
          <w:lang w:val="en-US" w:eastAsia="zh-CN"/>
        </w:rPr>
        <w:t>。本次改建工程实施后污染物排放量不超过现有工程总量控制指标，因此不需新申总量控制指标。</w:t>
      </w:r>
    </w:p>
    <w:p>
      <w:pPr>
        <w:pStyle w:val="9"/>
        <w:bidi w:val="0"/>
        <w:rPr>
          <w:rFonts w:hint="default" w:ascii="Times New Roman" w:hAnsi="Times New Roman"/>
          <w:color w:val="auto"/>
          <w:highlight w:val="none"/>
          <w:u w:val="none"/>
          <w:lang w:val="en-US" w:eastAsia="zh-CN"/>
        </w:rPr>
      </w:pPr>
      <w:r>
        <w:rPr>
          <w:rFonts w:hint="eastAsia" w:eastAsia="宋体" w:cs="Times New Roman"/>
          <w:b/>
          <w:bCs/>
          <w:color w:val="auto"/>
          <w:kern w:val="2"/>
          <w:sz w:val="24"/>
          <w:szCs w:val="24"/>
          <w:highlight w:val="none"/>
          <w:u w:val="none"/>
          <w:lang w:val="en-US" w:eastAsia="zh-CN" w:bidi="ar-SA"/>
        </w:rPr>
        <w:t xml:space="preserve"> </w:t>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10.5</w:t>
      </w:r>
      <w:r>
        <w:rPr>
          <w:color w:val="auto"/>
          <w:highlight w:val="none"/>
          <w:u w:val="none"/>
        </w:rPr>
        <w:fldChar w:fldCharType="end"/>
      </w:r>
      <w:r>
        <w:rPr>
          <w:rFonts w:hint="eastAsia"/>
          <w:color w:val="auto"/>
          <w:highlight w:val="none"/>
          <w:u w:val="none"/>
          <w:lang w:eastAsia="zh-CN"/>
        </w:rPr>
        <w:t>-</w:t>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2</w:t>
      </w:r>
      <w:r>
        <w:rPr>
          <w:color w:val="auto"/>
          <w:highlight w:val="none"/>
          <w:u w:val="none"/>
        </w:rPr>
        <w:fldChar w:fldCharType="end"/>
      </w:r>
      <w:r>
        <w:rPr>
          <w:rFonts w:hint="default" w:ascii="Times New Roman" w:hAnsi="Times New Roman" w:eastAsia="宋体" w:cs="Times New Roman"/>
          <w:b/>
          <w:bCs/>
          <w:color w:val="auto"/>
          <w:kern w:val="2"/>
          <w:sz w:val="24"/>
          <w:szCs w:val="24"/>
          <w:highlight w:val="none"/>
          <w:u w:val="none"/>
          <w:lang w:val="en-US" w:eastAsia="zh-CN" w:bidi="ar-SA"/>
        </w:rPr>
        <w:t xml:space="preserve">  </w:t>
      </w:r>
      <w:r>
        <w:rPr>
          <w:rFonts w:hint="eastAsia" w:ascii="Times New Roman" w:hAnsi="Times New Roman" w:eastAsia="宋体" w:cs="Times New Roman"/>
          <w:b/>
          <w:bCs/>
          <w:color w:val="auto"/>
          <w:kern w:val="2"/>
          <w:sz w:val="24"/>
          <w:szCs w:val="24"/>
          <w:highlight w:val="none"/>
          <w:u w:val="none"/>
          <w:lang w:val="en-US" w:eastAsia="zh-CN" w:bidi="ar-SA"/>
        </w:rPr>
        <w:t>项目废气污染物总量核算结果一览表</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1274"/>
        <w:gridCol w:w="1279"/>
        <w:gridCol w:w="1279"/>
        <w:gridCol w:w="1278"/>
        <w:gridCol w:w="1278"/>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pct"/>
          </w:tcPr>
          <w:p>
            <w:pPr>
              <w:widowControl w:val="0"/>
              <w:bidi w:val="0"/>
              <w:spacing w:line="240" w:lineRule="auto"/>
              <w:ind w:firstLine="0" w:firstLineChars="0"/>
              <w:jc w:val="center"/>
              <w:rPr>
                <w:rFonts w:hint="default" w:ascii="Times New Roman" w:hAnsi="Times New Roman" w:eastAsia="宋体" w:cstheme="minorBidi"/>
                <w:color w:val="auto"/>
                <w:kern w:val="2"/>
                <w:sz w:val="21"/>
                <w:szCs w:val="24"/>
                <w:highlight w:val="none"/>
                <w:u w:val="none"/>
                <w:lang w:val="en-US" w:eastAsia="zh-CN" w:bidi="ar-SA"/>
              </w:rPr>
            </w:pPr>
            <w:r>
              <w:rPr>
                <w:rFonts w:hint="eastAsia" w:ascii="Times New Roman" w:hAnsi="Times New Roman" w:eastAsia="宋体" w:cstheme="minorBidi"/>
                <w:color w:val="auto"/>
                <w:kern w:val="2"/>
                <w:sz w:val="21"/>
                <w:szCs w:val="24"/>
                <w:highlight w:val="none"/>
                <w:u w:val="none"/>
                <w:lang w:val="en-US" w:eastAsia="zh-CN" w:bidi="ar-SA"/>
              </w:rPr>
              <w:t>污染物</w:t>
            </w:r>
          </w:p>
        </w:tc>
        <w:tc>
          <w:tcPr>
            <w:tcW w:w="712" w:type="pct"/>
            <w:vAlign w:val="top"/>
          </w:tcPr>
          <w:p>
            <w:pPr>
              <w:pStyle w:val="22"/>
              <w:bidi w:val="0"/>
              <w:ind w:firstLine="0" w:firstLineChars="0"/>
              <w:rPr>
                <w:rFonts w:hint="default" w:ascii="Times New Roman" w:hAnsi="Times New Roman" w:eastAsia="宋体" w:cstheme="minorBidi"/>
                <w:color w:val="auto"/>
                <w:kern w:val="2"/>
                <w:sz w:val="21"/>
                <w:szCs w:val="24"/>
                <w:highlight w:val="none"/>
                <w:u w:val="none"/>
                <w:lang w:val="en-US" w:eastAsia="zh-CN" w:bidi="ar-SA"/>
              </w:rPr>
            </w:pPr>
            <w:r>
              <w:rPr>
                <w:rFonts w:hint="eastAsia"/>
                <w:color w:val="auto"/>
                <w:highlight w:val="none"/>
                <w:u w:val="none"/>
                <w:lang w:val="en-US" w:eastAsia="zh-CN"/>
              </w:rPr>
              <w:t>改建工程排放量</w:t>
            </w:r>
          </w:p>
        </w:tc>
        <w:tc>
          <w:tcPr>
            <w:tcW w:w="715" w:type="pct"/>
            <w:vAlign w:val="top"/>
          </w:tcPr>
          <w:p>
            <w:pPr>
              <w:pStyle w:val="22"/>
              <w:bidi w:val="0"/>
              <w:ind w:firstLine="0" w:firstLineChars="0"/>
              <w:rPr>
                <w:rFonts w:hint="eastAsia" w:ascii="Times New Roman" w:hAnsi="Times New Roman" w:eastAsia="宋体" w:cstheme="minorBidi"/>
                <w:color w:val="auto"/>
                <w:kern w:val="2"/>
                <w:sz w:val="21"/>
                <w:szCs w:val="24"/>
                <w:highlight w:val="none"/>
                <w:u w:val="none"/>
                <w:lang w:val="en-US" w:eastAsia="zh-CN" w:bidi="ar-SA"/>
              </w:rPr>
            </w:pPr>
            <w:r>
              <w:rPr>
                <w:rFonts w:hint="eastAsia"/>
                <w:color w:val="auto"/>
                <w:highlight w:val="none"/>
                <w:u w:val="none"/>
                <w:lang w:val="en-US" w:eastAsia="zh-CN"/>
              </w:rPr>
              <w:t>现有工程排放量</w:t>
            </w:r>
          </w:p>
        </w:tc>
        <w:tc>
          <w:tcPr>
            <w:tcW w:w="715" w:type="pct"/>
            <w:vAlign w:val="top"/>
          </w:tcPr>
          <w:p>
            <w:pPr>
              <w:pStyle w:val="22"/>
              <w:bidi w:val="0"/>
              <w:ind w:firstLine="0" w:firstLineChars="0"/>
              <w:rPr>
                <w:rFonts w:hint="eastAsia" w:ascii="Times New Roman" w:hAnsi="Times New Roman" w:eastAsia="宋体" w:cstheme="minorBidi"/>
                <w:color w:val="auto"/>
                <w:kern w:val="2"/>
                <w:sz w:val="21"/>
                <w:szCs w:val="24"/>
                <w:highlight w:val="none"/>
                <w:u w:val="none"/>
                <w:lang w:val="en-US" w:eastAsia="zh-CN" w:bidi="ar-SA"/>
              </w:rPr>
            </w:pPr>
            <w:r>
              <w:rPr>
                <w:rFonts w:hint="eastAsia"/>
                <w:color w:val="auto"/>
                <w:highlight w:val="none"/>
                <w:u w:val="none"/>
                <w:lang w:val="en-US" w:eastAsia="zh-CN"/>
              </w:rPr>
              <w:t>以新带老削减量</w:t>
            </w:r>
          </w:p>
        </w:tc>
        <w:tc>
          <w:tcPr>
            <w:tcW w:w="714" w:type="pct"/>
            <w:vAlign w:val="top"/>
          </w:tcPr>
          <w:p>
            <w:pPr>
              <w:pStyle w:val="22"/>
              <w:bidi w:val="0"/>
              <w:ind w:firstLine="0" w:firstLineChars="0"/>
              <w:rPr>
                <w:rFonts w:hint="default" w:ascii="Times New Roman" w:hAnsi="Times New Roman" w:eastAsia="宋体" w:cstheme="minorBidi"/>
                <w:color w:val="auto"/>
                <w:kern w:val="2"/>
                <w:sz w:val="21"/>
                <w:szCs w:val="24"/>
                <w:highlight w:val="none"/>
                <w:u w:val="none"/>
                <w:lang w:val="en-US" w:eastAsia="zh-CN" w:bidi="ar-SA"/>
              </w:rPr>
            </w:pPr>
            <w:r>
              <w:rPr>
                <w:rFonts w:hint="eastAsia"/>
                <w:color w:val="auto"/>
                <w:highlight w:val="none"/>
                <w:u w:val="none"/>
                <w:lang w:val="en-US" w:eastAsia="zh-CN"/>
              </w:rPr>
              <w:t>改建后全厂排放量</w:t>
            </w:r>
          </w:p>
        </w:tc>
        <w:tc>
          <w:tcPr>
            <w:tcW w:w="714" w:type="pct"/>
            <w:vAlign w:val="top"/>
          </w:tcPr>
          <w:p>
            <w:pPr>
              <w:pStyle w:val="22"/>
              <w:bidi w:val="0"/>
              <w:ind w:firstLine="0" w:firstLineChars="0"/>
              <w:rPr>
                <w:rFonts w:hint="default" w:ascii="Times New Roman" w:hAnsi="Times New Roman" w:eastAsia="宋体" w:cstheme="minorBidi"/>
                <w:color w:val="auto"/>
                <w:kern w:val="2"/>
                <w:sz w:val="21"/>
                <w:szCs w:val="24"/>
                <w:highlight w:val="none"/>
                <w:u w:val="none"/>
                <w:lang w:val="en-US" w:eastAsia="zh-CN" w:bidi="ar-SA"/>
              </w:rPr>
            </w:pPr>
            <w:r>
              <w:rPr>
                <w:rFonts w:hint="eastAsia"/>
                <w:color w:val="auto"/>
                <w:highlight w:val="none"/>
                <w:u w:val="none"/>
                <w:lang w:val="en-US" w:eastAsia="zh-CN"/>
              </w:rPr>
              <w:t>现有工程总量指标</w:t>
            </w:r>
          </w:p>
        </w:tc>
        <w:tc>
          <w:tcPr>
            <w:tcW w:w="715" w:type="pct"/>
            <w:vAlign w:val="top"/>
          </w:tcPr>
          <w:p>
            <w:pPr>
              <w:pStyle w:val="22"/>
              <w:bidi w:val="0"/>
              <w:ind w:firstLine="0" w:firstLineChars="0"/>
              <w:rPr>
                <w:rFonts w:hint="default" w:ascii="Times New Roman" w:hAnsi="Times New Roman" w:eastAsia="宋体" w:cstheme="minorBidi"/>
                <w:color w:val="auto"/>
                <w:kern w:val="2"/>
                <w:sz w:val="21"/>
                <w:szCs w:val="24"/>
                <w:highlight w:val="none"/>
                <w:u w:val="none"/>
                <w:lang w:val="en-US" w:eastAsia="zh-CN" w:bidi="ar-SA"/>
              </w:rPr>
            </w:pPr>
            <w:r>
              <w:rPr>
                <w:rFonts w:hint="eastAsia"/>
                <w:color w:val="auto"/>
                <w:highlight w:val="none"/>
                <w:u w:val="none"/>
                <w:lang w:val="en-US" w:eastAsia="zh-CN"/>
              </w:rPr>
              <w:t>本次需申请的污染物排放量指标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pct"/>
            <w:vAlign w:val="center"/>
          </w:tcPr>
          <w:p>
            <w:pPr>
              <w:pStyle w:val="22"/>
              <w:bidi w:val="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二</w:t>
            </w:r>
            <w:r>
              <w:rPr>
                <w:rFonts w:hint="default" w:ascii="Times New Roman" w:hAnsi="Times New Roman" w:eastAsia="宋体" w:cs="Times New Roman"/>
                <w:color w:val="auto"/>
                <w:sz w:val="21"/>
                <w:szCs w:val="21"/>
                <w:highlight w:val="none"/>
                <w:u w:val="none"/>
                <w:lang w:val="en-US" w:eastAsia="zh-CN"/>
              </w:rPr>
              <w:t>氧化硫</w:t>
            </w:r>
            <w:r>
              <w:rPr>
                <w:rFonts w:hint="eastAsia" w:ascii="Times New Roman" w:hAnsi="Times New Roman" w:eastAsia="宋体" w:cs="Times New Roman"/>
                <w:color w:val="auto"/>
                <w:sz w:val="21"/>
                <w:szCs w:val="21"/>
                <w:highlight w:val="none"/>
                <w:u w:val="none"/>
                <w:lang w:val="en-US" w:eastAsia="zh-CN"/>
              </w:rPr>
              <w:t>（t/a）</w:t>
            </w:r>
          </w:p>
        </w:tc>
        <w:tc>
          <w:tcPr>
            <w:tcW w:w="1274" w:type="dxa"/>
            <w:vAlign w:val="center"/>
          </w:tcPr>
          <w:p>
            <w:pPr>
              <w:pStyle w:val="22"/>
              <w:bidi w:val="0"/>
              <w:rPr>
                <w:rFonts w:hint="eastAsia"/>
                <w:color w:val="auto"/>
                <w:lang w:val="en-US" w:eastAsia="zh-CN"/>
              </w:rPr>
            </w:pPr>
            <w:r>
              <w:rPr>
                <w:rFonts w:hint="eastAsia"/>
                <w:color w:val="auto"/>
                <w:lang w:val="en-US" w:eastAsia="zh-CN"/>
              </w:rPr>
              <w:t>1.27</w:t>
            </w:r>
          </w:p>
        </w:tc>
        <w:tc>
          <w:tcPr>
            <w:tcW w:w="1279" w:type="dxa"/>
            <w:vAlign w:val="center"/>
          </w:tcPr>
          <w:p>
            <w:pPr>
              <w:pStyle w:val="25"/>
              <w:bidi w:val="0"/>
              <w:rPr>
                <w:rFonts w:hint="default"/>
                <w:color w:val="auto"/>
                <w:lang w:val="en-US" w:eastAsia="zh-CN"/>
              </w:rPr>
            </w:pPr>
            <w:r>
              <w:rPr>
                <w:rFonts w:hint="default"/>
                <w:color w:val="auto"/>
                <w:lang w:val="en-US" w:eastAsia="zh-CN"/>
              </w:rPr>
              <w:t>0.506</w:t>
            </w:r>
          </w:p>
        </w:tc>
        <w:tc>
          <w:tcPr>
            <w:tcW w:w="1279" w:type="dxa"/>
            <w:vAlign w:val="center"/>
          </w:tcPr>
          <w:p>
            <w:pPr>
              <w:pStyle w:val="22"/>
              <w:bidi w:val="0"/>
              <w:rPr>
                <w:rFonts w:hint="default"/>
                <w:color w:val="auto"/>
                <w:lang w:val="en-US" w:eastAsia="zh-CN"/>
              </w:rPr>
            </w:pPr>
            <w:r>
              <w:rPr>
                <w:rFonts w:hint="default"/>
                <w:color w:val="auto"/>
                <w:lang w:val="en-US" w:eastAsia="zh-CN"/>
              </w:rPr>
              <w:t>0.2256</w:t>
            </w:r>
          </w:p>
        </w:tc>
        <w:tc>
          <w:tcPr>
            <w:tcW w:w="1278" w:type="dxa"/>
            <w:vAlign w:val="center"/>
          </w:tcPr>
          <w:p>
            <w:pPr>
              <w:pStyle w:val="22"/>
              <w:bidi w:val="0"/>
              <w:rPr>
                <w:rFonts w:hint="eastAsia"/>
                <w:color w:val="auto"/>
                <w:lang w:val="en-US" w:eastAsia="zh-CN"/>
              </w:rPr>
            </w:pPr>
            <w:r>
              <w:rPr>
                <w:rFonts w:hint="default"/>
                <w:color w:val="auto"/>
                <w:lang w:val="en-US" w:eastAsia="zh-CN"/>
              </w:rPr>
              <w:t>1.5504</w:t>
            </w:r>
          </w:p>
        </w:tc>
        <w:tc>
          <w:tcPr>
            <w:tcW w:w="714" w:type="pct"/>
            <w:vAlign w:val="center"/>
          </w:tcPr>
          <w:p>
            <w:pPr>
              <w:pStyle w:val="22"/>
              <w:bidi w:val="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14.7492</w:t>
            </w:r>
          </w:p>
        </w:tc>
        <w:tc>
          <w:tcPr>
            <w:tcW w:w="715" w:type="pct"/>
            <w:vAlign w:val="center"/>
          </w:tcPr>
          <w:p>
            <w:pPr>
              <w:pStyle w:val="22"/>
              <w:bidi w:val="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pct"/>
            <w:vAlign w:val="center"/>
          </w:tcPr>
          <w:p>
            <w:pPr>
              <w:pStyle w:val="22"/>
              <w:bidi w:val="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氮氧化物（t/a）</w:t>
            </w:r>
          </w:p>
        </w:tc>
        <w:tc>
          <w:tcPr>
            <w:tcW w:w="1274" w:type="dxa"/>
            <w:vAlign w:val="center"/>
          </w:tcPr>
          <w:p>
            <w:pPr>
              <w:pStyle w:val="22"/>
              <w:bidi w:val="0"/>
              <w:rPr>
                <w:rFonts w:hint="eastAsia"/>
                <w:color w:val="auto"/>
                <w:lang w:val="en-US" w:eastAsia="zh-CN"/>
              </w:rPr>
            </w:pPr>
            <w:r>
              <w:rPr>
                <w:rFonts w:hint="default"/>
                <w:color w:val="auto"/>
                <w:lang w:val="en-US" w:eastAsia="zh-CN"/>
              </w:rPr>
              <w:t>15.5266</w:t>
            </w:r>
          </w:p>
        </w:tc>
        <w:tc>
          <w:tcPr>
            <w:tcW w:w="1279" w:type="dxa"/>
            <w:vAlign w:val="center"/>
          </w:tcPr>
          <w:p>
            <w:pPr>
              <w:pStyle w:val="25"/>
              <w:bidi w:val="0"/>
              <w:rPr>
                <w:rFonts w:hint="default"/>
                <w:color w:val="auto"/>
                <w:lang w:val="en-US" w:eastAsia="zh-CN"/>
              </w:rPr>
            </w:pPr>
            <w:r>
              <w:rPr>
                <w:rFonts w:hint="default"/>
                <w:color w:val="auto"/>
                <w:lang w:val="en-US" w:eastAsia="zh-CN"/>
              </w:rPr>
              <w:t>8.975</w:t>
            </w:r>
          </w:p>
        </w:tc>
        <w:tc>
          <w:tcPr>
            <w:tcW w:w="1279" w:type="dxa"/>
            <w:vAlign w:val="center"/>
          </w:tcPr>
          <w:p>
            <w:pPr>
              <w:pStyle w:val="22"/>
              <w:bidi w:val="0"/>
              <w:rPr>
                <w:rFonts w:hint="default"/>
                <w:color w:val="auto"/>
                <w:lang w:val="en-US" w:eastAsia="zh-CN"/>
              </w:rPr>
            </w:pPr>
            <w:r>
              <w:rPr>
                <w:rFonts w:hint="default"/>
                <w:color w:val="auto"/>
                <w:lang w:val="en-US" w:eastAsia="zh-CN"/>
              </w:rPr>
              <w:t>6.1429</w:t>
            </w:r>
          </w:p>
        </w:tc>
        <w:tc>
          <w:tcPr>
            <w:tcW w:w="1278" w:type="dxa"/>
            <w:vAlign w:val="center"/>
          </w:tcPr>
          <w:p>
            <w:pPr>
              <w:pStyle w:val="22"/>
              <w:bidi w:val="0"/>
              <w:rPr>
                <w:rFonts w:hint="eastAsia"/>
                <w:color w:val="auto"/>
                <w:lang w:val="en-US" w:eastAsia="zh-CN"/>
              </w:rPr>
            </w:pPr>
            <w:r>
              <w:rPr>
                <w:rFonts w:hint="default"/>
                <w:color w:val="auto"/>
                <w:lang w:val="en-US" w:eastAsia="zh-CN"/>
              </w:rPr>
              <w:t>18.3587</w:t>
            </w:r>
          </w:p>
        </w:tc>
        <w:tc>
          <w:tcPr>
            <w:tcW w:w="714" w:type="pct"/>
            <w:vAlign w:val="center"/>
          </w:tcPr>
          <w:p>
            <w:pPr>
              <w:pStyle w:val="22"/>
              <w:bidi w:val="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24.4332</w:t>
            </w:r>
          </w:p>
        </w:tc>
        <w:tc>
          <w:tcPr>
            <w:tcW w:w="715" w:type="pct"/>
            <w:vAlign w:val="center"/>
          </w:tcPr>
          <w:p>
            <w:pPr>
              <w:pStyle w:val="25"/>
              <w:bidi w:val="0"/>
              <w:rPr>
                <w:rFonts w:hint="eastAsia"/>
                <w:color w:val="auto"/>
                <w:highlight w:val="none"/>
                <w:lang w:val="en-US" w:eastAsia="zh-CN"/>
              </w:rPr>
            </w:pPr>
            <w:r>
              <w:rPr>
                <w:rFonts w:hint="eastAsia"/>
                <w:color w:val="auto"/>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pct"/>
            <w:vAlign w:val="center"/>
          </w:tcPr>
          <w:p>
            <w:pPr>
              <w:pStyle w:val="22"/>
              <w:bidi w:val="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eastAsia="宋体"/>
                <w:color w:val="auto"/>
                <w:highlight w:val="none"/>
                <w:u w:val="none"/>
                <w:lang w:val="en-US" w:eastAsia="zh-CN"/>
              </w:rPr>
              <w:t>VOCs</w:t>
            </w:r>
            <w:r>
              <w:rPr>
                <w:rFonts w:hint="eastAsia" w:ascii="Times New Roman" w:hAnsi="Times New Roman" w:eastAsia="宋体" w:cs="Times New Roman"/>
                <w:color w:val="auto"/>
                <w:sz w:val="21"/>
                <w:szCs w:val="21"/>
                <w:highlight w:val="none"/>
                <w:u w:val="none"/>
                <w:lang w:val="en-US" w:eastAsia="zh-CN"/>
              </w:rPr>
              <w:t>（t/a）</w:t>
            </w:r>
          </w:p>
        </w:tc>
        <w:tc>
          <w:tcPr>
            <w:tcW w:w="1274" w:type="dxa"/>
            <w:vAlign w:val="center"/>
          </w:tcPr>
          <w:p>
            <w:pPr>
              <w:pStyle w:val="22"/>
              <w:bidi w:val="0"/>
              <w:rPr>
                <w:rFonts w:hint="eastAsia"/>
                <w:color w:val="auto"/>
                <w:lang w:val="en-US" w:eastAsia="zh-CN"/>
              </w:rPr>
            </w:pPr>
            <w:r>
              <w:rPr>
                <w:rFonts w:hint="default"/>
                <w:color w:val="auto"/>
                <w:lang w:val="en-US" w:eastAsia="zh-CN"/>
              </w:rPr>
              <w:t>6.1473</w:t>
            </w:r>
          </w:p>
        </w:tc>
        <w:tc>
          <w:tcPr>
            <w:tcW w:w="1279" w:type="dxa"/>
            <w:vAlign w:val="center"/>
          </w:tcPr>
          <w:p>
            <w:pPr>
              <w:pStyle w:val="25"/>
              <w:bidi w:val="0"/>
              <w:rPr>
                <w:rFonts w:hint="default"/>
                <w:color w:val="auto"/>
                <w:lang w:val="en-US" w:eastAsia="zh-CN"/>
              </w:rPr>
            </w:pPr>
            <w:r>
              <w:rPr>
                <w:rFonts w:hint="default"/>
                <w:color w:val="auto"/>
                <w:lang w:val="en-US" w:eastAsia="zh-CN"/>
              </w:rPr>
              <w:t>5.686</w:t>
            </w:r>
          </w:p>
        </w:tc>
        <w:tc>
          <w:tcPr>
            <w:tcW w:w="1279" w:type="dxa"/>
            <w:vAlign w:val="center"/>
          </w:tcPr>
          <w:p>
            <w:pPr>
              <w:pStyle w:val="22"/>
              <w:bidi w:val="0"/>
              <w:rPr>
                <w:rFonts w:hint="default"/>
                <w:color w:val="auto"/>
                <w:lang w:val="en-US" w:eastAsia="zh-CN"/>
              </w:rPr>
            </w:pPr>
            <w:r>
              <w:rPr>
                <w:rFonts w:hint="default"/>
                <w:color w:val="auto"/>
                <w:lang w:val="en-US" w:eastAsia="zh-CN"/>
              </w:rPr>
              <w:t>5.04</w:t>
            </w:r>
          </w:p>
        </w:tc>
        <w:tc>
          <w:tcPr>
            <w:tcW w:w="1278" w:type="dxa"/>
            <w:vAlign w:val="center"/>
          </w:tcPr>
          <w:p>
            <w:pPr>
              <w:pStyle w:val="22"/>
              <w:bidi w:val="0"/>
              <w:rPr>
                <w:rFonts w:hint="eastAsia"/>
                <w:color w:val="auto"/>
                <w:lang w:val="en-US" w:eastAsia="zh-CN"/>
              </w:rPr>
            </w:pPr>
            <w:bookmarkStart w:id="473" w:name="_GoBack"/>
            <w:r>
              <w:rPr>
                <w:rFonts w:hint="default"/>
                <w:color w:val="auto"/>
                <w:lang w:val="en-US" w:eastAsia="zh-CN"/>
              </w:rPr>
              <w:t>6.7933</w:t>
            </w:r>
            <w:bookmarkEnd w:id="473"/>
          </w:p>
        </w:tc>
        <w:tc>
          <w:tcPr>
            <w:tcW w:w="714" w:type="pct"/>
            <w:vAlign w:val="center"/>
          </w:tcPr>
          <w:p>
            <w:pPr>
              <w:pStyle w:val="22"/>
              <w:bidi w:val="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8.64</w:t>
            </w:r>
          </w:p>
        </w:tc>
        <w:tc>
          <w:tcPr>
            <w:tcW w:w="715" w:type="pct"/>
            <w:vAlign w:val="center"/>
          </w:tcPr>
          <w:p>
            <w:pPr>
              <w:pStyle w:val="22"/>
              <w:bidi w:val="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w:t>
            </w:r>
          </w:p>
        </w:tc>
      </w:tr>
    </w:tbl>
    <w:p>
      <w:pPr>
        <w:spacing w:line="520" w:lineRule="exact"/>
        <w:rPr>
          <w:rFonts w:hint="default" w:ascii="Times New Roman" w:hAnsi="Times New Roman" w:cs="Times New Roman"/>
          <w:color w:val="auto"/>
          <w:highlight w:val="none"/>
          <w:u w:val="none"/>
        </w:rPr>
        <w:sectPr>
          <w:pgSz w:w="11905" w:h="16838"/>
          <w:pgMar w:top="1701" w:right="1587" w:bottom="1701" w:left="1587"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2"/>
        <w:bidi w:val="0"/>
        <w:rPr>
          <w:rFonts w:hint="default"/>
          <w:color w:val="auto"/>
          <w:highlight w:val="none"/>
          <w:u w:val="none"/>
          <w:lang w:val="en-US" w:eastAsia="zh-CN"/>
        </w:rPr>
      </w:pPr>
      <w:bookmarkStart w:id="284" w:name="_Toc394944506"/>
      <w:bookmarkStart w:id="285" w:name="_Toc18304"/>
      <w:bookmarkStart w:id="286" w:name="_Toc17907"/>
      <w:bookmarkStart w:id="287" w:name="_Toc387151502"/>
      <w:bookmarkStart w:id="288" w:name="_Toc6439"/>
      <w:bookmarkStart w:id="289" w:name="_Toc23759"/>
      <w:bookmarkStart w:id="290" w:name="_Toc7486"/>
      <w:bookmarkStart w:id="291" w:name="_Toc393394507"/>
      <w:bookmarkStart w:id="292" w:name="_Toc12390"/>
      <w:bookmarkStart w:id="293" w:name="_Toc16024"/>
      <w:bookmarkStart w:id="294" w:name="_Toc366191437"/>
      <w:r>
        <w:rPr>
          <w:rFonts w:hint="default"/>
          <w:color w:val="auto"/>
          <w:highlight w:val="none"/>
          <w:u w:val="none"/>
          <w:lang w:val="en-US" w:eastAsia="zh-CN"/>
        </w:rPr>
        <w:t>结论与建议</w:t>
      </w:r>
      <w:bookmarkEnd w:id="284"/>
      <w:bookmarkEnd w:id="285"/>
      <w:bookmarkEnd w:id="286"/>
      <w:bookmarkEnd w:id="287"/>
      <w:bookmarkEnd w:id="288"/>
      <w:bookmarkEnd w:id="289"/>
      <w:bookmarkEnd w:id="290"/>
      <w:bookmarkEnd w:id="291"/>
      <w:bookmarkEnd w:id="292"/>
      <w:bookmarkEnd w:id="293"/>
      <w:bookmarkEnd w:id="294"/>
    </w:p>
    <w:p>
      <w:pPr>
        <w:pStyle w:val="3"/>
        <w:bidi w:val="0"/>
        <w:rPr>
          <w:rFonts w:hint="default"/>
          <w:color w:val="auto"/>
          <w:highlight w:val="none"/>
          <w:u w:val="none"/>
          <w:lang w:val="en-US" w:eastAsia="zh-CN"/>
        </w:rPr>
      </w:pPr>
      <w:bookmarkStart w:id="295" w:name="_Toc9372"/>
      <w:bookmarkStart w:id="296" w:name="_Toc14722"/>
      <w:bookmarkStart w:id="297" w:name="_Toc28483"/>
      <w:bookmarkStart w:id="298" w:name="_Toc15047"/>
      <w:bookmarkStart w:id="299" w:name="_Toc10964"/>
      <w:bookmarkStart w:id="300" w:name="_Toc25321"/>
      <w:bookmarkStart w:id="301" w:name="_Toc26760"/>
      <w:bookmarkStart w:id="302" w:name="_Toc2239"/>
      <w:bookmarkStart w:id="303" w:name="_Toc13879"/>
      <w:bookmarkStart w:id="304" w:name="_Toc11733"/>
      <w:bookmarkStart w:id="305" w:name="_Toc4681"/>
      <w:bookmarkStart w:id="306" w:name="_Toc5657"/>
      <w:bookmarkStart w:id="307" w:name="_Toc12285"/>
      <w:r>
        <w:rPr>
          <w:rFonts w:hint="default"/>
          <w:color w:val="auto"/>
          <w:highlight w:val="none"/>
          <w:u w:val="none"/>
          <w:lang w:val="en-US" w:eastAsia="zh-CN"/>
        </w:rPr>
        <w:t>建设项目概况</w:t>
      </w:r>
      <w:bookmarkEnd w:id="295"/>
      <w:bookmarkEnd w:id="296"/>
      <w:bookmarkEnd w:id="297"/>
      <w:bookmarkEnd w:id="298"/>
      <w:bookmarkEnd w:id="299"/>
      <w:bookmarkEnd w:id="300"/>
      <w:bookmarkEnd w:id="301"/>
      <w:bookmarkEnd w:id="302"/>
      <w:bookmarkEnd w:id="303"/>
      <w:bookmarkEnd w:id="304"/>
      <w:bookmarkEnd w:id="305"/>
      <w:bookmarkEnd w:id="306"/>
      <w:bookmarkEnd w:id="307"/>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eastAsia="zh-CN"/>
        </w:rPr>
        <w:t>随着下游原料药的发展和市场需求的变化，河南华商药业有限公司计划实施年产1500吨原料药及中间体技改项目。</w:t>
      </w:r>
      <w:r>
        <w:rPr>
          <w:rFonts w:hint="eastAsia" w:eastAsia="宋体" w:cs="Times New Roman"/>
          <w:color w:val="auto"/>
          <w:sz w:val="24"/>
          <w:szCs w:val="24"/>
          <w:highlight w:val="none"/>
          <w:u w:val="none"/>
          <w:lang w:val="en-US" w:eastAsia="zh-CN"/>
        </w:rPr>
        <w:t>本次改建工程依托原有工程生产厂房、公辅设施、部分设备进行改建，建设年产70吨坎地沙坦酯、30吨马来酸依那普利、700吨替米沙坦、420吨索洛索芬钠、80吨阿奇沙坦酯、200吨奥美沙坦酯及其中间体项目。改建工程实施后，公司不再生产苯氧乙酸钠（1500t/a）、氨基酮（80t/a）与氰基联苯（240t/a）三种产品，全厂总产能不增加。</w:t>
      </w:r>
    </w:p>
    <w:p>
      <w:pPr>
        <w:pStyle w:val="3"/>
        <w:bidi w:val="0"/>
        <w:rPr>
          <w:rFonts w:hint="default"/>
          <w:color w:val="auto"/>
          <w:highlight w:val="none"/>
          <w:u w:val="none"/>
          <w:lang w:val="en-US" w:eastAsia="zh-CN"/>
        </w:rPr>
      </w:pPr>
      <w:bookmarkStart w:id="308" w:name="_Toc1913"/>
      <w:bookmarkStart w:id="309" w:name="_Toc22424"/>
      <w:bookmarkStart w:id="310" w:name="_Toc15179"/>
      <w:bookmarkStart w:id="311" w:name="_Toc10550"/>
      <w:bookmarkStart w:id="312" w:name="_Toc2509"/>
      <w:bookmarkStart w:id="313" w:name="_Toc2553"/>
      <w:bookmarkStart w:id="314" w:name="_Toc31167"/>
      <w:bookmarkStart w:id="315" w:name="_Toc24703"/>
      <w:bookmarkStart w:id="316" w:name="_Toc24437"/>
      <w:bookmarkStart w:id="317" w:name="_Toc14347"/>
      <w:bookmarkStart w:id="318" w:name="_Toc30332"/>
      <w:bookmarkStart w:id="319" w:name="_Toc23851"/>
      <w:bookmarkStart w:id="320" w:name="_Toc16930"/>
      <w:r>
        <w:rPr>
          <w:rFonts w:hint="default"/>
          <w:color w:val="auto"/>
          <w:highlight w:val="none"/>
          <w:u w:val="none"/>
          <w:lang w:val="en-US" w:eastAsia="zh-CN"/>
        </w:rPr>
        <w:t>产业政策、规划相符性</w:t>
      </w:r>
      <w:bookmarkEnd w:id="308"/>
      <w:bookmarkEnd w:id="309"/>
      <w:bookmarkEnd w:id="310"/>
      <w:bookmarkEnd w:id="311"/>
      <w:bookmarkEnd w:id="312"/>
      <w:bookmarkEnd w:id="313"/>
      <w:bookmarkEnd w:id="314"/>
      <w:bookmarkEnd w:id="315"/>
      <w:bookmarkEnd w:id="316"/>
      <w:bookmarkEnd w:id="317"/>
      <w:bookmarkEnd w:id="318"/>
      <w:bookmarkEnd w:id="319"/>
      <w:bookmarkEnd w:id="320"/>
    </w:p>
    <w:p>
      <w:pPr>
        <w:bidi w:val="0"/>
        <w:rPr>
          <w:rFonts w:hint="default"/>
          <w:color w:val="auto"/>
          <w:highlight w:val="none"/>
          <w:u w:val="none"/>
          <w:lang w:eastAsia="zh-CN"/>
        </w:rPr>
      </w:pPr>
      <w:bookmarkStart w:id="321" w:name="_Toc16668"/>
      <w:bookmarkStart w:id="322" w:name="_Toc20437"/>
      <w:bookmarkStart w:id="323" w:name="_Toc29821"/>
      <w:r>
        <w:rPr>
          <w:rFonts w:hint="default"/>
          <w:color w:val="auto"/>
          <w:highlight w:val="none"/>
          <w:u w:val="none"/>
          <w:lang w:eastAsia="zh-CN"/>
        </w:rPr>
        <w:t>（</w:t>
      </w:r>
      <w:r>
        <w:rPr>
          <w:rFonts w:hint="default"/>
          <w:color w:val="auto"/>
          <w:highlight w:val="none"/>
          <w:u w:val="none"/>
          <w:lang w:val="en-US" w:eastAsia="zh-CN"/>
        </w:rPr>
        <w:t>1</w:t>
      </w:r>
      <w:r>
        <w:rPr>
          <w:rFonts w:hint="default"/>
          <w:color w:val="auto"/>
          <w:highlight w:val="none"/>
          <w:u w:val="none"/>
          <w:lang w:eastAsia="zh-CN"/>
        </w:rPr>
        <w:t>）</w:t>
      </w:r>
      <w:r>
        <w:rPr>
          <w:rFonts w:hint="default"/>
          <w:color w:val="auto"/>
          <w:highlight w:val="none"/>
          <w:u w:val="none"/>
        </w:rPr>
        <w:t>产业政策</w:t>
      </w:r>
      <w:r>
        <w:rPr>
          <w:rFonts w:hint="default"/>
          <w:color w:val="auto"/>
          <w:highlight w:val="none"/>
          <w:u w:val="none"/>
          <w:lang w:val="en-US" w:eastAsia="zh-CN"/>
        </w:rPr>
        <w:t>相符性</w:t>
      </w:r>
      <w:bookmarkEnd w:id="321"/>
      <w:bookmarkEnd w:id="322"/>
      <w:bookmarkEnd w:id="323"/>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本项目属于化学药品制造类，主要产品为坎地沙坦酯、马来酸依那普利、替米沙坦、索洛索芬钠、阿奇沙坦酯、奥美沙坦酯及其中间体，不属于《产业结构调整指导目录》（2019 年本）中规定的鼓励类、限制类、淘汰类范围，为允许类。本项目未生产、使用国家与河南省明令禁止的危险化学品，未采用和使用国家、河南省明令淘汰、禁止使用的工艺、设备，不涉及《河南省部分工业行业淘汰落后生产工艺装备和产品目录》（豫工信产业[2019]190号）中的产品与设备，满足《河南省淘汰落后产能综合标准体系》（2020年本）要求，符合国家与河南省产业政策。</w:t>
      </w:r>
    </w:p>
    <w:p>
      <w:pPr>
        <w:bidi w:val="0"/>
        <w:rPr>
          <w:rFonts w:hint="default"/>
          <w:color w:val="auto"/>
          <w:highlight w:val="none"/>
          <w:u w:val="none"/>
          <w:lang w:val="en-US"/>
        </w:rPr>
      </w:pPr>
      <w:bookmarkStart w:id="324" w:name="_Toc6375"/>
      <w:bookmarkStart w:id="325" w:name="_Toc28536"/>
      <w:bookmarkStart w:id="326" w:name="_Toc29956"/>
      <w:r>
        <w:rPr>
          <w:rFonts w:hint="default"/>
          <w:color w:val="auto"/>
          <w:highlight w:val="none"/>
          <w:u w:val="none"/>
          <w:lang w:eastAsia="zh-CN"/>
        </w:rPr>
        <w:t>（</w:t>
      </w:r>
      <w:r>
        <w:rPr>
          <w:rFonts w:hint="default"/>
          <w:color w:val="auto"/>
          <w:highlight w:val="none"/>
          <w:u w:val="none"/>
          <w:lang w:val="en-US" w:eastAsia="zh-CN"/>
        </w:rPr>
        <w:t>2</w:t>
      </w:r>
      <w:r>
        <w:rPr>
          <w:rFonts w:hint="default"/>
          <w:color w:val="auto"/>
          <w:highlight w:val="none"/>
          <w:u w:val="none"/>
          <w:lang w:eastAsia="zh-CN"/>
        </w:rPr>
        <w:t>）</w:t>
      </w:r>
      <w:r>
        <w:rPr>
          <w:rFonts w:hint="default"/>
          <w:color w:val="auto"/>
          <w:highlight w:val="none"/>
          <w:u w:val="none"/>
          <w:lang w:val="en-US" w:eastAsia="zh-CN"/>
        </w:rPr>
        <w:t>规划相符性</w:t>
      </w:r>
      <w:bookmarkEnd w:id="324"/>
      <w:bookmarkEnd w:id="325"/>
      <w:bookmarkEnd w:id="326"/>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rPr>
        <w:t>本项目用地性质为三类工业用地，根据规划用地性质本项目符合相关规划内容、符合用地性质。本项目为</w:t>
      </w:r>
      <w:r>
        <w:rPr>
          <w:rFonts w:hint="eastAsia" w:eastAsia="宋体" w:cs="Times New Roman"/>
          <w:color w:val="auto"/>
          <w:sz w:val="24"/>
          <w:szCs w:val="24"/>
          <w:highlight w:val="none"/>
          <w:u w:val="none"/>
          <w:lang w:val="en-US" w:eastAsia="zh-CN"/>
        </w:rPr>
        <w:t>化学原料药生产</w:t>
      </w:r>
      <w:r>
        <w:rPr>
          <w:rFonts w:hint="default" w:ascii="Times New Roman" w:hAnsi="Times New Roman" w:eastAsia="宋体" w:cs="Times New Roman"/>
          <w:color w:val="auto"/>
          <w:sz w:val="24"/>
          <w:szCs w:val="24"/>
          <w:highlight w:val="none"/>
          <w:u w:val="none"/>
        </w:rPr>
        <w:t>，属于集聚区主导产业，位于集聚区医药制造片区，符合集聚区用地布局规划。本次项目替代原河南华商药业有限公司1500吨苯氧乙酸钠的产能，不属于单纯新建和单纯扩大产能的项目。对比园区准入条件和负面清单，项目符合《柘城县产业集聚区发展规划（2012-2020）调整方案》环境影响报告书的要求。</w:t>
      </w:r>
    </w:p>
    <w:p>
      <w:pPr>
        <w:pStyle w:val="3"/>
        <w:bidi w:val="0"/>
        <w:rPr>
          <w:rFonts w:hint="default"/>
          <w:color w:val="auto"/>
          <w:highlight w:val="none"/>
          <w:u w:val="none"/>
          <w:lang w:val="en-US" w:eastAsia="zh-CN"/>
        </w:rPr>
      </w:pPr>
      <w:bookmarkStart w:id="327" w:name="_Toc19462"/>
      <w:bookmarkStart w:id="328" w:name="_Toc10176"/>
      <w:bookmarkStart w:id="329" w:name="_Toc29558"/>
      <w:bookmarkStart w:id="330" w:name="_Toc31716"/>
      <w:bookmarkStart w:id="331" w:name="_Toc5627"/>
      <w:bookmarkStart w:id="332" w:name="_Toc15163"/>
      <w:bookmarkStart w:id="333" w:name="_Toc1116"/>
      <w:bookmarkStart w:id="334" w:name="_Toc27442"/>
      <w:bookmarkStart w:id="335" w:name="_Toc21410"/>
      <w:bookmarkStart w:id="336" w:name="_Toc28017"/>
      <w:bookmarkStart w:id="337" w:name="_Toc26657"/>
      <w:bookmarkStart w:id="338" w:name="_Toc3701"/>
      <w:bookmarkStart w:id="339" w:name="_Toc14801"/>
      <w:r>
        <w:rPr>
          <w:rFonts w:hint="default"/>
          <w:color w:val="auto"/>
          <w:highlight w:val="none"/>
          <w:u w:val="none"/>
          <w:lang w:val="en-US" w:eastAsia="zh-CN"/>
        </w:rPr>
        <w:t>环境质量现状</w:t>
      </w:r>
      <w:bookmarkEnd w:id="327"/>
      <w:bookmarkEnd w:id="328"/>
      <w:bookmarkEnd w:id="329"/>
      <w:bookmarkEnd w:id="330"/>
      <w:bookmarkEnd w:id="331"/>
      <w:bookmarkEnd w:id="332"/>
      <w:bookmarkEnd w:id="333"/>
      <w:bookmarkEnd w:id="334"/>
      <w:bookmarkEnd w:id="335"/>
      <w:bookmarkEnd w:id="336"/>
      <w:bookmarkEnd w:id="337"/>
      <w:bookmarkEnd w:id="338"/>
      <w:bookmarkEnd w:id="339"/>
    </w:p>
    <w:p>
      <w:pPr>
        <w:adjustRightInd w:val="0"/>
        <w:snapToGrid w:val="0"/>
        <w:spacing w:line="520" w:lineRule="exact"/>
        <w:ind w:firstLine="480" w:firstLineChars="200"/>
        <w:jc w:val="both"/>
        <w:rPr>
          <w:rFonts w:hint="default" w:ascii="Times New Roman" w:hAnsi="Times New Roman" w:eastAsia="宋体" w:cs="Times New Roman"/>
          <w:color w:val="auto"/>
          <w:sz w:val="24"/>
          <w:szCs w:val="24"/>
          <w:highlight w:val="none"/>
          <w:u w:val="none"/>
        </w:rPr>
      </w:pPr>
      <w:r>
        <w:rPr>
          <w:rFonts w:hint="default" w:ascii="Times New Roman" w:hAnsi="Times New Roman" w:eastAsia="楷体_GB2312" w:cs="Times New Roman"/>
          <w:bCs/>
          <w:color w:val="auto"/>
          <w:sz w:val="24"/>
          <w:szCs w:val="24"/>
          <w:highlight w:val="none"/>
          <w:u w:val="none"/>
        </w:rPr>
        <w:t>（1）</w:t>
      </w:r>
      <w:r>
        <w:rPr>
          <w:rFonts w:hint="default" w:ascii="Times New Roman" w:hAnsi="Times New Roman" w:eastAsia="宋体" w:cs="Times New Roman"/>
          <w:color w:val="auto"/>
          <w:sz w:val="24"/>
          <w:szCs w:val="24"/>
          <w:highlight w:val="none"/>
          <w:u w:val="none"/>
        </w:rPr>
        <w:t>环境空气</w:t>
      </w:r>
    </w:p>
    <w:p>
      <w:pPr>
        <w:keepNext w:val="0"/>
        <w:keepLines w:val="0"/>
        <w:widowControl/>
        <w:suppressLineNumbers w:val="0"/>
        <w:adjustRightInd w:val="0"/>
        <w:snapToGrid w:val="0"/>
        <w:spacing w:line="480" w:lineRule="exact"/>
        <w:ind w:firstLine="480" w:firstLineChars="200"/>
        <w:jc w:val="left"/>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kern w:val="0"/>
          <w:sz w:val="24"/>
          <w:szCs w:val="24"/>
          <w:highlight w:val="none"/>
          <w:u w:val="none"/>
          <w:lang w:val="en-US" w:eastAsia="zh-CN" w:bidi="ar"/>
        </w:rPr>
        <w:t>根据柘城县人民政府网站发布的柘城县城市环境空气质量周报（2021年1月1日~2021年12月31日），除PM</w:t>
      </w:r>
      <w:r>
        <w:rPr>
          <w:rFonts w:hint="default" w:ascii="Times New Roman" w:hAnsi="Times New Roman" w:eastAsia="宋体" w:cs="Times New Roman"/>
          <w:color w:val="auto"/>
          <w:kern w:val="0"/>
          <w:sz w:val="15"/>
          <w:szCs w:val="15"/>
          <w:highlight w:val="none"/>
          <w:u w:val="none"/>
          <w:lang w:val="en-US" w:eastAsia="zh-CN" w:bidi="ar"/>
        </w:rPr>
        <w:t>10</w:t>
      </w:r>
      <w:r>
        <w:rPr>
          <w:rFonts w:hint="default" w:ascii="Times New Roman" w:hAnsi="Times New Roman" w:eastAsia="宋体" w:cs="Times New Roman"/>
          <w:color w:val="auto"/>
          <w:kern w:val="0"/>
          <w:sz w:val="24"/>
          <w:szCs w:val="24"/>
          <w:highlight w:val="none"/>
          <w:u w:val="none"/>
          <w:lang w:val="en-US" w:eastAsia="zh-CN" w:bidi="ar"/>
        </w:rPr>
        <w:t>、PM</w:t>
      </w:r>
      <w:r>
        <w:rPr>
          <w:rFonts w:hint="default" w:ascii="Times New Roman" w:hAnsi="Times New Roman" w:eastAsia="宋体" w:cs="Times New Roman"/>
          <w:color w:val="auto"/>
          <w:kern w:val="0"/>
          <w:sz w:val="15"/>
          <w:szCs w:val="15"/>
          <w:highlight w:val="none"/>
          <w:u w:val="none"/>
          <w:lang w:val="en-US" w:eastAsia="zh-CN" w:bidi="ar"/>
        </w:rPr>
        <w:t>2.5</w:t>
      </w:r>
      <w:r>
        <w:rPr>
          <w:rFonts w:hint="default" w:ascii="Times New Roman" w:hAnsi="Times New Roman" w:eastAsia="宋体" w:cs="Times New Roman"/>
          <w:color w:val="auto"/>
          <w:kern w:val="0"/>
          <w:sz w:val="24"/>
          <w:szCs w:val="24"/>
          <w:highlight w:val="none"/>
          <w:u w:val="none"/>
          <w:lang w:val="en-US" w:eastAsia="zh-CN" w:bidi="ar"/>
        </w:rPr>
        <w:t>超标外，其余各监测因子均达标。项目区域属于环境空气不达标区，</w:t>
      </w:r>
      <w:r>
        <w:rPr>
          <w:rFonts w:hint="eastAsia" w:eastAsia="宋体" w:cs="Times New Roman"/>
          <w:color w:val="auto"/>
          <w:kern w:val="0"/>
          <w:sz w:val="24"/>
          <w:szCs w:val="24"/>
          <w:highlight w:val="none"/>
          <w:u w:val="none"/>
          <w:lang w:val="en-US" w:eastAsia="zh-CN" w:bidi="ar"/>
        </w:rPr>
        <w:t>商丘</w:t>
      </w:r>
      <w:r>
        <w:rPr>
          <w:rFonts w:hint="default" w:ascii="Times New Roman" w:hAnsi="Times New Roman" w:eastAsia="宋体" w:cs="Times New Roman"/>
          <w:color w:val="auto"/>
          <w:kern w:val="0"/>
          <w:sz w:val="24"/>
          <w:szCs w:val="24"/>
          <w:highlight w:val="none"/>
          <w:u w:val="none"/>
          <w:lang w:val="en-US" w:eastAsia="zh-CN" w:bidi="ar"/>
        </w:rPr>
        <w:t>市制定了《商丘市2021年大气污染防治攻坚战实施方案》等方案政策</w:t>
      </w:r>
      <w:r>
        <w:rPr>
          <w:rFonts w:hint="eastAsia" w:eastAsia="宋体" w:cs="Times New Roman"/>
          <w:color w:val="auto"/>
          <w:kern w:val="0"/>
          <w:sz w:val="24"/>
          <w:szCs w:val="24"/>
          <w:highlight w:val="none"/>
          <w:u w:val="none"/>
          <w:lang w:val="en-US" w:eastAsia="zh-CN" w:bidi="ar"/>
        </w:rPr>
        <w:t>，将</w:t>
      </w:r>
      <w:r>
        <w:rPr>
          <w:rFonts w:hint="default" w:ascii="Times New Roman" w:hAnsi="Times New Roman" w:eastAsia="宋体" w:cs="Times New Roman"/>
          <w:color w:val="auto"/>
          <w:kern w:val="0"/>
          <w:sz w:val="24"/>
          <w:szCs w:val="24"/>
          <w:highlight w:val="none"/>
          <w:u w:val="none"/>
          <w:lang w:val="en-US" w:eastAsia="zh-CN" w:bidi="ar"/>
        </w:rPr>
        <w:t>逐步改善区域环境空气质量。</w:t>
      </w:r>
    </w:p>
    <w:p>
      <w:pPr>
        <w:keepNext w:val="0"/>
        <w:keepLines w:val="0"/>
        <w:widowControl/>
        <w:suppressLineNumbers w:val="0"/>
        <w:adjustRightInd w:val="0"/>
        <w:snapToGrid w:val="0"/>
        <w:spacing w:line="480" w:lineRule="exact"/>
        <w:ind w:firstLine="480" w:firstLineChars="200"/>
        <w:jc w:val="left"/>
        <w:rPr>
          <w:rFonts w:hint="default" w:ascii="Times New Roman" w:hAnsi="Times New Roman" w:eastAsia="宋体" w:cs="Times New Roman"/>
          <w:color w:val="auto"/>
          <w:sz w:val="24"/>
          <w:szCs w:val="24"/>
          <w:highlight w:val="none"/>
          <w:u w:val="none"/>
        </w:rPr>
      </w:pPr>
      <w:r>
        <w:rPr>
          <w:rFonts w:hint="default" w:ascii="Times New Roman" w:hAnsi="Times New Roman" w:cs="Times New Roman"/>
          <w:color w:val="auto"/>
          <w:szCs w:val="22"/>
          <w:highlight w:val="none"/>
          <w:u w:val="none"/>
        </w:rPr>
        <w:t>环境空气</w:t>
      </w:r>
      <w:r>
        <w:rPr>
          <w:rFonts w:hint="eastAsia" w:cs="Times New Roman"/>
          <w:color w:val="auto"/>
          <w:szCs w:val="22"/>
          <w:highlight w:val="none"/>
          <w:u w:val="none"/>
          <w:lang w:val="en-US" w:eastAsia="zh-CN"/>
        </w:rPr>
        <w:t>特征因子</w:t>
      </w:r>
      <w:r>
        <w:rPr>
          <w:rFonts w:hint="default" w:ascii="Times New Roman" w:hAnsi="Times New Roman" w:cs="Times New Roman"/>
          <w:color w:val="auto"/>
          <w:szCs w:val="22"/>
          <w:highlight w:val="none"/>
          <w:u w:val="none"/>
        </w:rPr>
        <w:t>监测由河南鑫安利职业健康科技有限公司于2021年03月23日~2021年03月30日进行（二噁英检测日期为03月23日~04月04日）</w:t>
      </w:r>
      <w:r>
        <w:rPr>
          <w:rFonts w:hint="default" w:ascii="Times New Roman" w:hAnsi="Times New Roman" w:eastAsia="宋体" w:cs="Times New Roman"/>
          <w:color w:val="auto"/>
          <w:sz w:val="24"/>
          <w:szCs w:val="24"/>
          <w:highlight w:val="none"/>
          <w:u w:val="none"/>
        </w:rPr>
        <w:t>并于2022年12月24日~2022年12月30日</w:t>
      </w:r>
      <w:r>
        <w:rPr>
          <w:rFonts w:hint="eastAsia" w:eastAsia="宋体" w:cs="Times New Roman"/>
          <w:color w:val="auto"/>
          <w:sz w:val="24"/>
          <w:szCs w:val="24"/>
          <w:highlight w:val="none"/>
          <w:u w:val="none"/>
          <w:lang w:val="en-US" w:eastAsia="zh-CN"/>
        </w:rPr>
        <w:t>由河南华检检测技术服务有限公司</w:t>
      </w:r>
      <w:r>
        <w:rPr>
          <w:rFonts w:hint="default" w:ascii="Times New Roman" w:hAnsi="Times New Roman" w:eastAsia="宋体" w:cs="Times New Roman"/>
          <w:color w:val="auto"/>
          <w:sz w:val="24"/>
          <w:szCs w:val="24"/>
          <w:highlight w:val="none"/>
          <w:u w:val="none"/>
        </w:rPr>
        <w:t>进行了补测</w:t>
      </w:r>
      <w:r>
        <w:rPr>
          <w:rFonts w:hint="eastAsia" w:eastAsia="宋体" w:cs="Times New Roman"/>
          <w:color w:val="auto"/>
          <w:sz w:val="24"/>
          <w:szCs w:val="24"/>
          <w:highlight w:val="none"/>
          <w:u w:val="none"/>
          <w:lang w:eastAsia="zh-CN"/>
        </w:rPr>
        <w:t>。</w:t>
      </w:r>
      <w:r>
        <w:rPr>
          <w:rFonts w:hint="eastAsia" w:eastAsia="宋体" w:cs="Times New Roman"/>
          <w:color w:val="auto"/>
          <w:sz w:val="24"/>
          <w:szCs w:val="24"/>
          <w:highlight w:val="none"/>
          <w:u w:val="none"/>
          <w:lang w:val="en-US" w:eastAsia="zh-CN"/>
        </w:rPr>
        <w:t>根据监测结果，</w:t>
      </w:r>
      <w:r>
        <w:rPr>
          <w:rFonts w:hint="eastAsia" w:eastAsia="宋体" w:cs="Times New Roman"/>
          <w:color w:val="auto"/>
          <w:sz w:val="24"/>
          <w:szCs w:val="24"/>
          <w:highlight w:val="none"/>
          <w:u w:val="none"/>
          <w:lang w:eastAsia="zh-CN"/>
        </w:rPr>
        <w:t>硫化氢、氨、甲苯、二甲苯、丙酮、甲醛、甲醇、氯化氢、硫酸雾的1小时平均质量浓度均能满足《环境影响评价技术导则 大气环境》（HJ2.2-2018）附录D参考限值要求，甲醇、氯化氢、硫酸雾的日平均质量浓度均能满足《环境影响评价技术导则 大气环境》（HJ2.2-2018）附录D参考限值要求，非甲烷总烃的1小时平均质量浓度满足《大气污染物综合排放标准详解》的要求；二噁英日平均质量浓度均能满足《关于进一步加强生物质发电项目环境影响评价管理工作的通知》环发[2008]82号推荐的标准要求，</w:t>
      </w:r>
      <w:r>
        <w:rPr>
          <w:rFonts w:hint="eastAsia" w:eastAsia="宋体" w:cs="Times New Roman"/>
          <w:color w:val="auto"/>
          <w:sz w:val="24"/>
          <w:szCs w:val="24"/>
          <w:highlight w:val="none"/>
          <w:u w:val="none"/>
          <w:lang w:val="en-US" w:eastAsia="zh-CN"/>
        </w:rPr>
        <w:t>二氯甲烷小时均值满足多介质目标值计算的标准限值</w:t>
      </w:r>
      <w:r>
        <w:rPr>
          <w:rFonts w:hint="eastAsia" w:eastAsia="宋体" w:cs="Times New Roman"/>
          <w:color w:val="auto"/>
          <w:sz w:val="24"/>
          <w:szCs w:val="24"/>
          <w:highlight w:val="none"/>
          <w:u w:val="none"/>
          <w:lang w:eastAsia="zh-CN"/>
        </w:rPr>
        <w:t>。</w:t>
      </w:r>
    </w:p>
    <w:p>
      <w:pPr>
        <w:adjustRightInd w:val="0"/>
        <w:snapToGrid w:val="0"/>
        <w:spacing w:line="520" w:lineRule="exact"/>
        <w:ind w:firstLine="480" w:firstLineChars="200"/>
        <w:jc w:val="both"/>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（2）地表水</w:t>
      </w:r>
    </w:p>
    <w:p>
      <w:pPr>
        <w:keepNext w:val="0"/>
        <w:keepLines w:val="0"/>
        <w:widowControl/>
        <w:suppressLineNumbers w:val="0"/>
        <w:adjustRightInd w:val="0"/>
        <w:snapToGrid w:val="0"/>
        <w:spacing w:line="480" w:lineRule="exact"/>
        <w:ind w:firstLine="480" w:firstLineChars="200"/>
        <w:jc w:val="both"/>
        <w:rPr>
          <w:rFonts w:hint="default" w:ascii="Times New Roman" w:hAnsi="Times New Roman" w:eastAsia="宋体" w:cs="Times New Roman"/>
          <w:color w:val="auto"/>
          <w:kern w:val="0"/>
          <w:sz w:val="24"/>
          <w:szCs w:val="24"/>
          <w:highlight w:val="none"/>
          <w:u w:val="none"/>
          <w:lang w:val="en-US" w:eastAsia="zh-CN" w:bidi="ar"/>
        </w:rPr>
      </w:pPr>
      <w:r>
        <w:rPr>
          <w:rFonts w:hint="default" w:ascii="Times New Roman" w:hAnsi="Times New Roman" w:eastAsia="宋体" w:cs="Times New Roman"/>
          <w:color w:val="auto"/>
          <w:kern w:val="0"/>
          <w:sz w:val="24"/>
          <w:szCs w:val="24"/>
          <w:highlight w:val="none"/>
          <w:u w:val="none"/>
          <w:lang w:val="en-US" w:eastAsia="zh-CN" w:bidi="ar"/>
        </w:rPr>
        <w:t>根据柘城县人民政府公布的《柘城县政府地表水责任目标断面水质状况》（数据来源商丘市生态环境局《环境通报》）</w:t>
      </w:r>
      <w:r>
        <w:rPr>
          <w:rFonts w:hint="eastAsia" w:eastAsia="宋体" w:cs="Times New Roman"/>
          <w:color w:val="auto"/>
          <w:kern w:val="0"/>
          <w:sz w:val="24"/>
          <w:szCs w:val="24"/>
          <w:highlight w:val="none"/>
          <w:u w:val="none"/>
          <w:lang w:val="en-US" w:eastAsia="zh-CN" w:bidi="ar"/>
        </w:rPr>
        <w:t>中柘城县惠济河砖桥断面的2021年常规监测数据</w:t>
      </w:r>
      <w:r>
        <w:rPr>
          <w:rFonts w:hint="default" w:ascii="Times New Roman" w:hAnsi="Times New Roman" w:eastAsia="宋体" w:cs="Times New Roman"/>
          <w:color w:val="auto"/>
          <w:kern w:val="0"/>
          <w:sz w:val="24"/>
          <w:szCs w:val="24"/>
          <w:highlight w:val="none"/>
          <w:u w:val="none"/>
          <w:lang w:val="en-US" w:eastAsia="zh-CN" w:bidi="ar"/>
        </w:rPr>
        <w:t>，惠济河砖桥COD、氨氮满足《地表水环境质量标准》（GB3838-2002）Ⅴ类水质目标要求，总磷偶有超标，超标原因为：部分城镇污水处理厂运行效果不佳、生活污水处理不完全，沿途接纳农村地区未经处理生活污水，且商丘段惠济河几乎没有生态水补给河流自净能力差。商丘市发布《商丘市202</w:t>
      </w:r>
      <w:r>
        <w:rPr>
          <w:rFonts w:hint="eastAsia" w:eastAsia="宋体" w:cs="Times New Roman"/>
          <w:color w:val="auto"/>
          <w:kern w:val="0"/>
          <w:sz w:val="24"/>
          <w:szCs w:val="24"/>
          <w:highlight w:val="none"/>
          <w:u w:val="none"/>
          <w:lang w:val="en-US" w:eastAsia="zh-CN" w:bidi="ar"/>
        </w:rPr>
        <w:t>2</w:t>
      </w:r>
      <w:r>
        <w:rPr>
          <w:rFonts w:hint="default" w:ascii="Times New Roman" w:hAnsi="Times New Roman" w:eastAsia="宋体" w:cs="Times New Roman"/>
          <w:color w:val="auto"/>
          <w:kern w:val="0"/>
          <w:sz w:val="24"/>
          <w:szCs w:val="24"/>
          <w:highlight w:val="none"/>
          <w:u w:val="none"/>
          <w:lang w:val="en-US" w:eastAsia="zh-CN" w:bidi="ar"/>
        </w:rPr>
        <w:t>年水污染防治攻坚战实施方案》</w:t>
      </w:r>
      <w:r>
        <w:rPr>
          <w:rFonts w:hint="eastAsia" w:eastAsia="宋体" w:cs="Times New Roman"/>
          <w:color w:val="auto"/>
          <w:kern w:val="0"/>
          <w:sz w:val="24"/>
          <w:szCs w:val="24"/>
          <w:highlight w:val="none"/>
          <w:u w:val="none"/>
          <w:lang w:val="en-US" w:eastAsia="zh-CN" w:bidi="ar"/>
        </w:rPr>
        <w:t>等方案政策，将逐步改善区域地表水环境质量。</w:t>
      </w:r>
    </w:p>
    <w:p>
      <w:pPr>
        <w:adjustRightInd w:val="0"/>
        <w:snapToGrid w:val="0"/>
        <w:spacing w:line="520" w:lineRule="exact"/>
        <w:ind w:firstLine="480" w:firstLineChars="200"/>
        <w:jc w:val="both"/>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（3）地下水</w:t>
      </w:r>
    </w:p>
    <w:p>
      <w:pPr>
        <w:keepNext w:val="0"/>
        <w:keepLines w:val="0"/>
        <w:widowControl/>
        <w:suppressLineNumbers w:val="0"/>
        <w:adjustRightInd w:val="0"/>
        <w:snapToGrid w:val="0"/>
        <w:spacing w:line="480" w:lineRule="exact"/>
        <w:ind w:firstLine="480" w:firstLineChars="200"/>
        <w:jc w:val="left"/>
        <w:rPr>
          <w:rFonts w:hint="default" w:ascii="Times New Roman" w:hAnsi="Times New Roman" w:eastAsia="宋体" w:cs="Times New Roman"/>
          <w:color w:val="auto"/>
          <w:sz w:val="24"/>
          <w:szCs w:val="24"/>
          <w:highlight w:val="none"/>
          <w:u w:val="none"/>
        </w:rPr>
      </w:pPr>
      <w:r>
        <w:rPr>
          <w:rFonts w:hint="eastAsia" w:ascii="Times New Roman" w:hAnsi="Times New Roman" w:cs="Times New Roman"/>
          <w:color w:val="auto"/>
          <w:szCs w:val="22"/>
          <w:highlight w:val="none"/>
          <w:u w:val="none"/>
          <w:lang w:val="en-US" w:eastAsia="zh-CN"/>
        </w:rPr>
        <w:t>地下水环境</w:t>
      </w:r>
      <w:r>
        <w:rPr>
          <w:rFonts w:hint="default" w:ascii="Times New Roman" w:hAnsi="Times New Roman" w:cs="Times New Roman"/>
          <w:color w:val="auto"/>
          <w:szCs w:val="22"/>
          <w:highlight w:val="none"/>
          <w:u w:val="none"/>
        </w:rPr>
        <w:t>质量现状监测由河南鑫安利职业健康科技有限公司于2021年03月3</w:t>
      </w:r>
      <w:r>
        <w:rPr>
          <w:rFonts w:hint="eastAsia" w:ascii="Times New Roman" w:hAnsi="Times New Roman" w:cs="Times New Roman"/>
          <w:color w:val="auto"/>
          <w:szCs w:val="22"/>
          <w:highlight w:val="none"/>
          <w:u w:val="none"/>
          <w:lang w:val="en-US" w:eastAsia="zh-CN"/>
        </w:rPr>
        <w:t>0-31</w:t>
      </w:r>
      <w:r>
        <w:rPr>
          <w:rFonts w:hint="default" w:ascii="Times New Roman" w:hAnsi="Times New Roman" w:cs="Times New Roman"/>
          <w:color w:val="auto"/>
          <w:szCs w:val="22"/>
          <w:highlight w:val="none"/>
          <w:u w:val="none"/>
        </w:rPr>
        <w:t>日进行</w:t>
      </w:r>
      <w:r>
        <w:rPr>
          <w:rFonts w:hint="eastAsia" w:ascii="Times New Roman" w:hAnsi="Times New Roman" w:cs="Times New Roman"/>
          <w:color w:val="auto"/>
          <w:szCs w:val="22"/>
          <w:highlight w:val="none"/>
          <w:u w:val="none"/>
          <w:lang w:eastAsia="zh-CN"/>
        </w:rPr>
        <w:t>，</w:t>
      </w:r>
      <w:r>
        <w:rPr>
          <w:rFonts w:hint="eastAsia" w:ascii="Times New Roman" w:hAnsi="Times New Roman" w:cs="Times New Roman"/>
          <w:color w:val="auto"/>
          <w:szCs w:val="22"/>
          <w:highlight w:val="none"/>
          <w:u w:val="none"/>
          <w:lang w:val="en-US" w:eastAsia="zh-CN"/>
        </w:rPr>
        <w:t>共</w:t>
      </w:r>
      <w:r>
        <w:rPr>
          <w:rFonts w:hint="default" w:ascii="Times New Roman" w:hAnsi="Times New Roman" w:cs="Times New Roman"/>
          <w:color w:val="auto"/>
          <w:szCs w:val="22"/>
          <w:highlight w:val="none"/>
          <w:u w:val="none"/>
        </w:rPr>
        <w:t>布设15个地下水监测点位（7个水质监测点位，8个水位监测点位），同时监测了厂区污水处理站包气带</w:t>
      </w:r>
      <w:r>
        <w:rPr>
          <w:rFonts w:hint="eastAsia" w:cs="Times New Roman"/>
          <w:color w:val="auto"/>
          <w:szCs w:val="22"/>
          <w:highlight w:val="none"/>
          <w:u w:val="none"/>
          <w:lang w:eastAsia="zh-CN"/>
        </w:rPr>
        <w:t>。</w:t>
      </w:r>
      <w:r>
        <w:rPr>
          <w:rFonts w:hint="default" w:ascii="Times New Roman" w:hAnsi="Times New Roman" w:eastAsia="宋体" w:cs="Times New Roman"/>
          <w:color w:val="auto"/>
          <w:kern w:val="0"/>
          <w:sz w:val="24"/>
          <w:szCs w:val="24"/>
          <w:highlight w:val="none"/>
          <w:u w:val="none"/>
          <w:lang w:val="en-US" w:eastAsia="zh-CN" w:bidi="ar"/>
        </w:rPr>
        <w:t>根据监测结果，</w:t>
      </w:r>
      <w:r>
        <w:rPr>
          <w:rFonts w:hint="eastAsia" w:eastAsia="宋体" w:cs="Times New Roman"/>
          <w:color w:val="auto"/>
          <w:kern w:val="0"/>
          <w:sz w:val="24"/>
          <w:szCs w:val="24"/>
          <w:highlight w:val="none"/>
          <w:u w:val="none"/>
          <w:lang w:val="en-US" w:eastAsia="zh-CN" w:bidi="ar"/>
        </w:rPr>
        <w:t>区域地下水</w:t>
      </w:r>
      <w:r>
        <w:rPr>
          <w:rFonts w:hint="default" w:ascii="Times New Roman" w:hAnsi="Times New Roman" w:cs="Times New Roman"/>
          <w:color w:val="auto"/>
          <w:szCs w:val="22"/>
          <w:highlight w:val="none"/>
          <w:u w:val="none"/>
        </w:rPr>
        <w:t>总硬度、溶解性总固体、硫酸盐、氯化物出现超标，分析超标原因由于区域地下水矿化度较高</w:t>
      </w:r>
      <w:r>
        <w:rPr>
          <w:rFonts w:hint="eastAsia" w:cs="Times New Roman"/>
          <w:color w:val="auto"/>
          <w:szCs w:val="22"/>
          <w:highlight w:val="none"/>
          <w:u w:val="none"/>
          <w:lang w:eastAsia="zh-CN"/>
        </w:rPr>
        <w:t>、</w:t>
      </w:r>
      <w:r>
        <w:rPr>
          <w:rFonts w:hint="eastAsia" w:cs="Times New Roman"/>
          <w:color w:val="auto"/>
          <w:szCs w:val="22"/>
          <w:highlight w:val="none"/>
          <w:u w:val="none"/>
          <w:lang w:val="en-US" w:eastAsia="zh-CN"/>
        </w:rPr>
        <w:t>地下水硬度较高</w:t>
      </w:r>
      <w:r>
        <w:rPr>
          <w:rFonts w:hint="default" w:ascii="Times New Roman" w:hAnsi="Times New Roman" w:cs="Times New Roman"/>
          <w:color w:val="auto"/>
          <w:szCs w:val="22"/>
          <w:highlight w:val="none"/>
          <w:u w:val="none"/>
        </w:rPr>
        <w:t>。</w:t>
      </w:r>
      <w:r>
        <w:rPr>
          <w:rFonts w:hint="eastAsia" w:eastAsia="宋体" w:cs="Times New Roman"/>
          <w:color w:val="auto"/>
          <w:sz w:val="24"/>
          <w:szCs w:val="24"/>
          <w:highlight w:val="none"/>
          <w:u w:val="none"/>
          <w:lang w:val="en-US" w:eastAsia="zh-CN"/>
        </w:rPr>
        <w:t>其他因子均</w:t>
      </w:r>
      <w:r>
        <w:rPr>
          <w:rFonts w:hint="default" w:ascii="Times New Roman" w:hAnsi="Times New Roman" w:eastAsia="宋体" w:cs="Times New Roman"/>
          <w:color w:val="auto"/>
          <w:sz w:val="24"/>
          <w:szCs w:val="24"/>
          <w:highlight w:val="none"/>
          <w:u w:val="none"/>
        </w:rPr>
        <w:t>满足《地下水环境质量标准》（GB/T14848-2017）Ⅲ类标准的相关要求。</w:t>
      </w:r>
    </w:p>
    <w:p>
      <w:pPr>
        <w:adjustRightInd w:val="0"/>
        <w:snapToGrid w:val="0"/>
        <w:spacing w:line="520" w:lineRule="exact"/>
        <w:ind w:firstLine="480" w:firstLineChars="200"/>
        <w:jc w:val="both"/>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（4）声环境</w:t>
      </w:r>
    </w:p>
    <w:p>
      <w:pPr>
        <w:adjustRightInd w:val="0"/>
        <w:snapToGrid w:val="0"/>
        <w:spacing w:line="520" w:lineRule="exact"/>
        <w:ind w:firstLine="480" w:firstLineChars="200"/>
        <w:jc w:val="both"/>
        <w:rPr>
          <w:rFonts w:hint="default" w:ascii="Times New Roman" w:hAnsi="Times New Roman" w:eastAsia="宋体" w:cs="Times New Roman"/>
          <w:color w:val="auto"/>
          <w:sz w:val="24"/>
          <w:szCs w:val="24"/>
          <w:highlight w:val="none"/>
          <w:u w:val="none"/>
        </w:rPr>
      </w:pPr>
      <w:r>
        <w:rPr>
          <w:rFonts w:hint="default" w:ascii="Times New Roman" w:hAnsi="Times New Roman" w:cs="Times New Roman"/>
          <w:color w:val="auto"/>
          <w:szCs w:val="22"/>
          <w:highlight w:val="none"/>
          <w:u w:val="none"/>
        </w:rPr>
        <w:t>声环境由河南鑫安利职业健康科技有限公司监测，每个点位各监测2天，每天昼夜各监测一次。</w:t>
      </w:r>
      <w:r>
        <w:rPr>
          <w:rFonts w:hint="default" w:ascii="Times New Roman" w:hAnsi="Times New Roman" w:eastAsia="宋体" w:cs="Times New Roman"/>
          <w:color w:val="auto"/>
          <w:sz w:val="24"/>
          <w:szCs w:val="24"/>
          <w:highlight w:val="none"/>
          <w:u w:val="none"/>
          <w:lang w:val="en-US" w:eastAsia="zh-CN"/>
        </w:rPr>
        <w:t>根据检测结果可知，厂址四周</w:t>
      </w:r>
      <w:r>
        <w:rPr>
          <w:rFonts w:hint="eastAsia" w:eastAsia="宋体" w:cs="Times New Roman"/>
          <w:color w:val="auto"/>
          <w:sz w:val="24"/>
          <w:szCs w:val="24"/>
          <w:highlight w:val="none"/>
          <w:u w:val="none"/>
          <w:lang w:val="en-US" w:eastAsia="zh-CN"/>
        </w:rPr>
        <w:t>可满足</w:t>
      </w:r>
      <w:r>
        <w:rPr>
          <w:rFonts w:hint="default" w:ascii="Times New Roman" w:hAnsi="Times New Roman" w:eastAsia="宋体" w:cs="Times New Roman"/>
          <w:color w:val="auto"/>
          <w:sz w:val="24"/>
          <w:szCs w:val="24"/>
          <w:highlight w:val="none"/>
          <w:u w:val="none"/>
          <w:lang w:val="en-US" w:eastAsia="zh-CN"/>
        </w:rPr>
        <w:t>《声环境质量标准》（GB3096-2008）</w:t>
      </w:r>
      <w:r>
        <w:rPr>
          <w:rFonts w:hint="eastAsia" w:eastAsia="宋体" w:cs="Times New Roman"/>
          <w:color w:val="auto"/>
          <w:sz w:val="24"/>
          <w:szCs w:val="24"/>
          <w:highlight w:val="none"/>
          <w:u w:val="none"/>
          <w:lang w:val="en-US" w:eastAsia="zh-CN"/>
        </w:rPr>
        <w:t>3</w:t>
      </w:r>
      <w:r>
        <w:rPr>
          <w:rFonts w:hint="default" w:ascii="Times New Roman" w:hAnsi="Times New Roman" w:eastAsia="宋体" w:cs="Times New Roman"/>
          <w:color w:val="auto"/>
          <w:sz w:val="24"/>
          <w:szCs w:val="24"/>
          <w:highlight w:val="none"/>
          <w:u w:val="none"/>
          <w:lang w:val="en-US" w:eastAsia="zh-CN"/>
        </w:rPr>
        <w:t>类标准</w:t>
      </w:r>
      <w:r>
        <w:rPr>
          <w:rFonts w:hint="eastAsia" w:eastAsia="宋体"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王云庄、关桥的声环境质量均能满足《声环境质量标准》（GB3096-2008）2类标准要求，区域声环境质量现状良好。</w:t>
      </w:r>
    </w:p>
    <w:p>
      <w:pPr>
        <w:adjustRightInd w:val="0"/>
        <w:snapToGrid w:val="0"/>
        <w:spacing w:line="520" w:lineRule="exact"/>
        <w:ind w:firstLine="480" w:firstLineChars="200"/>
        <w:jc w:val="both"/>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（5）土壤环境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cs="Times New Roman"/>
          <w:color w:val="auto"/>
          <w:szCs w:val="22"/>
          <w:highlight w:val="none"/>
          <w:u w:val="none"/>
        </w:rPr>
        <w:t>土壤环境质量现状监测河南鑫安利职业健康科技有限公司进行，采样时间为2021年3月30~31日</w:t>
      </w:r>
      <w:r>
        <w:rPr>
          <w:rFonts w:hint="eastAsia" w:cs="Times New Roman"/>
          <w:color w:val="auto"/>
          <w:szCs w:val="22"/>
          <w:highlight w:val="none"/>
          <w:u w:val="none"/>
          <w:lang w:eastAsia="zh-CN"/>
        </w:rPr>
        <w:t>，2022年12月24日对土壤进行了补充采样监测</w:t>
      </w:r>
      <w:r>
        <w:rPr>
          <w:rFonts w:hint="default" w:ascii="Times New Roman" w:hAnsi="Times New Roman" w:cs="Times New Roman"/>
          <w:color w:val="auto"/>
          <w:szCs w:val="22"/>
          <w:highlight w:val="none"/>
          <w:u w:val="none"/>
        </w:rPr>
        <w:t>。</w:t>
      </w:r>
      <w:r>
        <w:rPr>
          <w:rFonts w:hint="default" w:ascii="Times New Roman" w:hAnsi="Times New Roman" w:eastAsia="宋体" w:cs="Times New Roman"/>
          <w:bCs/>
          <w:color w:val="auto"/>
          <w:sz w:val="24"/>
          <w:szCs w:val="24"/>
          <w:highlight w:val="none"/>
          <w:u w:val="none"/>
          <w:lang w:val="en-US" w:eastAsia="zh-CN"/>
        </w:rPr>
        <w:t>本次土壤环境质量现状监测共设置11个监测点位，其中项目占地范围内5个柱状样、2个表层样点，项目占地范围外4个表层样点。项目监测因子根据土地利用类型选取，特征因子选取pH、铜、二氯甲烷、三氯甲烷、甲苯、间二甲苯+对二甲苯、邻二甲苯、氰化物</w:t>
      </w:r>
      <w:r>
        <w:rPr>
          <w:rFonts w:hint="eastAsia" w:eastAsia="宋体" w:cs="Times New Roman"/>
          <w:bCs/>
          <w:color w:val="auto"/>
          <w:sz w:val="24"/>
          <w:szCs w:val="24"/>
          <w:highlight w:val="none"/>
          <w:u w:val="none"/>
          <w:lang w:val="en-US" w:eastAsia="zh-CN"/>
        </w:rPr>
        <w:t>、镍、二噁英</w:t>
      </w:r>
      <w:r>
        <w:rPr>
          <w:rFonts w:hint="default" w:ascii="Times New Roman" w:hAnsi="Times New Roman" w:eastAsia="宋体" w:cs="Times New Roman"/>
          <w:bCs/>
          <w:color w:val="auto"/>
          <w:sz w:val="24"/>
          <w:szCs w:val="24"/>
          <w:highlight w:val="none"/>
          <w:u w:val="none"/>
          <w:lang w:val="en-US" w:eastAsia="zh-CN"/>
        </w:rPr>
        <w:t>，同时记录土壤的理化因子。由检测结果可知，</w:t>
      </w:r>
      <w:r>
        <w:rPr>
          <w:rFonts w:hint="default" w:ascii="Times New Roman" w:hAnsi="Times New Roman" w:cs="Times New Roman"/>
          <w:color w:val="auto"/>
          <w:szCs w:val="22"/>
          <w:highlight w:val="none"/>
          <w:u w:val="none"/>
        </w:rPr>
        <w:t>王云庄农田和魏楼农田土壤环境质量满足《土壤环境质量 农用地土壤污染风险管控标准（试行）》（GB15618-2018）表1农用地土壤污染风险筛选值标准要求；王云庄土壤环境质量满足《土壤环境质量 建设用地土壤污染风险管控标准（试行）》（GB36600-2018）第一类用地筛选值标准要求；其余点位满足《土壤环境质量 建设用地土壤污染风险管控标准（试行）》（GB36600-2018）第二类用地筛选值标准要求，评价区域土壤环境质量良好。</w:t>
      </w:r>
    </w:p>
    <w:p>
      <w:pPr>
        <w:pStyle w:val="3"/>
        <w:bidi w:val="0"/>
        <w:rPr>
          <w:rFonts w:hint="default"/>
          <w:color w:val="auto"/>
          <w:highlight w:val="none"/>
          <w:u w:val="none"/>
          <w:lang w:val="en-US" w:eastAsia="zh-CN"/>
        </w:rPr>
      </w:pPr>
      <w:bookmarkStart w:id="340" w:name="_Toc5597"/>
      <w:bookmarkStart w:id="341" w:name="_Toc31198"/>
      <w:bookmarkStart w:id="342" w:name="_Toc20518"/>
      <w:bookmarkStart w:id="343" w:name="_Toc29369"/>
      <w:bookmarkStart w:id="344" w:name="_Toc85"/>
      <w:bookmarkStart w:id="345" w:name="_Toc29263"/>
      <w:bookmarkStart w:id="346" w:name="_Toc20984"/>
      <w:bookmarkStart w:id="347" w:name="_Toc6673"/>
      <w:bookmarkStart w:id="348" w:name="_Toc19038"/>
      <w:bookmarkStart w:id="349" w:name="_Toc25399"/>
      <w:bookmarkStart w:id="350" w:name="_Toc6901"/>
      <w:bookmarkStart w:id="351" w:name="_Toc15298"/>
      <w:bookmarkStart w:id="352" w:name="_Toc24631"/>
      <w:r>
        <w:rPr>
          <w:rFonts w:hint="default"/>
          <w:color w:val="auto"/>
          <w:highlight w:val="none"/>
          <w:u w:val="none"/>
          <w:lang w:val="en-US" w:eastAsia="zh-CN"/>
        </w:rPr>
        <w:t>污染防治措施</w:t>
      </w:r>
      <w:bookmarkEnd w:id="340"/>
      <w:bookmarkEnd w:id="341"/>
      <w:bookmarkEnd w:id="342"/>
      <w:bookmarkEnd w:id="343"/>
      <w:bookmarkEnd w:id="344"/>
      <w:bookmarkEnd w:id="345"/>
      <w:bookmarkEnd w:id="346"/>
      <w:bookmarkEnd w:id="347"/>
      <w:r>
        <w:rPr>
          <w:rFonts w:hint="default"/>
          <w:color w:val="auto"/>
          <w:highlight w:val="none"/>
          <w:u w:val="none"/>
          <w:lang w:val="en-US" w:eastAsia="zh-CN"/>
        </w:rPr>
        <w:t>及达标排放情况</w:t>
      </w:r>
      <w:bookmarkEnd w:id="348"/>
      <w:bookmarkEnd w:id="349"/>
      <w:bookmarkEnd w:id="350"/>
      <w:bookmarkEnd w:id="351"/>
      <w:bookmarkEnd w:id="352"/>
    </w:p>
    <w:p>
      <w:pPr>
        <w:pStyle w:val="4"/>
        <w:bidi w:val="0"/>
        <w:rPr>
          <w:rFonts w:hint="default"/>
          <w:color w:val="auto"/>
          <w:highlight w:val="none"/>
          <w:u w:val="none"/>
          <w:lang w:val="en-US" w:eastAsia="zh-CN"/>
        </w:rPr>
      </w:pPr>
      <w:bookmarkStart w:id="353" w:name="_Toc20374"/>
      <w:bookmarkStart w:id="354" w:name="_Toc31402"/>
      <w:bookmarkStart w:id="355" w:name="_Toc9335"/>
      <w:bookmarkStart w:id="356" w:name="_Toc19947"/>
      <w:bookmarkStart w:id="357" w:name="_Toc13396"/>
      <w:r>
        <w:rPr>
          <w:rFonts w:hint="default"/>
          <w:color w:val="auto"/>
          <w:highlight w:val="none"/>
          <w:u w:val="none"/>
          <w:lang w:val="en-US" w:eastAsia="zh-CN"/>
        </w:rPr>
        <w:t>废气</w:t>
      </w:r>
      <w:bookmarkEnd w:id="353"/>
      <w:bookmarkEnd w:id="354"/>
      <w:bookmarkEnd w:id="355"/>
      <w:bookmarkEnd w:id="356"/>
      <w:bookmarkEnd w:id="357"/>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rPr>
        <w:t>①</w:t>
      </w:r>
      <w:r>
        <w:rPr>
          <w:rFonts w:hint="eastAsia" w:eastAsia="宋体" w:cs="Times New Roman"/>
          <w:color w:val="auto"/>
          <w:sz w:val="24"/>
          <w:szCs w:val="24"/>
          <w:highlight w:val="none"/>
          <w:u w:val="none"/>
          <w:lang w:val="en-US" w:eastAsia="zh-CN"/>
        </w:rPr>
        <w:t>项目涉溶剂使用的带温工段均采用两级深度冷凝，经冷凝回收溶剂后的溶剂不凝气与真空泵排气、离心废气、低温结晶废气、干燥废气等一同经车间碱喷淋/降膜吸收预处理后进入新建RTO焚烧处置；污水站废气经喷淋吸收预处理后，与MVR不凝气、精馏塔不凝气、危废间及原料库废气、化验室废气一同导入上述RTO（过滤箱+蓄热氧化焚烧+急冷+两级碱洗）处置，经焚烧后废气由35m高排气筒排放。经处理后，NMHC、苯系物、氯化氢、颗粒物、硫化氢、臭气浓度、二氧化硫、氮氧化物、二噁英类等可以满足《制药工业大气污染物排放标准》（GB37823-2019）表2大气污染物特别排放限值及表3燃烧装置大气污染物排放限值，NMHC、甲醇、丙酮还可满足《关于全省开展工业企业挥发性有机物专项治理工作中排放建议值的通知》（豫环攻坚办[2017]162号）附件1医药制造工业相关要求，臭气物质还可满足《恶臭污染物排放标准》（GB14554-1993）35m高排气筒限值要求。</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②</w:t>
      </w:r>
      <w:r>
        <w:rPr>
          <w:rFonts w:hint="eastAsia" w:eastAsia="宋体" w:cs="Times New Roman"/>
          <w:color w:val="auto"/>
          <w:sz w:val="24"/>
          <w:szCs w:val="24"/>
          <w:highlight w:val="none"/>
          <w:u w:val="none"/>
          <w:lang w:val="en-US" w:eastAsia="zh-CN"/>
        </w:rPr>
        <w:t>包装间密闭，包装粉尘经负压收集后导入袋式除尘器处理后经15m排气筒排放（DA006），排放浓度1.29mg/m</w:t>
      </w:r>
      <w:r>
        <w:rPr>
          <w:rFonts w:hint="eastAsia" w:eastAsia="宋体" w:cs="Times New Roman"/>
          <w:color w:val="auto"/>
          <w:sz w:val="24"/>
          <w:szCs w:val="24"/>
          <w:highlight w:val="none"/>
          <w:u w:val="none"/>
          <w:vertAlign w:val="superscript"/>
          <w:lang w:val="en-US" w:eastAsia="zh-CN"/>
        </w:rPr>
        <w:t>3</w:t>
      </w:r>
      <w:r>
        <w:rPr>
          <w:rFonts w:hint="eastAsia" w:eastAsia="宋体" w:cs="Times New Roman"/>
          <w:color w:val="auto"/>
          <w:sz w:val="24"/>
          <w:szCs w:val="24"/>
          <w:highlight w:val="none"/>
          <w:u w:val="none"/>
          <w:lang w:val="en-US" w:eastAsia="zh-CN"/>
        </w:rPr>
        <w:t>，满足《制药工业大气污染物排放标准》（GB37823-2019）表2大气污染物特别排放限值</w:t>
      </w:r>
      <w:r>
        <w:rPr>
          <w:rFonts w:hint="default" w:ascii="Times New Roman" w:hAnsi="Times New Roman" w:eastAsia="宋体" w:cs="Times New Roman"/>
          <w:color w:val="auto"/>
          <w:sz w:val="24"/>
          <w:szCs w:val="24"/>
          <w:highlight w:val="none"/>
          <w:u w:val="none"/>
          <w:lang w:val="en-US" w:eastAsia="zh-CN"/>
        </w:rPr>
        <w:t>。</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③</w:t>
      </w:r>
      <w:r>
        <w:rPr>
          <w:rFonts w:hint="eastAsia" w:eastAsia="宋体" w:cs="Times New Roman"/>
          <w:color w:val="auto"/>
          <w:sz w:val="24"/>
          <w:szCs w:val="24"/>
          <w:highlight w:val="none"/>
          <w:u w:val="none"/>
          <w:lang w:val="en-US" w:eastAsia="zh-CN"/>
        </w:rPr>
        <w:t>现有工程燃气锅炉采用低氮燃烧+烟气循环技术后经8m排气筒排放（DA002、DA003），改建工程实施后采用集中供热，现有锅炉改为备用锅炉，正常工况不再有锅炉废气排放</w:t>
      </w:r>
      <w:r>
        <w:rPr>
          <w:rFonts w:hint="default" w:ascii="Times New Roman" w:hAnsi="Times New Roman" w:eastAsia="宋体" w:cs="Times New Roman"/>
          <w:color w:val="auto"/>
          <w:sz w:val="24"/>
          <w:szCs w:val="24"/>
          <w:highlight w:val="none"/>
          <w:u w:val="none"/>
          <w:lang w:val="en-US" w:eastAsia="zh-CN"/>
        </w:rPr>
        <w:t>。</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fldChar w:fldCharType="begin"/>
      </w:r>
      <w:r>
        <w:rPr>
          <w:rFonts w:hint="default" w:ascii="Times New Roman" w:hAnsi="Times New Roman" w:eastAsia="宋体" w:cs="Times New Roman"/>
          <w:color w:val="auto"/>
          <w:sz w:val="24"/>
          <w:szCs w:val="24"/>
          <w:highlight w:val="none"/>
          <w:u w:val="none"/>
          <w:lang w:val="en-US" w:eastAsia="zh-CN"/>
        </w:rPr>
        <w:instrText xml:space="preserve"> = 4 \* GB3 \* MERGEFORMAT </w:instrText>
      </w:r>
      <w:r>
        <w:rPr>
          <w:rFonts w:hint="default" w:ascii="Times New Roman" w:hAnsi="Times New Roman" w:eastAsia="宋体" w:cs="Times New Roman"/>
          <w:color w:val="auto"/>
          <w:sz w:val="24"/>
          <w:szCs w:val="24"/>
          <w:highlight w:val="none"/>
          <w:u w:val="none"/>
          <w:lang w:val="en-US" w:eastAsia="zh-CN"/>
        </w:rPr>
        <w:fldChar w:fldCharType="separate"/>
      </w:r>
      <w:r>
        <w:rPr>
          <w:rFonts w:hint="default" w:ascii="Times New Roman" w:hAnsi="Times New Roman" w:eastAsia="宋体" w:cs="Times New Roman"/>
          <w:color w:val="auto"/>
          <w:sz w:val="24"/>
          <w:szCs w:val="24"/>
          <w:highlight w:val="none"/>
          <w:u w:val="none"/>
        </w:rPr>
        <w:t>④</w:t>
      </w:r>
      <w:r>
        <w:rPr>
          <w:rFonts w:hint="default" w:ascii="Times New Roman" w:hAnsi="Times New Roman" w:eastAsia="宋体" w:cs="Times New Roman"/>
          <w:color w:val="auto"/>
          <w:sz w:val="24"/>
          <w:szCs w:val="24"/>
          <w:highlight w:val="none"/>
          <w:u w:val="none"/>
          <w:lang w:val="en-US" w:eastAsia="zh-CN"/>
        </w:rPr>
        <w:fldChar w:fldCharType="end"/>
      </w:r>
      <w:r>
        <w:rPr>
          <w:rFonts w:hint="eastAsia" w:eastAsia="宋体" w:cs="Times New Roman"/>
          <w:color w:val="auto"/>
          <w:sz w:val="24"/>
          <w:szCs w:val="24"/>
          <w:highlight w:val="none"/>
          <w:u w:val="none"/>
          <w:lang w:val="en-US" w:eastAsia="zh-CN"/>
        </w:rPr>
        <w:t>危废焚烧炉采用“3T+E燃烧控制+SNCR 脱硝+半干急冷塔+干式吸收+布袋除尘器+二级喷淋塔”处理工艺，处理后经35m高排气筒排放</w:t>
      </w:r>
      <w:r>
        <w:rPr>
          <w:rFonts w:hint="eastAsia" w:cstheme="minorBidi"/>
          <w:color w:val="auto"/>
          <w:szCs w:val="22"/>
          <w:highlight w:val="none"/>
          <w:u w:val="none"/>
          <w:lang w:val="en-US" w:eastAsia="zh-CN"/>
        </w:rPr>
        <w:t>（</w:t>
      </w:r>
      <w:r>
        <w:rPr>
          <w:rFonts w:hint="eastAsia" w:eastAsia="宋体" w:cs="Times New Roman"/>
          <w:color w:val="auto"/>
          <w:sz w:val="24"/>
          <w:szCs w:val="24"/>
          <w:highlight w:val="none"/>
          <w:u w:val="none"/>
          <w:lang w:val="en-US" w:eastAsia="zh-CN"/>
        </w:rPr>
        <w:t>DA004</w:t>
      </w:r>
      <w:r>
        <w:rPr>
          <w:rFonts w:hint="eastAsia" w:cstheme="minorBidi"/>
          <w:color w:val="auto"/>
          <w:szCs w:val="22"/>
          <w:highlight w:val="none"/>
          <w:u w:val="none"/>
          <w:lang w:val="en-US" w:eastAsia="zh-CN"/>
        </w:rPr>
        <w:t>）</w:t>
      </w:r>
      <w:r>
        <w:rPr>
          <w:rFonts w:hint="eastAsia" w:eastAsia="宋体" w:cs="Times New Roman"/>
          <w:color w:val="auto"/>
          <w:sz w:val="24"/>
          <w:szCs w:val="24"/>
          <w:highlight w:val="none"/>
          <w:u w:val="none"/>
          <w:lang w:val="en-US" w:eastAsia="zh-CN"/>
        </w:rPr>
        <w:t>，颗粒物、二氧化硫、氮氧化物、氟化氢、氯化氢、一氧化碳、二噁英类可满足《危险废物焚烧污染控制标准》（GB 18484—2020）标准要求</w:t>
      </w:r>
      <w:r>
        <w:rPr>
          <w:rFonts w:hint="default" w:ascii="Times New Roman" w:hAnsi="Times New Roman" w:eastAsia="宋体" w:cs="Times New Roman"/>
          <w:color w:val="auto"/>
          <w:sz w:val="24"/>
          <w:szCs w:val="24"/>
          <w:highlight w:val="none"/>
          <w:u w:val="none"/>
          <w:lang w:val="en-US" w:eastAsia="zh-CN"/>
        </w:rPr>
        <w:t>。</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⑤</w:t>
      </w:r>
      <w:r>
        <w:rPr>
          <w:rFonts w:hint="default" w:ascii="Times New Roman" w:hAnsi="Times New Roman" w:eastAsia="宋体" w:cs="Times New Roman"/>
          <w:color w:val="auto"/>
          <w:sz w:val="24"/>
          <w:szCs w:val="24"/>
          <w:highlight w:val="none"/>
          <w:u w:val="none"/>
        </w:rPr>
        <w:t>食堂油烟废气经复合式油烟净化器处理后经</w:t>
      </w:r>
      <w:r>
        <w:rPr>
          <w:rFonts w:hint="eastAsia" w:eastAsia="宋体" w:cs="Times New Roman"/>
          <w:color w:val="auto"/>
          <w:sz w:val="24"/>
          <w:szCs w:val="24"/>
          <w:highlight w:val="none"/>
          <w:u w:val="none"/>
          <w:lang w:val="en-US" w:eastAsia="zh-CN"/>
        </w:rPr>
        <w:t>专用烟道</w:t>
      </w:r>
      <w:r>
        <w:rPr>
          <w:rFonts w:hint="default" w:ascii="Times New Roman" w:hAnsi="Times New Roman" w:eastAsia="宋体" w:cs="Times New Roman"/>
          <w:color w:val="auto"/>
          <w:sz w:val="24"/>
          <w:szCs w:val="24"/>
          <w:highlight w:val="none"/>
          <w:u w:val="none"/>
        </w:rPr>
        <w:t>排放</w:t>
      </w:r>
      <w:r>
        <w:rPr>
          <w:rFonts w:hint="default" w:ascii="Times New Roman" w:hAnsi="Times New Roman" w:eastAsia="宋体" w:cs="Times New Roman"/>
          <w:color w:val="auto"/>
          <w:sz w:val="24"/>
          <w:szCs w:val="24"/>
          <w:highlight w:val="none"/>
          <w:u w:val="none"/>
          <w:lang w:val="en-US" w:eastAsia="zh-CN"/>
        </w:rPr>
        <w:t>（DA007）</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油烟与非甲烷总烃排放浓度分别为0.</w:t>
      </w:r>
      <w:r>
        <w:rPr>
          <w:rFonts w:hint="eastAsia" w:eastAsia="宋体" w:cs="Times New Roman"/>
          <w:color w:val="auto"/>
          <w:sz w:val="24"/>
          <w:szCs w:val="24"/>
          <w:highlight w:val="none"/>
          <w:u w:val="none"/>
          <w:lang w:val="en-US" w:eastAsia="zh-CN"/>
        </w:rPr>
        <w:t>79</w:t>
      </w:r>
      <w:r>
        <w:rPr>
          <w:rFonts w:hint="default" w:ascii="Times New Roman" w:hAnsi="Times New Roman" w:eastAsia="宋体" w:cs="Times New Roman"/>
          <w:color w:val="auto"/>
          <w:sz w:val="24"/>
          <w:szCs w:val="24"/>
          <w:highlight w:val="none"/>
          <w:u w:val="none"/>
          <w:lang w:val="en-US" w:eastAsia="zh-CN"/>
        </w:rPr>
        <w:t>mg/m</w:t>
      </w:r>
      <w:r>
        <w:rPr>
          <w:rFonts w:hint="default" w:ascii="Times New Roman" w:hAnsi="Times New Roman" w:eastAsia="宋体" w:cs="Times New Roman"/>
          <w:color w:val="auto"/>
          <w:sz w:val="24"/>
          <w:szCs w:val="24"/>
          <w:highlight w:val="none"/>
          <w:u w:val="none"/>
          <w:vertAlign w:val="superscript"/>
          <w:lang w:val="en-US" w:eastAsia="zh-CN"/>
        </w:rPr>
        <w:t>3</w:t>
      </w:r>
      <w:r>
        <w:rPr>
          <w:rFonts w:hint="default" w:ascii="Times New Roman" w:hAnsi="Times New Roman" w:eastAsia="宋体" w:cs="Times New Roman"/>
          <w:color w:val="auto"/>
          <w:sz w:val="24"/>
          <w:szCs w:val="24"/>
          <w:highlight w:val="none"/>
          <w:u w:val="none"/>
          <w:lang w:val="en-US" w:eastAsia="zh-CN"/>
        </w:rPr>
        <w:t>、</w:t>
      </w:r>
      <w:r>
        <w:rPr>
          <w:rFonts w:hint="eastAsia" w:eastAsia="宋体" w:cs="Times New Roman"/>
          <w:color w:val="auto"/>
          <w:sz w:val="24"/>
          <w:szCs w:val="24"/>
          <w:highlight w:val="none"/>
          <w:u w:val="none"/>
          <w:lang w:val="en-US" w:eastAsia="zh-CN"/>
        </w:rPr>
        <w:t>4.73</w:t>
      </w:r>
      <w:r>
        <w:rPr>
          <w:rFonts w:hint="default" w:ascii="Times New Roman" w:hAnsi="Times New Roman" w:eastAsia="宋体" w:cs="Times New Roman"/>
          <w:color w:val="auto"/>
          <w:sz w:val="24"/>
          <w:szCs w:val="24"/>
          <w:highlight w:val="none"/>
          <w:u w:val="none"/>
          <w:lang w:val="en-US" w:eastAsia="zh-CN"/>
        </w:rPr>
        <w:t>mg/m</w:t>
      </w:r>
      <w:r>
        <w:rPr>
          <w:rFonts w:hint="default" w:ascii="Times New Roman" w:hAnsi="Times New Roman" w:eastAsia="宋体" w:cs="Times New Roman"/>
          <w:color w:val="auto"/>
          <w:sz w:val="24"/>
          <w:szCs w:val="24"/>
          <w:highlight w:val="none"/>
          <w:u w:val="none"/>
          <w:vertAlign w:val="superscript"/>
          <w:lang w:val="en-US" w:eastAsia="zh-CN"/>
        </w:rPr>
        <w:t>3</w:t>
      </w:r>
      <w:r>
        <w:rPr>
          <w:rFonts w:hint="default" w:ascii="Times New Roman" w:hAnsi="Times New Roman" w:eastAsia="宋体" w:cs="Times New Roman"/>
          <w:color w:val="auto"/>
          <w:sz w:val="24"/>
          <w:szCs w:val="24"/>
          <w:highlight w:val="none"/>
          <w:u w:val="none"/>
          <w:lang w:val="en-US" w:eastAsia="zh-CN"/>
        </w:rPr>
        <w:t>，可满足《餐饮业油烟污染物排放标准》（DB41/1604-2018）对于中型食堂的标准要求。</w:t>
      </w:r>
    </w:p>
    <w:p>
      <w:pPr>
        <w:pStyle w:val="4"/>
        <w:bidi w:val="0"/>
        <w:rPr>
          <w:rFonts w:hint="default"/>
          <w:color w:val="auto"/>
          <w:highlight w:val="none"/>
          <w:u w:val="none"/>
          <w:lang w:val="en-US" w:eastAsia="zh-CN"/>
        </w:rPr>
      </w:pPr>
      <w:bookmarkStart w:id="358" w:name="_Toc19122"/>
      <w:bookmarkStart w:id="359" w:name="_Toc20015"/>
      <w:bookmarkStart w:id="360" w:name="_Toc21589"/>
      <w:bookmarkStart w:id="361" w:name="_Toc25556"/>
      <w:bookmarkStart w:id="362" w:name="_Toc4416"/>
      <w:r>
        <w:rPr>
          <w:rFonts w:hint="default"/>
          <w:color w:val="auto"/>
          <w:highlight w:val="none"/>
          <w:u w:val="none"/>
          <w:lang w:val="en-US" w:eastAsia="zh-CN"/>
        </w:rPr>
        <w:t>废水</w:t>
      </w:r>
      <w:bookmarkEnd w:id="358"/>
      <w:bookmarkEnd w:id="359"/>
      <w:bookmarkEnd w:id="360"/>
      <w:bookmarkEnd w:id="361"/>
      <w:bookmarkEnd w:id="362"/>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项目</w:t>
      </w:r>
      <w:r>
        <w:rPr>
          <w:rFonts w:hint="eastAsia" w:eastAsia="宋体" w:cs="Times New Roman"/>
          <w:color w:val="auto"/>
          <w:sz w:val="24"/>
          <w:szCs w:val="24"/>
          <w:highlight w:val="none"/>
          <w:u w:val="none"/>
          <w:lang w:val="en-US" w:eastAsia="zh-CN"/>
        </w:rPr>
        <w:t>工艺废水经蒸馏除AOX后，与废气喷淋废水混合并调pH后一同进入MVR进行蒸发除盐；设备清洗废水、地面清洗废水、真空泵排水、储罐冷却水、循环冷却水排污水、办公生活与化验室废水、初期雨水与MVR出水经原水缓存池降温后一同进入污水站经“调节池+铁碳微电解池+沉淀池+调节池+水解酸化池+沉淀池+UASB+三级A/O+臭氧氧化+沉淀池”工艺处理后，与纯水制备废水一同经总排口排入柘城县第二污水处理厂进一步处理，最终进入惠济河</w:t>
      </w:r>
      <w:r>
        <w:rPr>
          <w:rFonts w:hint="default" w:ascii="Times New Roman" w:hAnsi="Times New Roman" w:eastAsia="宋体" w:cs="Times New Roman"/>
          <w:color w:val="auto"/>
          <w:sz w:val="24"/>
          <w:szCs w:val="24"/>
          <w:highlight w:val="none"/>
          <w:u w:val="none"/>
          <w:lang w:val="en-US" w:eastAsia="zh-CN"/>
        </w:rPr>
        <w:t>。本次工程建成后厂区总排口水质</w:t>
      </w:r>
      <w:r>
        <w:rPr>
          <w:rFonts w:hint="default" w:ascii="Times New Roman" w:hAnsi="Times New Roman" w:cs="Times New Roman"/>
          <w:color w:val="auto"/>
          <w:szCs w:val="24"/>
          <w:highlight w:val="none"/>
          <w:u w:val="none"/>
          <w:lang w:val="en-US" w:eastAsia="zh-CN"/>
        </w:rPr>
        <w:t>COD</w:t>
      </w:r>
      <w:r>
        <w:rPr>
          <w:rFonts w:hint="eastAsia" w:cs="Times New Roman"/>
          <w:color w:val="auto"/>
          <w:szCs w:val="24"/>
          <w:highlight w:val="none"/>
          <w:u w:val="none"/>
          <w:lang w:val="en-US" w:eastAsia="zh-CN"/>
        </w:rPr>
        <w:t>107.0</w:t>
      </w:r>
      <w:r>
        <w:rPr>
          <w:rFonts w:hint="default" w:ascii="Times New Roman" w:hAnsi="Times New Roman" w:cs="Times New Roman"/>
          <w:color w:val="auto"/>
          <w:szCs w:val="24"/>
          <w:highlight w:val="none"/>
          <w:u w:val="none"/>
          <w:lang w:val="en-US" w:eastAsia="zh-CN"/>
        </w:rPr>
        <w:t>mg/L、BOD</w:t>
      </w:r>
      <w:r>
        <w:rPr>
          <w:rFonts w:hint="default" w:ascii="Times New Roman" w:hAnsi="Times New Roman" w:cs="Times New Roman"/>
          <w:color w:val="auto"/>
          <w:szCs w:val="24"/>
          <w:highlight w:val="none"/>
          <w:u w:val="none"/>
          <w:vertAlign w:val="subscript"/>
          <w:lang w:val="en-US" w:eastAsia="zh-CN"/>
        </w:rPr>
        <w:t>5</w:t>
      </w:r>
      <w:r>
        <w:rPr>
          <w:rFonts w:hint="eastAsia" w:cs="Times New Roman"/>
          <w:color w:val="auto"/>
          <w:szCs w:val="24"/>
          <w:highlight w:val="none"/>
          <w:u w:val="none"/>
          <w:lang w:val="en-US" w:eastAsia="zh-CN"/>
        </w:rPr>
        <w:t xml:space="preserve">31.6 </w:t>
      </w:r>
      <w:r>
        <w:rPr>
          <w:rFonts w:hint="default" w:ascii="Times New Roman" w:hAnsi="Times New Roman" w:cs="Times New Roman"/>
          <w:color w:val="auto"/>
          <w:szCs w:val="24"/>
          <w:highlight w:val="none"/>
          <w:u w:val="none"/>
          <w:lang w:val="en-US" w:eastAsia="zh-CN"/>
        </w:rPr>
        <w:t>mg/L、SS</w:t>
      </w:r>
      <w:r>
        <w:rPr>
          <w:rFonts w:hint="eastAsia" w:cs="Times New Roman"/>
          <w:color w:val="auto"/>
          <w:szCs w:val="24"/>
          <w:highlight w:val="none"/>
          <w:u w:val="none"/>
          <w:lang w:val="en-US" w:eastAsia="zh-CN"/>
        </w:rPr>
        <w:t xml:space="preserve">29.9 </w:t>
      </w:r>
      <w:r>
        <w:rPr>
          <w:rFonts w:hint="default" w:ascii="Times New Roman" w:hAnsi="Times New Roman" w:cs="Times New Roman"/>
          <w:color w:val="auto"/>
          <w:szCs w:val="24"/>
          <w:highlight w:val="none"/>
          <w:u w:val="none"/>
          <w:lang w:val="en-US" w:eastAsia="zh-CN"/>
        </w:rPr>
        <w:t>mg/L、NH</w:t>
      </w:r>
      <w:r>
        <w:rPr>
          <w:rFonts w:hint="default" w:ascii="Times New Roman" w:hAnsi="Times New Roman" w:cs="Times New Roman"/>
          <w:color w:val="auto"/>
          <w:szCs w:val="24"/>
          <w:highlight w:val="none"/>
          <w:u w:val="none"/>
          <w:vertAlign w:val="subscript"/>
          <w:lang w:val="en-US" w:eastAsia="zh-CN"/>
        </w:rPr>
        <w:t>3</w:t>
      </w:r>
      <w:r>
        <w:rPr>
          <w:rFonts w:hint="default" w:ascii="Times New Roman" w:hAnsi="Times New Roman" w:cs="Times New Roman"/>
          <w:color w:val="auto"/>
          <w:szCs w:val="24"/>
          <w:highlight w:val="none"/>
          <w:u w:val="none"/>
          <w:lang w:val="en-US" w:eastAsia="zh-CN"/>
        </w:rPr>
        <w:t>-N</w:t>
      </w:r>
      <w:r>
        <w:rPr>
          <w:rFonts w:hint="eastAsia" w:cs="Times New Roman"/>
          <w:color w:val="auto"/>
          <w:szCs w:val="24"/>
          <w:highlight w:val="none"/>
          <w:u w:val="none"/>
          <w:lang w:val="en-US" w:eastAsia="zh-CN"/>
        </w:rPr>
        <w:t>6.7</w:t>
      </w:r>
      <w:r>
        <w:rPr>
          <w:rFonts w:hint="default" w:ascii="Times New Roman" w:hAnsi="Times New Roman" w:cs="Times New Roman"/>
          <w:color w:val="auto"/>
          <w:szCs w:val="24"/>
          <w:highlight w:val="none"/>
          <w:u w:val="none"/>
          <w:lang w:val="en-US" w:eastAsia="zh-CN"/>
        </w:rPr>
        <w:t>mg/L</w:t>
      </w:r>
      <w:r>
        <w:rPr>
          <w:rFonts w:hint="default" w:ascii="Times New Roman" w:hAnsi="Times New Roman" w:eastAsia="宋体" w:cs="Times New Roman"/>
          <w:color w:val="auto"/>
          <w:sz w:val="24"/>
          <w:szCs w:val="24"/>
          <w:highlight w:val="none"/>
          <w:u w:val="none"/>
          <w:lang w:val="en-US" w:eastAsia="zh-CN"/>
        </w:rPr>
        <w:t>、</w:t>
      </w:r>
      <w:r>
        <w:rPr>
          <w:rFonts w:hint="eastAsia" w:eastAsia="宋体" w:cs="Times New Roman"/>
          <w:color w:val="auto"/>
          <w:sz w:val="24"/>
          <w:szCs w:val="24"/>
          <w:highlight w:val="none"/>
          <w:u w:val="none"/>
          <w:lang w:val="en-US" w:eastAsia="zh-CN"/>
        </w:rPr>
        <w:t>二氯甲烷</w:t>
      </w:r>
      <w:r>
        <w:rPr>
          <w:rFonts w:hint="default" w:ascii="Times New Roman" w:hAnsi="Times New Roman" w:eastAsia="宋体" w:cs="Times New Roman"/>
          <w:color w:val="auto"/>
          <w:sz w:val="24"/>
          <w:szCs w:val="24"/>
          <w:highlight w:val="none"/>
          <w:u w:val="none"/>
          <w:lang w:val="en-US" w:eastAsia="zh-CN"/>
        </w:rPr>
        <w:t>0.00</w:t>
      </w:r>
      <w:r>
        <w:rPr>
          <w:rFonts w:hint="eastAsia" w:eastAsia="宋体" w:cs="Times New Roman"/>
          <w:color w:val="auto"/>
          <w:sz w:val="24"/>
          <w:szCs w:val="24"/>
          <w:highlight w:val="none"/>
          <w:u w:val="none"/>
          <w:lang w:val="en-US" w:eastAsia="zh-CN"/>
        </w:rPr>
        <w:t>75</w:t>
      </w:r>
      <w:r>
        <w:rPr>
          <w:rFonts w:hint="default" w:ascii="Times New Roman" w:hAnsi="Times New Roman" w:eastAsia="宋体" w:cs="Times New Roman"/>
          <w:color w:val="auto"/>
          <w:sz w:val="24"/>
          <w:szCs w:val="24"/>
          <w:highlight w:val="none"/>
          <w:u w:val="none"/>
          <w:lang w:val="en-US" w:eastAsia="zh-CN"/>
        </w:rPr>
        <w:t>mg/L，污水排放满足《化学合成类制药工业水污染物间接排放标准》（DB 41/756—2012）与柘城县第二污水处理厂设计收水指标要求。</w:t>
      </w:r>
    </w:p>
    <w:p>
      <w:pPr>
        <w:pStyle w:val="4"/>
        <w:bidi w:val="0"/>
        <w:rPr>
          <w:rFonts w:hint="default"/>
          <w:color w:val="auto"/>
          <w:highlight w:val="none"/>
          <w:u w:val="none"/>
          <w:lang w:val="en-US" w:eastAsia="zh-CN"/>
        </w:rPr>
      </w:pPr>
      <w:bookmarkStart w:id="363" w:name="_Toc17805"/>
      <w:bookmarkStart w:id="364" w:name="_Toc1734"/>
      <w:bookmarkStart w:id="365" w:name="_Toc2153"/>
      <w:bookmarkStart w:id="366" w:name="_Toc18874"/>
      <w:bookmarkStart w:id="367" w:name="_Toc25695"/>
      <w:r>
        <w:rPr>
          <w:rFonts w:hint="default"/>
          <w:color w:val="auto"/>
          <w:highlight w:val="none"/>
          <w:u w:val="none"/>
          <w:lang w:val="en-US" w:eastAsia="zh-CN"/>
        </w:rPr>
        <w:t>噪声</w:t>
      </w:r>
      <w:bookmarkEnd w:id="363"/>
      <w:bookmarkEnd w:id="364"/>
      <w:bookmarkEnd w:id="365"/>
      <w:bookmarkEnd w:id="366"/>
      <w:bookmarkEnd w:id="367"/>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rPr>
        <w:t>厂区噪声主要来源于各生产车间机械设备</w:t>
      </w:r>
      <w:r>
        <w:rPr>
          <w:rFonts w:hint="eastAsia" w:eastAsia="宋体" w:cs="Times New Roman"/>
          <w:color w:val="auto"/>
          <w:sz w:val="24"/>
          <w:szCs w:val="24"/>
          <w:highlight w:val="none"/>
          <w:u w:val="none"/>
          <w:lang w:eastAsia="zh-CN"/>
        </w:rPr>
        <w:t>、</w:t>
      </w:r>
      <w:r>
        <w:rPr>
          <w:rFonts w:hint="eastAsia" w:eastAsia="宋体" w:cs="Times New Roman"/>
          <w:color w:val="auto"/>
          <w:sz w:val="24"/>
          <w:szCs w:val="24"/>
          <w:highlight w:val="none"/>
          <w:u w:val="none"/>
          <w:lang w:val="en-US" w:eastAsia="zh-CN"/>
        </w:rPr>
        <w:t>各类泵</w:t>
      </w:r>
      <w:r>
        <w:rPr>
          <w:rFonts w:hint="default" w:ascii="Times New Roman" w:hAnsi="Times New Roman" w:eastAsia="宋体" w:cs="Times New Roman"/>
          <w:color w:val="auto"/>
          <w:sz w:val="24"/>
          <w:szCs w:val="24"/>
          <w:highlight w:val="none"/>
          <w:u w:val="none"/>
        </w:rPr>
        <w:t>和</w:t>
      </w:r>
      <w:r>
        <w:rPr>
          <w:rFonts w:hint="default" w:ascii="Times New Roman" w:hAnsi="Times New Roman" w:eastAsia="宋体" w:cs="Times New Roman"/>
          <w:color w:val="auto"/>
          <w:sz w:val="24"/>
          <w:szCs w:val="24"/>
          <w:highlight w:val="none"/>
          <w:u w:val="none"/>
          <w:lang w:val="en-US" w:eastAsia="zh-CN"/>
        </w:rPr>
        <w:t>废气处理风机</w:t>
      </w:r>
      <w:r>
        <w:rPr>
          <w:rFonts w:hint="default" w:ascii="Times New Roman" w:hAnsi="Times New Roman" w:eastAsia="宋体" w:cs="Times New Roman"/>
          <w:color w:val="auto"/>
          <w:sz w:val="24"/>
          <w:szCs w:val="24"/>
          <w:highlight w:val="none"/>
          <w:u w:val="none"/>
        </w:rPr>
        <w:t>产生的噪声。首先是尽量选用低噪声设备，其次采用消声、隔声、减震等措施</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经以上措施后厂界噪声可达标，</w:t>
      </w:r>
      <w:r>
        <w:rPr>
          <w:rFonts w:hint="default" w:ascii="Times New Roman" w:hAnsi="Times New Roman" w:eastAsia="宋体" w:cs="Times New Roman"/>
          <w:color w:val="auto"/>
          <w:sz w:val="24"/>
          <w:szCs w:val="24"/>
          <w:highlight w:val="none"/>
          <w:u w:val="none"/>
        </w:rPr>
        <w:t>噪声对周边环境影响较小。</w:t>
      </w:r>
    </w:p>
    <w:p>
      <w:pPr>
        <w:pStyle w:val="4"/>
        <w:bidi w:val="0"/>
        <w:rPr>
          <w:rFonts w:hint="default"/>
          <w:color w:val="auto"/>
          <w:highlight w:val="none"/>
          <w:u w:val="none"/>
          <w:lang w:val="en-US" w:eastAsia="zh-CN"/>
        </w:rPr>
      </w:pPr>
      <w:bookmarkStart w:id="368" w:name="_Toc9153"/>
      <w:bookmarkStart w:id="369" w:name="_Toc10272"/>
      <w:bookmarkStart w:id="370" w:name="_Toc6154"/>
      <w:bookmarkStart w:id="371" w:name="_Toc7444"/>
      <w:bookmarkStart w:id="372" w:name="_Toc23886"/>
      <w:r>
        <w:rPr>
          <w:rFonts w:hint="default"/>
          <w:color w:val="auto"/>
          <w:highlight w:val="none"/>
          <w:u w:val="none"/>
          <w:lang w:val="en-US" w:eastAsia="zh-CN"/>
        </w:rPr>
        <w:t>固体废物</w:t>
      </w:r>
      <w:bookmarkEnd w:id="368"/>
      <w:bookmarkEnd w:id="369"/>
      <w:bookmarkEnd w:id="370"/>
      <w:bookmarkEnd w:id="371"/>
      <w:bookmarkEnd w:id="372"/>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bookmarkStart w:id="373" w:name="_Toc3267"/>
      <w:bookmarkStart w:id="374" w:name="_Toc13279"/>
      <w:bookmarkStart w:id="375" w:name="_Toc17632"/>
      <w:bookmarkStart w:id="376" w:name="_Toc18772"/>
      <w:bookmarkStart w:id="377" w:name="_Toc8159"/>
      <w:bookmarkStart w:id="378" w:name="_Toc6291"/>
      <w:bookmarkStart w:id="379" w:name="_Toc2163"/>
      <w:bookmarkStart w:id="380" w:name="_Toc3285"/>
      <w:r>
        <w:rPr>
          <w:rFonts w:hint="eastAsia" w:eastAsia="宋体" w:cs="Times New Roman"/>
          <w:color w:val="auto"/>
          <w:sz w:val="24"/>
          <w:szCs w:val="24"/>
          <w:highlight w:val="none"/>
          <w:u w:val="none"/>
          <w:lang w:val="en-US" w:eastAsia="zh-CN"/>
        </w:rPr>
        <w:t>改建</w:t>
      </w:r>
      <w:r>
        <w:rPr>
          <w:rFonts w:hint="default" w:ascii="Times New Roman" w:hAnsi="Times New Roman" w:eastAsia="宋体" w:cs="Times New Roman"/>
          <w:color w:val="auto"/>
          <w:sz w:val="24"/>
          <w:szCs w:val="24"/>
          <w:highlight w:val="none"/>
          <w:u w:val="none"/>
          <w:lang w:val="en-US" w:eastAsia="zh-CN"/>
        </w:rPr>
        <w:t>工程一般固废主要</w:t>
      </w:r>
      <w:r>
        <w:rPr>
          <w:rFonts w:hint="eastAsia" w:eastAsia="宋体" w:cs="Times New Roman"/>
          <w:color w:val="auto"/>
          <w:sz w:val="24"/>
          <w:szCs w:val="24"/>
          <w:highlight w:val="none"/>
          <w:u w:val="none"/>
          <w:lang w:val="en-US" w:eastAsia="zh-CN"/>
        </w:rPr>
        <w:t>包括</w:t>
      </w:r>
      <w:r>
        <w:rPr>
          <w:rFonts w:hint="default" w:ascii="Times New Roman" w:hAnsi="Times New Roman" w:eastAsia="宋体" w:cs="Times New Roman"/>
          <w:color w:val="auto"/>
          <w:sz w:val="24"/>
          <w:szCs w:val="24"/>
          <w:highlight w:val="none"/>
          <w:u w:val="none"/>
          <w:lang w:val="en-US" w:eastAsia="zh-CN"/>
        </w:rPr>
        <w:t>一般原料包装</w:t>
      </w:r>
      <w:r>
        <w:rPr>
          <w:rFonts w:hint="eastAsia" w:eastAsia="宋体" w:cs="Times New Roman"/>
          <w:color w:val="auto"/>
          <w:sz w:val="24"/>
          <w:szCs w:val="24"/>
          <w:highlight w:val="none"/>
          <w:u w:val="none"/>
          <w:lang w:val="en-US" w:eastAsia="zh-CN"/>
        </w:rPr>
        <w:t>材料</w:t>
      </w:r>
      <w:r>
        <w:rPr>
          <w:rFonts w:hint="default" w:ascii="Times New Roman" w:hAnsi="Times New Roman" w:eastAsia="宋体" w:cs="Times New Roman"/>
          <w:color w:val="auto"/>
          <w:sz w:val="24"/>
          <w:szCs w:val="24"/>
          <w:highlight w:val="none"/>
          <w:u w:val="none"/>
          <w:lang w:val="en-US" w:eastAsia="zh-CN"/>
        </w:rPr>
        <w:t>、生活垃圾、纯水制备废石英砂、废活性炭、废滤芯、废水生化污泥。</w:t>
      </w:r>
      <w:r>
        <w:rPr>
          <w:rFonts w:hint="eastAsia" w:eastAsia="宋体" w:cs="Times New Roman"/>
          <w:color w:val="auto"/>
          <w:sz w:val="24"/>
          <w:szCs w:val="24"/>
          <w:highlight w:val="none"/>
          <w:u w:val="none"/>
          <w:lang w:val="en-US" w:eastAsia="zh-CN"/>
        </w:rPr>
        <w:t>其中，制水固废由厂家定期更换新滤材、回收旧滤材，一般原料包装袋暂存于一般固废间，交原料厂家或外售，生活垃圾与生化污泥交市政部门送垃圾发电厂处置。</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eastAsia="宋体" w:cs="Times New Roman"/>
          <w:color w:val="auto"/>
          <w:sz w:val="24"/>
          <w:szCs w:val="24"/>
          <w:highlight w:val="none"/>
          <w:u w:val="none"/>
          <w:lang w:val="en-US" w:eastAsia="zh-CN"/>
        </w:rPr>
        <w:t>改建</w:t>
      </w:r>
      <w:r>
        <w:rPr>
          <w:rFonts w:hint="default" w:ascii="Times New Roman" w:hAnsi="Times New Roman" w:eastAsia="宋体" w:cs="Times New Roman"/>
          <w:color w:val="auto"/>
          <w:sz w:val="24"/>
          <w:szCs w:val="24"/>
          <w:highlight w:val="none"/>
          <w:u w:val="none"/>
          <w:lang w:val="en-US" w:eastAsia="zh-CN"/>
        </w:rPr>
        <w:t>工程危险废物包括有毒</w:t>
      </w:r>
      <w:r>
        <w:rPr>
          <w:rFonts w:hint="eastAsia" w:eastAsia="宋体" w:cs="Times New Roman"/>
          <w:color w:val="auto"/>
          <w:sz w:val="24"/>
          <w:szCs w:val="24"/>
          <w:highlight w:val="none"/>
          <w:u w:val="none"/>
          <w:lang w:val="en-US" w:eastAsia="zh-CN"/>
        </w:rPr>
        <w:t>有害</w:t>
      </w:r>
      <w:r>
        <w:rPr>
          <w:rFonts w:hint="default" w:ascii="Times New Roman" w:hAnsi="Times New Roman" w:eastAsia="宋体" w:cs="Times New Roman"/>
          <w:color w:val="auto"/>
          <w:sz w:val="24"/>
          <w:szCs w:val="24"/>
          <w:highlight w:val="none"/>
          <w:u w:val="none"/>
          <w:lang w:val="en-US" w:eastAsia="zh-CN"/>
        </w:rPr>
        <w:t>包装材料、母液蒸馏残液（渣）、过滤残渣、废吸附介质</w:t>
      </w:r>
      <w:r>
        <w:rPr>
          <w:rFonts w:hint="eastAsia" w:eastAsia="宋体" w:cs="Times New Roman"/>
          <w:color w:val="auto"/>
          <w:sz w:val="24"/>
          <w:szCs w:val="24"/>
          <w:highlight w:val="none"/>
          <w:u w:val="none"/>
          <w:lang w:val="en-US" w:eastAsia="zh-CN"/>
        </w:rPr>
        <w:t>（吸附干燥固废、废活性炭）</w:t>
      </w:r>
      <w:r>
        <w:rPr>
          <w:rFonts w:hint="default" w:ascii="Times New Roman" w:hAnsi="Times New Roman" w:eastAsia="宋体" w:cs="Times New Roman"/>
          <w:color w:val="auto"/>
          <w:sz w:val="24"/>
          <w:szCs w:val="24"/>
          <w:highlight w:val="none"/>
          <w:u w:val="none"/>
          <w:lang w:val="en-US" w:eastAsia="zh-CN"/>
        </w:rPr>
        <w:t>、废矿物油等。</w:t>
      </w:r>
      <w:r>
        <w:rPr>
          <w:rFonts w:hint="eastAsia" w:eastAsia="宋体" w:cs="Times New Roman"/>
          <w:color w:val="auto"/>
          <w:sz w:val="24"/>
          <w:szCs w:val="24"/>
          <w:highlight w:val="none"/>
          <w:u w:val="none"/>
          <w:lang w:val="en-US" w:eastAsia="zh-CN"/>
        </w:rPr>
        <w:t>母液蒸馏残液（渣）、废活性炭、物化污泥、废矿物油、包装收尘进危废焚烧炉焚烧处置；有毒有害包装材料、过滤残渣、吸附干燥固废、废催化剂、危废焚烧炉渣与飞灰、废气处理废消石灰与活性炭、MVR污盐及废盐分离母液暂存于危废间，定期交资质单位处置。</w:t>
      </w:r>
    </w:p>
    <w:p>
      <w:pPr>
        <w:pStyle w:val="3"/>
        <w:bidi w:val="0"/>
        <w:rPr>
          <w:rFonts w:hint="default"/>
          <w:color w:val="auto"/>
          <w:highlight w:val="none"/>
          <w:u w:val="none"/>
          <w:lang w:val="en-US" w:eastAsia="zh-CN"/>
        </w:rPr>
      </w:pPr>
      <w:bookmarkStart w:id="381" w:name="_Toc9681"/>
      <w:bookmarkStart w:id="382" w:name="_Toc13400"/>
      <w:bookmarkStart w:id="383" w:name="_Toc15839"/>
      <w:bookmarkStart w:id="384" w:name="_Toc7142"/>
      <w:bookmarkStart w:id="385" w:name="_Toc14025"/>
      <w:r>
        <w:rPr>
          <w:rFonts w:hint="default"/>
          <w:color w:val="auto"/>
          <w:highlight w:val="none"/>
          <w:u w:val="none"/>
          <w:lang w:val="en-US" w:eastAsia="zh-CN"/>
        </w:rPr>
        <w:t>环境影响预测结论</w:t>
      </w:r>
      <w:bookmarkEnd w:id="373"/>
      <w:bookmarkEnd w:id="374"/>
      <w:bookmarkEnd w:id="375"/>
      <w:bookmarkEnd w:id="376"/>
      <w:bookmarkEnd w:id="377"/>
      <w:bookmarkEnd w:id="378"/>
      <w:bookmarkEnd w:id="379"/>
      <w:bookmarkEnd w:id="380"/>
      <w:bookmarkEnd w:id="381"/>
      <w:bookmarkEnd w:id="382"/>
      <w:bookmarkEnd w:id="383"/>
      <w:bookmarkEnd w:id="384"/>
      <w:bookmarkEnd w:id="385"/>
    </w:p>
    <w:p>
      <w:pPr>
        <w:pStyle w:val="4"/>
        <w:bidi w:val="0"/>
        <w:rPr>
          <w:rFonts w:hint="default"/>
          <w:color w:val="auto"/>
          <w:highlight w:val="none"/>
          <w:u w:val="none"/>
          <w:lang w:val="en-US" w:eastAsia="zh-CN"/>
        </w:rPr>
      </w:pPr>
      <w:bookmarkStart w:id="386" w:name="_Toc19439"/>
      <w:bookmarkStart w:id="387" w:name="_Toc13948"/>
      <w:bookmarkStart w:id="388" w:name="_Toc30256"/>
      <w:bookmarkStart w:id="389" w:name="_Toc2712"/>
      <w:bookmarkStart w:id="390" w:name="_Toc16531"/>
      <w:r>
        <w:rPr>
          <w:rFonts w:hint="default"/>
          <w:color w:val="auto"/>
          <w:highlight w:val="none"/>
          <w:u w:val="none"/>
          <w:lang w:val="en-US" w:eastAsia="zh-CN"/>
        </w:rPr>
        <w:t>环境空气</w:t>
      </w:r>
      <w:bookmarkEnd w:id="386"/>
      <w:bookmarkEnd w:id="387"/>
      <w:bookmarkEnd w:id="388"/>
      <w:bookmarkEnd w:id="389"/>
      <w:bookmarkEnd w:id="390"/>
    </w:p>
    <w:p>
      <w:pPr>
        <w:keepNext w:val="0"/>
        <w:keepLines w:val="0"/>
        <w:widowControl/>
        <w:suppressLineNumbers w:val="0"/>
        <w:adjustRightInd w:val="0"/>
        <w:snapToGrid w:val="0"/>
        <w:spacing w:line="480" w:lineRule="exact"/>
        <w:ind w:firstLine="480" w:firstLineChars="200"/>
        <w:jc w:val="left"/>
        <w:rPr>
          <w:rFonts w:hint="default" w:ascii="Times New Roman" w:hAnsi="Times New Roman" w:eastAsia="宋体" w:cs="Times New Roman"/>
          <w:color w:val="auto"/>
          <w:sz w:val="24"/>
          <w:szCs w:val="24"/>
          <w:highlight w:val="none"/>
          <w:u w:val="none"/>
        </w:rPr>
      </w:pPr>
      <w:r>
        <w:rPr>
          <w:rFonts w:hint="eastAsia" w:eastAsia="宋体" w:cs="Times New Roman"/>
          <w:color w:val="auto"/>
          <w:kern w:val="0"/>
          <w:sz w:val="24"/>
          <w:szCs w:val="24"/>
          <w:highlight w:val="none"/>
          <w:u w:val="none"/>
          <w:lang w:val="en-US" w:eastAsia="zh-CN" w:bidi="ar"/>
        </w:rPr>
        <w:t>柘城县</w:t>
      </w:r>
      <w:r>
        <w:rPr>
          <w:rFonts w:hint="default" w:ascii="Times New Roman" w:hAnsi="Times New Roman" w:eastAsia="宋体" w:cs="Times New Roman"/>
          <w:color w:val="auto"/>
          <w:kern w:val="0"/>
          <w:sz w:val="24"/>
          <w:szCs w:val="24"/>
          <w:highlight w:val="none"/>
          <w:u w:val="none"/>
          <w:lang w:val="en-US" w:eastAsia="zh-CN" w:bidi="ar"/>
        </w:rPr>
        <w:t>属于环境空气质量非达标区，评价采用导则推荐估算模式计算本项目大气环境影响评价等级为一级。</w:t>
      </w:r>
      <w:r>
        <w:rPr>
          <w:rFonts w:hint="default" w:ascii="Times New Roman" w:hAnsi="Times New Roman" w:eastAsia="宋体" w:cs="Times New Roman"/>
          <w:color w:val="auto"/>
          <w:sz w:val="24"/>
          <w:szCs w:val="24"/>
          <w:highlight w:val="none"/>
          <w:u w:val="none"/>
        </w:rPr>
        <w:t>经</w:t>
      </w:r>
      <w:r>
        <w:rPr>
          <w:rFonts w:hint="default" w:ascii="Times New Roman" w:hAnsi="Times New Roman" w:eastAsia="宋体" w:cs="Times New Roman"/>
          <w:color w:val="auto"/>
          <w:sz w:val="24"/>
          <w:szCs w:val="24"/>
          <w:highlight w:val="none"/>
          <w:u w:val="none"/>
          <w:lang w:val="en-US" w:eastAsia="zh-CN"/>
        </w:rPr>
        <w:t>进一步预测模式AERMOD</w:t>
      </w:r>
      <w:r>
        <w:rPr>
          <w:rFonts w:hint="default" w:ascii="Times New Roman" w:hAnsi="Times New Roman" w:eastAsia="宋体" w:cs="Times New Roman"/>
          <w:color w:val="auto"/>
          <w:sz w:val="24"/>
          <w:szCs w:val="24"/>
          <w:highlight w:val="none"/>
          <w:u w:val="none"/>
        </w:rPr>
        <w:t>预测可知：</w:t>
      </w:r>
    </w:p>
    <w:p>
      <w:pPr>
        <w:keepNext w:val="0"/>
        <w:keepLines w:val="0"/>
        <w:pageBreakBefore w:val="0"/>
        <w:widowControl w:val="0"/>
        <w:kinsoku/>
        <w:wordWrap/>
        <w:overflowPunct/>
        <w:topLinePunct w:val="0"/>
        <w:autoSpaceDE/>
        <w:autoSpaceDN/>
        <w:bidi w:val="0"/>
        <w:adjustRightInd/>
        <w:snapToGrid/>
        <w:spacing w:line="480" w:lineRule="exact"/>
        <w:ind w:right="-94" w:rightChars="-39" w:firstLine="480" w:firstLineChars="200"/>
        <w:textAlignment w:val="auto"/>
        <w:rPr>
          <w:rFonts w:hint="eastAsia" w:eastAsia="宋体" w:cs="Times New Roman"/>
          <w:color w:val="auto"/>
          <w:szCs w:val="20"/>
          <w:highlight w:val="none"/>
          <w:u w:val="none"/>
          <w:lang w:eastAsia="zh-CN"/>
        </w:rPr>
      </w:pPr>
      <w:r>
        <w:rPr>
          <w:rFonts w:hint="eastAsia" w:eastAsia="宋体" w:cs="Times New Roman"/>
          <w:color w:val="auto"/>
          <w:szCs w:val="20"/>
          <w:highlight w:val="none"/>
          <w:u w:val="none"/>
          <w:lang w:eastAsia="zh-CN"/>
        </w:rPr>
        <w:t>（1）本项目正常排放的二氧化硫、氮氧化物小时平均、日平均、年平均浓度贡献值，PM</w:t>
      </w:r>
      <w:r>
        <w:rPr>
          <w:rFonts w:hint="eastAsia" w:eastAsia="宋体" w:cs="Times New Roman"/>
          <w:color w:val="auto"/>
          <w:szCs w:val="20"/>
          <w:highlight w:val="none"/>
          <w:u w:val="none"/>
          <w:vertAlign w:val="subscript"/>
          <w:lang w:eastAsia="zh-CN"/>
        </w:rPr>
        <w:t>10</w:t>
      </w:r>
      <w:r>
        <w:rPr>
          <w:rFonts w:hint="eastAsia" w:eastAsia="宋体" w:cs="Times New Roman"/>
          <w:color w:val="auto"/>
          <w:szCs w:val="20"/>
          <w:highlight w:val="none"/>
          <w:u w:val="none"/>
          <w:lang w:eastAsia="zh-CN"/>
        </w:rPr>
        <w:t>、TSP日平均浓度、年平均浓度贡献值，CO小时平均、日平均浓度贡献值可以达到《环境空气质量标准》（GB3095.4-2012）二级标准限值要求；非甲烷总烃1小时浓度贡献值可以达到《大气污染物综合排放标准详解》标准限值，二噁英类日平均浓度与年平均浓度贡献值可以达到《关于进一步加强生物质发电项目环境影响评价管理工作的通知》（环发[2008]82号）浓度标准要求。氯化氢、甲醇1小时浓度、日平均浓度贡献值，甲苯、甲醛、丙酮、氨、硫化氢小时浓度贡献值可以达到《环境影响评价技术导则 大气环境》（HJ2.2-2018）附录D标准值要求。二氯甲烷、乙腈1小时浓度满足多介质环境目标值估算方法计算值。</w:t>
      </w:r>
    </w:p>
    <w:p>
      <w:pPr>
        <w:keepNext w:val="0"/>
        <w:keepLines w:val="0"/>
        <w:pageBreakBefore w:val="0"/>
        <w:widowControl w:val="0"/>
        <w:kinsoku/>
        <w:wordWrap/>
        <w:overflowPunct/>
        <w:topLinePunct w:val="0"/>
        <w:autoSpaceDE/>
        <w:autoSpaceDN/>
        <w:bidi w:val="0"/>
        <w:adjustRightInd/>
        <w:snapToGrid/>
        <w:spacing w:line="480" w:lineRule="exact"/>
        <w:ind w:right="-94" w:rightChars="-39" w:firstLine="480" w:firstLineChars="200"/>
        <w:textAlignment w:val="auto"/>
        <w:rPr>
          <w:rFonts w:hint="eastAsia" w:eastAsia="宋体" w:cs="Times New Roman"/>
          <w:color w:val="auto"/>
          <w:szCs w:val="20"/>
          <w:highlight w:val="none"/>
          <w:u w:val="none"/>
          <w:lang w:eastAsia="zh-CN"/>
        </w:rPr>
      </w:pPr>
      <w:r>
        <w:rPr>
          <w:rFonts w:hint="eastAsia" w:eastAsia="宋体" w:cs="Times New Roman"/>
          <w:color w:val="auto"/>
          <w:szCs w:val="20"/>
          <w:highlight w:val="none"/>
          <w:u w:val="none"/>
          <w:lang w:eastAsia="zh-CN"/>
        </w:rPr>
        <w:t>（2）对于现状达标的非甲烷总烃、氯化氢、二氧化硫、二氧化氮、丙酮、甲苯、甲醛、氨、硫化氢、二噁英、CO、</w:t>
      </w:r>
      <w:r>
        <w:rPr>
          <w:rFonts w:hint="eastAsia" w:eastAsia="宋体" w:cs="Times New Roman"/>
          <w:color w:val="auto"/>
          <w:szCs w:val="20"/>
          <w:highlight w:val="none"/>
          <w:u w:val="none"/>
          <w:lang w:val="en-US" w:eastAsia="zh-CN"/>
        </w:rPr>
        <w:t>二氯甲烷</w:t>
      </w:r>
      <w:r>
        <w:rPr>
          <w:rFonts w:hint="eastAsia" w:eastAsia="宋体" w:cs="Times New Roman"/>
          <w:color w:val="auto"/>
          <w:szCs w:val="20"/>
          <w:highlight w:val="none"/>
          <w:u w:val="none"/>
          <w:lang w:eastAsia="zh-CN"/>
        </w:rPr>
        <w:t>叠加现状浓度/在建拟建项目污染源/削减以新带老污染源后的环境影响后，预测值和占标率能够满足标准限值及环境功能区划要求。对于现状超标的PM</w:t>
      </w:r>
      <w:r>
        <w:rPr>
          <w:rFonts w:hint="eastAsia" w:eastAsia="宋体" w:cs="Times New Roman"/>
          <w:color w:val="auto"/>
          <w:szCs w:val="20"/>
          <w:highlight w:val="none"/>
          <w:u w:val="none"/>
          <w:vertAlign w:val="subscript"/>
          <w:lang w:eastAsia="zh-CN"/>
        </w:rPr>
        <w:t>10</w:t>
      </w:r>
      <w:r>
        <w:rPr>
          <w:rFonts w:hint="eastAsia" w:eastAsia="宋体" w:cs="Times New Roman"/>
          <w:color w:val="auto"/>
          <w:szCs w:val="20"/>
          <w:highlight w:val="none"/>
          <w:u w:val="none"/>
          <w:lang w:eastAsia="zh-CN"/>
        </w:rPr>
        <w:t>指标，经预测计算后，预测范围内PM</w:t>
      </w:r>
      <w:r>
        <w:rPr>
          <w:rFonts w:hint="eastAsia" w:eastAsia="宋体" w:cs="Times New Roman"/>
          <w:color w:val="auto"/>
          <w:szCs w:val="20"/>
          <w:highlight w:val="none"/>
          <w:u w:val="none"/>
          <w:vertAlign w:val="subscript"/>
          <w:lang w:eastAsia="zh-CN"/>
        </w:rPr>
        <w:t>10</w:t>
      </w:r>
      <w:r>
        <w:rPr>
          <w:rFonts w:hint="eastAsia" w:eastAsia="宋体" w:cs="Times New Roman"/>
          <w:color w:val="auto"/>
          <w:szCs w:val="20"/>
          <w:highlight w:val="none"/>
          <w:u w:val="none"/>
          <w:lang w:eastAsia="zh-CN"/>
        </w:rPr>
        <w:t>年平均质量浓度变化率＜-20%。</w:t>
      </w:r>
    </w:p>
    <w:p>
      <w:pPr>
        <w:keepNext w:val="0"/>
        <w:keepLines w:val="0"/>
        <w:pageBreakBefore w:val="0"/>
        <w:widowControl w:val="0"/>
        <w:kinsoku/>
        <w:wordWrap/>
        <w:overflowPunct/>
        <w:topLinePunct w:val="0"/>
        <w:autoSpaceDE/>
        <w:autoSpaceDN/>
        <w:bidi w:val="0"/>
        <w:adjustRightInd/>
        <w:snapToGrid/>
        <w:spacing w:line="480" w:lineRule="exact"/>
        <w:ind w:right="-94" w:rightChars="-39" w:firstLine="480" w:firstLineChars="200"/>
        <w:textAlignment w:val="auto"/>
        <w:rPr>
          <w:rFonts w:hint="eastAsia" w:eastAsia="宋体" w:cs="Times New Roman"/>
          <w:color w:val="auto"/>
          <w:szCs w:val="20"/>
          <w:highlight w:val="none"/>
          <w:u w:val="none"/>
          <w:lang w:eastAsia="zh-CN"/>
        </w:rPr>
      </w:pPr>
      <w:r>
        <w:rPr>
          <w:rFonts w:hint="eastAsia" w:eastAsia="宋体" w:cs="Times New Roman"/>
          <w:color w:val="auto"/>
          <w:szCs w:val="20"/>
          <w:highlight w:val="none"/>
          <w:u w:val="none"/>
          <w:lang w:eastAsia="zh-CN"/>
        </w:rPr>
        <w:t>（3）非正常工况下，项目排放的SO</w:t>
      </w:r>
      <w:r>
        <w:rPr>
          <w:rFonts w:hint="eastAsia" w:eastAsia="宋体" w:cs="Times New Roman"/>
          <w:color w:val="auto"/>
          <w:szCs w:val="20"/>
          <w:highlight w:val="none"/>
          <w:u w:val="none"/>
          <w:vertAlign w:val="subscript"/>
          <w:lang w:eastAsia="zh-CN"/>
        </w:rPr>
        <w:t>2</w:t>
      </w:r>
      <w:r>
        <w:rPr>
          <w:rFonts w:hint="eastAsia" w:eastAsia="宋体" w:cs="Times New Roman"/>
          <w:color w:val="auto"/>
          <w:szCs w:val="20"/>
          <w:highlight w:val="none"/>
          <w:u w:val="none"/>
          <w:lang w:eastAsia="zh-CN"/>
        </w:rPr>
        <w:t>、NO</w:t>
      </w:r>
      <w:r>
        <w:rPr>
          <w:rFonts w:hint="eastAsia" w:eastAsia="宋体" w:cs="Times New Roman"/>
          <w:color w:val="auto"/>
          <w:szCs w:val="20"/>
          <w:highlight w:val="none"/>
          <w:u w:val="none"/>
          <w:vertAlign w:val="subscript"/>
          <w:lang w:eastAsia="zh-CN"/>
        </w:rPr>
        <w:t>2</w:t>
      </w:r>
      <w:r>
        <w:rPr>
          <w:rFonts w:hint="eastAsia" w:eastAsia="宋体" w:cs="Times New Roman"/>
          <w:color w:val="auto"/>
          <w:szCs w:val="20"/>
          <w:highlight w:val="none"/>
          <w:u w:val="none"/>
          <w:lang w:eastAsia="zh-CN"/>
        </w:rPr>
        <w:t>、氨、硫化氢、非甲烷总烃、二噁英类、丙酮等对敏感点与网格点的环境影响贡献值均满足项目环境质量标准要求，即废气污染物非正常排放对周边环境影响较小。</w:t>
      </w:r>
    </w:p>
    <w:p>
      <w:pPr>
        <w:keepNext w:val="0"/>
        <w:keepLines w:val="0"/>
        <w:pageBreakBefore w:val="0"/>
        <w:widowControl w:val="0"/>
        <w:kinsoku/>
        <w:wordWrap/>
        <w:overflowPunct/>
        <w:topLinePunct w:val="0"/>
        <w:autoSpaceDE/>
        <w:autoSpaceDN/>
        <w:bidi w:val="0"/>
        <w:adjustRightInd/>
        <w:snapToGrid/>
        <w:spacing w:line="480" w:lineRule="exact"/>
        <w:ind w:right="-94" w:rightChars="-39" w:firstLine="480" w:firstLineChars="200"/>
        <w:textAlignment w:val="auto"/>
        <w:rPr>
          <w:rFonts w:hint="eastAsia" w:eastAsia="宋体" w:cs="Times New Roman"/>
          <w:color w:val="auto"/>
          <w:szCs w:val="20"/>
          <w:highlight w:val="none"/>
          <w:u w:val="none"/>
          <w:lang w:eastAsia="zh-CN"/>
        </w:rPr>
      </w:pPr>
      <w:r>
        <w:rPr>
          <w:rFonts w:hint="eastAsia" w:eastAsia="宋体" w:cs="Times New Roman"/>
          <w:color w:val="auto"/>
          <w:szCs w:val="20"/>
          <w:highlight w:val="none"/>
          <w:u w:val="none"/>
          <w:lang w:eastAsia="zh-CN"/>
        </w:rPr>
        <w:t>（4）项目厂界污染物达标排放，厂界外无超标点，不需设置大气防护距离。</w:t>
      </w:r>
    </w:p>
    <w:p>
      <w:pPr>
        <w:keepNext w:val="0"/>
        <w:keepLines w:val="0"/>
        <w:pageBreakBefore w:val="0"/>
        <w:widowControl w:val="0"/>
        <w:kinsoku/>
        <w:wordWrap/>
        <w:overflowPunct/>
        <w:topLinePunct w:val="0"/>
        <w:autoSpaceDE/>
        <w:autoSpaceDN/>
        <w:bidi w:val="0"/>
        <w:adjustRightInd/>
        <w:snapToGrid/>
        <w:spacing w:line="480" w:lineRule="exact"/>
        <w:ind w:right="-94" w:rightChars="-39"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kern w:val="0"/>
          <w:sz w:val="24"/>
          <w:szCs w:val="24"/>
          <w:highlight w:val="none"/>
          <w:u w:val="none"/>
          <w:lang w:val="en-US" w:eastAsia="zh-CN" w:bidi="ar"/>
        </w:rPr>
        <w:t>从大气环境影响评价角度分析该项目环境影响可以接受，项目建设可行。</w:t>
      </w:r>
    </w:p>
    <w:p>
      <w:pPr>
        <w:pStyle w:val="4"/>
        <w:bidi w:val="0"/>
        <w:rPr>
          <w:rFonts w:hint="default"/>
          <w:color w:val="auto"/>
          <w:highlight w:val="none"/>
          <w:u w:val="none"/>
          <w:lang w:val="en-US" w:eastAsia="zh-CN"/>
        </w:rPr>
      </w:pPr>
      <w:bookmarkStart w:id="391" w:name="_Toc21041"/>
      <w:bookmarkStart w:id="392" w:name="_Toc6585"/>
      <w:bookmarkStart w:id="393" w:name="_Toc7278"/>
      <w:bookmarkStart w:id="394" w:name="_Toc23568"/>
      <w:bookmarkStart w:id="395" w:name="_Toc9923"/>
      <w:r>
        <w:rPr>
          <w:rFonts w:hint="default"/>
          <w:color w:val="auto"/>
          <w:highlight w:val="none"/>
          <w:u w:val="none"/>
          <w:lang w:val="en-US" w:eastAsia="zh-CN"/>
        </w:rPr>
        <w:t>地表水</w:t>
      </w:r>
      <w:bookmarkEnd w:id="391"/>
      <w:bookmarkEnd w:id="392"/>
      <w:bookmarkEnd w:id="393"/>
      <w:bookmarkEnd w:id="394"/>
      <w:bookmarkEnd w:id="395"/>
    </w:p>
    <w:p>
      <w:pPr>
        <w:adjustRightInd/>
        <w:snapToGrid/>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项目生产废水与生活污水一同经污水站处理后，与清净下水一同经总排口排入</w:t>
      </w:r>
      <w:r>
        <w:rPr>
          <w:rFonts w:hint="eastAsia" w:eastAsia="宋体" w:cs="Times New Roman"/>
          <w:color w:val="auto"/>
          <w:sz w:val="24"/>
          <w:szCs w:val="24"/>
          <w:highlight w:val="none"/>
          <w:u w:val="none"/>
          <w:lang w:val="en-US" w:eastAsia="zh-CN"/>
        </w:rPr>
        <w:t>柘城县第二</w:t>
      </w:r>
      <w:r>
        <w:rPr>
          <w:rFonts w:hint="default" w:ascii="Times New Roman" w:hAnsi="Times New Roman" w:eastAsia="宋体" w:cs="Times New Roman"/>
          <w:color w:val="auto"/>
          <w:sz w:val="24"/>
          <w:szCs w:val="24"/>
          <w:highlight w:val="none"/>
          <w:u w:val="none"/>
          <w:lang w:val="en-US" w:eastAsia="zh-CN"/>
        </w:rPr>
        <w:t>污水处理厂进一步处理，属于间接排放，评价工作等级为三级B。</w:t>
      </w:r>
    </w:p>
    <w:p>
      <w:pPr>
        <w:adjustRightInd/>
        <w:snapToGrid/>
        <w:spacing w:line="480" w:lineRule="exact"/>
        <w:ind w:firstLine="480" w:firstLineChars="200"/>
        <w:rPr>
          <w:rFonts w:hint="default" w:ascii="Times New Roman" w:hAnsi="Times New Roman" w:eastAsia="宋体" w:cs="Times New Roman"/>
          <w:bCs/>
          <w:color w:val="auto"/>
          <w:sz w:val="24"/>
          <w:szCs w:val="24"/>
          <w:highlight w:val="none"/>
          <w:u w:val="none"/>
          <w:lang w:val="en-GB"/>
        </w:rPr>
      </w:pPr>
      <w:r>
        <w:rPr>
          <w:rFonts w:hint="default" w:ascii="Times New Roman" w:hAnsi="Times New Roman" w:eastAsia="宋体" w:cs="Times New Roman"/>
          <w:color w:val="auto"/>
          <w:sz w:val="24"/>
          <w:szCs w:val="24"/>
          <w:highlight w:val="none"/>
          <w:u w:val="none"/>
          <w:lang w:val="en-US" w:eastAsia="zh-CN"/>
        </w:rPr>
        <w:t>从水质、水量、污水管网建设情况等角度分析，项目废水进入</w:t>
      </w:r>
      <w:r>
        <w:rPr>
          <w:rFonts w:hint="eastAsia" w:eastAsia="宋体" w:cs="Times New Roman"/>
          <w:color w:val="auto"/>
          <w:sz w:val="24"/>
          <w:szCs w:val="24"/>
          <w:highlight w:val="none"/>
          <w:u w:val="none"/>
          <w:lang w:val="en-US" w:eastAsia="zh-CN"/>
        </w:rPr>
        <w:t>柘城县第二</w:t>
      </w:r>
      <w:r>
        <w:rPr>
          <w:rFonts w:hint="default" w:ascii="Times New Roman" w:hAnsi="Times New Roman" w:eastAsia="宋体" w:cs="Times New Roman"/>
          <w:color w:val="auto"/>
          <w:sz w:val="24"/>
          <w:szCs w:val="24"/>
          <w:highlight w:val="none"/>
          <w:u w:val="none"/>
          <w:lang w:val="en-US" w:eastAsia="zh-CN"/>
        </w:rPr>
        <w:t>污水处理厂进一步处理可行。项目废水经</w:t>
      </w:r>
      <w:r>
        <w:rPr>
          <w:rFonts w:hint="eastAsia" w:eastAsia="宋体" w:cs="Times New Roman"/>
          <w:color w:val="auto"/>
          <w:sz w:val="24"/>
          <w:szCs w:val="24"/>
          <w:highlight w:val="none"/>
          <w:u w:val="none"/>
          <w:lang w:val="en-US" w:eastAsia="zh-CN"/>
        </w:rPr>
        <w:t>柘城县第二</w:t>
      </w:r>
      <w:r>
        <w:rPr>
          <w:rFonts w:hint="default" w:ascii="Times New Roman" w:hAnsi="Times New Roman" w:eastAsia="宋体" w:cs="Times New Roman"/>
          <w:color w:val="auto"/>
          <w:sz w:val="24"/>
          <w:szCs w:val="24"/>
          <w:highlight w:val="none"/>
          <w:u w:val="none"/>
          <w:lang w:val="en-US" w:eastAsia="zh-CN"/>
        </w:rPr>
        <w:t>处理厂进一步处理达到《城镇污水处理厂污染物排放标准》一级A排放标准后排入</w:t>
      </w:r>
      <w:r>
        <w:rPr>
          <w:rFonts w:hint="eastAsia" w:ascii="Times New Roman" w:hAnsi="Times New Roman" w:cs="Times New Roman"/>
          <w:color w:val="auto"/>
          <w:szCs w:val="22"/>
          <w:highlight w:val="none"/>
          <w:u w:val="none"/>
        </w:rPr>
        <w:t>余河坡</w:t>
      </w:r>
      <w:r>
        <w:rPr>
          <w:rFonts w:hint="eastAsia" w:cs="Times New Roman"/>
          <w:color w:val="auto"/>
          <w:szCs w:val="22"/>
          <w:highlight w:val="none"/>
          <w:u w:val="none"/>
          <w:lang w:eastAsia="zh-CN"/>
        </w:rPr>
        <w:t>（</w:t>
      </w:r>
      <w:r>
        <w:rPr>
          <w:rFonts w:hint="eastAsia" w:cs="Times New Roman"/>
          <w:color w:val="auto"/>
          <w:szCs w:val="22"/>
          <w:highlight w:val="none"/>
          <w:u w:val="none"/>
          <w:lang w:val="en-US" w:eastAsia="zh-CN"/>
        </w:rPr>
        <w:t>升级改造后</w:t>
      </w:r>
      <w:r>
        <w:rPr>
          <w:rFonts w:hint="eastAsia" w:cs="Times New Roman"/>
          <w:color w:val="auto"/>
          <w:szCs w:val="22"/>
          <w:highlight w:val="none"/>
          <w:u w:val="none"/>
          <w:lang w:eastAsia="zh-CN"/>
        </w:rPr>
        <w:t>实现出水COD≤30mg/L、氨氮≤1.5mg/L），</w:t>
      </w:r>
      <w:r>
        <w:rPr>
          <w:rFonts w:hint="eastAsia" w:cs="Times New Roman"/>
          <w:color w:val="auto"/>
          <w:szCs w:val="22"/>
          <w:highlight w:val="none"/>
          <w:u w:val="none"/>
          <w:lang w:val="en-US" w:eastAsia="zh-CN"/>
        </w:rPr>
        <w:t>最终进入</w:t>
      </w:r>
      <w:r>
        <w:rPr>
          <w:rFonts w:hint="eastAsia" w:eastAsia="宋体" w:cs="Times New Roman"/>
          <w:color w:val="auto"/>
          <w:sz w:val="24"/>
          <w:szCs w:val="24"/>
          <w:highlight w:val="none"/>
          <w:u w:val="none"/>
          <w:lang w:val="en-US" w:eastAsia="zh-CN"/>
        </w:rPr>
        <w:t>惠济河</w:t>
      </w:r>
      <w:r>
        <w:rPr>
          <w:rFonts w:hint="default" w:ascii="Times New Roman" w:hAnsi="Times New Roman" w:eastAsia="宋体" w:cs="Times New Roman"/>
          <w:color w:val="auto"/>
          <w:sz w:val="24"/>
          <w:szCs w:val="24"/>
          <w:highlight w:val="none"/>
          <w:u w:val="none"/>
          <w:lang w:val="en-US" w:eastAsia="zh-CN"/>
        </w:rPr>
        <w:t>，对区域地表水环境影响较小。</w:t>
      </w:r>
    </w:p>
    <w:p>
      <w:pPr>
        <w:pStyle w:val="4"/>
        <w:bidi w:val="0"/>
        <w:rPr>
          <w:rFonts w:hint="default"/>
          <w:color w:val="auto"/>
          <w:highlight w:val="none"/>
          <w:u w:val="none"/>
          <w:lang w:val="en-US" w:eastAsia="zh-CN"/>
        </w:rPr>
      </w:pPr>
      <w:bookmarkStart w:id="396" w:name="_Toc30178"/>
      <w:bookmarkStart w:id="397" w:name="_Toc23824"/>
      <w:bookmarkStart w:id="398" w:name="_Toc15265"/>
      <w:bookmarkStart w:id="399" w:name="_Toc20524"/>
      <w:bookmarkStart w:id="400" w:name="_Toc15511"/>
      <w:r>
        <w:rPr>
          <w:rFonts w:hint="default"/>
          <w:color w:val="auto"/>
          <w:highlight w:val="none"/>
          <w:u w:val="none"/>
          <w:lang w:val="en-US" w:eastAsia="zh-CN"/>
        </w:rPr>
        <w:t>地下水</w:t>
      </w:r>
      <w:bookmarkEnd w:id="396"/>
      <w:bookmarkEnd w:id="397"/>
      <w:bookmarkEnd w:id="398"/>
      <w:bookmarkEnd w:id="399"/>
      <w:bookmarkEnd w:id="400"/>
    </w:p>
    <w:p>
      <w:pPr>
        <w:adjustRightInd w:val="0"/>
        <w:snapToGrid w:val="0"/>
        <w:spacing w:line="480" w:lineRule="exact"/>
        <w:ind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项目运营后，在正常</w:t>
      </w:r>
      <w:r>
        <w:rPr>
          <w:rFonts w:hint="default" w:ascii="Times New Roman" w:hAnsi="Times New Roman" w:eastAsia="宋体" w:cs="Times New Roman"/>
          <w:color w:val="auto"/>
          <w:sz w:val="24"/>
          <w:szCs w:val="24"/>
          <w:highlight w:val="none"/>
          <w:u w:val="none"/>
        </w:rPr>
        <w:t>工况并采取地下水污染防渗措施情况下，污水处理站调节池不会对地下水环境产生污染影响。</w:t>
      </w:r>
    </w:p>
    <w:p>
      <w:pPr>
        <w:adjustRightInd w:val="0"/>
        <w:snapToGrid w:val="0"/>
        <w:spacing w:line="480" w:lineRule="exact"/>
        <w:ind w:firstLine="480" w:firstLineChars="200"/>
        <w:rPr>
          <w:rFonts w:ascii="宋体" w:hAnsi="宋体" w:eastAsia="宋体"/>
          <w:color w:val="auto"/>
          <w:sz w:val="24"/>
          <w:szCs w:val="24"/>
          <w:highlight w:val="none"/>
          <w:u w:val="none"/>
        </w:rPr>
      </w:pPr>
      <w:r>
        <w:rPr>
          <w:rFonts w:hint="default" w:ascii="Times New Roman" w:hAnsi="Times New Roman" w:eastAsia="宋体" w:cs="Times New Roman"/>
          <w:color w:val="auto"/>
          <w:sz w:val="24"/>
          <w:highlight w:val="none"/>
        </w:rPr>
        <w:t>本次预测主要考虑非正常工况下对地下水的污染情景进行预测模拟，根据废水收集池非正常工况下COD、二氯甲烷、氨氮污染模拟预测结果，20年后各地下水污染因子的标准限值范围内，在垂向上最大运移距离为地下水位以下15米范围内；在水平方向上，各地下水污染因子的地下水质量标准的等值线范围最大为渗漏点周围85米范围内。通过对周围水源井调查可知，项目地下水流向的下游污染物超标范围内无水源井，因此，项目地下水污染因子不会造成下游水源井污染，对地下水环境影响程度可接受。</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eastAsia"/>
          <w:color w:val="auto"/>
          <w:sz w:val="24"/>
          <w:szCs w:val="24"/>
          <w:highlight w:val="none"/>
          <w:u w:val="none"/>
        </w:rPr>
        <w:t>项目对地下水环境造成的影响可采用分区防渗和其他非正常工况防治措施进行预防和控制，不会对本地区地下水环境造成</w:t>
      </w:r>
      <w:r>
        <w:rPr>
          <w:rFonts w:hint="eastAsia"/>
          <w:color w:val="auto"/>
          <w:sz w:val="24"/>
          <w:szCs w:val="24"/>
          <w:highlight w:val="none"/>
          <w:u w:val="none"/>
          <w:lang w:val="en-US" w:eastAsia="zh-CN"/>
        </w:rPr>
        <w:t>明显</w:t>
      </w:r>
      <w:r>
        <w:rPr>
          <w:rFonts w:hint="eastAsia"/>
          <w:color w:val="auto"/>
          <w:sz w:val="24"/>
          <w:szCs w:val="24"/>
          <w:highlight w:val="none"/>
          <w:u w:val="none"/>
        </w:rPr>
        <w:t>不利影响。</w:t>
      </w:r>
    </w:p>
    <w:p>
      <w:pPr>
        <w:pStyle w:val="4"/>
        <w:bidi w:val="0"/>
        <w:rPr>
          <w:rFonts w:hint="default"/>
          <w:color w:val="auto"/>
          <w:highlight w:val="none"/>
          <w:u w:val="none"/>
          <w:lang w:val="en-US" w:eastAsia="zh-CN"/>
        </w:rPr>
      </w:pPr>
      <w:bookmarkStart w:id="401" w:name="_Toc13232"/>
      <w:bookmarkStart w:id="402" w:name="_Toc28777"/>
      <w:bookmarkStart w:id="403" w:name="_Toc4840"/>
      <w:bookmarkStart w:id="404" w:name="_Toc8194"/>
      <w:bookmarkStart w:id="405" w:name="_Toc16200"/>
      <w:r>
        <w:rPr>
          <w:rFonts w:hint="default"/>
          <w:color w:val="auto"/>
          <w:highlight w:val="none"/>
          <w:u w:val="none"/>
          <w:lang w:val="en-US" w:eastAsia="zh-CN"/>
        </w:rPr>
        <w:t>土壤环境</w:t>
      </w:r>
      <w:bookmarkEnd w:id="401"/>
      <w:bookmarkEnd w:id="402"/>
      <w:bookmarkEnd w:id="403"/>
      <w:bookmarkEnd w:id="404"/>
      <w:bookmarkEnd w:id="405"/>
    </w:p>
    <w:p>
      <w:pPr>
        <w:bidi w:val="0"/>
        <w:rPr>
          <w:rFonts w:ascii="Times New Roman" w:hAnsi="Times New Roman" w:cs="Times New Roman"/>
          <w:color w:val="auto"/>
          <w:highlight w:val="none"/>
          <w:u w:val="none"/>
          <w:lang w:eastAsia="zh-CN"/>
        </w:rPr>
      </w:pPr>
      <w:r>
        <w:rPr>
          <w:rFonts w:hint="eastAsia" w:cs="Times New Roman"/>
          <w:color w:val="auto"/>
          <w:highlight w:val="none"/>
          <w:u w:val="none"/>
          <w:lang w:val="en-US" w:eastAsia="zh-CN"/>
        </w:rPr>
        <w:t>本</w:t>
      </w:r>
      <w:r>
        <w:rPr>
          <w:rFonts w:ascii="Times New Roman" w:hAnsi="Times New Roman" w:cs="Times New Roman"/>
          <w:color w:val="auto"/>
          <w:highlight w:val="none"/>
          <w:u w:val="none"/>
        </w:rPr>
        <w:t>项目土壤环境影响评价工作等级为“</w:t>
      </w:r>
      <w:r>
        <w:rPr>
          <w:rFonts w:hint="eastAsia" w:ascii="Times New Roman" w:hAnsi="Times New Roman" w:cs="Times New Roman"/>
          <w:color w:val="auto"/>
          <w:highlight w:val="none"/>
          <w:u w:val="none"/>
          <w:lang w:val="en-US" w:eastAsia="zh-CN"/>
        </w:rPr>
        <w:t>一</w:t>
      </w:r>
      <w:r>
        <w:rPr>
          <w:rFonts w:ascii="Times New Roman" w:hAnsi="Times New Roman" w:cs="Times New Roman"/>
          <w:color w:val="auto"/>
          <w:highlight w:val="none"/>
          <w:u w:val="none"/>
        </w:rPr>
        <w:t>级”，影响类型为污染影响型，根据《环境影响评价技术导则—土壤环境（试行）》（HJ 964-2018）表</w:t>
      </w:r>
      <w:r>
        <w:rPr>
          <w:rFonts w:hint="eastAsia" w:ascii="Times New Roman" w:hAnsi="Times New Roman" w:cs="Times New Roman"/>
          <w:color w:val="auto"/>
          <w:highlight w:val="none"/>
          <w:u w:val="none"/>
        </w:rPr>
        <w:t>5</w:t>
      </w:r>
      <w:r>
        <w:rPr>
          <w:rFonts w:ascii="Times New Roman" w:hAnsi="Times New Roman" w:cs="Times New Roman"/>
          <w:color w:val="auto"/>
          <w:highlight w:val="none"/>
          <w:u w:val="none"/>
        </w:rPr>
        <w:t>现状调查范围表，确定本项目土壤调查评价范围为“项目占地范围内及占地范围外</w:t>
      </w:r>
      <w:r>
        <w:rPr>
          <w:rFonts w:hint="eastAsia" w:ascii="Times New Roman" w:hAnsi="Times New Roman" w:cs="Times New Roman"/>
          <w:color w:val="auto"/>
          <w:highlight w:val="none"/>
          <w:u w:val="none"/>
          <w:lang w:val="en-US" w:eastAsia="zh-CN"/>
        </w:rPr>
        <w:t>1</w:t>
      </w:r>
      <w:r>
        <w:rPr>
          <w:rFonts w:ascii="Times New Roman" w:hAnsi="Times New Roman" w:cs="Times New Roman"/>
          <w:color w:val="auto"/>
          <w:highlight w:val="none"/>
          <w:u w:val="none"/>
        </w:rPr>
        <w:t>km范围内”。</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cs="Times New Roman"/>
          <w:color w:val="auto"/>
          <w:highlight w:val="none"/>
          <w:u w:val="none"/>
          <w:lang w:val="en-US" w:eastAsia="zh-CN"/>
        </w:rPr>
        <w:t>根据大气沉降预测结果，项目运行</w:t>
      </w:r>
      <w:r>
        <w:rPr>
          <w:rFonts w:hint="eastAsia" w:cs="Times New Roman"/>
          <w:color w:val="auto"/>
          <w:highlight w:val="none"/>
          <w:u w:val="none"/>
          <w:lang w:val="en-US" w:eastAsia="zh-CN"/>
        </w:rPr>
        <w:t>2</w:t>
      </w:r>
      <w:r>
        <w:rPr>
          <w:rFonts w:hint="eastAsia" w:ascii="Times New Roman" w:hAnsi="Times New Roman" w:cs="Times New Roman"/>
          <w:color w:val="auto"/>
          <w:highlight w:val="none"/>
          <w:u w:val="none"/>
          <w:lang w:val="en-US" w:eastAsia="zh-CN"/>
        </w:rPr>
        <w:t>0年后，二氯甲烷、甲苯及二噁英在周边敏感点的预测值仍能够满足《土壤环境质量  建设用地土壤污染风险管控标准》（GB36600-2018）</w:t>
      </w:r>
      <w:r>
        <w:rPr>
          <w:rFonts w:hint="eastAsia" w:cs="Times New Roman"/>
          <w:color w:val="auto"/>
          <w:highlight w:val="none"/>
          <w:u w:val="none"/>
          <w:lang w:val="en-US" w:eastAsia="zh-CN"/>
        </w:rPr>
        <w:t>第一类用地筛选值要求</w:t>
      </w:r>
      <w:r>
        <w:rPr>
          <w:rFonts w:hint="eastAsia" w:ascii="Times New Roman" w:hAnsi="Times New Roman" w:cs="Times New Roman"/>
          <w:color w:val="auto"/>
          <w:highlight w:val="none"/>
          <w:u w:val="none"/>
          <w:lang w:val="en-US" w:eastAsia="zh-CN"/>
        </w:rPr>
        <w:t>；项目采取雨污分流制，携带污染物的初期雨水经池暂存后，导入污水站处理后达标排放，在严格采取雨污分流与分区防渗措施的前提下，地面漫流</w:t>
      </w:r>
      <w:r>
        <w:rPr>
          <w:rFonts w:hint="eastAsia" w:cs="Times New Roman"/>
          <w:color w:val="auto"/>
          <w:highlight w:val="none"/>
          <w:u w:val="none"/>
          <w:lang w:val="en-US" w:eastAsia="zh-CN"/>
        </w:rPr>
        <w:t>造成</w:t>
      </w:r>
      <w:r>
        <w:rPr>
          <w:rFonts w:hint="eastAsia" w:ascii="Times New Roman" w:hAnsi="Times New Roman" w:cs="Times New Roman"/>
          <w:color w:val="auto"/>
          <w:highlight w:val="none"/>
          <w:u w:val="none"/>
          <w:lang w:val="en-US" w:eastAsia="zh-CN"/>
        </w:rPr>
        <w:t>土壤污染</w:t>
      </w:r>
      <w:r>
        <w:rPr>
          <w:rFonts w:hint="eastAsia" w:cs="Times New Roman"/>
          <w:color w:val="auto"/>
          <w:highlight w:val="none"/>
          <w:u w:val="none"/>
          <w:lang w:val="en-US" w:eastAsia="zh-CN"/>
        </w:rPr>
        <w:t>的风险较小</w:t>
      </w:r>
      <w:r>
        <w:rPr>
          <w:rFonts w:hint="eastAsia" w:ascii="Times New Roman" w:hAnsi="Times New Roman" w:cs="Times New Roman"/>
          <w:color w:val="auto"/>
          <w:highlight w:val="none"/>
          <w:u w:val="none"/>
          <w:lang w:val="en-US" w:eastAsia="zh-CN"/>
        </w:rPr>
        <w:t>；采用一维非饱和溶质运移模型法对项目废水</w:t>
      </w:r>
      <w:r>
        <w:rPr>
          <w:rFonts w:hint="eastAsia" w:cs="Times New Roman"/>
          <w:color w:val="auto"/>
          <w:highlight w:val="none"/>
          <w:u w:val="none"/>
          <w:lang w:val="en-US" w:eastAsia="zh-CN"/>
        </w:rPr>
        <w:t>泄漏</w:t>
      </w:r>
      <w:r>
        <w:rPr>
          <w:rFonts w:hint="eastAsia" w:ascii="Times New Roman" w:hAnsi="Times New Roman" w:cs="Times New Roman"/>
          <w:color w:val="auto"/>
          <w:highlight w:val="none"/>
          <w:u w:val="none"/>
          <w:lang w:val="en-US" w:eastAsia="zh-CN"/>
        </w:rPr>
        <w:t>通过垂直入渗防渗对土壤环境的影响进行预测，根据预测结果，甲苯与二氯甲烷对土壤的最深影响深度为5.5m，最大影响浓度远低于《土壤环境质量 建设用地土壤污染风险管控标准（试行）》（GB36600-2018）第二类用地筛选值。</w:t>
      </w:r>
    </w:p>
    <w:p>
      <w:pPr>
        <w:pStyle w:val="4"/>
        <w:bidi w:val="0"/>
        <w:rPr>
          <w:rFonts w:hint="default"/>
          <w:color w:val="auto"/>
          <w:highlight w:val="none"/>
          <w:u w:val="none"/>
          <w:lang w:val="en-US" w:eastAsia="zh-CN"/>
        </w:rPr>
      </w:pPr>
      <w:bookmarkStart w:id="406" w:name="_Toc20411"/>
      <w:bookmarkStart w:id="407" w:name="_Toc23533"/>
      <w:bookmarkStart w:id="408" w:name="_Toc18176"/>
      <w:bookmarkStart w:id="409" w:name="_Toc6179"/>
      <w:bookmarkStart w:id="410" w:name="_Toc6130"/>
      <w:r>
        <w:rPr>
          <w:rFonts w:hint="default"/>
          <w:color w:val="auto"/>
          <w:highlight w:val="none"/>
          <w:u w:val="none"/>
          <w:lang w:val="en-US" w:eastAsia="zh-CN"/>
        </w:rPr>
        <w:t>声环境</w:t>
      </w:r>
      <w:bookmarkEnd w:id="406"/>
      <w:bookmarkEnd w:id="407"/>
      <w:bookmarkEnd w:id="408"/>
      <w:bookmarkEnd w:id="409"/>
      <w:bookmarkEnd w:id="410"/>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auto"/>
          <w:sz w:val="24"/>
          <w:szCs w:val="24"/>
          <w:highlight w:val="none"/>
          <w:u w:val="none"/>
        </w:rPr>
        <w:t>本项目处在</w:t>
      </w:r>
      <w:r>
        <w:rPr>
          <w:rFonts w:hint="eastAsia" w:eastAsia="宋体" w:cs="Times New Roman"/>
          <w:color w:val="auto"/>
          <w:sz w:val="24"/>
          <w:szCs w:val="24"/>
          <w:highlight w:val="none"/>
          <w:u w:val="none"/>
          <w:lang w:val="en-US" w:eastAsia="zh-CN"/>
        </w:rPr>
        <w:t>3</w:t>
      </w:r>
      <w:r>
        <w:rPr>
          <w:rFonts w:hint="default" w:ascii="Times New Roman" w:hAnsi="Times New Roman" w:eastAsia="宋体" w:cs="Times New Roman"/>
          <w:color w:val="auto"/>
          <w:sz w:val="24"/>
          <w:szCs w:val="24"/>
          <w:highlight w:val="none"/>
          <w:u w:val="none"/>
        </w:rPr>
        <w:t>类声环境功能区。按照《环境影响评价技术导则声环境》（HJ2.4-20</w:t>
      </w:r>
      <w:r>
        <w:rPr>
          <w:rFonts w:hint="eastAsia" w:eastAsia="宋体" w:cs="Times New Roman"/>
          <w:color w:val="auto"/>
          <w:sz w:val="24"/>
          <w:szCs w:val="24"/>
          <w:highlight w:val="none"/>
          <w:u w:val="none"/>
          <w:lang w:val="en-US" w:eastAsia="zh-CN"/>
        </w:rPr>
        <w:t>21</w:t>
      </w:r>
      <w:r>
        <w:rPr>
          <w:rFonts w:hint="default" w:ascii="Times New Roman" w:hAnsi="Times New Roman" w:eastAsia="宋体" w:cs="Times New Roman"/>
          <w:color w:val="auto"/>
          <w:sz w:val="24"/>
          <w:szCs w:val="24"/>
          <w:highlight w:val="none"/>
          <w:u w:val="none"/>
        </w:rPr>
        <w:t>）中的有关声环境影响评价工作等级的划分原则与判据，本项目环境影响评价等级为</w:t>
      </w:r>
      <w:r>
        <w:rPr>
          <w:rFonts w:hint="default" w:ascii="Times New Roman" w:hAnsi="Times New Roman" w:eastAsia="宋体" w:cs="Times New Roman"/>
          <w:color w:val="auto"/>
          <w:sz w:val="24"/>
          <w:szCs w:val="24"/>
          <w:highlight w:val="none"/>
          <w:u w:val="none"/>
          <w:lang w:val="en-US" w:eastAsia="zh-CN"/>
        </w:rPr>
        <w:t>二</w:t>
      </w:r>
      <w:r>
        <w:rPr>
          <w:rFonts w:hint="default" w:ascii="Times New Roman" w:hAnsi="Times New Roman" w:eastAsia="宋体" w:cs="Times New Roman"/>
          <w:color w:val="auto"/>
          <w:sz w:val="24"/>
          <w:szCs w:val="24"/>
          <w:highlight w:val="none"/>
          <w:u w:val="none"/>
        </w:rPr>
        <w:t>级评价。</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auto"/>
          <w:sz w:val="24"/>
          <w:szCs w:val="24"/>
          <w:highlight w:val="none"/>
          <w:u w:val="none"/>
        </w:rPr>
        <w:t>根据预测，</w:t>
      </w:r>
      <w:r>
        <w:rPr>
          <w:rFonts w:ascii="Times New Roman" w:hAnsi="Times New Roman" w:cs="Times New Roman"/>
          <w:color w:val="auto"/>
          <w:highlight w:val="none"/>
          <w:u w:val="none"/>
        </w:rPr>
        <w:t>本项目高噪声设备</w:t>
      </w:r>
      <w:r>
        <w:rPr>
          <w:rFonts w:hint="eastAsia" w:ascii="Times New Roman" w:hAnsi="Times New Roman" w:cs="Times New Roman"/>
          <w:color w:val="auto"/>
          <w:highlight w:val="none"/>
          <w:u w:val="none"/>
        </w:rPr>
        <w:t>通过采取</w:t>
      </w:r>
      <w:r>
        <w:rPr>
          <w:rFonts w:ascii="Times New Roman" w:hAnsi="Times New Roman" w:cs="Times New Roman"/>
          <w:color w:val="auto"/>
          <w:highlight w:val="none"/>
          <w:u w:val="none"/>
        </w:rPr>
        <w:t>基础减振、车间隔声、</w:t>
      </w:r>
      <w:r>
        <w:rPr>
          <w:rFonts w:hint="eastAsia" w:ascii="Times New Roman" w:hAnsi="Times New Roman" w:cs="Times New Roman"/>
          <w:color w:val="auto"/>
          <w:highlight w:val="none"/>
          <w:u w:val="none"/>
        </w:rPr>
        <w:t>设软连接、风口安装消声装置、风机基础整体隔振等降噪措施</w:t>
      </w:r>
      <w:r>
        <w:rPr>
          <w:rFonts w:ascii="Times New Roman" w:hAnsi="Times New Roman" w:cs="Times New Roman"/>
          <w:color w:val="auto"/>
          <w:highlight w:val="none"/>
          <w:u w:val="none"/>
        </w:rPr>
        <w:t>后，东、西、南、北四周厂界噪声预测值均可满足《工业企业厂界环境噪声排放标准》</w:t>
      </w:r>
      <w:r>
        <w:rPr>
          <w:rFonts w:hint="eastAsia" w:ascii="Times New Roman" w:hAnsi="Times New Roman" w:cs="Times New Roman"/>
          <w:color w:val="auto"/>
          <w:highlight w:val="none"/>
          <w:u w:val="none"/>
          <w:lang w:eastAsia="zh-CN"/>
        </w:rPr>
        <w:t>（</w:t>
      </w:r>
      <w:r>
        <w:rPr>
          <w:rFonts w:ascii="Times New Roman" w:hAnsi="Times New Roman" w:cs="Times New Roman"/>
          <w:color w:val="auto"/>
          <w:highlight w:val="none"/>
          <w:u w:val="none"/>
        </w:rPr>
        <w:t>GB12348-2008</w:t>
      </w:r>
      <w:r>
        <w:rPr>
          <w:rFonts w:hint="eastAsia" w:ascii="Times New Roman" w:hAnsi="Times New Roman" w:cs="Times New Roman"/>
          <w:color w:val="auto"/>
          <w:highlight w:val="none"/>
          <w:u w:val="none"/>
          <w:lang w:eastAsia="zh-CN"/>
        </w:rPr>
        <w:t>）</w:t>
      </w:r>
      <w:r>
        <w:rPr>
          <w:rFonts w:hint="eastAsia" w:cs="Times New Roman"/>
          <w:color w:val="auto"/>
          <w:highlight w:val="none"/>
          <w:u w:val="none"/>
          <w:lang w:val="en-US" w:eastAsia="zh-CN"/>
        </w:rPr>
        <w:t>3</w:t>
      </w:r>
      <w:r>
        <w:rPr>
          <w:rFonts w:ascii="Times New Roman" w:hAnsi="Times New Roman" w:cs="Times New Roman"/>
          <w:color w:val="auto"/>
          <w:highlight w:val="none"/>
          <w:u w:val="none"/>
        </w:rPr>
        <w:t xml:space="preserve"> 类标准要求</w:t>
      </w:r>
      <w:r>
        <w:rPr>
          <w:rFonts w:hint="eastAsia" w:ascii="Times New Roman" w:hAnsi="Times New Roman" w:cs="Times New Roman"/>
          <w:color w:val="auto"/>
          <w:highlight w:val="none"/>
          <w:u w:val="none"/>
          <w:lang w:eastAsia="zh-CN"/>
        </w:rPr>
        <w:t>。</w:t>
      </w:r>
      <w:r>
        <w:rPr>
          <w:rFonts w:hint="eastAsia" w:ascii="Times New Roman" w:hAnsi="Times New Roman" w:cs="Times New Roman"/>
          <w:color w:val="auto"/>
          <w:highlight w:val="none"/>
          <w:u w:val="none"/>
          <w:lang w:val="en-US" w:eastAsia="zh-CN"/>
        </w:rPr>
        <w:t>近距离敏感点噪声预测值可满足《声环境质量标准》（GB 3096-2008）2</w:t>
      </w:r>
      <w:r>
        <w:rPr>
          <w:rFonts w:ascii="Times New Roman" w:hAnsi="Times New Roman" w:cs="Times New Roman"/>
          <w:color w:val="auto"/>
          <w:highlight w:val="none"/>
          <w:u w:val="none"/>
        </w:rPr>
        <w:t xml:space="preserve"> 类标准要求</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项目营运过程中产生的噪声对周围声环境影响较小。</w:t>
      </w:r>
    </w:p>
    <w:p>
      <w:pPr>
        <w:pStyle w:val="3"/>
        <w:bidi w:val="0"/>
        <w:rPr>
          <w:rFonts w:hint="default"/>
          <w:color w:val="auto"/>
          <w:highlight w:val="none"/>
          <w:u w:val="none"/>
          <w:lang w:val="en-US" w:eastAsia="zh-CN"/>
        </w:rPr>
      </w:pPr>
      <w:bookmarkStart w:id="411" w:name="_Toc31476"/>
      <w:bookmarkStart w:id="412" w:name="_Toc19994"/>
      <w:bookmarkStart w:id="413" w:name="_Toc30050"/>
      <w:bookmarkStart w:id="414" w:name="_Toc22034"/>
      <w:bookmarkStart w:id="415" w:name="_Toc15623"/>
      <w:bookmarkStart w:id="416" w:name="_Toc24281"/>
      <w:bookmarkStart w:id="417" w:name="_Toc24667"/>
      <w:bookmarkStart w:id="418" w:name="_Toc24085"/>
      <w:bookmarkStart w:id="419" w:name="_Toc16240"/>
      <w:bookmarkStart w:id="420" w:name="_Toc3316"/>
      <w:bookmarkStart w:id="421" w:name="_Toc21623"/>
      <w:bookmarkStart w:id="422" w:name="_Toc30442"/>
      <w:bookmarkStart w:id="423" w:name="_Toc4116"/>
      <w:r>
        <w:rPr>
          <w:rFonts w:hint="default"/>
          <w:color w:val="auto"/>
          <w:highlight w:val="none"/>
          <w:u w:val="none"/>
          <w:lang w:val="en-US" w:eastAsia="zh-CN"/>
        </w:rPr>
        <w:t>环境风险影响分析结论</w:t>
      </w:r>
      <w:bookmarkEnd w:id="411"/>
      <w:bookmarkEnd w:id="412"/>
      <w:bookmarkEnd w:id="413"/>
      <w:bookmarkEnd w:id="414"/>
      <w:bookmarkEnd w:id="415"/>
      <w:bookmarkEnd w:id="416"/>
      <w:bookmarkEnd w:id="417"/>
      <w:bookmarkEnd w:id="418"/>
      <w:bookmarkEnd w:id="419"/>
      <w:bookmarkEnd w:id="420"/>
      <w:bookmarkEnd w:id="421"/>
      <w:bookmarkEnd w:id="422"/>
      <w:bookmarkEnd w:id="423"/>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bookmarkStart w:id="424" w:name="_Toc13784"/>
      <w:bookmarkStart w:id="425" w:name="_Toc5405"/>
      <w:bookmarkStart w:id="426" w:name="_Toc8068"/>
      <w:bookmarkStart w:id="427" w:name="_Toc23870"/>
      <w:bookmarkStart w:id="428" w:name="_Toc20020"/>
      <w:bookmarkStart w:id="429" w:name="_Toc3427"/>
      <w:bookmarkStart w:id="430" w:name="_Toc177"/>
      <w:bookmarkStart w:id="431" w:name="_Toc8517"/>
      <w:r>
        <w:rPr>
          <w:rFonts w:hint="default" w:ascii="Times New Roman" w:hAnsi="Times New Roman" w:eastAsia="宋体" w:cs="Times New Roman"/>
          <w:color w:val="auto"/>
          <w:sz w:val="24"/>
          <w:szCs w:val="24"/>
          <w:highlight w:val="none"/>
          <w:u w:val="none"/>
        </w:rPr>
        <w:t>从环境敏感程度、工程所涉及的危险物质和工艺特性分析，判断项目环境风险评价等级为一级评价</w:t>
      </w:r>
      <w:r>
        <w:rPr>
          <w:rFonts w:hint="eastAsia"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通过对地表水、地下水环境风险分析，本项目</w:t>
      </w:r>
      <w:r>
        <w:rPr>
          <w:rFonts w:hint="eastAsia" w:ascii="Times New Roman" w:hAnsi="Times New Roman" w:eastAsia="宋体" w:cs="Times New Roman"/>
          <w:color w:val="auto"/>
          <w:sz w:val="24"/>
          <w:szCs w:val="24"/>
          <w:highlight w:val="none"/>
          <w:u w:val="none"/>
          <w:lang w:val="en-US" w:eastAsia="zh-CN"/>
        </w:rPr>
        <w:t>采取三级防控措施，并衔接园区风险防控体系，</w:t>
      </w:r>
      <w:r>
        <w:rPr>
          <w:rFonts w:hint="default" w:ascii="Times New Roman" w:hAnsi="Times New Roman" w:eastAsia="宋体" w:cs="Times New Roman"/>
          <w:color w:val="auto"/>
          <w:sz w:val="24"/>
          <w:szCs w:val="24"/>
          <w:highlight w:val="none"/>
          <w:u w:val="none"/>
        </w:rPr>
        <w:t>废水</w:t>
      </w:r>
      <w:r>
        <w:rPr>
          <w:rFonts w:hint="eastAsia" w:ascii="Times New Roman" w:hAnsi="Times New Roman" w:eastAsia="宋体" w:cs="Times New Roman"/>
          <w:color w:val="auto"/>
          <w:sz w:val="24"/>
          <w:szCs w:val="24"/>
          <w:highlight w:val="none"/>
          <w:u w:val="none"/>
          <w:lang w:eastAsia="zh-CN"/>
        </w:rPr>
        <w:t>（</w:t>
      </w:r>
      <w:r>
        <w:rPr>
          <w:rFonts w:hint="eastAsia" w:ascii="Times New Roman" w:hAnsi="Times New Roman" w:eastAsia="宋体" w:cs="Times New Roman"/>
          <w:color w:val="auto"/>
          <w:sz w:val="24"/>
          <w:szCs w:val="24"/>
          <w:highlight w:val="none"/>
          <w:u w:val="none"/>
          <w:lang w:val="en-US" w:eastAsia="zh-CN"/>
        </w:rPr>
        <w:t>含事故废水</w:t>
      </w:r>
      <w:r>
        <w:rPr>
          <w:rFonts w:hint="eastAsia"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经厂内污水处理站处理达标后经管网进入</w:t>
      </w:r>
      <w:r>
        <w:rPr>
          <w:rFonts w:hint="eastAsia" w:ascii="Times New Roman" w:hAnsi="Times New Roman" w:eastAsia="宋体" w:cs="Times New Roman"/>
          <w:color w:val="auto"/>
          <w:sz w:val="24"/>
          <w:szCs w:val="24"/>
          <w:highlight w:val="none"/>
          <w:u w:val="none"/>
          <w:lang w:val="en-US" w:eastAsia="zh-CN"/>
        </w:rPr>
        <w:t>柘城县第二污水处理厂</w:t>
      </w:r>
      <w:r>
        <w:rPr>
          <w:rFonts w:hint="default" w:ascii="Times New Roman" w:hAnsi="Times New Roman" w:eastAsia="宋体" w:cs="Times New Roman"/>
          <w:color w:val="auto"/>
          <w:sz w:val="24"/>
          <w:szCs w:val="24"/>
          <w:highlight w:val="none"/>
          <w:u w:val="none"/>
        </w:rPr>
        <w:t>，进一步处理达标后，排入</w:t>
      </w:r>
      <w:r>
        <w:rPr>
          <w:rFonts w:hint="eastAsia" w:ascii="Times New Roman" w:hAnsi="Times New Roman" w:eastAsia="宋体" w:cs="Times New Roman"/>
          <w:color w:val="auto"/>
          <w:sz w:val="24"/>
          <w:szCs w:val="24"/>
          <w:highlight w:val="none"/>
          <w:u w:val="none"/>
          <w:lang w:val="en-US" w:eastAsia="zh-CN"/>
        </w:rPr>
        <w:t>惠济河，</w:t>
      </w:r>
      <w:r>
        <w:rPr>
          <w:rFonts w:hint="default" w:ascii="Times New Roman" w:hAnsi="Times New Roman" w:eastAsia="宋体" w:cs="Times New Roman"/>
          <w:color w:val="auto"/>
          <w:sz w:val="24"/>
          <w:szCs w:val="24"/>
          <w:highlight w:val="none"/>
          <w:u w:val="none"/>
        </w:rPr>
        <w:t>项目废水排放对区域地表水影响较小；项目建设范围采取分区防渗后，地下水渗漏环境风险较小。</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lang w:val="en-US" w:eastAsia="zh-CN"/>
        </w:rPr>
        <w:t>大气环境风险事故中最大可信事为盐酸罐、二氯甲烷罐、苯乙腈滴加罐泄漏，生产区甲苯发生泄漏并引发燃爆事故造成次生CO排放，生产区燃爆事故发生后氯化亚砜遇水分解生成次生的氯化氢与二氧化硫。其中氯化亚砜分解产生次生二氧化硫释放的后果最为严重，二氧化硫释放后，在最不利气象条件下达到毒性终点浓度-1时最大距离为80m，到达时间为0.9min，该范围内无敏感点；预测浓度达到二氧化硫毒性终点浓度-2时最大距离为810m，到达时间为9min，范围内存在环境敏感点（王云庄、魏楼、大方村、魏菜园、张店、关桥村、左庄）。企业应及时修订突发环境事件应急预案，并根据预案要求联合园区、周边企业、终点浓度范围内的村庄居民（王云庄、魏楼、大方村、魏菜园、张店、关桥村、左庄）进行应急响应、应急疏散、急救措施等方面的演练。保留并动态更新王云庄、关桥、张店、魏楼、大方庄几个村庄村委及居民的联系方式，确保在发生事故时可快速联系附近居民。一旦发生突发环境事件，即可通知周边居民疏散。</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建议企业生产过程中应严格落实评价所提风险防范措施，同时修订切实可行的应急预案。建设单位应在设计、施工及运营过程中认真落实工程设计、环评及应急预案中的事故防范措施和应急措施，最大限度减少项目事故风险所造成的污染影响。</w:t>
      </w:r>
    </w:p>
    <w:p>
      <w:pPr>
        <w:pStyle w:val="3"/>
        <w:bidi w:val="0"/>
        <w:rPr>
          <w:rFonts w:hint="default"/>
          <w:color w:val="auto"/>
          <w:highlight w:val="none"/>
          <w:u w:val="none"/>
          <w:lang w:val="en-US" w:eastAsia="zh-CN"/>
        </w:rPr>
      </w:pPr>
      <w:bookmarkStart w:id="432" w:name="_Toc28907"/>
      <w:bookmarkStart w:id="433" w:name="_Toc14139"/>
      <w:bookmarkStart w:id="434" w:name="_Toc25955"/>
      <w:bookmarkStart w:id="435" w:name="_Toc25720"/>
      <w:bookmarkStart w:id="436" w:name="_Toc26777"/>
      <w:r>
        <w:rPr>
          <w:rFonts w:hint="default"/>
          <w:color w:val="auto"/>
          <w:highlight w:val="none"/>
          <w:u w:val="none"/>
          <w:lang w:val="en-US" w:eastAsia="zh-CN"/>
        </w:rPr>
        <w:t>总量控制指标建议</w:t>
      </w:r>
      <w:bookmarkEnd w:id="424"/>
      <w:bookmarkEnd w:id="425"/>
      <w:bookmarkEnd w:id="426"/>
      <w:bookmarkEnd w:id="427"/>
      <w:bookmarkEnd w:id="428"/>
      <w:bookmarkEnd w:id="429"/>
      <w:bookmarkEnd w:id="430"/>
      <w:bookmarkEnd w:id="431"/>
      <w:bookmarkEnd w:id="432"/>
      <w:bookmarkEnd w:id="433"/>
      <w:bookmarkEnd w:id="434"/>
      <w:bookmarkEnd w:id="435"/>
      <w:bookmarkEnd w:id="436"/>
    </w:p>
    <w:p>
      <w:pPr>
        <w:bidi w:val="0"/>
        <w:adjustRightInd w:val="0"/>
        <w:snapToGrid w:val="0"/>
        <w:spacing w:line="480" w:lineRule="exact"/>
        <w:ind w:firstLine="480" w:firstLineChars="200"/>
        <w:rPr>
          <w:rFonts w:hint="eastAsia" w:eastAsia="宋体" w:cs="Times New Roman"/>
          <w:color w:val="auto"/>
          <w:sz w:val="24"/>
          <w:szCs w:val="24"/>
          <w:highlight w:val="none"/>
          <w:u w:val="single"/>
          <w:lang w:val="en-US" w:eastAsia="zh-CN"/>
        </w:rPr>
      </w:pPr>
      <w:r>
        <w:rPr>
          <w:rFonts w:hint="eastAsia" w:eastAsia="宋体" w:cs="Times New Roman"/>
          <w:color w:val="auto"/>
          <w:sz w:val="24"/>
          <w:szCs w:val="24"/>
          <w:highlight w:val="none"/>
          <w:u w:val="single"/>
          <w:lang w:val="en-US" w:eastAsia="zh-CN"/>
        </w:rPr>
        <w:t>改建后全厂废水排放总量为388628.5m</w:t>
      </w:r>
      <w:r>
        <w:rPr>
          <w:rFonts w:hint="eastAsia" w:eastAsia="宋体" w:cs="Times New Roman"/>
          <w:color w:val="auto"/>
          <w:sz w:val="24"/>
          <w:szCs w:val="24"/>
          <w:highlight w:val="none"/>
          <w:u w:val="single"/>
          <w:vertAlign w:val="superscript"/>
          <w:lang w:val="en-US" w:eastAsia="zh-CN"/>
        </w:rPr>
        <w:t>3</w:t>
      </w:r>
      <w:r>
        <w:rPr>
          <w:rFonts w:hint="eastAsia" w:eastAsia="宋体" w:cs="Times New Roman"/>
          <w:color w:val="auto"/>
          <w:sz w:val="24"/>
          <w:szCs w:val="24"/>
          <w:highlight w:val="none"/>
          <w:u w:val="single"/>
          <w:lang w:val="en-US" w:eastAsia="zh-CN"/>
        </w:rPr>
        <w:t>/a，废水污染物排放总量为：出厂界</w:t>
      </w:r>
      <w:r>
        <w:rPr>
          <w:rFonts w:hint="eastAsia"/>
          <w:color w:val="auto"/>
          <w:u w:val="single"/>
          <w:lang w:val="en-US" w:eastAsia="zh-CN"/>
        </w:rPr>
        <w:t>许可排放量为COD41.5832t/a、氨氮2.6038t/a；</w:t>
      </w:r>
      <w:r>
        <w:rPr>
          <w:rFonts w:hint="eastAsia" w:eastAsia="宋体" w:cs="Times New Roman"/>
          <w:color w:val="auto"/>
          <w:sz w:val="24"/>
          <w:szCs w:val="24"/>
          <w:highlight w:val="none"/>
          <w:u w:val="single"/>
          <w:lang w:val="en-US" w:eastAsia="zh-CN"/>
        </w:rPr>
        <w:t>进外环境总量控制指标为COD11.6589 t/a、氨氮0.5829 t/a。现有工程废水污染物进外环境总量控制指标为COD14.5t/a，氨氮1.5t/a，故本次需要申请的入外环境总量控制指标为COD0t/a，氨氮0t/a。</w:t>
      </w:r>
    </w:p>
    <w:p>
      <w:pPr>
        <w:bidi w:val="0"/>
        <w:adjustRightInd w:val="0"/>
        <w:snapToGrid w:val="0"/>
        <w:spacing w:line="480" w:lineRule="exact"/>
        <w:ind w:firstLine="480" w:firstLineChars="200"/>
        <w:rPr>
          <w:rFonts w:hint="default"/>
          <w:color w:val="auto"/>
          <w:u w:val="single"/>
        </w:rPr>
      </w:pPr>
      <w:r>
        <w:rPr>
          <w:rFonts w:hint="eastAsia" w:eastAsia="宋体" w:cs="Times New Roman"/>
          <w:color w:val="auto"/>
          <w:sz w:val="24"/>
          <w:szCs w:val="24"/>
          <w:highlight w:val="none"/>
          <w:u w:val="single"/>
          <w:lang w:val="en-US" w:eastAsia="zh-CN"/>
        </w:rPr>
        <w:t>改建工程实施后，全厂废气污染物排放量分别为：二氧化硫</w:t>
      </w:r>
      <w:r>
        <w:rPr>
          <w:rFonts w:hint="eastAsia"/>
          <w:color w:val="auto"/>
          <w:sz w:val="24"/>
          <w:highlight w:val="none"/>
          <w:u w:val="single"/>
          <w:lang w:val="en-US" w:eastAsia="zh-CN"/>
        </w:rPr>
        <w:t>1.5504</w:t>
      </w:r>
      <w:r>
        <w:rPr>
          <w:rFonts w:hint="eastAsia" w:eastAsia="宋体" w:cs="Times New Roman"/>
          <w:color w:val="auto"/>
          <w:sz w:val="24"/>
          <w:szCs w:val="24"/>
          <w:highlight w:val="none"/>
          <w:u w:val="single"/>
          <w:lang w:val="en-US" w:eastAsia="zh-CN"/>
        </w:rPr>
        <w:t>t/a、氮氧化物</w:t>
      </w:r>
      <w:r>
        <w:rPr>
          <w:rFonts w:hint="eastAsia"/>
          <w:color w:val="auto"/>
          <w:sz w:val="24"/>
          <w:highlight w:val="none"/>
          <w:u w:val="single"/>
          <w:lang w:val="en-US" w:eastAsia="zh-CN"/>
        </w:rPr>
        <w:t>18.3587t</w:t>
      </w:r>
      <w:r>
        <w:rPr>
          <w:rFonts w:hint="eastAsia" w:eastAsia="宋体" w:cs="Times New Roman"/>
          <w:color w:val="auto"/>
          <w:sz w:val="24"/>
          <w:szCs w:val="24"/>
          <w:highlight w:val="none"/>
          <w:u w:val="single"/>
          <w:lang w:val="en-US" w:eastAsia="zh-CN"/>
        </w:rPr>
        <w:t>/a、非甲烷总烃6.7933t/a。现有工程废气污染物允许排放量指标为：二氧化硫</w:t>
      </w:r>
      <w:r>
        <w:rPr>
          <w:rFonts w:hint="eastAsia" w:ascii="Times New Roman" w:eastAsia="宋体"/>
          <w:color w:val="auto"/>
          <w:highlight w:val="none"/>
          <w:u w:val="single"/>
          <w:lang w:val="en-US" w:eastAsia="zh-CN"/>
        </w:rPr>
        <w:t>14.7492t/a、</w:t>
      </w:r>
      <w:r>
        <w:rPr>
          <w:rFonts w:hint="eastAsia" w:eastAsia="宋体" w:cs="Times New Roman"/>
          <w:color w:val="auto"/>
          <w:sz w:val="24"/>
          <w:szCs w:val="24"/>
          <w:highlight w:val="none"/>
          <w:u w:val="single"/>
          <w:lang w:val="en-US" w:eastAsia="zh-CN"/>
        </w:rPr>
        <w:t>氮氧化物</w:t>
      </w:r>
      <w:r>
        <w:rPr>
          <w:rFonts w:hint="eastAsia" w:ascii="Times New Roman" w:eastAsia="宋体"/>
          <w:color w:val="auto"/>
          <w:highlight w:val="none"/>
          <w:u w:val="single"/>
          <w:lang w:val="en-US" w:eastAsia="zh-CN"/>
        </w:rPr>
        <w:t>24.4332t/a、</w:t>
      </w:r>
      <w:r>
        <w:rPr>
          <w:rFonts w:hint="eastAsia" w:eastAsia="宋体" w:cs="Times New Roman"/>
          <w:color w:val="auto"/>
          <w:sz w:val="24"/>
          <w:szCs w:val="24"/>
          <w:highlight w:val="none"/>
          <w:u w:val="single"/>
          <w:lang w:val="en-US" w:eastAsia="zh-CN"/>
        </w:rPr>
        <w:t>非甲烷总烃</w:t>
      </w:r>
      <w:r>
        <w:rPr>
          <w:rFonts w:hint="eastAsia" w:eastAsia="宋体"/>
          <w:color w:val="auto"/>
          <w:highlight w:val="none"/>
          <w:u w:val="single"/>
          <w:lang w:val="en-US" w:eastAsia="zh-CN"/>
        </w:rPr>
        <w:t>8.64</w:t>
      </w:r>
      <w:r>
        <w:rPr>
          <w:rFonts w:hint="eastAsia" w:ascii="Times New Roman" w:eastAsia="宋体"/>
          <w:color w:val="auto"/>
          <w:highlight w:val="none"/>
          <w:u w:val="single"/>
          <w:lang w:val="en-US" w:eastAsia="zh-CN"/>
        </w:rPr>
        <w:t>t/a</w:t>
      </w:r>
      <w:r>
        <w:rPr>
          <w:rFonts w:hint="eastAsia" w:eastAsia="宋体" w:cs="Times New Roman"/>
          <w:color w:val="auto"/>
          <w:sz w:val="24"/>
          <w:szCs w:val="24"/>
          <w:highlight w:val="none"/>
          <w:u w:val="single"/>
          <w:lang w:val="en-US" w:eastAsia="zh-CN"/>
        </w:rPr>
        <w:t>。</w:t>
      </w:r>
      <w:r>
        <w:rPr>
          <w:rFonts w:hint="eastAsia" w:ascii="Times New Roman" w:hAnsi="Times New Roman" w:eastAsia="宋体" w:cs="Times New Roman"/>
          <w:color w:val="auto"/>
          <w:sz w:val="24"/>
          <w:szCs w:val="24"/>
          <w:highlight w:val="none"/>
          <w:u w:val="single"/>
          <w:lang w:val="en-US" w:eastAsia="zh-CN"/>
        </w:rPr>
        <w:t>改建工程实施后污染物排放量不超过现有工程总量控制指标，因此不需新申总量控制指标。</w:t>
      </w:r>
    </w:p>
    <w:p>
      <w:pPr>
        <w:pStyle w:val="3"/>
        <w:bidi w:val="0"/>
        <w:rPr>
          <w:rFonts w:hint="default"/>
          <w:color w:val="auto"/>
          <w:highlight w:val="none"/>
          <w:u w:val="none"/>
          <w:lang w:val="en-US" w:eastAsia="zh-CN"/>
        </w:rPr>
      </w:pPr>
      <w:bookmarkStart w:id="437" w:name="_Toc14677"/>
      <w:bookmarkStart w:id="438" w:name="_Toc6053"/>
      <w:bookmarkStart w:id="439" w:name="_Toc15519"/>
      <w:bookmarkStart w:id="440" w:name="_Toc30813"/>
      <w:bookmarkStart w:id="441" w:name="_Toc604"/>
      <w:bookmarkStart w:id="442" w:name="_Toc27115"/>
      <w:bookmarkStart w:id="443" w:name="_Toc361"/>
      <w:bookmarkStart w:id="444" w:name="_Toc24739"/>
      <w:bookmarkStart w:id="445" w:name="_Toc3638"/>
      <w:bookmarkStart w:id="446" w:name="_Toc27224"/>
      <w:bookmarkStart w:id="447" w:name="_Toc10206"/>
      <w:bookmarkStart w:id="448" w:name="_Toc11092"/>
      <w:bookmarkStart w:id="449" w:name="_Toc1495"/>
      <w:r>
        <w:rPr>
          <w:rFonts w:hint="default"/>
          <w:color w:val="auto"/>
          <w:highlight w:val="none"/>
          <w:u w:val="none"/>
          <w:lang w:val="en-US" w:eastAsia="zh-CN"/>
        </w:rPr>
        <w:t>公众参与结论</w:t>
      </w:r>
      <w:bookmarkEnd w:id="437"/>
      <w:bookmarkEnd w:id="438"/>
      <w:bookmarkEnd w:id="439"/>
      <w:bookmarkEnd w:id="440"/>
      <w:bookmarkEnd w:id="441"/>
      <w:bookmarkEnd w:id="442"/>
      <w:bookmarkEnd w:id="443"/>
      <w:bookmarkEnd w:id="444"/>
      <w:bookmarkEnd w:id="445"/>
      <w:bookmarkEnd w:id="446"/>
      <w:bookmarkEnd w:id="447"/>
      <w:bookmarkEnd w:id="448"/>
      <w:bookmarkEnd w:id="449"/>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建设单位</w:t>
      </w:r>
      <w:r>
        <w:rPr>
          <w:rFonts w:hint="eastAsia" w:eastAsia="宋体" w:cs="Times New Roman"/>
          <w:color w:val="auto"/>
          <w:sz w:val="24"/>
          <w:szCs w:val="24"/>
          <w:highlight w:val="none"/>
          <w:u w:val="none"/>
          <w:lang w:eastAsia="zh-CN"/>
        </w:rPr>
        <w:t>河南华商药业有限公司</w:t>
      </w:r>
      <w:r>
        <w:rPr>
          <w:rFonts w:hint="default" w:ascii="Times New Roman" w:hAnsi="Times New Roman" w:eastAsia="宋体" w:cs="Times New Roman"/>
          <w:color w:val="auto"/>
          <w:sz w:val="24"/>
          <w:szCs w:val="24"/>
          <w:highlight w:val="none"/>
          <w:u w:val="none"/>
        </w:rPr>
        <w:t>按照《环境影响评价公众参与办法》（生态环境部令第4号，2019.1.1）的要求进行了公众参与。</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eastAsia="zh-CN"/>
        </w:rPr>
      </w:pPr>
      <w:r>
        <w:rPr>
          <w:rFonts w:hint="eastAsia" w:eastAsia="宋体" w:cs="Times New Roman"/>
          <w:color w:val="auto"/>
          <w:sz w:val="24"/>
          <w:szCs w:val="24"/>
          <w:highlight w:val="none"/>
          <w:u w:val="none"/>
          <w:lang w:eastAsia="zh-CN"/>
        </w:rPr>
        <w:t>河南华商药业有限公司</w:t>
      </w:r>
      <w:r>
        <w:rPr>
          <w:rFonts w:hint="default" w:ascii="Times New Roman" w:hAnsi="Times New Roman" w:eastAsia="宋体" w:cs="Times New Roman"/>
          <w:color w:val="auto"/>
          <w:sz w:val="24"/>
          <w:szCs w:val="24"/>
          <w:highlight w:val="none"/>
          <w:u w:val="none"/>
        </w:rPr>
        <w:t>于202</w:t>
      </w:r>
      <w:r>
        <w:rPr>
          <w:rFonts w:hint="default" w:ascii="Times New Roman" w:hAnsi="Times New Roman" w:eastAsia="宋体" w:cs="Times New Roman"/>
          <w:color w:val="auto"/>
          <w:sz w:val="24"/>
          <w:szCs w:val="24"/>
          <w:highlight w:val="none"/>
          <w:u w:val="none"/>
          <w:lang w:eastAsia="zh-CN"/>
        </w:rPr>
        <w:t>1</w:t>
      </w:r>
      <w:r>
        <w:rPr>
          <w:rFonts w:hint="eastAsia" w:eastAsia="宋体" w:cs="Times New Roman"/>
          <w:color w:val="auto"/>
          <w:sz w:val="24"/>
          <w:szCs w:val="24"/>
          <w:highlight w:val="none"/>
          <w:u w:val="none"/>
          <w:lang w:val="en-US" w:eastAsia="zh-CN"/>
        </w:rPr>
        <w:t>年11</w:t>
      </w:r>
      <w:r>
        <w:rPr>
          <w:rFonts w:hint="default" w:ascii="Times New Roman" w:hAnsi="Times New Roman" w:eastAsia="宋体" w:cs="Times New Roman"/>
          <w:color w:val="auto"/>
          <w:sz w:val="24"/>
          <w:szCs w:val="24"/>
          <w:highlight w:val="none"/>
          <w:u w:val="none"/>
          <w:lang w:val="en-US" w:eastAsia="zh-CN"/>
        </w:rPr>
        <w:t>月</w:t>
      </w:r>
      <w:r>
        <w:rPr>
          <w:rFonts w:hint="eastAsia" w:eastAsia="宋体" w:cs="Times New Roman"/>
          <w:color w:val="auto"/>
          <w:sz w:val="24"/>
          <w:szCs w:val="24"/>
          <w:highlight w:val="none"/>
          <w:u w:val="none"/>
          <w:lang w:val="en-US" w:eastAsia="zh-CN"/>
        </w:rPr>
        <w:t>01</w:t>
      </w:r>
      <w:r>
        <w:rPr>
          <w:rFonts w:hint="default" w:ascii="Times New Roman" w:hAnsi="Times New Roman" w:eastAsia="宋体" w:cs="Times New Roman"/>
          <w:color w:val="auto"/>
          <w:sz w:val="24"/>
          <w:szCs w:val="24"/>
          <w:highlight w:val="none"/>
          <w:u w:val="none"/>
          <w:lang w:val="en-US" w:eastAsia="zh-CN"/>
        </w:rPr>
        <w:t>日</w:t>
      </w:r>
      <w:r>
        <w:rPr>
          <w:rFonts w:hint="default" w:ascii="Times New Roman" w:hAnsi="Times New Roman" w:eastAsia="宋体" w:cs="Times New Roman"/>
          <w:color w:val="auto"/>
          <w:sz w:val="24"/>
          <w:szCs w:val="24"/>
          <w:highlight w:val="none"/>
          <w:u w:val="none"/>
        </w:rPr>
        <w:t>通过</w:t>
      </w:r>
      <w:r>
        <w:rPr>
          <w:rFonts w:hint="eastAsia" w:eastAsia="宋体" w:cs="Times New Roman"/>
          <w:color w:val="auto"/>
          <w:sz w:val="24"/>
          <w:szCs w:val="24"/>
          <w:highlight w:val="none"/>
          <w:u w:val="none"/>
          <w:lang w:val="en-US" w:eastAsia="zh-CN"/>
        </w:rPr>
        <w:t>公司网站</w:t>
      </w:r>
      <w:r>
        <w:rPr>
          <w:rFonts w:hint="default" w:ascii="Times New Roman" w:hAnsi="Times New Roman" w:eastAsia="宋体" w:cs="Times New Roman"/>
          <w:color w:val="auto"/>
          <w:sz w:val="24"/>
          <w:szCs w:val="24"/>
          <w:highlight w:val="none"/>
          <w:u w:val="none"/>
          <w:lang w:val="en-US" w:eastAsia="zh-CN"/>
        </w:rPr>
        <w:t>进行</w:t>
      </w:r>
      <w:r>
        <w:rPr>
          <w:rFonts w:hint="default" w:ascii="Times New Roman" w:hAnsi="Times New Roman" w:eastAsia="宋体" w:cs="Times New Roman"/>
          <w:color w:val="auto"/>
          <w:sz w:val="24"/>
          <w:szCs w:val="24"/>
          <w:highlight w:val="none"/>
          <w:u w:val="none"/>
        </w:rPr>
        <w:t>第一次环评公示</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于202</w:t>
      </w:r>
      <w:r>
        <w:rPr>
          <w:rFonts w:hint="eastAsia" w:eastAsia="宋体"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lang w:val="en-US" w:eastAsia="zh-CN"/>
        </w:rPr>
        <w:t>年</w:t>
      </w:r>
      <w:r>
        <w:rPr>
          <w:rFonts w:hint="eastAsia" w:eastAsia="宋体" w:cs="Times New Roman"/>
          <w:color w:val="auto"/>
          <w:sz w:val="24"/>
          <w:szCs w:val="24"/>
          <w:highlight w:val="none"/>
          <w:u w:val="none"/>
          <w:lang w:val="en-US" w:eastAsia="zh-CN"/>
        </w:rPr>
        <w:t>3</w:t>
      </w:r>
      <w:r>
        <w:rPr>
          <w:rFonts w:hint="default" w:ascii="Times New Roman" w:hAnsi="Times New Roman" w:eastAsia="宋体" w:cs="Times New Roman"/>
          <w:color w:val="auto"/>
          <w:sz w:val="24"/>
          <w:szCs w:val="24"/>
          <w:highlight w:val="none"/>
          <w:u w:val="none"/>
          <w:lang w:val="en-US" w:eastAsia="zh-CN"/>
        </w:rPr>
        <w:t>月</w:t>
      </w:r>
      <w:r>
        <w:rPr>
          <w:rFonts w:hint="eastAsia" w:eastAsia="宋体" w:cs="Times New Roman"/>
          <w:color w:val="auto"/>
          <w:sz w:val="24"/>
          <w:szCs w:val="24"/>
          <w:highlight w:val="none"/>
          <w:u w:val="none"/>
          <w:lang w:val="en-US" w:eastAsia="zh-CN"/>
        </w:rPr>
        <w:t>18</w:t>
      </w:r>
      <w:r>
        <w:rPr>
          <w:rFonts w:hint="default" w:ascii="Times New Roman" w:hAnsi="Times New Roman" w:eastAsia="宋体" w:cs="Times New Roman"/>
          <w:color w:val="auto"/>
          <w:sz w:val="24"/>
          <w:szCs w:val="24"/>
          <w:highlight w:val="none"/>
          <w:u w:val="none"/>
          <w:lang w:val="en-US" w:eastAsia="zh-CN"/>
        </w:rPr>
        <w:t>日进行</w:t>
      </w:r>
      <w:r>
        <w:rPr>
          <w:rFonts w:hint="default" w:ascii="Times New Roman" w:hAnsi="Times New Roman" w:eastAsia="宋体" w:cs="Times New Roman"/>
          <w:color w:val="auto"/>
          <w:sz w:val="24"/>
          <w:szCs w:val="24"/>
          <w:highlight w:val="none"/>
          <w:u w:val="none"/>
        </w:rPr>
        <w:t>第二次环评公示，并在网站链接项目环评报告征求意见稿，以供查阅</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同时</w:t>
      </w:r>
      <w:r>
        <w:rPr>
          <w:rFonts w:hint="default" w:ascii="Times New Roman" w:hAnsi="Times New Roman" w:eastAsia="宋体" w:cs="Times New Roman"/>
          <w:color w:val="auto"/>
          <w:sz w:val="24"/>
          <w:szCs w:val="24"/>
          <w:highlight w:val="none"/>
          <w:u w:val="none"/>
        </w:rPr>
        <w:t>于202</w:t>
      </w:r>
      <w:r>
        <w:rPr>
          <w:rFonts w:hint="eastAsia" w:eastAsia="宋体"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rPr>
        <w:t>年</w:t>
      </w:r>
      <w:r>
        <w:rPr>
          <w:rFonts w:hint="eastAsia" w:eastAsia="宋体" w:cs="Times New Roman"/>
          <w:color w:val="auto"/>
          <w:sz w:val="24"/>
          <w:szCs w:val="24"/>
          <w:highlight w:val="none"/>
          <w:u w:val="none"/>
          <w:lang w:val="en-US" w:eastAsia="zh-CN"/>
        </w:rPr>
        <w:t>3</w:t>
      </w:r>
      <w:r>
        <w:rPr>
          <w:rFonts w:hint="default" w:ascii="Times New Roman" w:hAnsi="Times New Roman" w:eastAsia="宋体" w:cs="Times New Roman"/>
          <w:color w:val="auto"/>
          <w:sz w:val="24"/>
          <w:szCs w:val="24"/>
          <w:highlight w:val="none"/>
          <w:u w:val="none"/>
        </w:rPr>
        <w:t>月</w:t>
      </w:r>
      <w:r>
        <w:rPr>
          <w:rFonts w:hint="eastAsia" w:eastAsia="宋体" w:cs="Times New Roman"/>
          <w:color w:val="auto"/>
          <w:sz w:val="24"/>
          <w:szCs w:val="24"/>
          <w:highlight w:val="none"/>
          <w:u w:val="none"/>
          <w:lang w:val="en-US" w:eastAsia="zh-CN"/>
        </w:rPr>
        <w:t>23</w:t>
      </w:r>
      <w:r>
        <w:rPr>
          <w:rFonts w:hint="default" w:ascii="Times New Roman" w:hAnsi="Times New Roman" w:eastAsia="宋体" w:cs="Times New Roman"/>
          <w:color w:val="auto"/>
          <w:sz w:val="24"/>
          <w:szCs w:val="24"/>
          <w:highlight w:val="none"/>
          <w:u w:val="none"/>
        </w:rPr>
        <w:t>日</w:t>
      </w:r>
      <w:r>
        <w:rPr>
          <w:rFonts w:hint="default" w:ascii="Times New Roman" w:hAnsi="Times New Roman" w:eastAsia="宋体" w:cs="Times New Roman"/>
          <w:color w:val="auto"/>
          <w:sz w:val="24"/>
          <w:szCs w:val="24"/>
          <w:highlight w:val="none"/>
          <w:u w:val="none"/>
          <w:lang w:eastAsia="zh-CN"/>
        </w:rPr>
        <w:t>、</w:t>
      </w:r>
      <w:r>
        <w:rPr>
          <w:rFonts w:hint="eastAsia" w:eastAsia="宋体" w:cs="Times New Roman"/>
          <w:color w:val="auto"/>
          <w:sz w:val="24"/>
          <w:szCs w:val="24"/>
          <w:highlight w:val="none"/>
          <w:u w:val="none"/>
          <w:lang w:val="en-US" w:eastAsia="zh-CN"/>
        </w:rPr>
        <w:t>3</w:t>
      </w:r>
      <w:r>
        <w:rPr>
          <w:rFonts w:hint="default" w:ascii="Times New Roman" w:hAnsi="Times New Roman" w:eastAsia="宋体" w:cs="Times New Roman"/>
          <w:color w:val="auto"/>
          <w:sz w:val="24"/>
          <w:szCs w:val="24"/>
          <w:highlight w:val="none"/>
          <w:u w:val="none"/>
          <w:lang w:val="en-US" w:eastAsia="zh-CN"/>
        </w:rPr>
        <w:t>月</w:t>
      </w:r>
      <w:r>
        <w:rPr>
          <w:rFonts w:hint="eastAsia" w:eastAsia="宋体" w:cs="Times New Roman"/>
          <w:color w:val="auto"/>
          <w:sz w:val="24"/>
          <w:szCs w:val="24"/>
          <w:highlight w:val="none"/>
          <w:u w:val="none"/>
          <w:lang w:val="en-US" w:eastAsia="zh-CN"/>
        </w:rPr>
        <w:t>24</w:t>
      </w:r>
      <w:r>
        <w:rPr>
          <w:rFonts w:hint="default" w:ascii="Times New Roman" w:hAnsi="Times New Roman" w:eastAsia="宋体" w:cs="Times New Roman"/>
          <w:color w:val="auto"/>
          <w:sz w:val="24"/>
          <w:szCs w:val="24"/>
          <w:highlight w:val="none"/>
          <w:u w:val="none"/>
          <w:lang w:val="en-US" w:eastAsia="zh-CN"/>
        </w:rPr>
        <w:t>日</w:t>
      </w:r>
      <w:r>
        <w:rPr>
          <w:rFonts w:hint="default" w:ascii="Times New Roman" w:hAnsi="Times New Roman" w:eastAsia="宋体" w:cs="Times New Roman"/>
          <w:color w:val="auto"/>
          <w:sz w:val="24"/>
          <w:szCs w:val="24"/>
          <w:highlight w:val="none"/>
          <w:u w:val="none"/>
        </w:rPr>
        <w:t>在</w:t>
      </w:r>
      <w:r>
        <w:rPr>
          <w:rFonts w:hint="default" w:ascii="Times New Roman" w:hAnsi="Times New Roman" w:eastAsia="宋体" w:cs="Times New Roman"/>
          <w:color w:val="auto"/>
          <w:sz w:val="24"/>
          <w:szCs w:val="24"/>
          <w:highlight w:val="none"/>
          <w:u w:val="none"/>
          <w:lang w:val="en-US" w:eastAsia="zh-CN"/>
        </w:rPr>
        <w:t>中国工业报</w:t>
      </w:r>
      <w:r>
        <w:rPr>
          <w:rFonts w:hint="default" w:ascii="Times New Roman" w:hAnsi="Times New Roman" w:eastAsia="宋体" w:cs="Times New Roman"/>
          <w:color w:val="auto"/>
          <w:sz w:val="24"/>
          <w:szCs w:val="24"/>
          <w:highlight w:val="none"/>
          <w:u w:val="none"/>
        </w:rPr>
        <w:t>进行了2次纸质媒体公示。2023年1月17日在企业网站进行了</w:t>
      </w:r>
      <w:r>
        <w:rPr>
          <w:rFonts w:hint="eastAsia" w:eastAsia="宋体" w:cs="Times New Roman"/>
          <w:color w:val="auto"/>
          <w:sz w:val="24"/>
          <w:szCs w:val="24"/>
          <w:highlight w:val="none"/>
          <w:u w:val="none"/>
          <w:lang w:val="en-US" w:eastAsia="zh-CN"/>
        </w:rPr>
        <w:t>项目环评报告</w:t>
      </w:r>
      <w:r>
        <w:rPr>
          <w:rFonts w:hint="default" w:ascii="Times New Roman" w:hAnsi="Times New Roman" w:eastAsia="宋体" w:cs="Times New Roman"/>
          <w:color w:val="auto"/>
          <w:sz w:val="24"/>
          <w:szCs w:val="24"/>
          <w:highlight w:val="none"/>
          <w:u w:val="none"/>
        </w:rPr>
        <w:t>全文</w:t>
      </w:r>
      <w:r>
        <w:rPr>
          <w:rFonts w:hint="eastAsia" w:eastAsia="宋体" w:cs="Times New Roman"/>
          <w:color w:val="auto"/>
          <w:sz w:val="24"/>
          <w:szCs w:val="24"/>
          <w:highlight w:val="none"/>
          <w:u w:val="none"/>
          <w:lang w:val="en-US" w:eastAsia="zh-CN"/>
        </w:rPr>
        <w:t>报批版公示</w:t>
      </w:r>
      <w:r>
        <w:rPr>
          <w:rFonts w:hint="default" w:ascii="Times New Roman" w:hAnsi="Times New Roman" w:eastAsia="宋体" w:cs="Times New Roman"/>
          <w:color w:val="auto"/>
          <w:sz w:val="24"/>
          <w:szCs w:val="24"/>
          <w:highlight w:val="none"/>
          <w:u w:val="none"/>
        </w:rPr>
        <w:t>及该项目公众参与说明</w:t>
      </w:r>
      <w:r>
        <w:rPr>
          <w:rFonts w:hint="eastAsia" w:eastAsia="宋体" w:cs="Times New Roman"/>
          <w:color w:val="auto"/>
          <w:sz w:val="24"/>
          <w:szCs w:val="24"/>
          <w:highlight w:val="none"/>
          <w:u w:val="none"/>
          <w:lang w:val="en-US" w:eastAsia="zh-CN"/>
        </w:rPr>
        <w:t>公示</w:t>
      </w:r>
      <w:r>
        <w:rPr>
          <w:rFonts w:hint="default" w:ascii="Times New Roman" w:hAnsi="Times New Roman" w:eastAsia="宋体" w:cs="Times New Roman"/>
          <w:color w:val="auto"/>
          <w:sz w:val="24"/>
          <w:szCs w:val="24"/>
          <w:highlight w:val="none"/>
          <w:u w:val="none"/>
        </w:rPr>
        <w:t xml:space="preserve">。 </w:t>
      </w:r>
    </w:p>
    <w:p>
      <w:pPr>
        <w:bidi w:val="0"/>
        <w:adjustRightInd w:val="0"/>
        <w:snapToGrid w:val="0"/>
        <w:spacing w:line="480" w:lineRule="exact"/>
        <w:ind w:firstLine="480" w:firstLineChars="200"/>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auto"/>
          <w:sz w:val="24"/>
          <w:szCs w:val="24"/>
          <w:highlight w:val="none"/>
          <w:u w:val="none"/>
        </w:rPr>
        <w:t>公示期间，未收到关于对本项目建设的</w:t>
      </w:r>
      <w:r>
        <w:rPr>
          <w:rFonts w:hint="default" w:ascii="Times New Roman" w:hAnsi="Times New Roman" w:eastAsia="宋体" w:cs="Times New Roman"/>
          <w:color w:val="auto"/>
          <w:sz w:val="24"/>
          <w:szCs w:val="24"/>
          <w:highlight w:val="none"/>
          <w:u w:val="none"/>
          <w:lang w:val="en-US" w:eastAsia="zh-CN"/>
        </w:rPr>
        <w:t>反馈意见</w:t>
      </w:r>
      <w:r>
        <w:rPr>
          <w:rFonts w:hint="default" w:ascii="Times New Roman" w:hAnsi="Times New Roman" w:eastAsia="宋体" w:cs="Times New Roman"/>
          <w:color w:val="auto"/>
          <w:sz w:val="24"/>
          <w:szCs w:val="24"/>
          <w:highlight w:val="none"/>
          <w:u w:val="none"/>
        </w:rPr>
        <w:t>。</w:t>
      </w:r>
    </w:p>
    <w:p>
      <w:pPr>
        <w:pStyle w:val="3"/>
        <w:bidi w:val="0"/>
        <w:rPr>
          <w:rFonts w:hint="default"/>
          <w:color w:val="auto"/>
          <w:highlight w:val="none"/>
          <w:u w:val="none"/>
          <w:lang w:val="en-US" w:eastAsia="zh-CN"/>
        </w:rPr>
      </w:pPr>
      <w:bookmarkStart w:id="450" w:name="_Toc471"/>
      <w:bookmarkStart w:id="451" w:name="_Toc5209"/>
      <w:bookmarkStart w:id="452" w:name="_Toc16915"/>
      <w:bookmarkStart w:id="453" w:name="_Toc1832"/>
      <w:bookmarkStart w:id="454" w:name="_Toc32597"/>
      <w:bookmarkStart w:id="455" w:name="_Toc27178"/>
      <w:bookmarkStart w:id="456" w:name="_Toc529"/>
      <w:bookmarkStart w:id="457" w:name="_Toc23394"/>
      <w:bookmarkStart w:id="458" w:name="_Toc20057"/>
      <w:bookmarkStart w:id="459" w:name="_Toc30908"/>
      <w:bookmarkStart w:id="460" w:name="_Toc13127"/>
      <w:bookmarkStart w:id="461" w:name="_Toc28226"/>
      <w:bookmarkStart w:id="462" w:name="_Toc30100"/>
      <w:bookmarkStart w:id="463" w:name="_Toc16922"/>
      <w:bookmarkStart w:id="464" w:name="_Toc17733"/>
      <w:bookmarkStart w:id="465" w:name="_Toc23989"/>
      <w:bookmarkStart w:id="466" w:name="_Toc21668"/>
      <w:bookmarkStart w:id="467" w:name="_Toc17062"/>
      <w:bookmarkStart w:id="468" w:name="_Toc3026"/>
      <w:bookmarkStart w:id="469" w:name="_Toc4737"/>
      <w:bookmarkStart w:id="470" w:name="_Toc22234"/>
      <w:bookmarkStart w:id="471" w:name="_Toc30132"/>
      <w:bookmarkStart w:id="472" w:name="_Toc8452"/>
      <w:r>
        <w:rPr>
          <w:rFonts w:hint="default"/>
          <w:color w:val="auto"/>
          <w:highlight w:val="none"/>
          <w:u w:val="none"/>
          <w:lang w:val="en-US" w:eastAsia="zh-CN"/>
        </w:rPr>
        <w:t>总结论</w:t>
      </w:r>
      <w:bookmarkEnd w:id="450"/>
      <w:bookmarkEnd w:id="451"/>
      <w:bookmarkEnd w:id="452"/>
      <w:bookmarkEnd w:id="453"/>
      <w:bookmarkEnd w:id="454"/>
      <w:bookmarkEnd w:id="455"/>
      <w:bookmarkEnd w:id="456"/>
      <w:bookmarkEnd w:id="457"/>
      <w:bookmarkEnd w:id="458"/>
      <w:bookmarkEnd w:id="459"/>
      <w:bookmarkEnd w:id="460"/>
      <w:bookmarkEnd w:id="461"/>
      <w:bookmarkEnd w:id="462"/>
    </w:p>
    <w:p>
      <w:pPr>
        <w:bidi w:val="0"/>
        <w:adjustRightInd w:val="0"/>
        <w:snapToGrid w:val="0"/>
        <w:spacing w:line="480" w:lineRule="exact"/>
        <w:ind w:firstLine="482" w:firstLineChars="200"/>
        <w:rPr>
          <w:rFonts w:hint="eastAsia"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rPr>
        <w:t>综上所述，</w:t>
      </w:r>
      <w:r>
        <w:rPr>
          <w:rFonts w:hint="eastAsia" w:eastAsia="宋体" w:cs="Times New Roman"/>
          <w:b/>
          <w:bCs/>
          <w:color w:val="auto"/>
          <w:sz w:val="24"/>
          <w:szCs w:val="24"/>
          <w:highlight w:val="none"/>
          <w:u w:val="none"/>
          <w:lang w:eastAsia="zh-CN"/>
        </w:rPr>
        <w:t>河南华商药业有限公司</w:t>
      </w:r>
      <w:r>
        <w:rPr>
          <w:rFonts w:hint="default" w:ascii="Times New Roman" w:hAnsi="Times New Roman" w:eastAsia="宋体" w:cs="Times New Roman"/>
          <w:b/>
          <w:bCs/>
          <w:color w:val="auto"/>
          <w:sz w:val="24"/>
          <w:szCs w:val="24"/>
          <w:highlight w:val="none"/>
          <w:u w:val="none"/>
          <w:lang w:eastAsia="zh-CN"/>
        </w:rPr>
        <w:t>年产1500吨原料药及中间体技改项目符合国家产业政策，符合区域</w:t>
      </w:r>
      <w:r>
        <w:rPr>
          <w:rFonts w:hint="default" w:ascii="Times New Roman" w:hAnsi="Times New Roman" w:eastAsia="宋体" w:cs="Times New Roman"/>
          <w:b/>
          <w:bCs/>
          <w:color w:val="auto"/>
          <w:sz w:val="24"/>
          <w:szCs w:val="24"/>
          <w:highlight w:val="none"/>
          <w:u w:val="none"/>
          <w:lang w:val="en-US" w:eastAsia="zh-CN"/>
        </w:rPr>
        <w:t>用地规划与功能区划</w:t>
      </w:r>
      <w:r>
        <w:rPr>
          <w:rFonts w:hint="default" w:ascii="Times New Roman" w:hAnsi="Times New Roman" w:eastAsia="宋体" w:cs="Times New Roman"/>
          <w:b/>
          <w:bCs/>
          <w:color w:val="auto"/>
          <w:sz w:val="24"/>
          <w:szCs w:val="24"/>
          <w:highlight w:val="none"/>
          <w:u w:val="none"/>
          <w:lang w:eastAsia="zh-CN"/>
        </w:rPr>
        <w:t>；项目营运期间产生的各类污染物均能实现达标排放或综合利用；项目营运期间污染物排放总量满足区域总量控制指标要求；项目建设符合清洁生产要求，</w:t>
      </w:r>
      <w:r>
        <w:rPr>
          <w:rFonts w:hint="eastAsia" w:eastAsia="宋体" w:cs="Times New Roman"/>
          <w:b/>
          <w:bCs/>
          <w:color w:val="auto"/>
          <w:sz w:val="24"/>
          <w:szCs w:val="24"/>
          <w:highlight w:val="none"/>
          <w:u w:val="none"/>
          <w:lang w:val="en-US" w:eastAsia="zh-CN"/>
        </w:rPr>
        <w:t>采取相应风险防范措施后</w:t>
      </w:r>
      <w:r>
        <w:rPr>
          <w:rFonts w:hint="default" w:ascii="Times New Roman" w:hAnsi="Times New Roman" w:eastAsia="宋体" w:cs="Times New Roman"/>
          <w:b/>
          <w:bCs/>
          <w:color w:val="auto"/>
          <w:sz w:val="24"/>
          <w:szCs w:val="24"/>
          <w:highlight w:val="none"/>
          <w:u w:val="none"/>
          <w:lang w:eastAsia="zh-CN"/>
        </w:rPr>
        <w:t>环境风险处于可接受水平，项目建设对区域的环境影响较小，项目选址可行。只要认真落实报告书提出的各项污染防治措施及风险防范措施，加强环境管理，严格落实“三同时”制度，从环保角度来看，该项目建设可行。</w:t>
      </w:r>
      <w:bookmarkEnd w:id="463"/>
      <w:bookmarkEnd w:id="464"/>
      <w:bookmarkEnd w:id="465"/>
      <w:bookmarkEnd w:id="466"/>
      <w:bookmarkEnd w:id="467"/>
      <w:bookmarkEnd w:id="468"/>
      <w:bookmarkEnd w:id="469"/>
      <w:bookmarkEnd w:id="470"/>
      <w:bookmarkEnd w:id="471"/>
      <w:bookmarkEnd w:id="472"/>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中文正文">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隶书">
    <w:panose1 w:val="02010509060101010101"/>
    <w:charset w:val="86"/>
    <w:family w:val="modern"/>
    <w:pitch w:val="default"/>
    <w:sig w:usb0="00000001" w:usb1="080E0000" w:usb2="00000000" w:usb3="00000000" w:csb0="00040000" w:csb1="00000000"/>
  </w:font>
  <w:font w:name="??">
    <w:altName w:val="Segoe Print"/>
    <w:panose1 w:val="00000000000000000000"/>
    <w:charset w:val="00"/>
    <w:family w:val="auto"/>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方正宋体">
    <w:altName w:val="宋体"/>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pacing w:line="480" w:lineRule="exact"/>
      <w:ind w:firstLine="480" w:firstLineChars="200"/>
      <w:jc w:val="both"/>
      <w:rPr>
        <w:rFonts w:ascii="Times New Roman" w:hAnsi="Times New Roman" w:eastAsia="宋体" w:cs="Times New Roman"/>
        <w:b w:val="0"/>
        <w:kern w:val="2"/>
        <w:sz w:val="24"/>
        <w:szCs w:val="18"/>
        <w:lang w:val="en-US" w:eastAsia="zh-CN" w:bidi="ar-SA"/>
      </w:rPr>
    </w:pPr>
    <w:r>
      <w:rPr>
        <w:rFonts w:ascii="Times New Roman" w:hAnsi="Times New Roman" w:eastAsia="宋体" w:cs="Times New Roman"/>
        <w:sz w:val="24"/>
        <w:szCs w:val="22"/>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480" w:lineRule="exact"/>
                            <w:ind w:firstLine="480" w:firstLineChars="200"/>
                            <w:rPr>
                              <w:rFonts w:hint="default" w:ascii="Times New Roman" w:hAnsi="Times New Roman" w:eastAsia="宋体" w:cs="Times New Roman"/>
                              <w:sz w:val="24"/>
                              <w:szCs w:val="22"/>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spacing w:line="480" w:lineRule="exact"/>
                      <w:ind w:firstLine="480" w:firstLineChars="200"/>
                      <w:rPr>
                        <w:rFonts w:hint="default" w:ascii="Times New Roman" w:hAnsi="Times New Roman" w:eastAsia="宋体" w:cs="Times New Roman"/>
                        <w:sz w:val="24"/>
                        <w:szCs w:val="22"/>
                        <w:lang w:val="en-US"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pacing w:line="480" w:lineRule="exact"/>
      <w:ind w:firstLine="480" w:firstLineChars="200"/>
      <w:jc w:val="both"/>
      <w:rPr>
        <w:rFonts w:ascii="Times New Roman" w:hAnsi="Times New Roman" w:eastAsia="宋体" w:cs="Times New Roman"/>
        <w:b w:val="0"/>
        <w:kern w:val="2"/>
        <w:sz w:val="24"/>
        <w:szCs w:val="18"/>
        <w:lang w:val="en-US" w:eastAsia="zh-CN" w:bidi="ar-SA"/>
      </w:rPr>
    </w:pPr>
    <w:r>
      <w:rPr>
        <w:rFonts w:ascii="Times New Roman" w:hAnsi="Times New Roman" w:eastAsia="宋体" w:cs="Times New Roman"/>
        <w:sz w:val="24"/>
        <w:szCs w:val="22"/>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480" w:lineRule="exact"/>
                            <w:ind w:firstLine="480" w:firstLineChars="200"/>
                            <w:rPr>
                              <w:rFonts w:hint="default" w:ascii="Times New Roman" w:hAnsi="Times New Roman" w:eastAsia="宋体" w:cs="Times New Roman"/>
                              <w:sz w:val="24"/>
                              <w:szCs w:val="22"/>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fill on="f" focussize="0,0"/>
              <v:stroke on="f" weight="0.5pt"/>
              <v:imagedata o:title=""/>
              <o:lock v:ext="edit" aspectratio="f"/>
              <v:textbox inset="0mm,0mm,0mm,0mm" style="mso-fit-shape-to-text:t;">
                <w:txbxContent>
                  <w:p>
                    <w:pPr>
                      <w:spacing w:line="480" w:lineRule="exact"/>
                      <w:ind w:firstLine="480" w:firstLineChars="200"/>
                      <w:rPr>
                        <w:rFonts w:hint="default" w:ascii="Times New Roman" w:hAnsi="Times New Roman" w:eastAsia="宋体" w:cs="Times New Roman"/>
                        <w:sz w:val="24"/>
                        <w:szCs w:val="22"/>
                        <w:lang w:val="en-US"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pacing w:line="480" w:lineRule="exact"/>
      <w:ind w:firstLine="480" w:firstLineChars="200"/>
      <w:jc w:val="both"/>
      <w:rPr>
        <w:rFonts w:ascii="Times New Roman" w:hAnsi="Times New Roman" w:eastAsia="宋体" w:cs="Times New Roman"/>
        <w:b w:val="0"/>
        <w:kern w:val="2"/>
        <w:sz w:val="24"/>
        <w:szCs w:val="18"/>
        <w:lang w:val="en-US" w:eastAsia="zh-CN" w:bidi="ar-SA"/>
      </w:rPr>
    </w:pPr>
    <w:r>
      <w:rPr>
        <w:rFonts w:ascii="Times New Roman" w:hAnsi="Times New Roman" w:eastAsia="宋体" w:cs="Times New Roman"/>
        <w:sz w:val="24"/>
        <w:szCs w:val="22"/>
      </w:rPr>
      <mc:AlternateContent>
        <mc:Choice Requires="wps">
          <w:drawing>
            <wp:anchor distT="0" distB="0" distL="114300" distR="114300" simplePos="0" relativeHeight="251672576" behindDoc="0" locked="0" layoutInCell="1" allowOverlap="1">
              <wp:simplePos x="0" y="0"/>
              <wp:positionH relativeFrom="margin">
                <wp:posOffset>2514600</wp:posOffset>
              </wp:positionH>
              <wp:positionV relativeFrom="paragraph">
                <wp:posOffset>64135</wp:posOffset>
              </wp:positionV>
              <wp:extent cx="467995" cy="24701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67995"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480" w:lineRule="exact"/>
                            <w:ind w:firstLine="480" w:firstLineChars="200"/>
                            <w:rPr>
                              <w:rFonts w:hint="default" w:ascii="Times New Roman" w:hAnsi="Times New Roman" w:eastAsia="宋体" w:cs="Times New Roman"/>
                              <w:sz w:val="24"/>
                              <w:szCs w:val="22"/>
                              <w:lang w:val="en-US"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98pt;margin-top:5.05pt;height:19.45pt;width:36.85pt;mso-position-horizontal-relative:margin;z-index:251672576;mso-width-relative:page;mso-height-relative:page;" filled="f" stroked="f" coordsize="21600,21600" o:gfxdata="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vx9jnXAAAACQEAAA8AAAAAAAAAAQAgAAAAIgAAAGRy&#10;cy9kb3ducmV2LnhtbFBLAQIUABQAAAAIAIdO4kDvKwilPwIAAHEEAAAOAAAAAAAAAAEAIAAAACYB&#10;AABkcnMvZTJvRG9jLnhtbFBLBQYAAAAABgAGAFkBAADXBQAAAAA=&#10;">
              <v:fill on="f" focussize="0,0"/>
              <v:stroke on="f" weight="0.5pt"/>
              <v:imagedata o:title=""/>
              <o:lock v:ext="edit" aspectratio="f"/>
              <v:textbox inset="0mm,0mm,0mm,0mm">
                <w:txbxContent>
                  <w:p>
                    <w:pPr>
                      <w:spacing w:line="480" w:lineRule="exact"/>
                      <w:ind w:firstLine="480" w:firstLineChars="200"/>
                      <w:rPr>
                        <w:rFonts w:hint="default" w:ascii="Times New Roman" w:hAnsi="Times New Roman" w:eastAsia="宋体" w:cs="Times New Roman"/>
                        <w:sz w:val="24"/>
                        <w:szCs w:val="22"/>
                        <w:lang w:val="en-US" w:eastAsia="zh-CN"/>
                      </w:rPr>
                    </w:pPr>
                  </w:p>
                </w:txbxContent>
              </v:textbox>
            </v:shape>
          </w:pict>
        </mc:Fallback>
      </mc:AlternateContent>
    </w:r>
    <w:r>
      <w:rPr>
        <w:rFonts w:ascii="Times New Roman" w:hAnsi="Times New Roman" w:eastAsia="宋体" w:cs="Times New Roman"/>
        <w:sz w:val="24"/>
        <w:szCs w:val="22"/>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pacing w:line="480" w:lineRule="exact"/>
                            <w:ind w:left="0" w:leftChars="0" w:firstLine="0" w:firstLineChars="0"/>
                            <w:jc w:val="both"/>
                            <w:rPr>
                              <w:rFonts w:hint="eastAsia" w:ascii="Times New Roman" w:hAnsi="Times New Roman" w:eastAsia="宋体" w:cs="Times New Roman"/>
                              <w:kern w:val="2"/>
                              <w:sz w:val="21"/>
                              <w:szCs w:val="18"/>
                              <w:lang w:val="en-US" w:eastAsia="zh-CN" w:bidi="ar-SA"/>
                            </w:rPr>
                          </w:pPr>
                          <w:r>
                            <w:rPr>
                              <w:rFonts w:hint="eastAsia" w:ascii="Times New Roman" w:hAnsi="Times New Roman" w:eastAsia="宋体" w:cs="Times New Roman"/>
                              <w:kern w:val="2"/>
                              <w:sz w:val="16"/>
                              <w:szCs w:val="16"/>
                              <w:lang w:val="en-US" w:eastAsia="zh-CN" w:bidi="ar-SA"/>
                            </w:rPr>
                            <w:fldChar w:fldCharType="begin"/>
                          </w:r>
                          <w:r>
                            <w:rPr>
                              <w:rFonts w:hint="eastAsia" w:ascii="Times New Roman" w:hAnsi="Times New Roman" w:eastAsia="宋体" w:cs="Times New Roman"/>
                              <w:kern w:val="2"/>
                              <w:sz w:val="16"/>
                              <w:szCs w:val="16"/>
                              <w:lang w:val="en-US" w:eastAsia="zh-CN" w:bidi="ar-SA"/>
                            </w:rPr>
                            <w:instrText xml:space="preserve"> PAGE  \* MERGEFORMAT </w:instrText>
                          </w:r>
                          <w:r>
                            <w:rPr>
                              <w:rFonts w:hint="eastAsia" w:ascii="Times New Roman" w:hAnsi="Times New Roman" w:eastAsia="宋体" w:cs="Times New Roman"/>
                              <w:kern w:val="2"/>
                              <w:sz w:val="16"/>
                              <w:szCs w:val="16"/>
                              <w:lang w:val="en-US" w:eastAsia="zh-CN" w:bidi="ar-SA"/>
                            </w:rPr>
                            <w:fldChar w:fldCharType="separate"/>
                          </w:r>
                          <w:r>
                            <w:rPr>
                              <w:rFonts w:hint="eastAsia" w:ascii="Times New Roman" w:hAnsi="Times New Roman" w:eastAsia="宋体" w:cs="Times New Roman"/>
                              <w:kern w:val="2"/>
                              <w:sz w:val="16"/>
                              <w:szCs w:val="16"/>
                              <w:lang w:val="en-US" w:eastAsia="zh-CN" w:bidi="ar-SA"/>
                            </w:rPr>
                            <w:t>332</w:t>
                          </w:r>
                          <w:r>
                            <w:rPr>
                              <w:rFonts w:hint="eastAsia" w:ascii="Times New Roman" w:hAnsi="Times New Roman" w:eastAsia="宋体" w:cs="Times New Roman"/>
                              <w:kern w:val="2"/>
                              <w:sz w:val="16"/>
                              <w:szCs w:val="16"/>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widowControl w:val="0"/>
                      <w:tabs>
                        <w:tab w:val="center" w:pos="4153"/>
                        <w:tab w:val="right" w:pos="8306"/>
                      </w:tabs>
                      <w:spacing w:line="480" w:lineRule="exact"/>
                      <w:ind w:left="0" w:leftChars="0" w:firstLine="0" w:firstLineChars="0"/>
                      <w:jc w:val="both"/>
                      <w:rPr>
                        <w:rFonts w:hint="eastAsia" w:ascii="Times New Roman" w:hAnsi="Times New Roman" w:eastAsia="宋体" w:cs="Times New Roman"/>
                        <w:kern w:val="2"/>
                        <w:sz w:val="21"/>
                        <w:szCs w:val="18"/>
                        <w:lang w:val="en-US" w:eastAsia="zh-CN" w:bidi="ar-SA"/>
                      </w:rPr>
                    </w:pPr>
                    <w:r>
                      <w:rPr>
                        <w:rFonts w:hint="eastAsia" w:ascii="Times New Roman" w:hAnsi="Times New Roman" w:eastAsia="宋体" w:cs="Times New Roman"/>
                        <w:kern w:val="2"/>
                        <w:sz w:val="16"/>
                        <w:szCs w:val="16"/>
                        <w:lang w:val="en-US" w:eastAsia="zh-CN" w:bidi="ar-SA"/>
                      </w:rPr>
                      <w:fldChar w:fldCharType="begin"/>
                    </w:r>
                    <w:r>
                      <w:rPr>
                        <w:rFonts w:hint="eastAsia" w:ascii="Times New Roman" w:hAnsi="Times New Roman" w:eastAsia="宋体" w:cs="Times New Roman"/>
                        <w:kern w:val="2"/>
                        <w:sz w:val="16"/>
                        <w:szCs w:val="16"/>
                        <w:lang w:val="en-US" w:eastAsia="zh-CN" w:bidi="ar-SA"/>
                      </w:rPr>
                      <w:instrText xml:space="preserve"> PAGE  \* MERGEFORMAT </w:instrText>
                    </w:r>
                    <w:r>
                      <w:rPr>
                        <w:rFonts w:hint="eastAsia" w:ascii="Times New Roman" w:hAnsi="Times New Roman" w:eastAsia="宋体" w:cs="Times New Roman"/>
                        <w:kern w:val="2"/>
                        <w:sz w:val="16"/>
                        <w:szCs w:val="16"/>
                        <w:lang w:val="en-US" w:eastAsia="zh-CN" w:bidi="ar-SA"/>
                      </w:rPr>
                      <w:fldChar w:fldCharType="separate"/>
                    </w:r>
                    <w:r>
                      <w:rPr>
                        <w:rFonts w:hint="eastAsia" w:ascii="Times New Roman" w:hAnsi="Times New Roman" w:eastAsia="宋体" w:cs="Times New Roman"/>
                        <w:kern w:val="2"/>
                        <w:sz w:val="16"/>
                        <w:szCs w:val="16"/>
                        <w:lang w:val="en-US" w:eastAsia="zh-CN" w:bidi="ar-SA"/>
                      </w:rPr>
                      <w:t>332</w:t>
                    </w:r>
                    <w:r>
                      <w:rPr>
                        <w:rFonts w:hint="eastAsia" w:ascii="Times New Roman" w:hAnsi="Times New Roman" w:eastAsia="宋体" w:cs="Times New Roman"/>
                        <w:kern w:val="2"/>
                        <w:sz w:val="16"/>
                        <w:szCs w:val="16"/>
                        <w:lang w:val="en-US" w:eastAsia="zh-CN" w:bidi="ar-S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adjustRightInd w:val="0"/>
      <w:snapToGrid w:val="0"/>
      <w:spacing w:line="480" w:lineRule="exact"/>
      <w:ind w:firstLine="360" w:firstLineChars="200"/>
      <w:jc w:val="center"/>
      <w:rPr>
        <w:rFonts w:hint="eastAsia"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72085" cy="196850"/>
              <wp:effectExtent l="0" t="0" r="0" b="0"/>
              <wp:wrapNone/>
              <wp:docPr id="82" name="文本框 1033"/>
              <wp:cNvGraphicFramePr/>
              <a:graphic xmlns:a="http://schemas.openxmlformats.org/drawingml/2006/main">
                <a:graphicData uri="http://schemas.microsoft.com/office/word/2010/wordprocessingShape">
                  <wps:wsp>
                    <wps:cNvSpPr txBox="1"/>
                    <wps:spPr>
                      <a:xfrm>
                        <a:off x="0" y="0"/>
                        <a:ext cx="172085" cy="196850"/>
                      </a:xfrm>
                      <a:prstGeom prst="rect">
                        <a:avLst/>
                      </a:prstGeom>
                      <a:noFill/>
                      <a:ln>
                        <a:noFill/>
                      </a:ln>
                    </wps:spPr>
                    <wps:txbx>
                      <w:txbxContent>
                        <w:p>
                          <w:pPr>
                            <w:adjustRightInd w:val="0"/>
                            <w:snapToGrid w:val="0"/>
                            <w:spacing w:line="480" w:lineRule="exact"/>
                            <w:ind w:firstLine="360" w:firstLineChars="200"/>
                            <w:rPr>
                              <w:rFonts w:hint="eastAsia" w:ascii="Times New Roman" w:hAnsi="Times New Roman" w:eastAsia="宋体" w:cs="Times New Roman"/>
                              <w:sz w:val="18"/>
                              <w:szCs w:val="24"/>
                            </w:rPr>
                          </w:pPr>
                          <w:r>
                            <w:rPr>
                              <w:rFonts w:hint="eastAsia" w:ascii="Times New Roman" w:hAnsi="Times New Roman" w:eastAsia="宋体" w:cs="Times New Roman"/>
                              <w:sz w:val="18"/>
                              <w:szCs w:val="24"/>
                            </w:rPr>
                            <w:fldChar w:fldCharType="begin"/>
                          </w:r>
                          <w:r>
                            <w:rPr>
                              <w:rFonts w:hint="eastAsia" w:ascii="Times New Roman" w:hAnsi="Times New Roman" w:eastAsia="宋体" w:cs="Times New Roman"/>
                              <w:sz w:val="18"/>
                              <w:szCs w:val="24"/>
                            </w:rPr>
                            <w:instrText xml:space="preserve"> PAGE  \* MERGEFORMAT </w:instrText>
                          </w:r>
                          <w:r>
                            <w:rPr>
                              <w:rFonts w:hint="eastAsia" w:ascii="Times New Roman" w:hAnsi="Times New Roman" w:eastAsia="宋体" w:cs="Times New Roman"/>
                              <w:sz w:val="18"/>
                              <w:szCs w:val="24"/>
                            </w:rPr>
                            <w:fldChar w:fldCharType="separate"/>
                          </w:r>
                          <w:r>
                            <w:rPr>
                              <w:rFonts w:ascii="Times New Roman" w:hAnsi="Times New Roman" w:eastAsia="宋体" w:cs="Times New Roman"/>
                              <w:sz w:val="18"/>
                              <w:szCs w:val="24"/>
                            </w:rPr>
                            <w:t>359</w:t>
                          </w:r>
                          <w:r>
                            <w:rPr>
                              <w:rFonts w:hint="eastAsia" w:ascii="Times New Roman" w:hAnsi="Times New Roman" w:eastAsia="宋体" w:cs="Times New Roman"/>
                              <w:sz w:val="18"/>
                              <w:szCs w:val="24"/>
                            </w:rPr>
                            <w:fldChar w:fldCharType="end"/>
                          </w:r>
                        </w:p>
                      </w:txbxContent>
                    </wps:txbx>
                    <wps:bodyPr wrap="none" lIns="0" tIns="0" rIns="0" bIns="0" upright="0">
                      <a:spAutoFit/>
                    </wps:bodyPr>
                  </wps:wsp>
                </a:graphicData>
              </a:graphic>
            </wp:anchor>
          </w:drawing>
        </mc:Choice>
        <mc:Fallback>
          <w:pict>
            <v:shape id="文本框 1033" o:spid="_x0000_s1026" o:spt="202" type="#_x0000_t202" style="position:absolute;left:0pt;margin-top:0pt;height:15.5pt;width:13.55pt;mso-position-horizontal:center;mso-position-horizontal-relative:margin;mso-wrap-style:none;z-index:251659264;mso-width-relative:page;mso-height-relative:page;" filled="f" stroked="f" coordsize="21600,21600" o:gfxdata="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6ZTVdEAAAADAQAADwAAAAAAAAABACAAAAAiAAAAZHJz&#10;L2Rvd25yZXYueG1sUEsBAhQAFAAAAAgAh07iQEsthq7SAQAAmwMAAA4AAAAAAAAAAQAgAAAAIAEA&#10;AGRycy9lMm9Eb2MueG1sUEsFBgAAAAAGAAYAWQEAAGQFAAAAAA==&#10;">
              <v:fill on="f" focussize="0,0"/>
              <v:stroke on="f"/>
              <v:imagedata o:title=""/>
              <o:lock v:ext="edit" aspectratio="f"/>
              <v:textbox inset="0mm,0mm,0mm,0mm" style="mso-fit-shape-to-text:t;">
                <w:txbxContent>
                  <w:p>
                    <w:pPr>
                      <w:adjustRightInd w:val="0"/>
                      <w:snapToGrid w:val="0"/>
                      <w:spacing w:line="480" w:lineRule="exact"/>
                      <w:ind w:firstLine="360" w:firstLineChars="200"/>
                      <w:rPr>
                        <w:rFonts w:hint="eastAsia" w:ascii="Times New Roman" w:hAnsi="Times New Roman" w:eastAsia="宋体" w:cs="Times New Roman"/>
                        <w:sz w:val="18"/>
                        <w:szCs w:val="24"/>
                      </w:rPr>
                    </w:pPr>
                    <w:r>
                      <w:rPr>
                        <w:rFonts w:hint="eastAsia" w:ascii="Times New Roman" w:hAnsi="Times New Roman" w:eastAsia="宋体" w:cs="Times New Roman"/>
                        <w:sz w:val="18"/>
                        <w:szCs w:val="24"/>
                      </w:rPr>
                      <w:fldChar w:fldCharType="begin"/>
                    </w:r>
                    <w:r>
                      <w:rPr>
                        <w:rFonts w:hint="eastAsia" w:ascii="Times New Roman" w:hAnsi="Times New Roman" w:eastAsia="宋体" w:cs="Times New Roman"/>
                        <w:sz w:val="18"/>
                        <w:szCs w:val="24"/>
                      </w:rPr>
                      <w:instrText xml:space="preserve"> PAGE  \* MERGEFORMAT </w:instrText>
                    </w:r>
                    <w:r>
                      <w:rPr>
                        <w:rFonts w:hint="eastAsia" w:ascii="Times New Roman" w:hAnsi="Times New Roman" w:eastAsia="宋体" w:cs="Times New Roman"/>
                        <w:sz w:val="18"/>
                        <w:szCs w:val="24"/>
                      </w:rPr>
                      <w:fldChar w:fldCharType="separate"/>
                    </w:r>
                    <w:r>
                      <w:rPr>
                        <w:rFonts w:ascii="Times New Roman" w:hAnsi="Times New Roman" w:eastAsia="宋体" w:cs="Times New Roman"/>
                        <w:sz w:val="18"/>
                        <w:szCs w:val="24"/>
                      </w:rPr>
                      <w:t>359</w:t>
                    </w:r>
                    <w:r>
                      <w:rPr>
                        <w:rFonts w:hint="eastAsia" w:ascii="Times New Roman" w:hAnsi="Times New Roman" w:eastAsia="宋体" w:cs="Times New Roman"/>
                        <w:sz w:val="18"/>
                        <w:szCs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widowControl w:val="0"/>
      <w:tabs>
        <w:tab w:val="center" w:pos="4153"/>
        <w:tab w:val="right" w:pos="8306"/>
      </w:tabs>
      <w:adjustRightInd w:val="0"/>
      <w:snapToGrid w:val="0"/>
      <w:spacing w:line="480" w:lineRule="exact"/>
      <w:ind w:firstLine="360" w:firstLineChars="20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PAGE  </w:instrText>
    </w:r>
    <w:r>
      <w:rPr>
        <w:rFonts w:ascii="Times New Roman" w:hAnsi="Times New Roman" w:eastAsia="宋体" w:cs="Times New Roman"/>
        <w:kern w:val="2"/>
        <w:sz w:val="18"/>
        <w:szCs w:val="18"/>
        <w:lang w:val="en-US" w:eastAsia="zh-CN" w:bidi="ar-SA"/>
      </w:rPr>
      <w:fldChar w:fldCharType="end"/>
    </w:r>
  </w:p>
  <w:p>
    <w:pPr>
      <w:widowControl w:val="0"/>
      <w:tabs>
        <w:tab w:val="center" w:pos="4153"/>
        <w:tab w:val="right" w:pos="8306"/>
      </w:tabs>
      <w:adjustRightInd w:val="0"/>
      <w:snapToGrid w:val="0"/>
      <w:spacing w:line="480" w:lineRule="exact"/>
      <w:ind w:firstLine="360" w:firstLineChars="200"/>
      <w:jc w:val="left"/>
      <w:rPr>
        <w:rFonts w:ascii="Times New Roman" w:hAnsi="Times New Roman" w:eastAsia="宋体" w:cs="Times New Roman"/>
        <w:kern w:val="2"/>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adjustRightInd w:val="0"/>
      <w:snapToGrid w:val="0"/>
      <w:spacing w:line="480" w:lineRule="exact"/>
      <w:ind w:right="360" w:firstLine="420" w:firstLineChars="200"/>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72085" cy="196850"/>
              <wp:effectExtent l="0" t="0" r="0" b="0"/>
              <wp:wrapNone/>
              <wp:docPr id="83" name="文本框 1036"/>
              <wp:cNvGraphicFramePr/>
              <a:graphic xmlns:a="http://schemas.openxmlformats.org/drawingml/2006/main">
                <a:graphicData uri="http://schemas.microsoft.com/office/word/2010/wordprocessingShape">
                  <wps:wsp>
                    <wps:cNvSpPr txBox="1"/>
                    <wps:spPr>
                      <a:xfrm>
                        <a:off x="0" y="0"/>
                        <a:ext cx="172085" cy="196850"/>
                      </a:xfrm>
                      <a:prstGeom prst="rect">
                        <a:avLst/>
                      </a:prstGeom>
                      <a:noFill/>
                      <a:ln>
                        <a:noFill/>
                      </a:ln>
                    </wps:spPr>
                    <wps:txbx>
                      <w:txbxContent>
                        <w:p>
                          <w:pPr>
                            <w:adjustRightInd w:val="0"/>
                            <w:snapToGrid w:val="0"/>
                            <w:spacing w:line="480" w:lineRule="exact"/>
                            <w:ind w:firstLine="360" w:firstLineChars="200"/>
                            <w:rPr>
                              <w:rFonts w:hint="eastAsia" w:ascii="Times New Roman" w:hAnsi="Times New Roman" w:eastAsia="宋体" w:cs="Times New Roman"/>
                              <w:sz w:val="18"/>
                              <w:szCs w:val="24"/>
                            </w:rPr>
                          </w:pPr>
                          <w:r>
                            <w:rPr>
                              <w:rFonts w:hint="eastAsia" w:ascii="Times New Roman" w:hAnsi="Times New Roman" w:eastAsia="宋体" w:cs="Times New Roman"/>
                              <w:sz w:val="18"/>
                              <w:szCs w:val="24"/>
                            </w:rPr>
                            <w:fldChar w:fldCharType="begin"/>
                          </w:r>
                          <w:r>
                            <w:rPr>
                              <w:rFonts w:hint="eastAsia" w:ascii="Times New Roman" w:hAnsi="Times New Roman" w:eastAsia="宋体" w:cs="Times New Roman"/>
                              <w:sz w:val="18"/>
                              <w:szCs w:val="24"/>
                            </w:rPr>
                            <w:instrText xml:space="preserve"> PAGE  \* MERGEFORMAT </w:instrText>
                          </w:r>
                          <w:r>
                            <w:rPr>
                              <w:rFonts w:hint="eastAsia" w:ascii="Times New Roman" w:hAnsi="Times New Roman" w:eastAsia="宋体" w:cs="Times New Roman"/>
                              <w:sz w:val="18"/>
                              <w:szCs w:val="24"/>
                            </w:rPr>
                            <w:fldChar w:fldCharType="separate"/>
                          </w:r>
                          <w:r>
                            <w:rPr>
                              <w:rFonts w:ascii="Times New Roman" w:hAnsi="Times New Roman" w:eastAsia="宋体" w:cs="Times New Roman"/>
                              <w:sz w:val="18"/>
                              <w:szCs w:val="24"/>
                            </w:rPr>
                            <w:t>370</w:t>
                          </w:r>
                          <w:r>
                            <w:rPr>
                              <w:rFonts w:hint="eastAsia" w:ascii="Times New Roman" w:hAnsi="Times New Roman" w:eastAsia="宋体" w:cs="Times New Roman"/>
                              <w:sz w:val="18"/>
                              <w:szCs w:val="24"/>
                            </w:rPr>
                            <w:fldChar w:fldCharType="end"/>
                          </w:r>
                        </w:p>
                      </w:txbxContent>
                    </wps:txbx>
                    <wps:bodyPr wrap="none" lIns="0" tIns="0" rIns="0" bIns="0" upright="0">
                      <a:spAutoFit/>
                    </wps:bodyPr>
                  </wps:wsp>
                </a:graphicData>
              </a:graphic>
            </wp:anchor>
          </w:drawing>
        </mc:Choice>
        <mc:Fallback>
          <w:pict>
            <v:shape id="文本框 1036" o:spid="_x0000_s1026" o:spt="202" type="#_x0000_t202" style="position:absolute;left:0pt;margin-top:0pt;height:15.5pt;width:13.55pt;mso-position-horizontal:center;mso-position-horizontal-relative:margin;mso-wrap-style:none;z-index:251660288;mso-width-relative:page;mso-height-relative:page;" filled="f" stroked="f" coordsize="21600,21600" o:gfxdata="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HplNV0QAAAAMBAAAPAAAAAAAAAAEAIAAAACIAAABkcnMv&#10;ZG93bnJldi54bWxQSwECFAAUAAAACACHTuJAXux6o9EBAACbAwAADgAAAAAAAAABACAAAAAgAQAA&#10;ZHJzL2Uyb0RvYy54bWxQSwUGAAAAAAYABgBZAQAAYwUAAAAA&#10;">
              <v:fill on="f" focussize="0,0"/>
              <v:stroke on="f"/>
              <v:imagedata o:title=""/>
              <o:lock v:ext="edit" aspectratio="f"/>
              <v:textbox inset="0mm,0mm,0mm,0mm" style="mso-fit-shape-to-text:t;">
                <w:txbxContent>
                  <w:p>
                    <w:pPr>
                      <w:adjustRightInd w:val="0"/>
                      <w:snapToGrid w:val="0"/>
                      <w:spacing w:line="480" w:lineRule="exact"/>
                      <w:ind w:firstLine="360" w:firstLineChars="200"/>
                      <w:rPr>
                        <w:rFonts w:hint="eastAsia" w:ascii="Times New Roman" w:hAnsi="Times New Roman" w:eastAsia="宋体" w:cs="Times New Roman"/>
                        <w:sz w:val="18"/>
                        <w:szCs w:val="24"/>
                      </w:rPr>
                    </w:pPr>
                    <w:r>
                      <w:rPr>
                        <w:rFonts w:hint="eastAsia" w:ascii="Times New Roman" w:hAnsi="Times New Roman" w:eastAsia="宋体" w:cs="Times New Roman"/>
                        <w:sz w:val="18"/>
                        <w:szCs w:val="24"/>
                      </w:rPr>
                      <w:fldChar w:fldCharType="begin"/>
                    </w:r>
                    <w:r>
                      <w:rPr>
                        <w:rFonts w:hint="eastAsia" w:ascii="Times New Roman" w:hAnsi="Times New Roman" w:eastAsia="宋体" w:cs="Times New Roman"/>
                        <w:sz w:val="18"/>
                        <w:szCs w:val="24"/>
                      </w:rPr>
                      <w:instrText xml:space="preserve"> PAGE  \* MERGEFORMAT </w:instrText>
                    </w:r>
                    <w:r>
                      <w:rPr>
                        <w:rFonts w:hint="eastAsia" w:ascii="Times New Roman" w:hAnsi="Times New Roman" w:eastAsia="宋体" w:cs="Times New Roman"/>
                        <w:sz w:val="18"/>
                        <w:szCs w:val="24"/>
                      </w:rPr>
                      <w:fldChar w:fldCharType="separate"/>
                    </w:r>
                    <w:r>
                      <w:rPr>
                        <w:rFonts w:ascii="Times New Roman" w:hAnsi="Times New Roman" w:eastAsia="宋体" w:cs="Times New Roman"/>
                        <w:sz w:val="18"/>
                        <w:szCs w:val="24"/>
                      </w:rPr>
                      <w:t>370</w:t>
                    </w:r>
                    <w:r>
                      <w:rPr>
                        <w:rFonts w:hint="eastAsia" w:ascii="Times New Roman" w:hAnsi="Times New Roman" w:eastAsia="宋体" w:cs="Times New Roman"/>
                        <w:sz w:val="18"/>
                        <w:szCs w:val="24"/>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widowControl w:val="0"/>
      <w:tabs>
        <w:tab w:val="center" w:pos="4153"/>
        <w:tab w:val="right" w:pos="8306"/>
      </w:tabs>
      <w:adjustRightInd w:val="0"/>
      <w:snapToGrid w:val="0"/>
      <w:spacing w:line="480" w:lineRule="exact"/>
      <w:ind w:firstLine="360" w:firstLineChars="20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PAGE  </w:instrText>
    </w:r>
    <w:r>
      <w:rPr>
        <w:rFonts w:ascii="Times New Roman" w:hAnsi="Times New Roman" w:eastAsia="宋体" w:cs="Times New Roman"/>
        <w:kern w:val="2"/>
        <w:sz w:val="18"/>
        <w:szCs w:val="18"/>
        <w:lang w:val="en-US" w:eastAsia="zh-CN" w:bidi="ar-SA"/>
      </w:rPr>
      <w:fldChar w:fldCharType="end"/>
    </w:r>
  </w:p>
  <w:p>
    <w:pPr>
      <w:widowControl w:val="0"/>
      <w:tabs>
        <w:tab w:val="center" w:pos="4153"/>
        <w:tab w:val="right" w:pos="8306"/>
      </w:tabs>
      <w:adjustRightInd w:val="0"/>
      <w:snapToGrid w:val="0"/>
      <w:spacing w:line="480" w:lineRule="exact"/>
      <w:ind w:right="360" w:firstLine="360" w:firstLineChars="200"/>
      <w:jc w:val="left"/>
      <w:rPr>
        <w:rFonts w:ascii="Times New Roman" w:hAnsi="Times New Roman"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adjustRightInd w:val="0"/>
      <w:snapToGrid w:val="0"/>
      <w:spacing w:line="480" w:lineRule="exact"/>
      <w:ind w:firstLine="360" w:firstLineChars="200"/>
      <w:jc w:val="center"/>
      <w:rPr>
        <w:rFonts w:hint="eastAsia"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72085" cy="196850"/>
              <wp:effectExtent l="0" t="0" r="0" b="0"/>
              <wp:wrapNone/>
              <wp:docPr id="84" name="文本框 1037"/>
              <wp:cNvGraphicFramePr/>
              <a:graphic xmlns:a="http://schemas.openxmlformats.org/drawingml/2006/main">
                <a:graphicData uri="http://schemas.microsoft.com/office/word/2010/wordprocessingShape">
                  <wps:wsp>
                    <wps:cNvSpPr txBox="1"/>
                    <wps:spPr>
                      <a:xfrm>
                        <a:off x="0" y="0"/>
                        <a:ext cx="172085" cy="196850"/>
                      </a:xfrm>
                      <a:prstGeom prst="rect">
                        <a:avLst/>
                      </a:prstGeom>
                      <a:noFill/>
                      <a:ln>
                        <a:noFill/>
                      </a:ln>
                    </wps:spPr>
                    <wps:txbx>
                      <w:txbxContent>
                        <w:p>
                          <w:pPr>
                            <w:adjustRightInd w:val="0"/>
                            <w:snapToGrid w:val="0"/>
                            <w:spacing w:line="480" w:lineRule="exact"/>
                            <w:ind w:firstLine="360" w:firstLineChars="200"/>
                            <w:rPr>
                              <w:rFonts w:hint="eastAsia" w:ascii="Times New Roman" w:hAnsi="Times New Roman" w:eastAsia="宋体" w:cs="Times New Roman"/>
                              <w:sz w:val="18"/>
                              <w:szCs w:val="24"/>
                            </w:rPr>
                          </w:pPr>
                          <w:r>
                            <w:rPr>
                              <w:rFonts w:hint="eastAsia" w:ascii="Times New Roman" w:hAnsi="Times New Roman" w:eastAsia="宋体" w:cs="Times New Roman"/>
                              <w:sz w:val="18"/>
                              <w:szCs w:val="24"/>
                            </w:rPr>
                            <w:fldChar w:fldCharType="begin"/>
                          </w:r>
                          <w:r>
                            <w:rPr>
                              <w:rFonts w:hint="eastAsia" w:ascii="Times New Roman" w:hAnsi="Times New Roman" w:eastAsia="宋体" w:cs="Times New Roman"/>
                              <w:sz w:val="18"/>
                              <w:szCs w:val="24"/>
                            </w:rPr>
                            <w:instrText xml:space="preserve"> PAGE  \* MERGEFORMAT </w:instrText>
                          </w:r>
                          <w:r>
                            <w:rPr>
                              <w:rFonts w:hint="eastAsia" w:ascii="Times New Roman" w:hAnsi="Times New Roman" w:eastAsia="宋体" w:cs="Times New Roman"/>
                              <w:sz w:val="18"/>
                              <w:szCs w:val="24"/>
                            </w:rPr>
                            <w:fldChar w:fldCharType="separate"/>
                          </w:r>
                          <w:r>
                            <w:rPr>
                              <w:rFonts w:ascii="Times New Roman" w:hAnsi="Times New Roman" w:eastAsia="宋体" w:cs="Times New Roman"/>
                              <w:sz w:val="18"/>
                              <w:szCs w:val="24"/>
                            </w:rPr>
                            <w:t>390</w:t>
                          </w:r>
                          <w:r>
                            <w:rPr>
                              <w:rFonts w:hint="eastAsia" w:ascii="Times New Roman" w:hAnsi="Times New Roman" w:eastAsia="宋体" w:cs="Times New Roman"/>
                              <w:sz w:val="18"/>
                              <w:szCs w:val="24"/>
                            </w:rPr>
                            <w:fldChar w:fldCharType="end"/>
                          </w:r>
                        </w:p>
                      </w:txbxContent>
                    </wps:txbx>
                    <wps:bodyPr wrap="none" lIns="0" tIns="0" rIns="0" bIns="0" upright="0">
                      <a:spAutoFit/>
                    </wps:bodyPr>
                  </wps:wsp>
                </a:graphicData>
              </a:graphic>
            </wp:anchor>
          </w:drawing>
        </mc:Choice>
        <mc:Fallback>
          <w:pict>
            <v:shape id="文本框 1037" o:spid="_x0000_s1026" o:spt="202" type="#_x0000_t202" style="position:absolute;left:0pt;margin-top:0pt;height:15.5pt;width:13.55pt;mso-position-horizontal:center;mso-position-horizontal-relative:margin;mso-wrap-style:none;z-index:251661312;mso-width-relative:page;mso-height-relative:page;" filled="f" stroked="f" coordsize="21600,21600" o:gfxdata="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6ZTVdEAAAADAQAADwAAAAAAAAABACAAAAAiAAAAZHJz&#10;L2Rvd25yZXYueG1sUEsBAhQAFAAAAAgAh07iQHF0kzPSAQAAmwMAAA4AAAAAAAAAAQAgAAAAIAEA&#10;AGRycy9lMm9Eb2MueG1sUEsFBgAAAAAGAAYAWQEAAGQFAAAAAA==&#10;">
              <v:fill on="f" focussize="0,0"/>
              <v:stroke on="f"/>
              <v:imagedata o:title=""/>
              <o:lock v:ext="edit" aspectratio="f"/>
              <v:textbox inset="0mm,0mm,0mm,0mm" style="mso-fit-shape-to-text:t;">
                <w:txbxContent>
                  <w:p>
                    <w:pPr>
                      <w:adjustRightInd w:val="0"/>
                      <w:snapToGrid w:val="0"/>
                      <w:spacing w:line="480" w:lineRule="exact"/>
                      <w:ind w:firstLine="360" w:firstLineChars="200"/>
                      <w:rPr>
                        <w:rFonts w:hint="eastAsia" w:ascii="Times New Roman" w:hAnsi="Times New Roman" w:eastAsia="宋体" w:cs="Times New Roman"/>
                        <w:sz w:val="18"/>
                        <w:szCs w:val="24"/>
                      </w:rPr>
                    </w:pPr>
                    <w:r>
                      <w:rPr>
                        <w:rFonts w:hint="eastAsia" w:ascii="Times New Roman" w:hAnsi="Times New Roman" w:eastAsia="宋体" w:cs="Times New Roman"/>
                        <w:sz w:val="18"/>
                        <w:szCs w:val="24"/>
                      </w:rPr>
                      <w:fldChar w:fldCharType="begin"/>
                    </w:r>
                    <w:r>
                      <w:rPr>
                        <w:rFonts w:hint="eastAsia" w:ascii="Times New Roman" w:hAnsi="Times New Roman" w:eastAsia="宋体" w:cs="Times New Roman"/>
                        <w:sz w:val="18"/>
                        <w:szCs w:val="24"/>
                      </w:rPr>
                      <w:instrText xml:space="preserve"> PAGE  \* MERGEFORMAT </w:instrText>
                    </w:r>
                    <w:r>
                      <w:rPr>
                        <w:rFonts w:hint="eastAsia" w:ascii="Times New Roman" w:hAnsi="Times New Roman" w:eastAsia="宋体" w:cs="Times New Roman"/>
                        <w:sz w:val="18"/>
                        <w:szCs w:val="24"/>
                      </w:rPr>
                      <w:fldChar w:fldCharType="separate"/>
                    </w:r>
                    <w:r>
                      <w:rPr>
                        <w:rFonts w:ascii="Times New Roman" w:hAnsi="Times New Roman" w:eastAsia="宋体" w:cs="Times New Roman"/>
                        <w:sz w:val="18"/>
                        <w:szCs w:val="24"/>
                      </w:rPr>
                      <w:t>390</w:t>
                    </w:r>
                    <w:r>
                      <w:rPr>
                        <w:rFonts w:hint="eastAsia" w:ascii="Times New Roman" w:hAnsi="Times New Roman" w:eastAsia="宋体" w:cs="Times New Roman"/>
                        <w:sz w:val="18"/>
                        <w:szCs w:val="24"/>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widowControl w:val="0"/>
      <w:tabs>
        <w:tab w:val="center" w:pos="4153"/>
        <w:tab w:val="right" w:pos="8306"/>
      </w:tabs>
      <w:adjustRightInd w:val="0"/>
      <w:snapToGrid w:val="0"/>
      <w:spacing w:line="480" w:lineRule="exact"/>
      <w:ind w:firstLine="360" w:firstLineChars="20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PAGE  </w:instrText>
    </w:r>
    <w:r>
      <w:rPr>
        <w:rFonts w:ascii="Times New Roman" w:hAnsi="Times New Roman" w:eastAsia="宋体" w:cs="Times New Roman"/>
        <w:kern w:val="2"/>
        <w:sz w:val="18"/>
        <w:szCs w:val="18"/>
        <w:lang w:val="en-US" w:eastAsia="zh-CN" w:bidi="ar-SA"/>
      </w:rPr>
      <w:fldChar w:fldCharType="end"/>
    </w:r>
  </w:p>
  <w:p>
    <w:pPr>
      <w:widowControl w:val="0"/>
      <w:tabs>
        <w:tab w:val="center" w:pos="4153"/>
        <w:tab w:val="right" w:pos="8306"/>
      </w:tabs>
      <w:adjustRightInd w:val="0"/>
      <w:snapToGrid w:val="0"/>
      <w:spacing w:line="480" w:lineRule="exact"/>
      <w:ind w:firstLine="360" w:firstLineChars="200"/>
      <w:jc w:val="left"/>
      <w:rPr>
        <w:rFonts w:ascii="Times New Roman" w:hAnsi="Times New Roman" w:eastAsia="宋体" w:cs="Times New Roman"/>
        <w:kern w:val="2"/>
        <w:sz w:val="18"/>
        <w:szCs w:val="18"/>
        <w:lang w:val="en-US" w:eastAsia="zh-CN" w:bidi="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pBdr>
        <w:bottom w:val="single" w:color="auto" w:sz="6" w:space="1"/>
      </w:pBdr>
      <w:tabs>
        <w:tab w:val="center" w:pos="4153"/>
        <w:tab w:val="right" w:pos="8306"/>
      </w:tabs>
      <w:snapToGrid w:val="0"/>
      <w:spacing w:line="240" w:lineRule="auto"/>
      <w:ind w:firstLine="0" w:firstLineChars="0"/>
      <w:jc w:val="center"/>
      <w:rPr>
        <w:rFonts w:ascii="等线" w:hAnsi="等线" w:eastAsia="等线" w:cs="Times New Roman"/>
        <w:kern w:val="0"/>
        <w:sz w:val="18"/>
        <w:szCs w:val="18"/>
      </w:rPr>
    </w:pPr>
    <w:r>
      <w:rPr>
        <w:rFonts w:hint="eastAsia" w:ascii="Times New Roman" w:hAnsi="Times New Roman" w:eastAsia="宋体" w:cs="Times New Roman"/>
        <w:kern w:val="0"/>
        <w:sz w:val="18"/>
        <w:szCs w:val="18"/>
        <w:lang w:eastAsia="zh-CN"/>
      </w:rPr>
      <w:t>河南华商药业有限公司年产1500吨原料药及中间体技改</w:t>
    </w:r>
    <w:r>
      <w:rPr>
        <w:rFonts w:hint="eastAsia" w:ascii="Times New Roman" w:hAnsi="Times New Roman" w:eastAsia="宋体" w:cs="Times New Roman"/>
        <w:kern w:val="0"/>
        <w:sz w:val="18"/>
        <w:szCs w:val="18"/>
        <w:lang w:val="en-US" w:eastAsia="zh-CN"/>
      </w:rPr>
      <w:t>项目环境影响报告书</w:t>
    </w:r>
  </w:p>
  <w:p>
    <w:pPr>
      <w:framePr w:wrap="around" w:vAnchor="text" w:hAnchor="margin" w:xAlign="center" w:y="1"/>
      <w:widowControl w:val="0"/>
      <w:tabs>
        <w:tab w:val="center" w:pos="4153"/>
        <w:tab w:val="right" w:pos="8306"/>
      </w:tabs>
      <w:spacing w:line="480" w:lineRule="exact"/>
      <w:ind w:firstLine="422" w:firstLineChars="200"/>
      <w:jc w:val="center"/>
      <w:rPr>
        <w:rFonts w:ascii="Times New Roman" w:hAnsi="Times New Roman" w:eastAsia="隶书" w:cs="Times New Roman"/>
        <w:b/>
        <w:snapToGrid w:val="0"/>
        <w:kern w:val="24"/>
        <w:sz w:val="21"/>
        <w:szCs w:val="21"/>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tabs>
        <w:tab w:val="center" w:pos="4153"/>
        <w:tab w:val="right" w:pos="8306"/>
      </w:tabs>
      <w:adjustRightInd w:val="0"/>
      <w:snapToGrid w:val="0"/>
      <w:spacing w:line="240" w:lineRule="auto"/>
      <w:ind w:firstLine="360" w:firstLineChars="200"/>
      <w:jc w:val="center"/>
      <w:rPr>
        <w:rFonts w:hint="eastAsia" w:ascii="Times New Roman" w:hAnsi="Times New Roman" w:eastAsia="宋体" w:cs="Times New Roman"/>
        <w:kern w:val="2"/>
        <w:sz w:val="18"/>
        <w:szCs w:val="18"/>
        <w:lang w:val="en-US" w:eastAsia="zh-CN" w:bidi="ar-SA"/>
      </w:rPr>
    </w:pPr>
  </w:p>
  <w:p>
    <w:pPr>
      <w:widowControl w:val="0"/>
      <w:pBdr>
        <w:bottom w:val="single" w:color="auto" w:sz="6" w:space="1"/>
      </w:pBdr>
      <w:tabs>
        <w:tab w:val="center" w:pos="4153"/>
        <w:tab w:val="right" w:pos="8306"/>
      </w:tabs>
      <w:adjustRightInd w:val="0"/>
      <w:snapToGrid w:val="0"/>
      <w:spacing w:line="240" w:lineRule="auto"/>
      <w:ind w:firstLine="360" w:firstLineChars="200"/>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河南华商药业有限公司年产1500吨原料药及中间体技改项目环境影响报告书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1"/>
      </w:pBdr>
      <w:tabs>
        <w:tab w:val="center" w:pos="4153"/>
        <w:tab w:val="right" w:pos="8306"/>
      </w:tabs>
      <w:adjustRightInd w:val="0"/>
      <w:snapToGrid w:val="0"/>
      <w:spacing w:line="240" w:lineRule="auto"/>
      <w:ind w:firstLine="400" w:firstLineChars="200"/>
      <w:jc w:val="left"/>
      <w:rPr>
        <w:rFonts w:hint="eastAsia" w:ascii="黑体" w:hAnsi="黑体" w:eastAsia="黑体" w:cs="Times New Roman"/>
        <w:kern w:val="2"/>
        <w:sz w:val="20"/>
        <w:szCs w:val="20"/>
        <w:lang w:val="en-US" w:eastAsia="zh-CN" w:bidi="ar-SA"/>
      </w:rPr>
    </w:pPr>
  </w:p>
  <w:p>
    <w:pPr>
      <w:widowControl w:val="0"/>
      <w:pBdr>
        <w:bottom w:val="single" w:color="auto" w:sz="4" w:space="1"/>
      </w:pBdr>
      <w:tabs>
        <w:tab w:val="center" w:pos="4153"/>
        <w:tab w:val="right" w:pos="8306"/>
      </w:tabs>
      <w:bidi w:val="0"/>
      <w:adjustRightInd w:val="0"/>
      <w:snapToGrid w:val="0"/>
      <w:spacing w:line="240" w:lineRule="auto"/>
      <w:ind w:firstLine="360" w:firstLineChars="200"/>
      <w:jc w:val="center"/>
      <w:rPr>
        <w:rFonts w:hint="eastAsia" w:ascii="仿宋_GB2312" w:hAnsi="黑体" w:eastAsia="仿宋_GB2312" w:cs="Times New Roman"/>
        <w:spacing w:val="-10"/>
        <w:kern w:val="2"/>
        <w:sz w:val="18"/>
        <w:szCs w:val="20"/>
        <w:lang w:val="en-US" w:eastAsia="zh-CN" w:bidi="ar-SA"/>
      </w:rPr>
    </w:pPr>
    <w:r>
      <w:rPr>
        <w:rFonts w:hint="eastAsia" w:eastAsia="宋体" w:cs="Times New Roman"/>
        <w:kern w:val="2"/>
        <w:sz w:val="18"/>
        <w:szCs w:val="18"/>
        <w:lang w:val="en-US" w:eastAsia="zh-CN" w:bidi="ar-SA"/>
      </w:rPr>
      <w:t>河南华商药业有限公司年产1500吨原料药及中间体技改项目环境影响报告书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1"/>
      </w:pBdr>
      <w:tabs>
        <w:tab w:val="center" w:pos="4153"/>
        <w:tab w:val="right" w:pos="8306"/>
      </w:tabs>
      <w:adjustRightInd w:val="0"/>
      <w:snapToGrid w:val="0"/>
      <w:spacing w:line="240" w:lineRule="auto"/>
      <w:ind w:firstLine="400" w:firstLineChars="200"/>
      <w:jc w:val="left"/>
      <w:rPr>
        <w:rFonts w:hint="eastAsia" w:ascii="黑体" w:hAnsi="黑体" w:eastAsia="黑体" w:cs="Times New Roman"/>
        <w:kern w:val="2"/>
        <w:sz w:val="20"/>
        <w:szCs w:val="20"/>
        <w:lang w:val="en-US" w:eastAsia="zh-CN" w:bidi="ar-SA"/>
      </w:rPr>
    </w:pPr>
  </w:p>
  <w:p>
    <w:pPr>
      <w:widowControl w:val="0"/>
      <w:pBdr>
        <w:bottom w:val="single" w:color="auto" w:sz="4" w:space="1"/>
      </w:pBdr>
      <w:tabs>
        <w:tab w:val="center" w:pos="4153"/>
        <w:tab w:val="right" w:pos="8306"/>
      </w:tabs>
      <w:bidi w:val="0"/>
      <w:adjustRightInd w:val="0"/>
      <w:snapToGrid w:val="0"/>
      <w:spacing w:line="240" w:lineRule="auto"/>
      <w:ind w:firstLine="360" w:firstLineChars="200"/>
      <w:jc w:val="center"/>
      <w:rPr>
        <w:rFonts w:hint="eastAsia" w:ascii="仿宋_GB2312" w:hAnsi="黑体" w:eastAsia="仿宋_GB2312" w:cs="Times New Roman"/>
        <w:spacing w:val="-10"/>
        <w:kern w:val="2"/>
        <w:sz w:val="18"/>
        <w:szCs w:val="18"/>
        <w:lang w:val="en-US" w:eastAsia="zh-CN" w:bidi="ar-SA"/>
      </w:rPr>
    </w:pPr>
    <w:r>
      <w:rPr>
        <w:rFonts w:hint="eastAsia" w:ascii="Times New Roman" w:hAnsi="Times New Roman" w:eastAsia="宋体" w:cs="Times New Roman"/>
        <w:kern w:val="2"/>
        <w:sz w:val="18"/>
        <w:szCs w:val="18"/>
        <w:lang w:val="en-US" w:eastAsia="zh-CN" w:bidi="ar-SA"/>
      </w:rPr>
      <w:t>河南华商药业有限公司年产1500吨原料药及中间体技改项目环境影响报告书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F3A28E"/>
    <w:multiLevelType w:val="singleLevel"/>
    <w:tmpl w:val="F1F3A28E"/>
    <w:lvl w:ilvl="0" w:tentative="0">
      <w:start w:val="1"/>
      <w:numFmt w:val="decimal"/>
      <w:lvlText w:val="%1."/>
      <w:lvlJc w:val="left"/>
      <w:pPr>
        <w:tabs>
          <w:tab w:val="left" w:pos="312"/>
        </w:tabs>
      </w:pPr>
    </w:lvl>
  </w:abstractNum>
  <w:abstractNum w:abstractNumId="1">
    <w:nsid w:val="F9E0CC91"/>
    <w:multiLevelType w:val="singleLevel"/>
    <w:tmpl w:val="F9E0CC91"/>
    <w:lvl w:ilvl="0" w:tentative="0">
      <w:start w:val="1"/>
      <w:numFmt w:val="decimal"/>
      <w:suff w:val="nothing"/>
      <w:lvlText w:val="%1）"/>
      <w:lvlJc w:val="left"/>
    </w:lvl>
  </w:abstractNum>
  <w:abstractNum w:abstractNumId="2">
    <w:nsid w:val="1EFBAA8E"/>
    <w:multiLevelType w:val="singleLevel"/>
    <w:tmpl w:val="1EFBAA8E"/>
    <w:lvl w:ilvl="0" w:tentative="0">
      <w:start w:val="1"/>
      <w:numFmt w:val="decimal"/>
      <w:lvlText w:val="%1."/>
      <w:lvlJc w:val="left"/>
      <w:pPr>
        <w:tabs>
          <w:tab w:val="left" w:pos="312"/>
        </w:tabs>
      </w:pPr>
    </w:lvl>
  </w:abstractNum>
  <w:abstractNum w:abstractNumId="3">
    <w:nsid w:val="1FF5293D"/>
    <w:multiLevelType w:val="multilevel"/>
    <w:tmpl w:val="1FF5293D"/>
    <w:lvl w:ilvl="0" w:tentative="0">
      <w:start w:val="8"/>
      <w:numFmt w:val="chineseCounting"/>
      <w:pStyle w:val="2"/>
      <w:suff w:val="space"/>
      <w:lvlText w:val="第%1章 "/>
      <w:lvlJc w:val="left"/>
      <w:pPr>
        <w:tabs>
          <w:tab w:val="left" w:pos="420"/>
        </w:tabs>
        <w:ind w:left="425" w:hanging="425"/>
      </w:pPr>
      <w:rPr>
        <w:rFonts w:hint="eastAsia" w:ascii="宋体" w:hAnsi="宋体" w:eastAsia="宋体" w:cs="宋体"/>
      </w:rPr>
    </w:lvl>
    <w:lvl w:ilvl="1" w:tentative="0">
      <w:start w:val="1"/>
      <w:numFmt w:val="decimal"/>
      <w:pStyle w:val="3"/>
      <w:isLgl/>
      <w:lvlText w:val="%1.%2"/>
      <w:lvlJc w:val="left"/>
      <w:pPr>
        <w:tabs>
          <w:tab w:val="left" w:pos="420"/>
        </w:tabs>
        <w:ind w:left="567" w:hanging="567"/>
      </w:pPr>
      <w:rPr>
        <w:rFonts w:hint="eastAsia" w:ascii="Times New Roman" w:hAnsi="Times New Roman" w:eastAsia="宋体" w:cs="宋体"/>
      </w:rPr>
    </w:lvl>
    <w:lvl w:ilvl="2" w:tentative="0">
      <w:start w:val="1"/>
      <w:numFmt w:val="decimal"/>
      <w:pStyle w:val="4"/>
      <w:isLgl/>
      <w:lvlText w:val="%1.%2.%3"/>
      <w:lvlJc w:val="left"/>
      <w:pPr>
        <w:ind w:left="709" w:hanging="709"/>
      </w:pPr>
      <w:rPr>
        <w:rFonts w:hint="eastAsia" w:ascii="Times New Roman" w:hAnsi="Times New Roman" w:eastAsia="宋体" w:cs="宋体"/>
      </w:rPr>
    </w:lvl>
    <w:lvl w:ilvl="3" w:tentative="0">
      <w:start w:val="1"/>
      <w:numFmt w:val="decimal"/>
      <w:pStyle w:val="6"/>
      <w:isLgl/>
      <w:lvlText w:val="%1.%2.%3.%4"/>
      <w:lvlJc w:val="left"/>
      <w:pPr>
        <w:ind w:left="850" w:hanging="850"/>
      </w:pPr>
      <w:rPr>
        <w:rFonts w:hint="eastAsia" w:ascii="Times New Roman" w:hAnsi="Times New Roman" w:eastAsia="宋体" w:cs="宋体"/>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JlMGJhOTE2NTZkZjEzZTY0ZWUyMWRiMmQwOTM3NTAifQ=="/>
    <w:docVar w:name="KSO_WPS_MARK_KEY" w:val="f556afcf-9fd2-40f6-acaa-ad65782e5fb1"/>
  </w:docVars>
  <w:rsids>
    <w:rsidRoot w:val="6B6058FA"/>
    <w:rsid w:val="00075F04"/>
    <w:rsid w:val="00C1755E"/>
    <w:rsid w:val="012D648A"/>
    <w:rsid w:val="02502399"/>
    <w:rsid w:val="02670706"/>
    <w:rsid w:val="036E3EB9"/>
    <w:rsid w:val="05812870"/>
    <w:rsid w:val="06253FAC"/>
    <w:rsid w:val="081C524B"/>
    <w:rsid w:val="089805FD"/>
    <w:rsid w:val="09823051"/>
    <w:rsid w:val="09CD27F9"/>
    <w:rsid w:val="09E529A7"/>
    <w:rsid w:val="0B8A59B7"/>
    <w:rsid w:val="0BCE6888"/>
    <w:rsid w:val="0E0F7C5B"/>
    <w:rsid w:val="0EAC13A3"/>
    <w:rsid w:val="0EBD23A2"/>
    <w:rsid w:val="125024E7"/>
    <w:rsid w:val="13DF350F"/>
    <w:rsid w:val="15BA0393"/>
    <w:rsid w:val="15E831C7"/>
    <w:rsid w:val="17EF5A07"/>
    <w:rsid w:val="1AAC0CBB"/>
    <w:rsid w:val="1B3C000A"/>
    <w:rsid w:val="1B892FC7"/>
    <w:rsid w:val="1C7742EC"/>
    <w:rsid w:val="1C8A0453"/>
    <w:rsid w:val="1DC67833"/>
    <w:rsid w:val="1E3D2CEF"/>
    <w:rsid w:val="1E780B2E"/>
    <w:rsid w:val="1EB2283D"/>
    <w:rsid w:val="1F037943"/>
    <w:rsid w:val="218414B1"/>
    <w:rsid w:val="21A659B2"/>
    <w:rsid w:val="229E623B"/>
    <w:rsid w:val="23642141"/>
    <w:rsid w:val="23696E52"/>
    <w:rsid w:val="257B7C49"/>
    <w:rsid w:val="25CC0EF0"/>
    <w:rsid w:val="25E849B9"/>
    <w:rsid w:val="268A7650"/>
    <w:rsid w:val="27CB1BE1"/>
    <w:rsid w:val="27E00166"/>
    <w:rsid w:val="28612632"/>
    <w:rsid w:val="28902179"/>
    <w:rsid w:val="2A7A67A8"/>
    <w:rsid w:val="2B0F56EB"/>
    <w:rsid w:val="2DEC3217"/>
    <w:rsid w:val="2E3864F6"/>
    <w:rsid w:val="2EE04C18"/>
    <w:rsid w:val="2FB664C0"/>
    <w:rsid w:val="2FFA4B8C"/>
    <w:rsid w:val="32EC3440"/>
    <w:rsid w:val="336602D7"/>
    <w:rsid w:val="338C4505"/>
    <w:rsid w:val="33B2091F"/>
    <w:rsid w:val="34E3475E"/>
    <w:rsid w:val="352048A9"/>
    <w:rsid w:val="354E0288"/>
    <w:rsid w:val="35926521"/>
    <w:rsid w:val="359872EF"/>
    <w:rsid w:val="36196494"/>
    <w:rsid w:val="366D6646"/>
    <w:rsid w:val="384E63A8"/>
    <w:rsid w:val="38C7772B"/>
    <w:rsid w:val="38D76A12"/>
    <w:rsid w:val="38F263F3"/>
    <w:rsid w:val="392A7D21"/>
    <w:rsid w:val="3A053765"/>
    <w:rsid w:val="3C2A60B8"/>
    <w:rsid w:val="3CFE31BC"/>
    <w:rsid w:val="3D2F4D66"/>
    <w:rsid w:val="3D697527"/>
    <w:rsid w:val="3E1400E1"/>
    <w:rsid w:val="3E651830"/>
    <w:rsid w:val="3FBB02B8"/>
    <w:rsid w:val="3FFC7EFA"/>
    <w:rsid w:val="41042305"/>
    <w:rsid w:val="415338DB"/>
    <w:rsid w:val="43887BDD"/>
    <w:rsid w:val="43C95846"/>
    <w:rsid w:val="451B7425"/>
    <w:rsid w:val="453104E6"/>
    <w:rsid w:val="45C83899"/>
    <w:rsid w:val="47957731"/>
    <w:rsid w:val="47EA2B3D"/>
    <w:rsid w:val="488B6922"/>
    <w:rsid w:val="48FE1E34"/>
    <w:rsid w:val="4A3D5D50"/>
    <w:rsid w:val="4B0B0C76"/>
    <w:rsid w:val="4B3B20E6"/>
    <w:rsid w:val="4B8C5D46"/>
    <w:rsid w:val="4CDF3D18"/>
    <w:rsid w:val="4D1B32B6"/>
    <w:rsid w:val="4DDB27F6"/>
    <w:rsid w:val="4F750E62"/>
    <w:rsid w:val="4F757746"/>
    <w:rsid w:val="4FAE307F"/>
    <w:rsid w:val="524B1298"/>
    <w:rsid w:val="52971F1E"/>
    <w:rsid w:val="52B82DFF"/>
    <w:rsid w:val="54EA3982"/>
    <w:rsid w:val="55096BC0"/>
    <w:rsid w:val="55450A62"/>
    <w:rsid w:val="589C3B03"/>
    <w:rsid w:val="595F7CF4"/>
    <w:rsid w:val="5A6A7EF3"/>
    <w:rsid w:val="5C972A15"/>
    <w:rsid w:val="5D6116F8"/>
    <w:rsid w:val="5DAB7EF6"/>
    <w:rsid w:val="601C64D9"/>
    <w:rsid w:val="60D20E75"/>
    <w:rsid w:val="61687803"/>
    <w:rsid w:val="61D82E38"/>
    <w:rsid w:val="621D30BC"/>
    <w:rsid w:val="64767A29"/>
    <w:rsid w:val="656071F2"/>
    <w:rsid w:val="6653586D"/>
    <w:rsid w:val="66DF0D68"/>
    <w:rsid w:val="67680C64"/>
    <w:rsid w:val="6798408D"/>
    <w:rsid w:val="67EA6238"/>
    <w:rsid w:val="69B14CA4"/>
    <w:rsid w:val="6B6058FA"/>
    <w:rsid w:val="6B857140"/>
    <w:rsid w:val="6BE6147A"/>
    <w:rsid w:val="6C5A0E3F"/>
    <w:rsid w:val="6CC0570E"/>
    <w:rsid w:val="7007308C"/>
    <w:rsid w:val="73875F0A"/>
    <w:rsid w:val="741C332E"/>
    <w:rsid w:val="75347708"/>
    <w:rsid w:val="7653306A"/>
    <w:rsid w:val="76DF22CE"/>
    <w:rsid w:val="77E83F78"/>
    <w:rsid w:val="79D466A6"/>
    <w:rsid w:val="79E34FD9"/>
    <w:rsid w:val="7A562069"/>
    <w:rsid w:val="7C8C650A"/>
    <w:rsid w:val="7CE6714C"/>
    <w:rsid w:val="7D167237"/>
    <w:rsid w:val="7DE55B03"/>
    <w:rsid w:val="7F2F25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600" w:firstLineChars="200"/>
      <w:jc w:val="both"/>
    </w:pPr>
    <w:rPr>
      <w:rFonts w:ascii="Times New Roman" w:hAnsi="Times New Roman" w:eastAsiaTheme="minorEastAsia" w:cstheme="minorBidi"/>
      <w:kern w:val="2"/>
      <w:sz w:val="24"/>
      <w:szCs w:val="24"/>
      <w:lang w:val="en-US" w:eastAsia="zh-CN" w:bidi="ar-SA"/>
    </w:rPr>
  </w:style>
  <w:style w:type="paragraph" w:styleId="2">
    <w:name w:val="heading 1"/>
    <w:basedOn w:val="1"/>
    <w:next w:val="1"/>
    <w:qFormat/>
    <w:uiPriority w:val="99"/>
    <w:pPr>
      <w:keepNext/>
      <w:keepLines/>
      <w:numPr>
        <w:ilvl w:val="0"/>
        <w:numId w:val="1"/>
      </w:numPr>
      <w:spacing w:before="100" w:beforeLines="100" w:after="100" w:afterLines="100" w:line="360" w:lineRule="auto"/>
      <w:ind w:left="425" w:hanging="425" w:firstLineChars="0"/>
      <w:jc w:val="center"/>
      <w:outlineLvl w:val="0"/>
    </w:pPr>
    <w:rPr>
      <w:rFonts w:ascii="Times New Roman" w:hAnsi="Times New Roman" w:eastAsia="宋体"/>
      <w:b/>
      <w:bCs/>
      <w:kern w:val="44"/>
      <w:sz w:val="32"/>
      <w:szCs w:val="52"/>
    </w:rPr>
  </w:style>
  <w:style w:type="paragraph" w:styleId="3">
    <w:name w:val="heading 2"/>
    <w:basedOn w:val="4"/>
    <w:next w:val="5"/>
    <w:unhideWhenUsed/>
    <w:qFormat/>
    <w:uiPriority w:val="0"/>
    <w:pPr>
      <w:numPr>
        <w:ilvl w:val="1"/>
        <w:numId w:val="1"/>
      </w:numPr>
      <w:spacing w:before="120" w:beforeAutospacing="0" w:after="120" w:afterAutospacing="0" w:line="480" w:lineRule="exact"/>
      <w:ind w:left="567" w:hanging="567"/>
      <w:contextualSpacing/>
      <w:jc w:val="left"/>
      <w:outlineLvl w:val="1"/>
    </w:pPr>
    <w:rPr>
      <w:rFonts w:ascii="Times New Roman" w:hAnsi="Times New Roman" w:eastAsia="宋体" w:cs="Times New Roman"/>
      <w:snapToGrid w:val="0"/>
      <w:kern w:val="0"/>
      <w:sz w:val="28"/>
      <w:szCs w:val="36"/>
    </w:rPr>
  </w:style>
  <w:style w:type="paragraph" w:styleId="4">
    <w:name w:val="heading 3"/>
    <w:basedOn w:val="1"/>
    <w:next w:val="1"/>
    <w:unhideWhenUsed/>
    <w:qFormat/>
    <w:uiPriority w:val="0"/>
    <w:pPr>
      <w:keepNext/>
      <w:keepLines/>
      <w:numPr>
        <w:ilvl w:val="2"/>
        <w:numId w:val="1"/>
      </w:numPr>
      <w:spacing w:beforeLines="0" w:beforeAutospacing="0" w:afterLines="0" w:afterAutospacing="0" w:line="480" w:lineRule="exact"/>
      <w:ind w:left="709" w:hanging="709" w:firstLineChars="0"/>
      <w:outlineLvl w:val="2"/>
    </w:pPr>
    <w:rPr>
      <w:rFonts w:ascii="Times New Roman" w:hAnsi="Times New Roman" w:eastAsia="宋体"/>
      <w:b/>
    </w:rPr>
  </w:style>
  <w:style w:type="paragraph" w:styleId="6">
    <w:name w:val="heading 4"/>
    <w:basedOn w:val="1"/>
    <w:next w:val="1"/>
    <w:unhideWhenUsed/>
    <w:qFormat/>
    <w:uiPriority w:val="0"/>
    <w:pPr>
      <w:keepNext/>
      <w:keepLines/>
      <w:numPr>
        <w:ilvl w:val="3"/>
        <w:numId w:val="1"/>
      </w:numPr>
      <w:spacing w:before="50" w:beforeLines="50" w:beforeAutospacing="0" w:afterLines="0" w:afterAutospacing="0" w:line="360" w:lineRule="auto"/>
      <w:ind w:left="850" w:hanging="850" w:firstLineChars="0"/>
      <w:outlineLvl w:val="3"/>
    </w:pPr>
    <w:rPr>
      <w:rFonts w:ascii="Times New Roman" w:hAnsi="Times New Roman" w:eastAsia="宋体"/>
      <w:b/>
    </w:rPr>
  </w:style>
  <w:style w:type="paragraph" w:styleId="7">
    <w:name w:val="heading 5"/>
    <w:basedOn w:val="1"/>
    <w:next w:val="1"/>
    <w:unhideWhenUsed/>
    <w:qFormat/>
    <w:uiPriority w:val="0"/>
    <w:pPr>
      <w:keepNext/>
      <w:keepLines/>
      <w:spacing w:beforeLines="0" w:beforeAutospacing="0" w:afterLines="0" w:afterAutospacing="0" w:line="240" w:lineRule="auto"/>
      <w:outlineLvl w:val="9"/>
    </w:pPr>
    <w:rPr>
      <w:rFonts w:ascii="Times New Roman" w:hAnsi="Times New Roman" w:eastAsia="+中文正文"/>
      <w:b/>
      <w:sz w:val="24"/>
    </w:rPr>
  </w:style>
  <w:style w:type="paragraph" w:styleId="8">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rFonts w:ascii="Cambria Math" w:hAnsi="Cambria Math"/>
      <w:szCs w:val="21"/>
    </w:rPr>
  </w:style>
  <w:style w:type="paragraph" w:styleId="9">
    <w:name w:val="caption"/>
    <w:basedOn w:val="1"/>
    <w:next w:val="1"/>
    <w:unhideWhenUsed/>
    <w:qFormat/>
    <w:uiPriority w:val="0"/>
    <w:pPr>
      <w:spacing w:before="50" w:beforeLines="50" w:after="50" w:afterLines="50" w:line="240" w:lineRule="auto"/>
      <w:ind w:firstLine="0" w:firstLineChars="0"/>
      <w:jc w:val="center"/>
    </w:pPr>
    <w:rPr>
      <w:rFonts w:ascii="Times New Roman" w:hAnsi="Times New Roman" w:eastAsia="宋体" w:cs="Times New Roman"/>
      <w:b/>
      <w:szCs w:val="20"/>
    </w:rPr>
  </w:style>
  <w:style w:type="paragraph" w:styleId="10">
    <w:name w:val="annotation text"/>
    <w:basedOn w:val="1"/>
    <w:qFormat/>
    <w:uiPriority w:val="0"/>
    <w:pPr>
      <w:jc w:val="left"/>
    </w:pPr>
  </w:style>
  <w:style w:type="paragraph" w:styleId="11">
    <w:name w:val="Block Text"/>
    <w:basedOn w:val="1"/>
    <w:next w:val="1"/>
    <w:qFormat/>
    <w:uiPriority w:val="0"/>
    <w:pPr>
      <w:spacing w:after="120"/>
      <w:ind w:left="1440" w:leftChars="700" w:right="1440" w:rightChars="700"/>
    </w:pPr>
  </w:style>
  <w:style w:type="paragraph" w:styleId="12">
    <w:name w:val="footer"/>
    <w:basedOn w:val="1"/>
    <w:unhideWhenUsed/>
    <w:qFormat/>
    <w:uiPriority w:val="0"/>
    <w:pPr>
      <w:tabs>
        <w:tab w:val="center" w:pos="4153"/>
        <w:tab w:val="right" w:pos="8306"/>
      </w:tabs>
      <w:snapToGrid w:val="0"/>
      <w:jc w:val="left"/>
    </w:pPr>
    <w:rPr>
      <w:sz w:val="18"/>
      <w:szCs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table" w:styleId="16">
    <w:name w:val="Table Grid"/>
    <w:qFormat/>
    <w:uiPriority w:val="0"/>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0正文"/>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19">
    <w:name w:val="Default"/>
    <w:basedOn w:val="20"/>
    <w:next w:val="12"/>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0">
    <w:name w:val="文本"/>
    <w:basedOn w:val="1"/>
    <w:next w:val="1"/>
    <w:qFormat/>
    <w:uiPriority w:val="0"/>
    <w:pPr>
      <w:autoSpaceDE w:val="0"/>
      <w:autoSpaceDN w:val="0"/>
      <w:ind w:firstLine="480"/>
    </w:pPr>
    <w:rPr>
      <w:rFonts w:cs="Times New Roman"/>
      <w:szCs w:val="24"/>
      <w:lang w:val="zh-CN"/>
    </w:rPr>
  </w:style>
  <w:style w:type="table" w:customStyle="1" w:styleId="21">
    <w:name w:val="网格型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正文2"/>
    <w:basedOn w:val="1"/>
    <w:qFormat/>
    <w:uiPriority w:val="0"/>
    <w:pPr>
      <w:spacing w:line="240" w:lineRule="auto"/>
      <w:ind w:firstLine="0" w:firstLineChars="0"/>
      <w:jc w:val="center"/>
    </w:pPr>
    <w:rPr>
      <w:rFonts w:ascii="Times New Roman" w:hAnsi="Times New Roman" w:eastAsia="宋体"/>
      <w:sz w:val="21"/>
    </w:rPr>
  </w:style>
  <w:style w:type="table" w:customStyle="1" w:styleId="23">
    <w:name w:val="Table Normal"/>
    <w:semiHidden/>
    <w:unhideWhenUsed/>
    <w:qFormat/>
    <w:uiPriority w:val="0"/>
    <w:tblPr>
      <w:tblCellMar>
        <w:top w:w="0" w:type="dxa"/>
        <w:left w:w="0" w:type="dxa"/>
        <w:bottom w:w="0" w:type="dxa"/>
        <w:right w:w="0" w:type="dxa"/>
      </w:tblCellMar>
    </w:tblPr>
  </w:style>
  <w:style w:type="paragraph" w:customStyle="1" w:styleId="24">
    <w:name w:val="标题5"/>
    <w:basedOn w:val="1"/>
    <w:qFormat/>
    <w:uiPriority w:val="0"/>
    <w:pPr>
      <w:autoSpaceDE w:val="0"/>
      <w:autoSpaceDN w:val="0"/>
      <w:adjustRightInd w:val="0"/>
      <w:ind w:firstLine="480"/>
    </w:pPr>
    <w:rPr>
      <w:rFonts w:hint="eastAsia" w:ascii="Times New Roman" w:hAnsi="Times New Roman" w:eastAsia="宋体" w:cs="Times New Roman"/>
      <w:b/>
      <w:color w:val="000000"/>
    </w:rPr>
  </w:style>
  <w:style w:type="paragraph" w:customStyle="1" w:styleId="25">
    <w:name w:val="正文 2"/>
    <w:basedOn w:val="1"/>
    <w:qFormat/>
    <w:uiPriority w:val="0"/>
    <w:pPr>
      <w:spacing w:line="240" w:lineRule="auto"/>
      <w:ind w:firstLine="0" w:firstLineChars="0"/>
      <w:jc w:val="center"/>
    </w:pPr>
    <w:rPr>
      <w:rFonts w:ascii="Times New Roman" w:hAnsi="Times New Roman" w:eastAsia="宋体" w:cs="Times New Roman"/>
      <w:bCs/>
      <w:color w:val="auto"/>
      <w:sz w:val="21"/>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"/>
    </extobj>
    <extobj name="ECB019B1-382A-4266-B25C-5B523AA43C14-2">
      <extobjdata type="ECB019B1-382A-4266-B25C-5B523AA43C14" data="ewoJIkZpbGVJZCIgOiAiMTYwODkwMjE3NzYxIiwKCSJHcm91cElkIiA6ICIxODg2NjE0NzciLAoJIkltYWdlIiA6ICJpVkJPUncwS0dnb0FBQUFOU1VoRVVnQUFBRHdBQUFBOENBWUFBQUE2L05seUFBQUFDWEJJV1hNQUFBc1RBQUFMRXdFQW1wd1lBQUFBSkVsRVFWUm9nZTNCTVFFQUFBRENvUFZQN1drSm9BQUFBQUFBQUFBQUFBQUFBQUFBYmpoOEFBRnRlMTFqQUFBQUFFbEZUa1N1UW1DQy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48999</Words>
  <Characters>57591</Characters>
  <Lines>0</Lines>
  <Paragraphs>0</Paragraphs>
  <TotalTime>23</TotalTime>
  <ScaleCrop>false</ScaleCrop>
  <LinksUpToDate>false</LinksUpToDate>
  <CharactersWithSpaces>58807</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2022-03-19T06:52:00Z</dcterms:created>
  <dc:creator>长弓</dc:creator>
  <cp:lastModifiedBy>长弓</cp:lastModifiedBy>
  <dcterms:modified xsi:type="dcterms:W3CDTF">2023-02-01T09:39:13Z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3A30907C44354DFFA9A8CD8B9F9AE836</vt:lpwstr>
  </property>
  <property fmtid="{D5CDD505-2E9C-101B-9397-08002B2CF9AE}" pid="4" name="commondata">
    <vt:lpwstr>eyJoZGlkIjoiNDJlMGJhOTE2NTZkZjEzZTY0ZWUyMWRiMmQwOTM3NTAifQ==</vt:lpwstr>
  </property>
</Properties>
</file>