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63C59">
      <w:pPr>
        <w:spacing w:line="440" w:lineRule="exact"/>
        <w:jc w:val="center"/>
        <w:rPr>
          <w:rFonts w:ascii="微软雅黑" w:hAnsi="微软雅黑" w:eastAsia="微软雅黑"/>
          <w:sz w:val="44"/>
          <w:szCs w:val="44"/>
        </w:rPr>
      </w:pPr>
    </w:p>
    <w:p w14:paraId="6C80ECBF">
      <w:pPr>
        <w:spacing w:line="440" w:lineRule="exact"/>
        <w:rPr>
          <w:rFonts w:hint="eastAsia" w:ascii="宋体" w:hAnsi="宋体"/>
          <w:sz w:val="24"/>
        </w:rPr>
      </w:pPr>
      <w:r>
        <mc:AlternateContent>
          <mc:Choice Requires="wps">
            <w:drawing>
              <wp:anchor distT="0" distB="0" distL="114300" distR="114300" simplePos="0" relativeHeight="251718656" behindDoc="0" locked="0" layoutInCell="1" allowOverlap="1">
                <wp:simplePos x="0" y="0"/>
                <wp:positionH relativeFrom="column">
                  <wp:posOffset>886460</wp:posOffset>
                </wp:positionH>
                <wp:positionV relativeFrom="paragraph">
                  <wp:posOffset>-40640</wp:posOffset>
                </wp:positionV>
                <wp:extent cx="880110" cy="533400"/>
                <wp:effectExtent l="13970" t="13970" r="20320" b="24130"/>
                <wp:wrapNone/>
                <wp:docPr id="60" name="文本框 60"/>
                <wp:cNvGraphicFramePr/>
                <a:graphic xmlns:a="http://schemas.openxmlformats.org/drawingml/2006/main">
                  <a:graphicData uri="http://schemas.microsoft.com/office/word/2010/wordprocessingShape">
                    <wps:wsp>
                      <wps:cNvSpPr txBox="1"/>
                      <wps:spPr>
                        <a:xfrm>
                          <a:off x="0" y="0"/>
                          <a:ext cx="880110" cy="533400"/>
                        </a:xfrm>
                        <a:prstGeom prst="rect">
                          <a:avLst/>
                        </a:prstGeom>
                        <a:noFill/>
                        <a:ln w="28575" cap="flat" cmpd="sng">
                          <a:solidFill>
                            <a:srgbClr val="FF0000"/>
                          </a:solidFill>
                          <a:prstDash val="solid"/>
                          <a:miter/>
                          <a:headEnd type="none" w="med" len="med"/>
                          <a:tailEnd type="none" w="med" len="med"/>
                        </a:ln>
                      </wps:spPr>
                      <wps:txbx>
                        <w:txbxContent>
                          <w:p w14:paraId="75F799A7">
                            <w:pPr>
                              <w:adjustRightInd w:val="0"/>
                              <w:snapToGrid w:val="0"/>
                              <w:rPr>
                                <w:rFonts w:ascii="楷体_GB2312" w:eastAsia="楷体_GB2312"/>
                                <w:b/>
                                <w:bCs/>
                                <w:color w:val="FF0000"/>
                                <w:sz w:val="52"/>
                                <w:szCs w:val="52"/>
                              </w:rPr>
                            </w:pPr>
                            <w:r>
                              <w:rPr>
                                <w:rFonts w:hint="eastAsia" w:ascii="楷体_GB2312" w:eastAsia="楷体_GB2312"/>
                                <w:b/>
                                <w:bCs/>
                                <w:color w:val="FF0000"/>
                                <w:sz w:val="52"/>
                                <w:szCs w:val="52"/>
                              </w:rPr>
                              <w:t>受控</w:t>
                            </w:r>
                          </w:p>
                        </w:txbxContent>
                      </wps:txbx>
                      <wps:bodyPr upright="1"/>
                    </wps:wsp>
                  </a:graphicData>
                </a:graphic>
              </wp:anchor>
            </w:drawing>
          </mc:Choice>
          <mc:Fallback>
            <w:pict>
              <v:shape id="_x0000_s1026" o:spid="_x0000_s1026" o:spt="202" type="#_x0000_t202" style="position:absolute;left:0pt;margin-left:69.8pt;margin-top:-3.2pt;height:42pt;width:69.3pt;z-index:251718656;mso-width-relative:page;mso-height-relative:page;" filled="f" stroked="t" coordsize="21600,21600" o:gfxdata="UEsDBAoAAAAAAIdO4kAAAAAAAAAAAAAAAAAEAAAAZHJzL1BLAwQUAAAACACHTuJA9rJQT9kAAAAJ&#10;AQAADwAAAGRycy9kb3ducmV2LnhtbE2PXUvDQBBF3wX/wzKCL9LuNpakxmyKFQqCBTGKz9vsmASz&#10;syG76Ye/3vFJHy9zuPdMsT65XhxwDJ0nDYu5AoFUe9tRo+H9bTtbgQjRkDW9J9RwxgDr8vKiMLn1&#10;R3rFQxUbwSUUcqOhjXHIpQx1i86EuR+Q+PbpR2cix7GRdjRHLne9TJRKpTMd8UJrBnxssf6qJqdB&#10;7s43H8/frdpuEN1GVcuXh+lJ6+urhboHEfEU/2D41Wd1KNlp7yeyQfScb+9SRjXM0iUIBpJslYDY&#10;a8iyFGRZyP8flD9QSwMEFAAAAAgAh07iQJaqEm4JAgAADwQAAA4AAABkcnMvZTJvRG9jLnhtbK1T&#10;zY7TMBC+I/EOlu80aZcuVdV0JSjlggBp4QFcx0ks+U+226QvAG/AiQt3nqvPwWen24Xl0gM5JJOZ&#10;8TfzfTNe3Q1akYPwQVpT0emkpEQYbmtp2op++bx9saAkRGZqpqwRFT2KQO/Wz5+tercUM9tZVQtP&#10;AGLCsncV7WJ0y6IIvBOahYl1wiDYWK9ZxK9vi9qzHuhaFbOyvC1662vnLRchwLsZg/SM6K8BtE0j&#10;udhYvtfCxBHVC8UiKIVOukDXudumETx+bJogIlEVBdOY3ygCe5fexXrFlq1nrpP83AK7poUnnDST&#10;BkUvUBsWGdl7+Q+UltzbYJs44VYXI5GsCFhMyyfa3HfMicwFUgd3ET38P1j+4fDJE1lX9BaSGKYx&#10;8dP3b6cfv04/vxL4IFDvwhJ59w6ZcXhtB6zNgz/AmXgPjdfpC0YEcWAdL/KKIRIO52JRTqeIcITm&#10;Nzcvy4xePB52PsR3wmqSjIp6TC+Lyg7vQ0QjSH1ISbWM3Uql8gSVIX1FZ4v5qznwGdaywTrA1A7U&#10;gmkzTrBK1ulMOh18u3ujPDkwrMZ2W+JJpFDjr7RUcMNCN+bl0Lg0Wkbhc/FOsPqtqUk8OqhncGto&#10;6kaLmhIlcMmSlTMjk+qaTDShDHpJyo8KJysOuwEwydzZ+ohp7J2XbQep8jxyOvYkkzjvdFrEP/8z&#10;6OM9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rJQT9kAAAAJAQAADwAAAAAAAAABACAAAAAi&#10;AAAAZHJzL2Rvd25yZXYueG1sUEsBAhQAFAAAAAgAh07iQJaqEm4JAgAADwQAAA4AAAAAAAAAAQAg&#10;AAAAKAEAAGRycy9lMm9Eb2MueG1sUEsFBgAAAAAGAAYAWQEAAKMFAAAAAA==&#10;">
                <v:fill on="f" focussize="0,0"/>
                <v:stroke weight="2.25pt" color="#FF0000" joinstyle="miter"/>
                <v:imagedata o:title=""/>
                <o:lock v:ext="edit" aspectratio="f"/>
                <v:textbox>
                  <w:txbxContent>
                    <w:p w14:paraId="75F799A7">
                      <w:pPr>
                        <w:adjustRightInd w:val="0"/>
                        <w:snapToGrid w:val="0"/>
                        <w:rPr>
                          <w:rFonts w:ascii="楷体_GB2312" w:eastAsia="楷体_GB2312"/>
                          <w:b/>
                          <w:bCs/>
                          <w:color w:val="FF0000"/>
                          <w:sz w:val="52"/>
                          <w:szCs w:val="52"/>
                        </w:rPr>
                      </w:pPr>
                      <w:r>
                        <w:rPr>
                          <w:rFonts w:hint="eastAsia" w:ascii="楷体_GB2312" w:eastAsia="楷体_GB2312"/>
                          <w:b/>
                          <w:bCs/>
                          <w:color w:val="FF0000"/>
                          <w:sz w:val="52"/>
                          <w:szCs w:val="52"/>
                        </w:rPr>
                        <w:t>受控</w:t>
                      </w:r>
                    </w:p>
                  </w:txbxContent>
                </v:textbox>
              </v:shape>
            </w:pict>
          </mc:Fallback>
        </mc:AlternateContent>
      </w:r>
      <w:r>
        <w:rPr>
          <w:rFonts w:hint="eastAsia" w:ascii="宋体" w:hAnsi="宋体"/>
          <w:sz w:val="24"/>
        </w:rPr>
        <w:t>受控状态：</w:t>
      </w:r>
      <w:r>
        <w:rPr>
          <w:rFonts w:hint="eastAsia" w:ascii="宋体" w:hAnsi="宋体"/>
          <w:sz w:val="24"/>
          <w:lang w:val="en-US" w:eastAsia="zh-CN"/>
        </w:rPr>
        <w:t xml:space="preserve">                                           </w:t>
      </w:r>
      <w:r>
        <w:rPr>
          <w:rFonts w:hint="eastAsia" w:ascii="宋体" w:hAnsi="宋体"/>
          <w:sz w:val="24"/>
        </w:rPr>
        <w:t>分 发 号：</w:t>
      </w:r>
    </w:p>
    <w:p w14:paraId="7D4EC321">
      <w:pPr>
        <w:spacing w:line="440" w:lineRule="exact"/>
        <w:rPr>
          <w:rFonts w:hint="eastAsia" w:ascii="宋体" w:hAnsi="宋体"/>
          <w:sz w:val="24"/>
        </w:rPr>
      </w:pPr>
    </w:p>
    <w:p w14:paraId="38169400">
      <w:pPr>
        <w:spacing w:line="440" w:lineRule="exact"/>
        <w:jc w:val="both"/>
        <w:rPr>
          <w:rFonts w:ascii="微软雅黑" w:hAnsi="微软雅黑" w:eastAsia="微软雅黑"/>
          <w:sz w:val="44"/>
          <w:szCs w:val="44"/>
        </w:rPr>
      </w:pPr>
    </w:p>
    <w:p w14:paraId="3AC98D75">
      <w:pPr>
        <w:ind w:right="-1" w:firstLine="880" w:firstLineChars="200"/>
        <w:rPr>
          <w:rFonts w:hint="eastAsia" w:ascii="华文中宋" w:hAnsi="华文中宋" w:eastAsia="华文中宋"/>
          <w:bCs/>
          <w:sz w:val="28"/>
          <w:szCs w:val="28"/>
          <w:u w:val="single"/>
          <w:lang w:eastAsia="zh-CN"/>
        </w:rPr>
      </w:pPr>
      <w:r>
        <w:rPr>
          <w:rFonts w:hint="eastAsia" w:ascii="微软雅黑" w:hAnsi="微软雅黑" w:eastAsia="微软雅黑"/>
          <w:sz w:val="44"/>
          <w:szCs w:val="44"/>
          <w:u w:val="single"/>
          <w:lang w:eastAsia="zh-CN"/>
        </w:rPr>
        <w:t>淄</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博</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海</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源</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电</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子</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科</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技</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有</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限</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公</w:t>
      </w:r>
      <w:r>
        <w:rPr>
          <w:rFonts w:hint="eastAsia" w:ascii="微软雅黑" w:hAnsi="微软雅黑" w:eastAsia="微软雅黑"/>
          <w:sz w:val="44"/>
          <w:szCs w:val="44"/>
          <w:u w:val="single"/>
          <w:lang w:val="en-US" w:eastAsia="zh-CN"/>
        </w:rPr>
        <w:t xml:space="preserve"> </w:t>
      </w:r>
      <w:r>
        <w:rPr>
          <w:rFonts w:hint="eastAsia" w:ascii="微软雅黑" w:hAnsi="微软雅黑" w:eastAsia="微软雅黑"/>
          <w:sz w:val="44"/>
          <w:szCs w:val="44"/>
          <w:u w:val="single"/>
          <w:lang w:eastAsia="zh-CN"/>
        </w:rPr>
        <w:t>司</w:t>
      </w:r>
    </w:p>
    <w:p w14:paraId="546AC8AC">
      <w:pPr>
        <w:ind w:right="-1"/>
        <w:jc w:val="center"/>
        <w:rPr>
          <w:rFonts w:hint="eastAsia" w:ascii="黑体" w:hAnsi="黑体" w:eastAsia="黑体" w:cs="黑体"/>
          <w:bCs/>
          <w:sz w:val="52"/>
          <w:szCs w:val="52"/>
        </w:rPr>
      </w:pPr>
    </w:p>
    <w:p w14:paraId="013AB6CF">
      <w:pPr>
        <w:ind w:right="-1"/>
        <w:jc w:val="center"/>
        <w:rPr>
          <w:rFonts w:hint="eastAsia" w:ascii="黑体" w:hAnsi="黑体" w:eastAsia="黑体" w:cs="黑体"/>
          <w:bCs/>
          <w:sz w:val="52"/>
          <w:szCs w:val="52"/>
        </w:rPr>
      </w:pPr>
      <w:r>
        <w:rPr>
          <w:rFonts w:hint="eastAsia" w:ascii="黑体" w:hAnsi="黑体" w:eastAsia="黑体" w:cs="黑体"/>
          <w:bCs/>
          <w:sz w:val="52"/>
          <w:szCs w:val="52"/>
        </w:rPr>
        <w:t>程序文件</w:t>
      </w:r>
    </w:p>
    <w:p w14:paraId="4219B79F">
      <w:pPr>
        <w:ind w:right="-1"/>
        <w:jc w:val="center"/>
        <w:rPr>
          <w:rFonts w:hint="eastAsia" w:ascii="黑体" w:hAnsi="黑体" w:eastAsia="黑体" w:cs="黑体"/>
          <w:bCs/>
          <w:sz w:val="52"/>
          <w:szCs w:val="52"/>
        </w:rPr>
      </w:pPr>
    </w:p>
    <w:p w14:paraId="7733DA25">
      <w:pPr>
        <w:jc w:val="center"/>
      </w:pPr>
      <w:r>
        <w:rPr>
          <w:rFonts w:hint="eastAsia" w:ascii="微软雅黑" w:hAnsi="微软雅黑" w:eastAsia="微软雅黑"/>
          <w:sz w:val="36"/>
        </w:rPr>
        <w:t>【</w:t>
      </w:r>
      <w:r>
        <w:rPr>
          <w:rFonts w:hint="eastAsia" w:ascii="微软雅黑" w:hAnsi="微软雅黑" w:eastAsia="微软雅黑"/>
          <w:sz w:val="36"/>
          <w:szCs w:val="36"/>
        </w:rPr>
        <w:t xml:space="preserve">依据GB/T19001-2016 idt ISO9001:2015、GB/T24001-2016 idt ISO14001:2015、 </w:t>
      </w:r>
      <w:r>
        <w:rPr>
          <w:rFonts w:hint="eastAsia" w:ascii="微软雅黑" w:hAnsi="微软雅黑" w:eastAsia="微软雅黑"/>
          <w:sz w:val="36"/>
          <w:szCs w:val="36"/>
          <w:lang w:eastAsia="zh-CN"/>
        </w:rPr>
        <w:t>GB/T45001-2020 idt ISO45001:2018</w:t>
      </w:r>
      <w:r>
        <w:rPr>
          <w:rFonts w:hint="eastAsia" w:ascii="微软雅黑" w:hAnsi="微软雅黑" w:eastAsia="微软雅黑"/>
          <w:sz w:val="36"/>
          <w:szCs w:val="36"/>
        </w:rPr>
        <w:t>编制</w:t>
      </w:r>
      <w:r>
        <w:rPr>
          <w:rFonts w:hint="eastAsia" w:ascii="微软雅黑" w:hAnsi="微软雅黑" w:eastAsia="微软雅黑"/>
          <w:sz w:val="36"/>
        </w:rPr>
        <w:t>】</w:t>
      </w:r>
    </w:p>
    <w:p w14:paraId="2BEA9607">
      <w:pPr>
        <w:spacing w:line="360" w:lineRule="auto"/>
        <w:rPr>
          <w:b/>
          <w:bCs/>
          <w:sz w:val="32"/>
          <w:szCs w:val="32"/>
        </w:rPr>
      </w:pPr>
      <w:r>
        <w:rPr>
          <w:rFonts w:hint="eastAsia"/>
          <w:b/>
          <w:bCs/>
          <w:sz w:val="32"/>
          <w:szCs w:val="32"/>
        </w:rPr>
        <w:t xml:space="preserve">           </w:t>
      </w:r>
      <w:r>
        <w:rPr>
          <w:rFonts w:hint="eastAsia"/>
          <w:b/>
          <w:bCs/>
          <w:sz w:val="32"/>
          <w:szCs w:val="32"/>
        </w:rPr>
        <w:tab/>
      </w:r>
    </w:p>
    <w:p w14:paraId="0813F4B1">
      <w:pPr>
        <w:spacing w:line="360" w:lineRule="auto"/>
        <w:rPr>
          <w:b/>
          <w:bCs/>
          <w:sz w:val="32"/>
          <w:szCs w:val="32"/>
        </w:rPr>
      </w:pPr>
      <w:r>
        <w:rPr>
          <w:rFonts w:hint="eastAsia"/>
          <w:b/>
          <w:bCs/>
          <w:sz w:val="32"/>
          <w:szCs w:val="32"/>
        </w:rPr>
        <w:t xml:space="preserve">                     </w:t>
      </w:r>
      <w:bookmarkStart w:id="23" w:name="_GoBack"/>
      <w:bookmarkEnd w:id="23"/>
    </w:p>
    <w:p w14:paraId="19328FB8">
      <w:pPr>
        <w:spacing w:line="360" w:lineRule="auto"/>
        <w:ind w:firstLine="848" w:firstLineChars="265"/>
        <w:rPr>
          <w:b/>
          <w:bCs/>
          <w:sz w:val="32"/>
          <w:szCs w:val="32"/>
        </w:rPr>
      </w:pPr>
      <w:r>
        <w:rPr>
          <w:rFonts w:hint="eastAsia"/>
          <w:b/>
          <w:bCs/>
          <w:sz w:val="32"/>
          <w:szCs w:val="32"/>
        </w:rPr>
        <w:t>编号：</w:t>
      </w:r>
      <w:r>
        <w:rPr>
          <w:rFonts w:hint="eastAsia"/>
          <w:b/>
          <w:bCs/>
          <w:sz w:val="32"/>
          <w:szCs w:val="32"/>
          <w:lang w:eastAsia="zh-CN"/>
        </w:rPr>
        <w:t>ZBHY</w:t>
      </w:r>
      <w:r>
        <w:rPr>
          <w:rFonts w:hint="eastAsia"/>
          <w:b/>
          <w:bCs/>
          <w:sz w:val="32"/>
          <w:szCs w:val="32"/>
        </w:rPr>
        <w:t>/</w:t>
      </w:r>
      <w:r>
        <w:rPr>
          <w:rFonts w:hint="eastAsia"/>
          <w:b/>
          <w:bCs/>
          <w:sz w:val="32"/>
          <w:szCs w:val="32"/>
          <w:lang w:eastAsia="zh-CN"/>
        </w:rPr>
        <w:t>CX-B</w:t>
      </w:r>
      <w:r>
        <w:rPr>
          <w:rFonts w:hint="eastAsia"/>
          <w:b/>
          <w:bCs/>
          <w:sz w:val="32"/>
          <w:szCs w:val="32"/>
        </w:rPr>
        <w:t>-</w:t>
      </w:r>
      <w:r>
        <w:rPr>
          <w:rFonts w:hint="eastAsia"/>
          <w:b/>
          <w:bCs/>
          <w:sz w:val="32"/>
          <w:szCs w:val="32"/>
          <w:lang w:eastAsia="zh-CN"/>
        </w:rPr>
        <w:t>2024</w:t>
      </w:r>
      <w:r>
        <w:rPr>
          <w:rFonts w:hint="eastAsia"/>
          <w:b/>
          <w:bCs/>
          <w:sz w:val="32"/>
          <w:szCs w:val="32"/>
        </w:rPr>
        <w:t>-</w:t>
      </w:r>
      <w:r>
        <w:rPr>
          <w:rFonts w:hint="eastAsia"/>
          <w:b/>
          <w:bCs/>
          <w:sz w:val="32"/>
          <w:szCs w:val="32"/>
          <w:lang w:val="en-US" w:eastAsia="zh-CN"/>
        </w:rPr>
        <w:t>(</w:t>
      </w:r>
      <w:r>
        <w:rPr>
          <w:rFonts w:hint="eastAsia"/>
          <w:b/>
          <w:bCs/>
          <w:sz w:val="32"/>
          <w:szCs w:val="32"/>
        </w:rPr>
        <w:t>1-23）</w:t>
      </w:r>
    </w:p>
    <w:p w14:paraId="56AA50FF">
      <w:pPr>
        <w:spacing w:line="360" w:lineRule="auto"/>
        <w:ind w:firstLine="848" w:firstLineChars="265"/>
        <w:rPr>
          <w:rFonts w:hint="eastAsia" w:eastAsia="宋体"/>
          <w:b/>
          <w:bCs/>
          <w:sz w:val="32"/>
          <w:szCs w:val="32"/>
          <w:lang w:eastAsia="zh-CN"/>
        </w:rPr>
      </w:pPr>
      <w:r>
        <w:rPr>
          <w:rFonts w:hint="eastAsia"/>
          <w:b/>
          <w:bCs/>
          <w:sz w:val="32"/>
          <w:szCs w:val="32"/>
        </w:rPr>
        <w:t>编制：（贯标小组签字）           日期：</w:t>
      </w:r>
      <w:r>
        <w:rPr>
          <w:rFonts w:hint="eastAsia"/>
          <w:b/>
          <w:bCs/>
          <w:sz w:val="32"/>
          <w:szCs w:val="32"/>
          <w:lang w:eastAsia="zh-CN"/>
        </w:rPr>
        <w:t>2024</w:t>
      </w:r>
      <w:r>
        <w:rPr>
          <w:rFonts w:hint="eastAsia"/>
          <w:b/>
          <w:bCs/>
          <w:sz w:val="32"/>
          <w:szCs w:val="32"/>
        </w:rPr>
        <w:t>.</w:t>
      </w:r>
      <w:r>
        <w:rPr>
          <w:b/>
          <w:bCs/>
          <w:sz w:val="32"/>
          <w:szCs w:val="32"/>
        </w:rPr>
        <w:t>5</w:t>
      </w:r>
      <w:r>
        <w:rPr>
          <w:rFonts w:hint="eastAsia"/>
          <w:b/>
          <w:bCs/>
          <w:sz w:val="32"/>
          <w:szCs w:val="32"/>
        </w:rPr>
        <w:t>.</w:t>
      </w:r>
      <w:r>
        <w:rPr>
          <w:rFonts w:hint="eastAsia"/>
          <w:b/>
          <w:bCs/>
          <w:sz w:val="32"/>
          <w:szCs w:val="32"/>
          <w:lang w:eastAsia="zh-CN"/>
        </w:rPr>
        <w:t>1</w:t>
      </w:r>
      <w:r>
        <w:rPr>
          <w:rFonts w:hint="eastAsia"/>
          <w:b/>
          <w:bCs/>
          <w:sz w:val="32"/>
          <w:szCs w:val="32"/>
          <w:lang w:val="en-US" w:eastAsia="zh-CN"/>
        </w:rPr>
        <w:t>8</w:t>
      </w:r>
    </w:p>
    <w:p w14:paraId="14C10E5B">
      <w:pPr>
        <w:spacing w:line="360" w:lineRule="auto"/>
        <w:ind w:firstLine="848" w:firstLineChars="265"/>
        <w:rPr>
          <w:rFonts w:hint="eastAsia" w:eastAsia="宋体"/>
          <w:b/>
          <w:bCs/>
          <w:sz w:val="32"/>
          <w:szCs w:val="32"/>
          <w:lang w:eastAsia="zh-CN"/>
        </w:rPr>
      </w:pPr>
      <w:r>
        <w:rPr>
          <w:rFonts w:hint="eastAsia"/>
          <w:b/>
          <w:bCs/>
          <w:sz w:val="32"/>
          <w:szCs w:val="32"/>
        </w:rPr>
        <w:t>审核：（管理者代表签字）         日期：</w:t>
      </w:r>
      <w:r>
        <w:rPr>
          <w:rFonts w:hint="eastAsia"/>
          <w:b/>
          <w:bCs/>
          <w:sz w:val="32"/>
          <w:szCs w:val="32"/>
          <w:lang w:eastAsia="zh-CN"/>
        </w:rPr>
        <w:t>2024</w:t>
      </w:r>
      <w:r>
        <w:rPr>
          <w:rFonts w:hint="eastAsia"/>
          <w:b/>
          <w:bCs/>
          <w:sz w:val="32"/>
          <w:szCs w:val="32"/>
        </w:rPr>
        <w:t>.</w:t>
      </w:r>
      <w:r>
        <w:rPr>
          <w:b/>
          <w:bCs/>
          <w:sz w:val="32"/>
          <w:szCs w:val="32"/>
        </w:rPr>
        <w:t>5</w:t>
      </w:r>
      <w:r>
        <w:rPr>
          <w:rFonts w:hint="eastAsia"/>
          <w:b/>
          <w:bCs/>
          <w:sz w:val="32"/>
          <w:szCs w:val="32"/>
        </w:rPr>
        <w:t>.</w:t>
      </w:r>
      <w:r>
        <w:rPr>
          <w:rFonts w:hint="eastAsia"/>
          <w:b/>
          <w:bCs/>
          <w:sz w:val="32"/>
          <w:szCs w:val="32"/>
          <w:lang w:eastAsia="zh-CN"/>
        </w:rPr>
        <w:t>1</w:t>
      </w:r>
      <w:r>
        <w:rPr>
          <w:rFonts w:hint="eastAsia"/>
          <w:b/>
          <w:bCs/>
          <w:sz w:val="32"/>
          <w:szCs w:val="32"/>
          <w:lang w:val="en-US" w:eastAsia="zh-CN"/>
        </w:rPr>
        <w:t>8</w:t>
      </w:r>
    </w:p>
    <w:p w14:paraId="74247937">
      <w:pPr>
        <w:spacing w:line="360" w:lineRule="auto"/>
        <w:ind w:firstLine="848" w:firstLineChars="265"/>
        <w:rPr>
          <w:rFonts w:hint="eastAsia" w:eastAsia="宋体"/>
          <w:b/>
          <w:bCs/>
          <w:sz w:val="32"/>
          <w:szCs w:val="32"/>
          <w:lang w:eastAsia="zh-CN"/>
        </w:rPr>
      </w:pPr>
      <w:r>
        <w:rPr>
          <w:rFonts w:hint="eastAsia"/>
          <w:b/>
          <w:bCs/>
          <w:sz w:val="32"/>
          <w:szCs w:val="32"/>
        </w:rPr>
        <w:t>批准：（总经理签字）             日期：</w:t>
      </w:r>
      <w:r>
        <w:rPr>
          <w:rFonts w:hint="eastAsia"/>
          <w:b/>
          <w:bCs/>
          <w:sz w:val="32"/>
          <w:szCs w:val="32"/>
          <w:lang w:eastAsia="zh-CN"/>
        </w:rPr>
        <w:t>2024</w:t>
      </w:r>
      <w:r>
        <w:rPr>
          <w:rFonts w:hint="eastAsia"/>
          <w:b/>
          <w:bCs/>
          <w:sz w:val="32"/>
          <w:szCs w:val="32"/>
        </w:rPr>
        <w:t>.</w:t>
      </w:r>
      <w:r>
        <w:rPr>
          <w:b/>
          <w:bCs/>
          <w:sz w:val="32"/>
          <w:szCs w:val="32"/>
        </w:rPr>
        <w:t>5</w:t>
      </w:r>
      <w:r>
        <w:rPr>
          <w:rFonts w:hint="eastAsia"/>
          <w:b/>
          <w:bCs/>
          <w:sz w:val="32"/>
          <w:szCs w:val="32"/>
        </w:rPr>
        <w:t>.</w:t>
      </w:r>
      <w:r>
        <w:rPr>
          <w:rFonts w:hint="eastAsia"/>
          <w:b/>
          <w:bCs/>
          <w:sz w:val="32"/>
          <w:szCs w:val="32"/>
          <w:lang w:eastAsia="zh-CN"/>
        </w:rPr>
        <w:t>1</w:t>
      </w:r>
      <w:r>
        <w:rPr>
          <w:rFonts w:hint="eastAsia"/>
          <w:b/>
          <w:bCs/>
          <w:sz w:val="32"/>
          <w:szCs w:val="32"/>
          <w:lang w:val="en-US" w:eastAsia="zh-CN"/>
        </w:rPr>
        <w:t>8</w:t>
      </w:r>
    </w:p>
    <w:p w14:paraId="7FB0F57A">
      <w:pPr>
        <w:spacing w:line="360" w:lineRule="auto"/>
        <w:ind w:firstLine="848" w:firstLineChars="265"/>
        <w:rPr>
          <w:b/>
          <w:bCs/>
          <w:sz w:val="32"/>
          <w:szCs w:val="32"/>
        </w:rPr>
      </w:pPr>
    </w:p>
    <w:p w14:paraId="78754FC5">
      <w:pPr>
        <w:spacing w:line="360" w:lineRule="auto"/>
        <w:ind w:firstLine="848" w:firstLineChars="265"/>
        <w:rPr>
          <w:b/>
          <w:bCs/>
          <w:sz w:val="32"/>
          <w:szCs w:val="32"/>
        </w:rPr>
      </w:pPr>
    </w:p>
    <w:p w14:paraId="48B021DA">
      <w:pPr>
        <w:spacing w:line="360" w:lineRule="auto"/>
        <w:jc w:val="center"/>
        <w:rPr>
          <w:rFonts w:hint="eastAsia" w:eastAsia="宋体"/>
          <w:b/>
          <w:bCs/>
          <w:sz w:val="32"/>
          <w:szCs w:val="32"/>
          <w:lang w:eastAsia="zh-CN"/>
        </w:rPr>
      </w:pPr>
      <w:r>
        <w:rPr>
          <w:rFonts w:hint="eastAsia"/>
          <w:b/>
          <w:bCs/>
          <w:sz w:val="32"/>
          <w:szCs w:val="32"/>
        </w:rPr>
        <w:t>发布日期：</w:t>
      </w:r>
      <w:r>
        <w:rPr>
          <w:rFonts w:hint="eastAsia"/>
          <w:b/>
          <w:bCs/>
          <w:sz w:val="32"/>
          <w:szCs w:val="32"/>
          <w:lang w:eastAsia="zh-CN"/>
        </w:rPr>
        <w:t>2024</w:t>
      </w:r>
      <w:r>
        <w:rPr>
          <w:rFonts w:hint="eastAsia"/>
          <w:b/>
          <w:bCs/>
          <w:sz w:val="32"/>
          <w:szCs w:val="32"/>
        </w:rPr>
        <w:t>-05-</w:t>
      </w:r>
      <w:r>
        <w:rPr>
          <w:rFonts w:hint="eastAsia"/>
          <w:b/>
          <w:bCs/>
          <w:sz w:val="32"/>
          <w:szCs w:val="32"/>
          <w:lang w:eastAsia="zh-CN"/>
        </w:rPr>
        <w:t>1</w:t>
      </w:r>
      <w:r>
        <w:rPr>
          <w:rFonts w:hint="eastAsia"/>
          <w:b/>
          <w:bCs/>
          <w:sz w:val="32"/>
          <w:szCs w:val="32"/>
          <w:lang w:val="en-US" w:eastAsia="zh-CN"/>
        </w:rPr>
        <w:t>8</w:t>
      </w:r>
      <w:r>
        <w:rPr>
          <w:rFonts w:hint="eastAsia"/>
          <w:b/>
          <w:bCs/>
          <w:sz w:val="32"/>
          <w:szCs w:val="32"/>
        </w:rPr>
        <w:t xml:space="preserve">           实施日期：</w:t>
      </w:r>
      <w:r>
        <w:rPr>
          <w:rFonts w:hint="eastAsia"/>
          <w:b/>
          <w:bCs/>
          <w:sz w:val="32"/>
          <w:szCs w:val="32"/>
          <w:lang w:eastAsia="zh-CN"/>
        </w:rPr>
        <w:t>2024</w:t>
      </w:r>
      <w:r>
        <w:rPr>
          <w:rFonts w:hint="eastAsia"/>
          <w:b/>
          <w:bCs/>
          <w:sz w:val="32"/>
          <w:szCs w:val="32"/>
        </w:rPr>
        <w:t>-05-</w:t>
      </w:r>
      <w:r>
        <w:rPr>
          <w:rFonts w:hint="eastAsia"/>
          <w:b/>
          <w:bCs/>
          <w:sz w:val="32"/>
          <w:szCs w:val="32"/>
          <w:lang w:eastAsia="zh-CN"/>
        </w:rPr>
        <w:t>18</w:t>
      </w:r>
    </w:p>
    <w:p w14:paraId="6AD52D3D">
      <w:pPr>
        <w:spacing w:line="360" w:lineRule="auto"/>
        <w:ind w:firstLine="1280" w:firstLineChars="400"/>
        <w:jc w:val="both"/>
        <w:rPr>
          <w:b/>
          <w:bCs/>
          <w:sz w:val="32"/>
          <w:szCs w:val="32"/>
        </w:rPr>
      </w:pPr>
      <w:r>
        <w:rPr>
          <w:rFonts w:hint="eastAsia"/>
          <w:b/>
          <w:bCs/>
          <w:sz w:val="32"/>
          <w:szCs w:val="32"/>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24130</wp:posOffset>
                </wp:positionV>
                <wp:extent cx="5638800" cy="0"/>
                <wp:effectExtent l="0" t="0" r="0" b="0"/>
                <wp:wrapNone/>
                <wp:docPr id="59" name="直线 2260"/>
                <wp:cNvGraphicFramePr/>
                <a:graphic xmlns:a="http://schemas.openxmlformats.org/drawingml/2006/main">
                  <a:graphicData uri="http://schemas.microsoft.com/office/word/2010/wordprocessingShape">
                    <wps:wsp>
                      <wps:cNvCnPr>
                        <a:cxnSpLocks noChangeShapeType="1"/>
                      </wps:cNvCnPr>
                      <wps:spPr bwMode="auto">
                        <a:xfrm flipV="1">
                          <a:off x="0" y="0"/>
                          <a:ext cx="5638800" cy="0"/>
                        </a:xfrm>
                        <a:prstGeom prst="line">
                          <a:avLst/>
                        </a:prstGeom>
                        <a:noFill/>
                        <a:ln w="9525" cmpd="sng">
                          <a:solidFill>
                            <a:srgbClr val="000000"/>
                          </a:solidFill>
                          <a:round/>
                        </a:ln>
                      </wps:spPr>
                      <wps:bodyPr/>
                    </wps:wsp>
                  </a:graphicData>
                </a:graphic>
              </wp:anchor>
            </w:drawing>
          </mc:Choice>
          <mc:Fallback>
            <w:pict>
              <v:line id="直线 2260" o:spid="_x0000_s1026" o:spt="20" style="position:absolute;left:0pt;flip:y;margin-left:2.3pt;margin-top:1.9pt;height:0pt;width:444pt;z-index:251693056;mso-width-relative:page;mso-height-relative:page;" filled="f" stroked="t" coordsize="21600,21600" o:gfxdata="UEsDBAoAAAAAAIdO4kAAAAAAAAAAAAAAAAAEAAAAZHJzL1BLAwQUAAAACACHTuJA+Uup29IAAAAF&#10;AQAADwAAAGRycy9kb3ducmV2LnhtbE2OwU7DMBBE70j8g7VIvVG7KaraEKdCiHJBqkQJnJ14SSLs&#10;dRS7afn7Llzg+DSjmVdsz96JCcfYB9KwmCsQSE2wPbUaqrfd7RpETIascYFQwzdG2JbXV4XJbTjR&#10;K06H1AoeoZgbDV1KQy5lbDr0Js7DgMTZZxi9SYxjK+1oTjzuncyUWklveuKHzgz42GHzdTh6DQ8f&#10;L0/L/VT74Oymrd6tr9RzpvXsZqHuQSQ8p78y/OizOpTsVIcj2SichrsVFzUs2Z/T9SZjrn9ZloX8&#10;b19eAFBLAwQUAAAACACHTuJAm1n2R+gBAAC6AwAADgAAAGRycy9lMm9Eb2MueG1srVPBbtswDL0P&#10;2D8Iui92MiRIjTg9JOgu3Rag7e6KLNvCJFEQlTj5lv3GTrvsc/obo5Q07bpLD/NBEEXyke+RXlwf&#10;rGF7FVCDq/l4VHKmnIRGu67mD/c3H+acYRSuEQacqvlRIb9evn+3GHylJtCDaVRgBOKwGnzN+xh9&#10;VRQoe2UFjsArR84WghWRzNAVTRADoVtTTMpyVgwQGh9AKkR6XZ+c/IwY3gIIbaulWoPcWeXiCTUo&#10;IyJRwl575MvcbdsqGb+2LarITM2JacwnFaH7Np3FciGqLgjfa3luQbylhVecrNCOil6g1iIKtgv6&#10;HyirZQCENo4k2OJEJCtCLMblK23ueuFV5kJSo7+Ijv8PVn7ZbwLTTc2nV5w5YWnijz9+Pv76zSaT&#10;WdZn8FhR2MptQmIoD+7O34L8jszBqheuU7nP+6On3HFStPgrJRnoqcp2+AwNxYhdhCzWoQ2WtUb7&#10;bykxgZMg7JCnc7xMRx0ik/Q4nX2cz0sanHzyFaJKECnRB4yfFFiWLjU32iXhRCX2txhTS88h6dnB&#10;jTYmD984NtT8ajqZErL1pAS6LuciGN2kuJSBoduuTGB7kTYpf5kqeV6GBdi55lTPuLMSiXxaSKy2&#10;0Bw34UkhGmlu7Lx+aWde2jn7+Zdb/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S6nb0gAAAAUB&#10;AAAPAAAAAAAAAAEAIAAAACIAAABkcnMvZG93bnJldi54bWxQSwECFAAUAAAACACHTuJAm1n2R+gB&#10;AAC6AwAADgAAAAAAAAABACAAAAAhAQAAZHJzL2Uyb0RvYy54bWxQSwUGAAAAAAYABgBZAQAAewUA&#10;AAAA&#10;">
                <v:fill on="f" focussize="0,0"/>
                <v:stroke color="#000000" joinstyle="round"/>
                <v:imagedata o:title=""/>
                <o:lock v:ext="edit" aspectratio="f"/>
              </v:line>
            </w:pict>
          </mc:Fallback>
        </mc:AlternateContent>
      </w:r>
      <w:r>
        <w:rPr>
          <w:rFonts w:hint="eastAsia"/>
          <w:b/>
          <w:bCs/>
          <w:sz w:val="32"/>
          <w:szCs w:val="32"/>
          <w:lang w:eastAsia="zh-CN"/>
        </w:rPr>
        <w:t>淄</w:t>
      </w:r>
      <w:r>
        <w:rPr>
          <w:rFonts w:hint="eastAsia"/>
          <w:b/>
          <w:bCs/>
          <w:sz w:val="32"/>
          <w:szCs w:val="32"/>
          <w:lang w:val="en-US" w:eastAsia="zh-CN"/>
        </w:rPr>
        <w:t xml:space="preserve"> </w:t>
      </w:r>
      <w:r>
        <w:rPr>
          <w:rFonts w:hint="eastAsia"/>
          <w:b/>
          <w:bCs/>
          <w:sz w:val="32"/>
          <w:szCs w:val="32"/>
          <w:lang w:eastAsia="zh-CN"/>
        </w:rPr>
        <w:t>博</w:t>
      </w:r>
      <w:r>
        <w:rPr>
          <w:rFonts w:hint="eastAsia"/>
          <w:b/>
          <w:bCs/>
          <w:sz w:val="32"/>
          <w:szCs w:val="32"/>
          <w:lang w:val="en-US" w:eastAsia="zh-CN"/>
        </w:rPr>
        <w:t xml:space="preserve"> </w:t>
      </w:r>
      <w:r>
        <w:rPr>
          <w:rFonts w:hint="eastAsia"/>
          <w:b/>
          <w:bCs/>
          <w:sz w:val="32"/>
          <w:szCs w:val="32"/>
          <w:lang w:eastAsia="zh-CN"/>
        </w:rPr>
        <w:t>海</w:t>
      </w:r>
      <w:r>
        <w:rPr>
          <w:rFonts w:hint="eastAsia"/>
          <w:b/>
          <w:bCs/>
          <w:sz w:val="32"/>
          <w:szCs w:val="32"/>
          <w:lang w:val="en-US" w:eastAsia="zh-CN"/>
        </w:rPr>
        <w:t xml:space="preserve"> </w:t>
      </w:r>
      <w:r>
        <w:rPr>
          <w:rFonts w:hint="eastAsia"/>
          <w:b/>
          <w:bCs/>
          <w:sz w:val="32"/>
          <w:szCs w:val="32"/>
          <w:lang w:eastAsia="zh-CN"/>
        </w:rPr>
        <w:t>源</w:t>
      </w:r>
      <w:r>
        <w:rPr>
          <w:rFonts w:hint="eastAsia"/>
          <w:b/>
          <w:bCs/>
          <w:sz w:val="32"/>
          <w:szCs w:val="32"/>
          <w:lang w:val="en-US" w:eastAsia="zh-CN"/>
        </w:rPr>
        <w:t xml:space="preserve"> </w:t>
      </w:r>
      <w:r>
        <w:rPr>
          <w:rFonts w:hint="eastAsia"/>
          <w:b/>
          <w:bCs/>
          <w:sz w:val="32"/>
          <w:szCs w:val="32"/>
          <w:lang w:eastAsia="zh-CN"/>
        </w:rPr>
        <w:t>电</w:t>
      </w:r>
      <w:r>
        <w:rPr>
          <w:rFonts w:hint="eastAsia"/>
          <w:b/>
          <w:bCs/>
          <w:sz w:val="32"/>
          <w:szCs w:val="32"/>
          <w:lang w:val="en-US" w:eastAsia="zh-CN"/>
        </w:rPr>
        <w:t xml:space="preserve"> </w:t>
      </w:r>
      <w:r>
        <w:rPr>
          <w:rFonts w:hint="eastAsia"/>
          <w:b/>
          <w:bCs/>
          <w:sz w:val="32"/>
          <w:szCs w:val="32"/>
          <w:lang w:eastAsia="zh-CN"/>
        </w:rPr>
        <w:t>子</w:t>
      </w:r>
      <w:r>
        <w:rPr>
          <w:rFonts w:hint="eastAsia"/>
          <w:b/>
          <w:bCs/>
          <w:sz w:val="32"/>
          <w:szCs w:val="32"/>
          <w:lang w:val="en-US" w:eastAsia="zh-CN"/>
        </w:rPr>
        <w:t xml:space="preserve"> </w:t>
      </w:r>
      <w:r>
        <w:rPr>
          <w:rFonts w:hint="eastAsia"/>
          <w:b/>
          <w:bCs/>
          <w:sz w:val="32"/>
          <w:szCs w:val="32"/>
          <w:lang w:eastAsia="zh-CN"/>
        </w:rPr>
        <w:t>科</w:t>
      </w:r>
      <w:r>
        <w:rPr>
          <w:rFonts w:hint="eastAsia"/>
          <w:b/>
          <w:bCs/>
          <w:sz w:val="32"/>
          <w:szCs w:val="32"/>
          <w:lang w:val="en-US" w:eastAsia="zh-CN"/>
        </w:rPr>
        <w:t xml:space="preserve"> </w:t>
      </w:r>
      <w:r>
        <w:rPr>
          <w:rFonts w:hint="eastAsia"/>
          <w:b/>
          <w:bCs/>
          <w:sz w:val="32"/>
          <w:szCs w:val="32"/>
          <w:lang w:eastAsia="zh-CN"/>
        </w:rPr>
        <w:t>技</w:t>
      </w:r>
      <w:r>
        <w:rPr>
          <w:rFonts w:hint="eastAsia"/>
          <w:b/>
          <w:bCs/>
          <w:sz w:val="32"/>
          <w:szCs w:val="32"/>
          <w:lang w:val="en-US" w:eastAsia="zh-CN"/>
        </w:rPr>
        <w:t xml:space="preserve"> </w:t>
      </w:r>
      <w:r>
        <w:rPr>
          <w:rFonts w:hint="eastAsia"/>
          <w:b/>
          <w:bCs/>
          <w:sz w:val="32"/>
          <w:szCs w:val="32"/>
          <w:lang w:eastAsia="zh-CN"/>
        </w:rPr>
        <w:t>有</w:t>
      </w:r>
      <w:r>
        <w:rPr>
          <w:rFonts w:hint="eastAsia"/>
          <w:b/>
          <w:bCs/>
          <w:sz w:val="32"/>
          <w:szCs w:val="32"/>
          <w:lang w:val="en-US" w:eastAsia="zh-CN"/>
        </w:rPr>
        <w:t xml:space="preserve"> </w:t>
      </w:r>
      <w:r>
        <w:rPr>
          <w:rFonts w:hint="eastAsia"/>
          <w:b/>
          <w:bCs/>
          <w:sz w:val="32"/>
          <w:szCs w:val="32"/>
          <w:lang w:eastAsia="zh-CN"/>
        </w:rPr>
        <w:t>限</w:t>
      </w:r>
      <w:r>
        <w:rPr>
          <w:rFonts w:hint="eastAsia"/>
          <w:b/>
          <w:bCs/>
          <w:sz w:val="32"/>
          <w:szCs w:val="32"/>
          <w:lang w:val="en-US" w:eastAsia="zh-CN"/>
        </w:rPr>
        <w:t xml:space="preserve"> </w:t>
      </w:r>
      <w:r>
        <w:rPr>
          <w:rFonts w:hint="eastAsia"/>
          <w:b/>
          <w:bCs/>
          <w:sz w:val="32"/>
          <w:szCs w:val="32"/>
          <w:lang w:eastAsia="zh-CN"/>
        </w:rPr>
        <w:t>公</w:t>
      </w:r>
      <w:r>
        <w:rPr>
          <w:rFonts w:hint="eastAsia"/>
          <w:b/>
          <w:bCs/>
          <w:sz w:val="32"/>
          <w:szCs w:val="32"/>
          <w:lang w:val="en-US" w:eastAsia="zh-CN"/>
        </w:rPr>
        <w:t xml:space="preserve"> </w:t>
      </w:r>
      <w:r>
        <w:rPr>
          <w:rFonts w:hint="eastAsia"/>
          <w:b/>
          <w:bCs/>
          <w:sz w:val="32"/>
          <w:szCs w:val="32"/>
          <w:lang w:eastAsia="zh-CN"/>
        </w:rPr>
        <w:t>司</w:t>
      </w:r>
      <w:r>
        <w:rPr>
          <w:rFonts w:hint="eastAsia"/>
          <w:b/>
          <w:bCs/>
          <w:sz w:val="32"/>
          <w:szCs w:val="32"/>
          <w:lang w:val="en-US" w:eastAsia="zh-CN"/>
        </w:rPr>
        <w:t xml:space="preserve"> </w:t>
      </w:r>
      <w:r>
        <w:rPr>
          <w:rFonts w:hint="eastAsia"/>
          <w:b/>
          <w:bCs/>
          <w:sz w:val="32"/>
          <w:szCs w:val="32"/>
        </w:rPr>
        <w:t>发</w:t>
      </w:r>
      <w:r>
        <w:rPr>
          <w:rFonts w:hint="eastAsia"/>
          <w:b/>
          <w:bCs/>
          <w:sz w:val="32"/>
          <w:szCs w:val="32"/>
          <w:lang w:val="en-US" w:eastAsia="zh-CN"/>
        </w:rPr>
        <w:t xml:space="preserve"> </w:t>
      </w:r>
      <w:r>
        <w:rPr>
          <w:rFonts w:hint="eastAsia"/>
          <w:b/>
          <w:bCs/>
          <w:sz w:val="32"/>
          <w:szCs w:val="32"/>
        </w:rPr>
        <w:t>布</w:t>
      </w:r>
    </w:p>
    <w:p w14:paraId="1BE1F821">
      <w:pPr>
        <w:widowControl/>
        <w:jc w:val="left"/>
        <w:rPr>
          <w:b/>
          <w:bCs/>
          <w:sz w:val="32"/>
          <w:szCs w:val="32"/>
        </w:rPr>
      </w:pPr>
      <w:r>
        <w:rPr>
          <w:b/>
          <w:bCs/>
          <w:sz w:val="32"/>
          <w:szCs w:val="32"/>
        </w:rPr>
        <w:br w:type="page"/>
      </w:r>
    </w:p>
    <w:tbl>
      <w:tblPr>
        <w:tblStyle w:val="44"/>
        <w:tblpPr w:leftFromText="180" w:rightFromText="180" w:vertAnchor="text" w:horzAnchor="page" w:tblpX="957" w:tblpY="141"/>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11" w:type="dxa"/>
          <w:right w:w="28" w:type="dxa"/>
        </w:tblCellMar>
      </w:tblPr>
      <w:tblGrid>
        <w:gridCol w:w="737"/>
        <w:gridCol w:w="2441"/>
        <w:gridCol w:w="5136"/>
        <w:gridCol w:w="1600"/>
      </w:tblGrid>
      <w:tr w14:paraId="58A1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21F0C51">
            <w:pPr>
              <w:snapToGrid w:val="0"/>
              <w:jc w:val="center"/>
              <w:rPr>
                <w:rFonts w:ascii="宋体" w:hAnsi="宋体"/>
                <w:b/>
                <w:sz w:val="24"/>
              </w:rPr>
            </w:pPr>
            <w:r>
              <w:rPr>
                <w:rFonts w:hint="eastAsia" w:ascii="宋体" w:hAnsi="宋体"/>
                <w:b/>
                <w:sz w:val="24"/>
              </w:rPr>
              <w:t>序号</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D1E01AB">
            <w:pPr>
              <w:snapToGrid w:val="0"/>
              <w:jc w:val="center"/>
              <w:rPr>
                <w:b/>
                <w:sz w:val="24"/>
              </w:rPr>
            </w:pPr>
            <w:r>
              <w:rPr>
                <w:rFonts w:hint="eastAsia"/>
                <w:b/>
                <w:sz w:val="24"/>
              </w:rPr>
              <w:t>编号</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E035FE5">
            <w:pPr>
              <w:autoSpaceDE w:val="0"/>
              <w:autoSpaceDN w:val="0"/>
              <w:adjustRightInd w:val="0"/>
              <w:snapToGrid w:val="0"/>
              <w:jc w:val="center"/>
              <w:rPr>
                <w:rFonts w:ascii="宋体"/>
                <w:b/>
                <w:sz w:val="24"/>
              </w:rPr>
            </w:pPr>
            <w:r>
              <w:rPr>
                <w:rFonts w:hint="eastAsia" w:ascii="宋体"/>
                <w:b/>
                <w:sz w:val="24"/>
              </w:rPr>
              <w:t>文件名称</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0F2C761">
            <w:pPr>
              <w:pStyle w:val="29"/>
              <w:jc w:val="center"/>
              <w:rPr>
                <w:b/>
                <w:sz w:val="24"/>
                <w:szCs w:val="24"/>
              </w:rPr>
            </w:pPr>
            <w:r>
              <w:rPr>
                <w:rFonts w:hint="eastAsia"/>
                <w:b/>
                <w:sz w:val="24"/>
                <w:szCs w:val="24"/>
              </w:rPr>
              <w:t>部门</w:t>
            </w:r>
          </w:p>
        </w:tc>
      </w:tr>
      <w:tr w14:paraId="22E2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101B1EB">
            <w:pPr>
              <w:snapToGrid w:val="0"/>
              <w:jc w:val="center"/>
              <w:rPr>
                <w:rFonts w:ascii="宋体" w:hAnsi="宋体"/>
                <w:bCs/>
                <w:sz w:val="24"/>
              </w:rPr>
            </w:pPr>
            <w:r>
              <w:rPr>
                <w:rFonts w:hint="eastAsia" w:ascii="宋体" w:hAnsi="宋体"/>
                <w:bCs/>
                <w:sz w:val="24"/>
              </w:rPr>
              <w:t>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83F26F8">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5CFC368">
            <w:pPr>
              <w:autoSpaceDE w:val="0"/>
              <w:autoSpaceDN w:val="0"/>
              <w:adjustRightInd w:val="0"/>
              <w:snapToGrid w:val="0"/>
              <w:rPr>
                <w:rFonts w:ascii="宋体"/>
                <w:sz w:val="24"/>
              </w:rPr>
            </w:pPr>
            <w:r>
              <w:rPr>
                <w:rFonts w:ascii="宋体"/>
                <w:sz w:val="24"/>
              </w:rPr>
              <w:t>1</w:t>
            </w:r>
            <w:r>
              <w:rPr>
                <w:rFonts w:hint="eastAsia" w:ascii="宋体"/>
                <w:sz w:val="24"/>
                <w:lang w:val="zh-CN"/>
              </w:rPr>
              <w:t>、文件控制程序</w:t>
            </w:r>
            <w:r>
              <w:rPr>
                <w:rFonts w:ascii="宋体"/>
                <w:sz w:val="24"/>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9DCBAB1">
            <w:pPr>
              <w:pStyle w:val="29"/>
              <w:jc w:val="both"/>
              <w:rPr>
                <w:rFonts w:hint="eastAsia" w:ascii="宋体" w:hAnsi="宋体" w:eastAsia="宋体"/>
                <w:bCs/>
                <w:sz w:val="24"/>
                <w:szCs w:val="24"/>
                <w:lang w:eastAsia="zh-CN"/>
              </w:rPr>
            </w:pPr>
            <w:r>
              <w:rPr>
                <w:rFonts w:hint="eastAsia"/>
                <w:bCs/>
                <w:sz w:val="24"/>
                <w:szCs w:val="24"/>
                <w:lang w:eastAsia="zh-CN"/>
              </w:rPr>
              <w:t>综合部</w:t>
            </w:r>
          </w:p>
        </w:tc>
      </w:tr>
      <w:tr w14:paraId="4AE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99C4C21">
            <w:pPr>
              <w:snapToGrid w:val="0"/>
              <w:jc w:val="center"/>
              <w:rPr>
                <w:rFonts w:ascii="宋体" w:hAnsi="宋体"/>
                <w:bCs/>
                <w:sz w:val="24"/>
              </w:rPr>
            </w:pPr>
            <w:r>
              <w:rPr>
                <w:rFonts w:hint="eastAsia" w:ascii="宋体" w:hAnsi="宋体"/>
                <w:bCs/>
                <w:sz w:val="24"/>
              </w:rPr>
              <w:t>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74CDEB6">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424EA19">
            <w:pPr>
              <w:autoSpaceDE w:val="0"/>
              <w:autoSpaceDN w:val="0"/>
              <w:adjustRightInd w:val="0"/>
              <w:snapToGrid w:val="0"/>
              <w:rPr>
                <w:rFonts w:ascii="宋体"/>
                <w:sz w:val="24"/>
                <w:lang w:val="zh-CN"/>
              </w:rPr>
            </w:pPr>
            <w:r>
              <w:rPr>
                <w:rFonts w:ascii="宋体"/>
                <w:sz w:val="24"/>
                <w:lang w:val="zh-CN"/>
              </w:rPr>
              <w:t>2</w:t>
            </w:r>
            <w:r>
              <w:rPr>
                <w:rFonts w:hint="eastAsia" w:ascii="宋体"/>
                <w:sz w:val="24"/>
                <w:lang w:val="zh-CN"/>
              </w:rPr>
              <w:t>、记录控制程序</w:t>
            </w:r>
            <w:r>
              <w:rPr>
                <w:rFonts w:ascii="宋体"/>
                <w:sz w:val="24"/>
                <w:lang w:val="zh-CN"/>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C144055">
            <w:pPr>
              <w:snapToGrid w:val="0"/>
              <w:rPr>
                <w:rFonts w:ascii="宋体" w:hAnsi="宋体"/>
                <w:bCs/>
                <w:sz w:val="24"/>
              </w:rPr>
            </w:pPr>
            <w:r>
              <w:rPr>
                <w:rFonts w:hint="eastAsia"/>
                <w:bCs/>
                <w:sz w:val="24"/>
              </w:rPr>
              <w:t>各部门</w:t>
            </w:r>
          </w:p>
        </w:tc>
      </w:tr>
      <w:tr w14:paraId="0F19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1F3BDB5">
            <w:pPr>
              <w:snapToGrid w:val="0"/>
              <w:jc w:val="center"/>
              <w:rPr>
                <w:rFonts w:ascii="宋体" w:hAnsi="宋体"/>
                <w:bCs/>
                <w:sz w:val="24"/>
              </w:rPr>
            </w:pPr>
            <w:r>
              <w:rPr>
                <w:rFonts w:hint="eastAsia" w:ascii="宋体" w:hAnsi="宋体"/>
                <w:bCs/>
                <w:sz w:val="24"/>
              </w:rPr>
              <w:t>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CBD57C1">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2D77C8A">
            <w:pPr>
              <w:autoSpaceDE w:val="0"/>
              <w:autoSpaceDN w:val="0"/>
              <w:adjustRightInd w:val="0"/>
              <w:snapToGrid w:val="0"/>
              <w:rPr>
                <w:rFonts w:ascii="宋体"/>
                <w:sz w:val="24"/>
                <w:lang w:val="zh-CN"/>
              </w:rPr>
            </w:pPr>
            <w:r>
              <w:rPr>
                <w:rFonts w:ascii="宋体"/>
                <w:sz w:val="24"/>
                <w:lang w:val="zh-CN"/>
              </w:rPr>
              <w:t>3</w:t>
            </w:r>
            <w:r>
              <w:rPr>
                <w:rFonts w:hint="eastAsia" w:ascii="宋体"/>
                <w:sz w:val="24"/>
                <w:lang w:val="zh-CN"/>
              </w:rPr>
              <w:t>、管理评审控制程序</w:t>
            </w:r>
            <w:r>
              <w:rPr>
                <w:rFonts w:ascii="宋体"/>
                <w:sz w:val="24"/>
                <w:lang w:val="zh-CN"/>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9CE21B0">
            <w:pPr>
              <w:snapToGrid w:val="0"/>
              <w:rPr>
                <w:rFonts w:hint="eastAsia" w:ascii="宋体" w:hAnsi="宋体" w:eastAsia="宋体"/>
                <w:bCs/>
                <w:sz w:val="24"/>
                <w:lang w:eastAsia="zh-CN"/>
              </w:rPr>
            </w:pPr>
            <w:r>
              <w:rPr>
                <w:rFonts w:hint="eastAsia"/>
                <w:bCs/>
                <w:sz w:val="24"/>
                <w:lang w:eastAsia="zh-CN"/>
              </w:rPr>
              <w:t>综合部</w:t>
            </w:r>
          </w:p>
        </w:tc>
      </w:tr>
      <w:tr w14:paraId="64B1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CC3E8B0">
            <w:pPr>
              <w:snapToGrid w:val="0"/>
              <w:jc w:val="center"/>
              <w:rPr>
                <w:rFonts w:ascii="宋体" w:hAnsi="宋体"/>
                <w:bCs/>
                <w:sz w:val="24"/>
              </w:rPr>
            </w:pPr>
            <w:r>
              <w:rPr>
                <w:rFonts w:hint="eastAsia" w:ascii="宋体" w:hAnsi="宋体"/>
                <w:bCs/>
                <w:sz w:val="24"/>
              </w:rPr>
              <w:t>4</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7329AA1">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-04</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D8D696D">
            <w:pPr>
              <w:autoSpaceDE w:val="0"/>
              <w:autoSpaceDN w:val="0"/>
              <w:adjustRightInd w:val="0"/>
              <w:snapToGrid w:val="0"/>
              <w:rPr>
                <w:rFonts w:ascii="宋体"/>
                <w:sz w:val="24"/>
                <w:lang w:val="zh-CN"/>
              </w:rPr>
            </w:pPr>
            <w:r>
              <w:rPr>
                <w:rFonts w:ascii="宋体"/>
                <w:sz w:val="24"/>
                <w:lang w:val="zh-CN"/>
              </w:rPr>
              <w:t>4</w:t>
            </w:r>
            <w:r>
              <w:rPr>
                <w:rFonts w:hint="eastAsia" w:ascii="宋体"/>
                <w:sz w:val="24"/>
                <w:lang w:val="zh-CN"/>
              </w:rPr>
              <w:t>、内部审核控制程序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B6DFF79">
            <w:pPr>
              <w:snapToGrid w:val="0"/>
              <w:rPr>
                <w:rFonts w:hint="eastAsia" w:ascii="宋体" w:hAnsi="宋体" w:eastAsia="宋体"/>
                <w:bCs/>
                <w:sz w:val="24"/>
                <w:lang w:eastAsia="zh-CN"/>
              </w:rPr>
            </w:pPr>
            <w:r>
              <w:rPr>
                <w:rFonts w:hint="eastAsia"/>
                <w:bCs/>
                <w:sz w:val="24"/>
                <w:lang w:eastAsia="zh-CN"/>
              </w:rPr>
              <w:t>综合部</w:t>
            </w:r>
          </w:p>
        </w:tc>
      </w:tr>
      <w:tr w14:paraId="3448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CCECFFF">
            <w:pPr>
              <w:snapToGrid w:val="0"/>
              <w:jc w:val="center"/>
              <w:rPr>
                <w:rFonts w:ascii="宋体" w:hAnsi="宋体"/>
                <w:bCs/>
                <w:sz w:val="24"/>
              </w:rPr>
            </w:pPr>
            <w:r>
              <w:rPr>
                <w:rFonts w:hint="eastAsia" w:ascii="宋体" w:hAnsi="宋体"/>
                <w:bCs/>
                <w:sz w:val="24"/>
              </w:rPr>
              <w:t>5</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EDE76A2">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-05</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5A91B6E">
            <w:pPr>
              <w:autoSpaceDE w:val="0"/>
              <w:autoSpaceDN w:val="0"/>
              <w:adjustRightInd w:val="0"/>
              <w:snapToGrid w:val="0"/>
              <w:rPr>
                <w:rFonts w:ascii="宋体"/>
                <w:sz w:val="24"/>
                <w:lang w:val="zh-CN"/>
              </w:rPr>
            </w:pPr>
            <w:r>
              <w:rPr>
                <w:rFonts w:ascii="宋体"/>
                <w:sz w:val="24"/>
                <w:lang w:val="zh-CN"/>
              </w:rPr>
              <w:t>5</w:t>
            </w:r>
            <w:r>
              <w:rPr>
                <w:rFonts w:hint="eastAsia" w:ascii="宋体"/>
                <w:sz w:val="24"/>
                <w:lang w:val="zh-CN"/>
              </w:rPr>
              <w:t>、不合格控制程序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F5E7AA3">
            <w:pPr>
              <w:snapToGrid w:val="0"/>
              <w:rPr>
                <w:rFonts w:hint="eastAsia" w:ascii="宋体" w:hAnsi="宋体" w:eastAsia="宋体"/>
                <w:bCs/>
                <w:sz w:val="24"/>
                <w:lang w:eastAsia="zh-CN"/>
              </w:rPr>
            </w:pPr>
            <w:r>
              <w:rPr>
                <w:rFonts w:hint="eastAsia"/>
                <w:bCs/>
                <w:sz w:val="24"/>
                <w:lang w:eastAsia="zh-CN"/>
              </w:rPr>
              <w:t>生产技术部</w:t>
            </w:r>
          </w:p>
        </w:tc>
      </w:tr>
      <w:tr w14:paraId="5D27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8FC3B40">
            <w:pPr>
              <w:snapToGrid w:val="0"/>
              <w:jc w:val="center"/>
              <w:rPr>
                <w:rFonts w:ascii="宋体" w:hAnsi="宋体"/>
                <w:bCs/>
                <w:sz w:val="24"/>
              </w:rPr>
            </w:pPr>
            <w:r>
              <w:rPr>
                <w:rFonts w:hint="eastAsia" w:ascii="宋体" w:hAnsi="宋体"/>
                <w:bCs/>
                <w:sz w:val="24"/>
              </w:rPr>
              <w:t>6</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02F21FD">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-06</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BFD923F">
            <w:pPr>
              <w:autoSpaceDE w:val="0"/>
              <w:autoSpaceDN w:val="0"/>
              <w:adjustRightInd w:val="0"/>
              <w:snapToGrid w:val="0"/>
              <w:rPr>
                <w:rFonts w:ascii="宋体"/>
                <w:sz w:val="24"/>
                <w:lang w:val="zh-CN"/>
              </w:rPr>
            </w:pPr>
            <w:r>
              <w:rPr>
                <w:rFonts w:ascii="宋体"/>
                <w:sz w:val="24"/>
                <w:lang w:val="zh-CN"/>
              </w:rPr>
              <w:t>6</w:t>
            </w:r>
            <w:r>
              <w:rPr>
                <w:rFonts w:hint="eastAsia" w:ascii="宋体"/>
                <w:sz w:val="24"/>
                <w:lang w:val="zh-CN"/>
              </w:rPr>
              <w:t>、</w:t>
            </w:r>
            <w:r>
              <w:rPr>
                <w:rFonts w:hint="eastAsia"/>
                <w:sz w:val="24"/>
              </w:rPr>
              <w:t>组织的环境和相关方</w:t>
            </w:r>
            <w:r>
              <w:rPr>
                <w:sz w:val="24"/>
              </w:rPr>
              <w:t>分析</w:t>
            </w:r>
            <w:r>
              <w:rPr>
                <w:rFonts w:hint="eastAsia"/>
                <w:sz w:val="24"/>
              </w:rPr>
              <w:t>及管理控制程序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D985DE3">
            <w:pPr>
              <w:snapToGrid w:val="0"/>
              <w:rPr>
                <w:rFonts w:hint="eastAsia" w:ascii="宋体" w:hAnsi="宋体" w:eastAsia="宋体"/>
                <w:bCs/>
                <w:sz w:val="24"/>
                <w:lang w:eastAsia="zh-CN"/>
              </w:rPr>
            </w:pPr>
            <w:r>
              <w:rPr>
                <w:rFonts w:hint="eastAsia"/>
                <w:bCs/>
                <w:sz w:val="24"/>
                <w:lang w:eastAsia="zh-CN"/>
              </w:rPr>
              <w:t>综合部</w:t>
            </w:r>
          </w:p>
        </w:tc>
      </w:tr>
      <w:tr w14:paraId="5251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FAC242C">
            <w:pPr>
              <w:snapToGrid w:val="0"/>
              <w:jc w:val="center"/>
              <w:rPr>
                <w:rFonts w:ascii="宋体" w:hAnsi="宋体"/>
                <w:bCs/>
                <w:sz w:val="24"/>
              </w:rPr>
            </w:pPr>
            <w:r>
              <w:rPr>
                <w:rFonts w:hint="eastAsia" w:ascii="宋体" w:hAnsi="宋体"/>
                <w:bCs/>
                <w:sz w:val="24"/>
              </w:rPr>
              <w:t>7</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A1ED77C">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-07</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1406084">
            <w:pPr>
              <w:autoSpaceDE w:val="0"/>
              <w:autoSpaceDN w:val="0"/>
              <w:adjustRightInd w:val="0"/>
              <w:snapToGrid w:val="0"/>
              <w:rPr>
                <w:rFonts w:ascii="宋体"/>
                <w:sz w:val="24"/>
                <w:lang w:val="zh-CN"/>
              </w:rPr>
            </w:pPr>
            <w:r>
              <w:rPr>
                <w:rFonts w:hint="eastAsia" w:ascii="宋体"/>
                <w:sz w:val="24"/>
                <w:lang w:val="zh-CN"/>
              </w:rPr>
              <w:t>7、采购控制程序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430698B">
            <w:pPr>
              <w:snapToGrid w:val="0"/>
              <w:rPr>
                <w:rFonts w:hint="eastAsia" w:ascii="宋体" w:hAnsi="宋体" w:eastAsia="宋体"/>
                <w:bCs/>
                <w:sz w:val="24"/>
                <w:lang w:eastAsia="zh-CN"/>
              </w:rPr>
            </w:pPr>
            <w:r>
              <w:rPr>
                <w:rFonts w:hint="eastAsia"/>
                <w:bCs/>
                <w:sz w:val="24"/>
                <w:lang w:eastAsia="zh-CN"/>
              </w:rPr>
              <w:t>市场部</w:t>
            </w:r>
          </w:p>
        </w:tc>
      </w:tr>
      <w:tr w14:paraId="47A3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658F817">
            <w:pPr>
              <w:snapToGrid w:val="0"/>
              <w:jc w:val="center"/>
              <w:rPr>
                <w:rFonts w:ascii="宋体" w:hAnsi="宋体"/>
                <w:bCs/>
                <w:sz w:val="24"/>
              </w:rPr>
            </w:pPr>
            <w:r>
              <w:rPr>
                <w:rFonts w:hint="eastAsia" w:ascii="宋体" w:hAnsi="宋体"/>
                <w:bCs/>
                <w:sz w:val="24"/>
              </w:rPr>
              <w:t>8</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845F8ED">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-08</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D40B63C">
            <w:pPr>
              <w:autoSpaceDE w:val="0"/>
              <w:autoSpaceDN w:val="0"/>
              <w:adjustRightInd w:val="0"/>
              <w:snapToGrid w:val="0"/>
              <w:rPr>
                <w:rFonts w:ascii="宋体"/>
                <w:sz w:val="24"/>
                <w:lang w:val="zh-CN"/>
              </w:rPr>
            </w:pPr>
            <w:r>
              <w:rPr>
                <w:rFonts w:hint="eastAsia" w:ascii="宋体"/>
                <w:sz w:val="24"/>
                <w:lang w:val="zh-CN"/>
              </w:rPr>
              <w:t>8、</w:t>
            </w:r>
            <w:r>
              <w:rPr>
                <w:rFonts w:ascii="宋体" w:hAnsi="宋体" w:cs="宋体"/>
                <w:sz w:val="24"/>
                <w:lang w:val="zh-CN"/>
              </w:rPr>
              <w:t>知识</w:t>
            </w:r>
            <w:r>
              <w:rPr>
                <w:rFonts w:hint="eastAsia" w:ascii="宋体" w:hAnsi="宋体" w:cs="宋体"/>
                <w:sz w:val="24"/>
                <w:lang w:val="zh-CN"/>
              </w:rPr>
              <w:t>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219EEC5">
            <w:pPr>
              <w:snapToGrid w:val="0"/>
              <w:rPr>
                <w:rFonts w:hint="eastAsia" w:ascii="宋体" w:hAnsi="宋体" w:eastAsia="宋体"/>
                <w:bCs/>
                <w:sz w:val="24"/>
                <w:lang w:eastAsia="zh-CN"/>
              </w:rPr>
            </w:pPr>
            <w:r>
              <w:rPr>
                <w:rFonts w:hint="eastAsia"/>
                <w:bCs/>
                <w:sz w:val="24"/>
                <w:lang w:eastAsia="zh-CN"/>
              </w:rPr>
              <w:t>研发部</w:t>
            </w:r>
          </w:p>
        </w:tc>
      </w:tr>
      <w:tr w14:paraId="0A3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E64F01D">
            <w:pPr>
              <w:snapToGrid w:val="0"/>
              <w:jc w:val="center"/>
              <w:rPr>
                <w:rFonts w:ascii="宋体" w:hAnsi="宋体"/>
                <w:bCs/>
                <w:sz w:val="24"/>
              </w:rPr>
            </w:pPr>
            <w:r>
              <w:rPr>
                <w:rFonts w:hint="eastAsia" w:ascii="宋体" w:hAnsi="宋体"/>
                <w:bCs/>
                <w:sz w:val="24"/>
              </w:rPr>
              <w:t>9</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ECBEF4C">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-09</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6E18882">
            <w:pPr>
              <w:autoSpaceDE w:val="0"/>
              <w:autoSpaceDN w:val="0"/>
              <w:adjustRightInd w:val="0"/>
              <w:snapToGrid w:val="0"/>
              <w:rPr>
                <w:rFonts w:ascii="宋体"/>
                <w:sz w:val="24"/>
                <w:lang w:val="zh-CN"/>
              </w:rPr>
            </w:pPr>
            <w:r>
              <w:rPr>
                <w:rFonts w:hint="eastAsia" w:ascii="宋体"/>
                <w:sz w:val="24"/>
                <w:lang w:val="zh-CN"/>
              </w:rPr>
              <w:t>9、</w:t>
            </w:r>
            <w:r>
              <w:rPr>
                <w:rFonts w:hint="eastAsia" w:ascii="宋体"/>
                <w:sz w:val="24"/>
              </w:rPr>
              <w:t>顾客满意度控制程序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DD0C650">
            <w:pPr>
              <w:snapToGrid w:val="0"/>
              <w:rPr>
                <w:rFonts w:hint="eastAsia" w:ascii="宋体" w:hAnsi="宋体" w:eastAsia="宋体"/>
                <w:bCs/>
                <w:sz w:val="24"/>
                <w:lang w:eastAsia="zh-CN"/>
              </w:rPr>
            </w:pPr>
            <w:r>
              <w:rPr>
                <w:rFonts w:hint="eastAsia"/>
                <w:bCs/>
                <w:sz w:val="24"/>
                <w:lang w:eastAsia="zh-CN"/>
              </w:rPr>
              <w:t>市场部</w:t>
            </w:r>
          </w:p>
        </w:tc>
      </w:tr>
      <w:tr w14:paraId="1557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35D7CA2">
            <w:pPr>
              <w:snapToGrid w:val="0"/>
              <w:jc w:val="center"/>
              <w:rPr>
                <w:rFonts w:ascii="宋体" w:hAnsi="宋体"/>
                <w:bCs/>
                <w:sz w:val="24"/>
              </w:rPr>
            </w:pPr>
            <w:r>
              <w:rPr>
                <w:rFonts w:hint="eastAsia" w:ascii="宋体" w:hAnsi="宋体"/>
                <w:bCs/>
                <w:sz w:val="24"/>
              </w:rPr>
              <w:t>10</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3BF13E7">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-10</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98408FE">
            <w:pPr>
              <w:autoSpaceDE w:val="0"/>
              <w:autoSpaceDN w:val="0"/>
              <w:adjustRightInd w:val="0"/>
              <w:snapToGrid w:val="0"/>
              <w:rPr>
                <w:rFonts w:ascii="宋体"/>
                <w:sz w:val="24"/>
                <w:lang w:val="zh-CN"/>
              </w:rPr>
            </w:pPr>
            <w:r>
              <w:rPr>
                <w:rFonts w:hint="eastAsia" w:ascii="宋体"/>
                <w:sz w:val="24"/>
                <w:lang w:val="zh-CN"/>
              </w:rPr>
              <w:t>10、</w:t>
            </w:r>
            <w:r>
              <w:rPr>
                <w:rFonts w:hint="eastAsia" w:ascii="宋体" w:hAnsi="宋体" w:cs="宋体"/>
                <w:sz w:val="24"/>
                <w:lang w:val="zh-CN"/>
              </w:rPr>
              <w:t>环境因素识别和评价控制程序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FCD0EDF">
            <w:pPr>
              <w:snapToGrid w:val="0"/>
              <w:rPr>
                <w:rFonts w:ascii="宋体" w:hAnsi="宋体"/>
                <w:bCs/>
                <w:sz w:val="24"/>
              </w:rPr>
            </w:pPr>
            <w:r>
              <w:rPr>
                <w:rFonts w:hint="eastAsia"/>
                <w:bCs/>
                <w:sz w:val="24"/>
              </w:rPr>
              <w:t>各部门</w:t>
            </w:r>
          </w:p>
        </w:tc>
      </w:tr>
      <w:tr w14:paraId="355A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E8AD336">
            <w:pPr>
              <w:snapToGrid w:val="0"/>
              <w:jc w:val="center"/>
              <w:rPr>
                <w:rFonts w:ascii="宋体" w:hAnsi="宋体"/>
                <w:bCs/>
                <w:sz w:val="24"/>
              </w:rPr>
            </w:pPr>
            <w:r>
              <w:rPr>
                <w:rFonts w:hint="eastAsia" w:ascii="宋体" w:hAnsi="宋体"/>
                <w:bCs/>
                <w:sz w:val="24"/>
              </w:rPr>
              <w:t>11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B6E3916">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83AA64C">
            <w:pPr>
              <w:autoSpaceDE w:val="0"/>
              <w:autoSpaceDN w:val="0"/>
              <w:adjustRightInd w:val="0"/>
              <w:snapToGrid w:val="0"/>
              <w:rPr>
                <w:rFonts w:ascii="宋体"/>
                <w:sz w:val="24"/>
                <w:lang w:val="zh-CN"/>
              </w:rPr>
            </w:pPr>
            <w:r>
              <w:rPr>
                <w:rFonts w:hint="eastAsia" w:ascii="宋体"/>
                <w:sz w:val="24"/>
                <w:lang w:val="zh-CN"/>
              </w:rPr>
              <w:t>11、危险源辨识、风险评价和措施确定控制程序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B71FD14">
            <w:pPr>
              <w:snapToGrid w:val="0"/>
              <w:rPr>
                <w:rFonts w:ascii="宋体" w:hAnsi="宋体"/>
                <w:bCs/>
                <w:sz w:val="24"/>
              </w:rPr>
            </w:pPr>
            <w:r>
              <w:rPr>
                <w:rFonts w:hint="eastAsia"/>
                <w:bCs/>
                <w:sz w:val="24"/>
              </w:rPr>
              <w:t>各部门</w:t>
            </w:r>
          </w:p>
        </w:tc>
      </w:tr>
      <w:tr w14:paraId="32DA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7893BEB">
            <w:pPr>
              <w:snapToGrid w:val="0"/>
              <w:jc w:val="center"/>
              <w:rPr>
                <w:rFonts w:ascii="宋体" w:hAnsi="宋体"/>
                <w:bCs/>
                <w:sz w:val="24"/>
              </w:rPr>
            </w:pPr>
            <w:r>
              <w:rPr>
                <w:rFonts w:hint="eastAsia" w:ascii="宋体" w:hAnsi="宋体"/>
                <w:bCs/>
                <w:sz w:val="24"/>
              </w:rPr>
              <w:t>12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35B1ADD">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C29C2AF">
            <w:pPr>
              <w:autoSpaceDE w:val="0"/>
              <w:autoSpaceDN w:val="0"/>
              <w:adjustRightInd w:val="0"/>
              <w:snapToGrid w:val="0"/>
              <w:rPr>
                <w:rFonts w:ascii="宋体" w:hAnsi="宋体" w:cs="宋体"/>
                <w:sz w:val="24"/>
                <w:lang w:val="zh-CN"/>
              </w:rPr>
            </w:pPr>
            <w:r>
              <w:rPr>
                <w:rFonts w:hint="eastAsia" w:ascii="宋体" w:hAnsi="宋体"/>
                <w:sz w:val="24"/>
                <w:lang w:val="zh-CN"/>
              </w:rPr>
              <w:t>12、合规性义务和评价</w:t>
            </w:r>
            <w:r>
              <w:rPr>
                <w:rFonts w:hint="eastAsia" w:ascii="宋体" w:hAnsi="宋体" w:cs="宋体"/>
                <w:sz w:val="24"/>
                <w:lang w:val="zh-CN"/>
              </w:rPr>
              <w:t>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A948756">
            <w:pPr>
              <w:snapToGrid w:val="0"/>
              <w:rPr>
                <w:rFonts w:hint="eastAsia" w:ascii="宋体" w:hAnsi="宋体" w:eastAsia="宋体"/>
                <w:bCs/>
                <w:sz w:val="24"/>
                <w:lang w:eastAsia="zh-CN"/>
              </w:rPr>
            </w:pPr>
            <w:r>
              <w:rPr>
                <w:rFonts w:hint="eastAsia"/>
                <w:bCs/>
                <w:sz w:val="24"/>
                <w:lang w:eastAsia="zh-CN"/>
              </w:rPr>
              <w:t>综合部</w:t>
            </w:r>
          </w:p>
        </w:tc>
      </w:tr>
      <w:tr w14:paraId="64F1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F2CB63A">
            <w:pPr>
              <w:snapToGrid w:val="0"/>
              <w:jc w:val="center"/>
              <w:rPr>
                <w:rFonts w:ascii="宋体" w:hAnsi="宋体"/>
                <w:bCs/>
                <w:sz w:val="24"/>
              </w:rPr>
            </w:pPr>
            <w:r>
              <w:rPr>
                <w:rFonts w:hint="eastAsia" w:ascii="宋体" w:hAnsi="宋体"/>
                <w:bCs/>
                <w:sz w:val="24"/>
              </w:rPr>
              <w:t>13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831F738">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7A8BFAA">
            <w:pPr>
              <w:autoSpaceDE w:val="0"/>
              <w:autoSpaceDN w:val="0"/>
              <w:adjustRightInd w:val="0"/>
              <w:snapToGrid w:val="0"/>
              <w:rPr>
                <w:rFonts w:ascii="宋体"/>
                <w:sz w:val="24"/>
                <w:lang w:val="zh-CN"/>
              </w:rPr>
            </w:pPr>
            <w:r>
              <w:rPr>
                <w:rFonts w:hint="eastAsia" w:ascii="宋体"/>
                <w:sz w:val="24"/>
                <w:lang w:val="zh-CN"/>
              </w:rPr>
              <w:t>13、</w:t>
            </w:r>
            <w:r>
              <w:rPr>
                <w:rFonts w:hint="eastAsia" w:ascii="宋体" w:hAnsi="宋体" w:cs="宋体"/>
                <w:sz w:val="24"/>
                <w:lang w:val="zh-CN"/>
              </w:rPr>
              <w:t>应急准备和响应控制程序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FB3EBA1">
            <w:pPr>
              <w:snapToGrid w:val="0"/>
              <w:rPr>
                <w:rFonts w:ascii="宋体" w:hAnsi="宋体"/>
                <w:bCs/>
                <w:sz w:val="24"/>
              </w:rPr>
            </w:pPr>
            <w:r>
              <w:rPr>
                <w:rFonts w:hint="eastAsia"/>
                <w:bCs/>
                <w:sz w:val="24"/>
              </w:rPr>
              <w:t>各部门</w:t>
            </w:r>
          </w:p>
        </w:tc>
      </w:tr>
      <w:tr w14:paraId="3345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EF430DF">
            <w:pPr>
              <w:snapToGrid w:val="0"/>
              <w:jc w:val="center"/>
              <w:rPr>
                <w:rFonts w:ascii="宋体" w:hAnsi="宋体"/>
                <w:bCs/>
                <w:sz w:val="24"/>
              </w:rPr>
            </w:pPr>
            <w:r>
              <w:rPr>
                <w:rFonts w:hint="eastAsia" w:ascii="宋体" w:hAnsi="宋体"/>
                <w:bCs/>
                <w:sz w:val="24"/>
              </w:rPr>
              <w:t>14</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C3D8088">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-14</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976288E">
            <w:pPr>
              <w:autoSpaceDE w:val="0"/>
              <w:autoSpaceDN w:val="0"/>
              <w:adjustRightInd w:val="0"/>
              <w:snapToGrid w:val="0"/>
              <w:rPr>
                <w:rFonts w:ascii="宋体"/>
                <w:sz w:val="24"/>
                <w:lang w:val="zh-CN"/>
              </w:rPr>
            </w:pPr>
            <w:r>
              <w:rPr>
                <w:rFonts w:hint="eastAsia" w:ascii="宋体"/>
                <w:sz w:val="24"/>
                <w:lang w:val="zh-CN"/>
              </w:rPr>
              <w:t>14、改进控制程序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EA2E9FB">
            <w:pPr>
              <w:snapToGrid w:val="0"/>
              <w:rPr>
                <w:rFonts w:hint="eastAsia" w:ascii="宋体" w:hAnsi="宋体" w:eastAsia="宋体"/>
                <w:bCs/>
                <w:sz w:val="24"/>
                <w:lang w:eastAsia="zh-CN"/>
              </w:rPr>
            </w:pPr>
            <w:r>
              <w:rPr>
                <w:rFonts w:hint="eastAsia"/>
                <w:bCs/>
                <w:sz w:val="24"/>
                <w:lang w:eastAsia="zh-CN"/>
              </w:rPr>
              <w:t>综合部</w:t>
            </w:r>
          </w:p>
        </w:tc>
      </w:tr>
      <w:tr w14:paraId="7900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A33DFF2">
            <w:pPr>
              <w:snapToGrid w:val="0"/>
              <w:jc w:val="center"/>
              <w:rPr>
                <w:rFonts w:ascii="宋体" w:hAnsi="宋体"/>
                <w:bCs/>
                <w:sz w:val="24"/>
              </w:rPr>
            </w:pPr>
            <w:r>
              <w:rPr>
                <w:rFonts w:hint="eastAsia" w:ascii="宋体" w:hAnsi="宋体"/>
                <w:bCs/>
                <w:sz w:val="24"/>
              </w:rPr>
              <w:t>15</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C499523">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-15</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CE4214F">
            <w:pPr>
              <w:autoSpaceDE w:val="0"/>
              <w:autoSpaceDN w:val="0"/>
              <w:adjustRightInd w:val="0"/>
              <w:snapToGrid w:val="0"/>
              <w:rPr>
                <w:rFonts w:ascii="宋体" w:hAnsi="宋体" w:cs="宋体"/>
                <w:sz w:val="24"/>
                <w:lang w:val="zh-CN"/>
              </w:rPr>
            </w:pPr>
            <w:r>
              <w:rPr>
                <w:rFonts w:hint="eastAsia" w:ascii="宋体" w:hAnsi="宋体" w:cs="宋体"/>
                <w:sz w:val="24"/>
                <w:lang w:val="zh-CN"/>
              </w:rPr>
              <w:t>15、人力资源管理控制程序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1C6D5BD">
            <w:pPr>
              <w:snapToGrid w:val="0"/>
              <w:rPr>
                <w:rFonts w:hint="eastAsia" w:ascii="宋体" w:hAnsi="宋体" w:eastAsia="宋体"/>
                <w:bCs/>
                <w:sz w:val="24"/>
                <w:lang w:eastAsia="zh-CN"/>
              </w:rPr>
            </w:pPr>
            <w:r>
              <w:rPr>
                <w:rFonts w:hint="eastAsia"/>
                <w:bCs/>
                <w:sz w:val="24"/>
                <w:lang w:eastAsia="zh-CN"/>
              </w:rPr>
              <w:t>综合部</w:t>
            </w:r>
          </w:p>
        </w:tc>
      </w:tr>
      <w:tr w14:paraId="4B33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5CD3915">
            <w:pPr>
              <w:snapToGrid w:val="0"/>
              <w:jc w:val="center"/>
              <w:rPr>
                <w:rFonts w:ascii="宋体" w:hAnsi="宋体"/>
                <w:bCs/>
                <w:sz w:val="24"/>
              </w:rPr>
            </w:pPr>
            <w:r>
              <w:rPr>
                <w:rFonts w:hint="eastAsia" w:ascii="宋体" w:hAnsi="宋体"/>
                <w:bCs/>
                <w:sz w:val="24"/>
              </w:rPr>
              <w:t>16</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ECE8D4F">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-16</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B197E33">
            <w:pPr>
              <w:autoSpaceDE w:val="0"/>
              <w:autoSpaceDN w:val="0"/>
              <w:adjustRightInd w:val="0"/>
              <w:snapToGrid w:val="0"/>
              <w:rPr>
                <w:rFonts w:ascii="宋体"/>
                <w:sz w:val="24"/>
              </w:rPr>
            </w:pPr>
            <w:r>
              <w:rPr>
                <w:rFonts w:hint="eastAsia" w:ascii="宋体"/>
                <w:sz w:val="24"/>
              </w:rPr>
              <w:t>16、基础设施管理控制程序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DFB41B9">
            <w:pPr>
              <w:snapToGrid w:val="0"/>
              <w:rPr>
                <w:rFonts w:hint="eastAsia" w:ascii="宋体" w:hAnsi="宋体" w:eastAsia="宋体"/>
                <w:bCs/>
                <w:sz w:val="24"/>
                <w:lang w:eastAsia="zh-CN"/>
              </w:rPr>
            </w:pPr>
            <w:r>
              <w:rPr>
                <w:rFonts w:hint="eastAsia"/>
                <w:bCs/>
                <w:sz w:val="24"/>
                <w:lang w:eastAsia="zh-CN"/>
              </w:rPr>
              <w:t>生产技术部</w:t>
            </w:r>
          </w:p>
        </w:tc>
      </w:tr>
      <w:tr w14:paraId="3F92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C1F4839">
            <w:pPr>
              <w:snapToGrid w:val="0"/>
              <w:jc w:val="center"/>
              <w:rPr>
                <w:rFonts w:ascii="宋体" w:hAnsi="宋体"/>
                <w:bCs/>
                <w:sz w:val="24"/>
              </w:rPr>
            </w:pPr>
            <w:r>
              <w:rPr>
                <w:rFonts w:hint="eastAsia" w:ascii="宋体" w:hAnsi="宋体"/>
                <w:bCs/>
                <w:sz w:val="24"/>
              </w:rPr>
              <w:t>17</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43691E6">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-17</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6C32F4B">
            <w:pPr>
              <w:autoSpaceDE w:val="0"/>
              <w:autoSpaceDN w:val="0"/>
              <w:adjustRightInd w:val="0"/>
              <w:snapToGrid w:val="0"/>
              <w:rPr>
                <w:rFonts w:ascii="宋体"/>
                <w:sz w:val="24"/>
                <w:lang w:val="zh-CN"/>
              </w:rPr>
            </w:pPr>
            <w:r>
              <w:rPr>
                <w:rFonts w:hint="eastAsia" w:ascii="宋体"/>
                <w:sz w:val="24"/>
                <w:lang w:val="zh-CN"/>
              </w:rPr>
              <w:t>17、产品实现的策划控制程序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83694BD">
            <w:pPr>
              <w:snapToGrid w:val="0"/>
              <w:rPr>
                <w:rFonts w:hint="eastAsia" w:ascii="宋体" w:hAnsi="宋体" w:eastAsia="宋体"/>
                <w:bCs/>
                <w:sz w:val="24"/>
                <w:lang w:eastAsia="zh-CN"/>
              </w:rPr>
            </w:pPr>
            <w:r>
              <w:rPr>
                <w:rFonts w:hint="eastAsia"/>
                <w:bCs/>
                <w:sz w:val="24"/>
                <w:lang w:eastAsia="zh-CN"/>
              </w:rPr>
              <w:t>生产技术部</w:t>
            </w:r>
          </w:p>
        </w:tc>
      </w:tr>
      <w:tr w14:paraId="1E01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F3FE5E2">
            <w:pPr>
              <w:snapToGrid w:val="0"/>
              <w:jc w:val="center"/>
              <w:rPr>
                <w:rFonts w:ascii="宋体" w:hAnsi="宋体"/>
                <w:bCs/>
                <w:sz w:val="24"/>
              </w:rPr>
            </w:pPr>
            <w:r>
              <w:rPr>
                <w:rFonts w:hint="eastAsia" w:ascii="宋体" w:hAnsi="宋体"/>
                <w:bCs/>
                <w:sz w:val="24"/>
              </w:rPr>
              <w:t>18</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0B41553">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-18</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036515C">
            <w:pPr>
              <w:autoSpaceDE w:val="0"/>
              <w:autoSpaceDN w:val="0"/>
              <w:adjustRightInd w:val="0"/>
              <w:snapToGrid w:val="0"/>
              <w:rPr>
                <w:rFonts w:ascii="宋体"/>
                <w:sz w:val="24"/>
                <w:lang w:val="zh-CN"/>
              </w:rPr>
            </w:pPr>
            <w:r>
              <w:rPr>
                <w:rFonts w:hint="eastAsia" w:ascii="宋体"/>
                <w:sz w:val="24"/>
                <w:lang w:val="zh-CN"/>
              </w:rPr>
              <w:t>18、与顾客有关的过程控制程序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D70382C">
            <w:pPr>
              <w:snapToGrid w:val="0"/>
              <w:rPr>
                <w:rFonts w:hint="eastAsia" w:ascii="宋体" w:hAnsi="宋体" w:eastAsia="宋体"/>
                <w:bCs/>
                <w:sz w:val="24"/>
                <w:lang w:eastAsia="zh-CN"/>
              </w:rPr>
            </w:pPr>
            <w:r>
              <w:rPr>
                <w:rFonts w:hint="eastAsia"/>
                <w:bCs/>
                <w:sz w:val="24"/>
                <w:lang w:eastAsia="zh-CN"/>
              </w:rPr>
              <w:t>市场部</w:t>
            </w:r>
          </w:p>
        </w:tc>
      </w:tr>
      <w:tr w14:paraId="4486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BB0D444">
            <w:pPr>
              <w:snapToGrid w:val="0"/>
              <w:jc w:val="center"/>
              <w:rPr>
                <w:rFonts w:ascii="宋体" w:hAnsi="宋体"/>
                <w:bCs/>
                <w:sz w:val="24"/>
              </w:rPr>
            </w:pPr>
            <w:r>
              <w:rPr>
                <w:rFonts w:hint="eastAsia" w:ascii="宋体" w:hAnsi="宋体"/>
                <w:bCs/>
                <w:sz w:val="24"/>
              </w:rPr>
              <w:t>19</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6381F52">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-19</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40001B95">
            <w:pPr>
              <w:autoSpaceDE w:val="0"/>
              <w:autoSpaceDN w:val="0"/>
              <w:adjustRightInd w:val="0"/>
              <w:snapToGrid w:val="0"/>
              <w:rPr>
                <w:rFonts w:ascii="宋体"/>
                <w:sz w:val="24"/>
              </w:rPr>
            </w:pPr>
            <w:r>
              <w:rPr>
                <w:rFonts w:hint="eastAsia" w:ascii="宋体" w:hAnsi="宋体"/>
                <w:bCs/>
                <w:sz w:val="24"/>
              </w:rPr>
              <w:t>19、生产和服务提供控制程序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F0B28FD">
            <w:pPr>
              <w:snapToGrid w:val="0"/>
              <w:rPr>
                <w:rFonts w:hint="eastAsia" w:ascii="宋体" w:hAnsi="宋体" w:eastAsia="宋体"/>
                <w:bCs/>
                <w:sz w:val="24"/>
                <w:lang w:eastAsia="zh-CN"/>
              </w:rPr>
            </w:pPr>
            <w:r>
              <w:rPr>
                <w:rFonts w:hint="eastAsia"/>
                <w:bCs/>
                <w:sz w:val="24"/>
                <w:lang w:eastAsia="zh-CN"/>
              </w:rPr>
              <w:t>生产技术部</w:t>
            </w:r>
          </w:p>
        </w:tc>
      </w:tr>
      <w:tr w14:paraId="43B8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A12951F">
            <w:pPr>
              <w:snapToGrid w:val="0"/>
              <w:jc w:val="center"/>
              <w:rPr>
                <w:rFonts w:ascii="宋体" w:hAnsi="宋体"/>
                <w:bCs/>
                <w:sz w:val="24"/>
              </w:rPr>
            </w:pPr>
            <w:r>
              <w:rPr>
                <w:rFonts w:hint="eastAsia" w:ascii="宋体" w:hAnsi="宋体"/>
                <w:bCs/>
                <w:sz w:val="24"/>
              </w:rPr>
              <w:t>20</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94C0AFE">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-20</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2A51212">
            <w:pPr>
              <w:autoSpaceDE w:val="0"/>
              <w:autoSpaceDN w:val="0"/>
              <w:adjustRightInd w:val="0"/>
              <w:snapToGrid w:val="0"/>
              <w:rPr>
                <w:rFonts w:ascii="宋体"/>
                <w:sz w:val="24"/>
                <w:lang w:val="zh-CN"/>
              </w:rPr>
            </w:pPr>
            <w:r>
              <w:rPr>
                <w:rFonts w:hint="eastAsia" w:ascii="宋体" w:hAnsi="宋体"/>
                <w:bCs/>
                <w:sz w:val="24"/>
              </w:rPr>
              <w:t>20、监视和测量设备控制程序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5E47E5D">
            <w:pPr>
              <w:snapToGrid w:val="0"/>
              <w:rPr>
                <w:rFonts w:hint="eastAsia" w:eastAsia="宋体"/>
                <w:sz w:val="24"/>
                <w:lang w:eastAsia="zh-CN"/>
              </w:rPr>
            </w:pPr>
            <w:r>
              <w:rPr>
                <w:rFonts w:hint="eastAsia"/>
                <w:bCs/>
                <w:sz w:val="24"/>
                <w:lang w:eastAsia="zh-CN"/>
              </w:rPr>
              <w:t>生产技术部</w:t>
            </w:r>
          </w:p>
        </w:tc>
      </w:tr>
      <w:tr w14:paraId="6E2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678B8BF5">
            <w:pPr>
              <w:snapToGrid w:val="0"/>
              <w:jc w:val="center"/>
              <w:rPr>
                <w:rFonts w:ascii="宋体" w:hAnsi="宋体"/>
                <w:bCs/>
                <w:sz w:val="24"/>
              </w:rPr>
            </w:pPr>
            <w:r>
              <w:rPr>
                <w:rFonts w:hint="eastAsia" w:ascii="宋体" w:hAnsi="宋体"/>
                <w:bCs/>
                <w:sz w:val="24"/>
              </w:rPr>
              <w:t>21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1E26AC44">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-21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A03CC04">
            <w:pPr>
              <w:autoSpaceDE w:val="0"/>
              <w:autoSpaceDN w:val="0"/>
              <w:adjustRightInd w:val="0"/>
              <w:snapToGrid w:val="0"/>
              <w:rPr>
                <w:rFonts w:ascii="宋体"/>
                <w:sz w:val="24"/>
                <w:lang w:val="zh-CN"/>
              </w:rPr>
            </w:pPr>
            <w:r>
              <w:rPr>
                <w:rFonts w:hint="eastAsia" w:ascii="宋体" w:hAnsi="宋体"/>
                <w:bCs/>
                <w:sz w:val="24"/>
              </w:rPr>
              <w:t>21、产品的监视和测量控制程序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30540611">
            <w:pPr>
              <w:snapToGrid w:val="0"/>
              <w:rPr>
                <w:rFonts w:hint="eastAsia" w:eastAsia="宋体"/>
                <w:sz w:val="24"/>
                <w:lang w:eastAsia="zh-CN"/>
              </w:rPr>
            </w:pPr>
            <w:r>
              <w:rPr>
                <w:rFonts w:hint="eastAsia"/>
                <w:bCs/>
                <w:sz w:val="24"/>
                <w:lang w:eastAsia="zh-CN"/>
              </w:rPr>
              <w:t>生产技术部</w:t>
            </w:r>
          </w:p>
        </w:tc>
      </w:tr>
      <w:tr w14:paraId="438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549BE70">
            <w:pPr>
              <w:snapToGrid w:val="0"/>
              <w:jc w:val="center"/>
              <w:rPr>
                <w:rFonts w:ascii="宋体" w:hAnsi="宋体"/>
                <w:bCs/>
                <w:sz w:val="24"/>
              </w:rPr>
            </w:pPr>
            <w:r>
              <w:rPr>
                <w:rFonts w:hint="eastAsia" w:ascii="宋体" w:hAnsi="宋体"/>
                <w:bCs/>
                <w:sz w:val="24"/>
              </w:rPr>
              <w:t>22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214984ED">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-22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E7723DC">
            <w:pPr>
              <w:snapToGrid w:val="0"/>
              <w:rPr>
                <w:rFonts w:ascii="宋体"/>
                <w:bCs/>
                <w:sz w:val="24"/>
              </w:rPr>
            </w:pPr>
            <w:r>
              <w:rPr>
                <w:rFonts w:hint="eastAsia" w:ascii="宋体" w:hAnsi="宋体"/>
                <w:bCs/>
                <w:sz w:val="24"/>
              </w:rPr>
              <w:t>22、</w:t>
            </w:r>
            <w:r>
              <w:rPr>
                <w:rFonts w:hint="eastAsia"/>
                <w:sz w:val="24"/>
              </w:rPr>
              <w:t>设计和开发控制程序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A53DBEC">
            <w:pPr>
              <w:snapToGrid w:val="0"/>
              <w:rPr>
                <w:rFonts w:hint="eastAsia" w:eastAsia="宋体"/>
                <w:sz w:val="24"/>
                <w:lang w:eastAsia="zh-CN"/>
              </w:rPr>
            </w:pPr>
            <w:r>
              <w:rPr>
                <w:rFonts w:hint="eastAsia"/>
                <w:sz w:val="24"/>
                <w:lang w:eastAsia="zh-CN"/>
              </w:rPr>
              <w:t>研发部</w:t>
            </w:r>
          </w:p>
        </w:tc>
      </w:tr>
      <w:tr w14:paraId="796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06F936E9">
            <w:pPr>
              <w:snapToGrid w:val="0"/>
              <w:jc w:val="center"/>
              <w:rPr>
                <w:rFonts w:ascii="宋体" w:hAnsi="宋体"/>
                <w:bCs/>
                <w:sz w:val="24"/>
              </w:rPr>
            </w:pPr>
            <w:r>
              <w:rPr>
                <w:rFonts w:hint="eastAsia" w:ascii="宋体" w:hAnsi="宋体"/>
                <w:bCs/>
                <w:sz w:val="24"/>
              </w:rPr>
              <w:t>23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C9C7385">
            <w:pPr>
              <w:snapToGrid w:val="0"/>
              <w:rPr>
                <w:rFonts w:ascii="宋体" w:hAnsi="宋体"/>
                <w:bCs/>
                <w:sz w:val="24"/>
              </w:rPr>
            </w:pPr>
            <w:r>
              <w:rPr>
                <w:rFonts w:hint="eastAsia"/>
                <w:bCs/>
                <w:sz w:val="24"/>
                <w:lang w:eastAsia="zh-CN"/>
              </w:rPr>
              <w:t>ZBHY</w:t>
            </w:r>
            <w:r>
              <w:rPr>
                <w:bCs/>
                <w:sz w:val="24"/>
              </w:rPr>
              <w:t>/</w:t>
            </w:r>
            <w:r>
              <w:rPr>
                <w:rFonts w:hint="eastAsia"/>
                <w:bCs/>
                <w:sz w:val="24"/>
                <w:lang w:eastAsia="zh-CN"/>
              </w:rPr>
              <w:t>CX-B</w:t>
            </w:r>
            <w:r>
              <w:rPr>
                <w:bCs/>
                <w:sz w:val="24"/>
              </w:rPr>
              <w:t>-</w:t>
            </w:r>
            <w:r>
              <w:rPr>
                <w:rFonts w:hint="eastAsia"/>
                <w:bCs/>
                <w:sz w:val="24"/>
                <w:lang w:eastAsia="zh-CN"/>
              </w:rPr>
              <w:t>2024</w:t>
            </w:r>
            <w:r>
              <w:rPr>
                <w:bCs/>
                <w:sz w:val="24"/>
              </w:rPr>
              <w:t>-23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5109E535">
            <w:pPr>
              <w:snapToGrid w:val="0"/>
              <w:rPr>
                <w:rFonts w:ascii="宋体"/>
                <w:bCs/>
                <w:sz w:val="24"/>
              </w:rPr>
            </w:pPr>
            <w:r>
              <w:rPr>
                <w:rFonts w:hint="eastAsia" w:ascii="宋体" w:hAnsi="宋体"/>
                <w:bCs/>
                <w:sz w:val="24"/>
              </w:rPr>
              <w:t>23、风险和机遇应对控制程序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14:paraId="7D3FE055">
            <w:pPr>
              <w:snapToGrid w:val="0"/>
              <w:rPr>
                <w:sz w:val="24"/>
              </w:rPr>
            </w:pPr>
            <w:r>
              <w:rPr>
                <w:rFonts w:hint="eastAsia"/>
                <w:sz w:val="24"/>
              </w:rPr>
              <w:t>管理层</w:t>
            </w:r>
          </w:p>
        </w:tc>
      </w:tr>
    </w:tbl>
    <w:p w14:paraId="3C64AB15"/>
    <w:p w14:paraId="55734277">
      <w:pPr>
        <w:widowControl/>
        <w:jc w:val="left"/>
      </w:pPr>
      <w:r>
        <w:br w:type="page"/>
      </w:r>
    </w:p>
    <w:p w14:paraId="7E50DDB9">
      <w:pPr>
        <w:pStyle w:val="2"/>
        <w:spacing w:before="156" w:beforeLines="50" w:after="156" w:afterLines="50" w:line="720" w:lineRule="auto"/>
        <w:jc w:val="left"/>
        <w:rPr>
          <w:sz w:val="28"/>
          <w:szCs w:val="28"/>
        </w:rPr>
      </w:pPr>
      <w:r>
        <w:rPr>
          <w:rFonts w:hint="eastAsia"/>
          <w:sz w:val="28"/>
          <w:szCs w:val="28"/>
        </w:rPr>
        <w:t>一、文件控制程序     编号：</w:t>
      </w:r>
      <w:r>
        <w:rPr>
          <w:rFonts w:hint="eastAsia" w:ascii="宋体" w:hAnsi="宋体"/>
          <w:bCs w:val="0"/>
          <w:sz w:val="28"/>
          <w:szCs w:val="28"/>
          <w:lang w:eastAsia="zh-CN"/>
        </w:rPr>
        <w:t>ZBHY</w:t>
      </w:r>
      <w:r>
        <w:rPr>
          <w:rFonts w:hint="eastAsia" w:ascii="宋体" w:hAnsi="宋体"/>
          <w:bCs w:val="0"/>
          <w:sz w:val="28"/>
          <w:szCs w:val="28"/>
        </w:rPr>
        <w:t>/</w:t>
      </w:r>
      <w:r>
        <w:rPr>
          <w:rFonts w:hint="eastAsia" w:ascii="宋体" w:hAnsi="宋体"/>
          <w:bCs w:val="0"/>
          <w:sz w:val="28"/>
          <w:szCs w:val="28"/>
          <w:lang w:eastAsia="zh-CN"/>
        </w:rPr>
        <w:t>CX-B</w:t>
      </w:r>
      <w:r>
        <w:rPr>
          <w:rFonts w:hint="eastAsia" w:ascii="宋体" w:hAnsi="宋体"/>
          <w:bCs w:val="0"/>
          <w:sz w:val="28"/>
          <w:szCs w:val="28"/>
        </w:rPr>
        <w:t>-</w:t>
      </w:r>
      <w:r>
        <w:rPr>
          <w:rFonts w:hint="eastAsia" w:ascii="宋体" w:hAnsi="宋体"/>
          <w:bCs w:val="0"/>
          <w:sz w:val="28"/>
          <w:szCs w:val="28"/>
          <w:lang w:eastAsia="zh-CN"/>
        </w:rPr>
        <w:t>2024</w:t>
      </w:r>
      <w:r>
        <w:rPr>
          <w:rFonts w:hint="eastAsia" w:ascii="宋体" w:hAnsi="宋体"/>
          <w:bCs w:val="0"/>
          <w:sz w:val="28"/>
          <w:szCs w:val="28"/>
        </w:rPr>
        <w:t>-01</w:t>
      </w:r>
    </w:p>
    <w:p w14:paraId="03998074">
      <w:pPr>
        <w:numPr>
          <w:ilvl w:val="0"/>
          <w:numId w:val="3"/>
        </w:numPr>
        <w:spacing w:line="360" w:lineRule="auto"/>
        <w:rPr>
          <w:sz w:val="24"/>
        </w:rPr>
      </w:pPr>
      <w:r>
        <w:rPr>
          <w:rFonts w:hint="eastAsia"/>
          <w:sz w:val="24"/>
        </w:rPr>
        <w:t>目的</w:t>
      </w:r>
    </w:p>
    <w:p w14:paraId="1B2DBA39">
      <w:pPr>
        <w:spacing w:line="360" w:lineRule="auto"/>
        <w:ind w:firstLine="480" w:firstLineChars="200"/>
        <w:rPr>
          <w:sz w:val="24"/>
        </w:rPr>
      </w:pPr>
      <w:r>
        <w:rPr>
          <w:rFonts w:hint="eastAsia"/>
          <w:sz w:val="24"/>
        </w:rPr>
        <w:t>对与公司质量、环境、职业健康安全管理体系有关的文件进行控制，确保各相关使用场所得到适用文件的有效版本。</w:t>
      </w:r>
    </w:p>
    <w:p w14:paraId="5B037957">
      <w:pPr>
        <w:numPr>
          <w:ilvl w:val="0"/>
          <w:numId w:val="3"/>
        </w:numPr>
        <w:spacing w:line="360" w:lineRule="auto"/>
        <w:rPr>
          <w:sz w:val="24"/>
        </w:rPr>
      </w:pPr>
      <w:r>
        <w:rPr>
          <w:rFonts w:hint="eastAsia"/>
          <w:sz w:val="24"/>
        </w:rPr>
        <w:t>范围</w:t>
      </w:r>
    </w:p>
    <w:p w14:paraId="3DCA6241">
      <w:pPr>
        <w:spacing w:line="360" w:lineRule="auto"/>
        <w:rPr>
          <w:sz w:val="24"/>
        </w:rPr>
      </w:pPr>
      <w:r>
        <w:rPr>
          <w:rFonts w:hint="eastAsia"/>
          <w:sz w:val="24"/>
        </w:rPr>
        <w:t>适用于与质量、环境、职业健康安全管理体系有关的文件控制。</w:t>
      </w:r>
    </w:p>
    <w:p w14:paraId="55A9F5DC">
      <w:pPr>
        <w:numPr>
          <w:ilvl w:val="0"/>
          <w:numId w:val="3"/>
        </w:numPr>
        <w:spacing w:line="360" w:lineRule="auto"/>
        <w:rPr>
          <w:sz w:val="24"/>
        </w:rPr>
      </w:pPr>
      <w:r>
        <w:rPr>
          <w:rFonts w:hint="eastAsia"/>
          <w:sz w:val="24"/>
        </w:rPr>
        <w:t>职责</w:t>
      </w:r>
    </w:p>
    <w:p w14:paraId="5F2D8DBD">
      <w:pPr>
        <w:spacing w:line="360" w:lineRule="auto"/>
        <w:rPr>
          <w:sz w:val="24"/>
        </w:rPr>
      </w:pPr>
      <w:r>
        <w:rPr>
          <w:rFonts w:hint="eastAsia"/>
          <w:sz w:val="24"/>
        </w:rPr>
        <w:t>3.1管理者代表负责审核质量手册。总经理批准发布质量手册。</w:t>
      </w:r>
    </w:p>
    <w:p w14:paraId="3E1B400A">
      <w:pPr>
        <w:spacing w:line="360" w:lineRule="auto"/>
        <w:rPr>
          <w:sz w:val="24"/>
        </w:rPr>
      </w:pPr>
      <w:r>
        <w:rPr>
          <w:rFonts w:hint="eastAsia"/>
          <w:sz w:val="24"/>
        </w:rPr>
        <w:t>3.2公司所有文件由总经理审批，由相关部门实施。。</w:t>
      </w:r>
    </w:p>
    <w:p w14:paraId="6F477711">
      <w:pPr>
        <w:spacing w:line="360" w:lineRule="auto"/>
        <w:rPr>
          <w:sz w:val="24"/>
        </w:rPr>
      </w:pPr>
      <w:r>
        <w:rPr>
          <w:rFonts w:hint="eastAsia"/>
          <w:sz w:val="24"/>
        </w:rPr>
        <w:t>3.3各部门负责相关文件的编制、使用和保管。</w:t>
      </w:r>
    </w:p>
    <w:p w14:paraId="1824448B">
      <w:pPr>
        <w:spacing w:line="360" w:lineRule="auto"/>
        <w:rPr>
          <w:sz w:val="24"/>
        </w:rPr>
      </w:pPr>
      <w:r>
        <w:rPr>
          <w:rFonts w:hint="eastAsia"/>
          <w:sz w:val="24"/>
        </w:rPr>
        <w:t>3.4</w:t>
      </w:r>
      <w:r>
        <w:rPr>
          <w:rFonts w:hint="eastAsia"/>
          <w:sz w:val="24"/>
          <w:lang w:eastAsia="zh-CN"/>
        </w:rPr>
        <w:t>综合部</w:t>
      </w:r>
      <w:r>
        <w:rPr>
          <w:rFonts w:hint="eastAsia"/>
          <w:sz w:val="24"/>
        </w:rPr>
        <w:t>负责管理类文件的管理，</w:t>
      </w:r>
      <w:r>
        <w:rPr>
          <w:rFonts w:hint="eastAsia"/>
          <w:sz w:val="24"/>
          <w:lang w:eastAsia="zh-CN"/>
        </w:rPr>
        <w:t>综合部</w:t>
      </w:r>
      <w:r>
        <w:rPr>
          <w:rFonts w:hint="eastAsia"/>
          <w:sz w:val="24"/>
        </w:rPr>
        <w:t>负责技术类文件的管理。</w:t>
      </w:r>
    </w:p>
    <w:p w14:paraId="115A6F9D">
      <w:pPr>
        <w:spacing w:line="360" w:lineRule="auto"/>
        <w:rPr>
          <w:sz w:val="24"/>
        </w:rPr>
      </w:pPr>
      <w:r>
        <w:rPr>
          <w:rFonts w:hint="eastAsia"/>
          <w:sz w:val="24"/>
        </w:rPr>
        <w:t>3.5</w:t>
      </w:r>
      <w:r>
        <w:rPr>
          <w:rFonts w:hint="eastAsia"/>
          <w:sz w:val="24"/>
          <w:lang w:eastAsia="zh-CN"/>
        </w:rPr>
        <w:t>综合部</w:t>
      </w:r>
      <w:r>
        <w:rPr>
          <w:rFonts w:hint="eastAsia"/>
          <w:sz w:val="24"/>
        </w:rPr>
        <w:t>负责组织质量手册的定期评审与更新，并再次批准。</w:t>
      </w:r>
    </w:p>
    <w:p w14:paraId="3D584EBD">
      <w:pPr>
        <w:spacing w:line="360" w:lineRule="auto"/>
        <w:rPr>
          <w:sz w:val="24"/>
        </w:rPr>
      </w:pPr>
      <w:r>
        <w:rPr>
          <w:rFonts w:hint="eastAsia"/>
          <w:sz w:val="24"/>
        </w:rPr>
        <w:t>3.6各部门资料员负责本部门与质量、环境、职业健康安全管理体系有关的文件的收集、整理、发放、使用和归档等。</w:t>
      </w:r>
    </w:p>
    <w:p w14:paraId="107D3327">
      <w:pPr>
        <w:numPr>
          <w:ilvl w:val="0"/>
          <w:numId w:val="3"/>
        </w:numPr>
        <w:spacing w:line="360" w:lineRule="auto"/>
        <w:rPr>
          <w:sz w:val="24"/>
        </w:rPr>
      </w:pPr>
      <w:r>
        <w:rPr>
          <w:rFonts w:hint="eastAsia"/>
          <w:sz w:val="24"/>
        </w:rPr>
        <w:t>程序</w:t>
      </w:r>
    </w:p>
    <w:p w14:paraId="09C4AAE9">
      <w:pPr>
        <w:spacing w:line="360" w:lineRule="auto"/>
        <w:rPr>
          <w:sz w:val="24"/>
        </w:rPr>
      </w:pPr>
      <w:r>
        <w:rPr>
          <w:rFonts w:hint="eastAsia"/>
          <w:sz w:val="24"/>
        </w:rPr>
        <w:t>4.1文件分类及保管</w:t>
      </w:r>
    </w:p>
    <w:p w14:paraId="607E6BF3">
      <w:pPr>
        <w:spacing w:line="360" w:lineRule="auto"/>
        <w:rPr>
          <w:sz w:val="24"/>
        </w:rPr>
      </w:pPr>
      <w:r>
        <w:rPr>
          <w:rFonts w:hint="eastAsia"/>
          <w:sz w:val="24"/>
        </w:rPr>
        <w:t>4.1.1公司第一级文件——质量手册，由</w:t>
      </w:r>
      <w:r>
        <w:rPr>
          <w:rFonts w:hint="eastAsia"/>
          <w:sz w:val="24"/>
          <w:lang w:eastAsia="zh-CN"/>
        </w:rPr>
        <w:t>综合部</w:t>
      </w:r>
      <w:r>
        <w:rPr>
          <w:rFonts w:hint="eastAsia"/>
          <w:sz w:val="24"/>
        </w:rPr>
        <w:t>保存并备案。</w:t>
      </w:r>
    </w:p>
    <w:p w14:paraId="4B968036">
      <w:pPr>
        <w:spacing w:line="360" w:lineRule="auto"/>
        <w:rPr>
          <w:sz w:val="24"/>
        </w:rPr>
      </w:pPr>
      <w:r>
        <w:rPr>
          <w:rFonts w:hint="eastAsia"/>
          <w:sz w:val="24"/>
        </w:rPr>
        <w:t>4.1.2公司第二级文件——程序文件，由</w:t>
      </w:r>
      <w:r>
        <w:rPr>
          <w:rFonts w:hint="eastAsia"/>
          <w:sz w:val="24"/>
          <w:lang w:eastAsia="zh-CN"/>
        </w:rPr>
        <w:t>综合部</w:t>
      </w:r>
      <w:r>
        <w:rPr>
          <w:rFonts w:hint="eastAsia"/>
          <w:sz w:val="24"/>
        </w:rPr>
        <w:t>保存并备案。</w:t>
      </w:r>
    </w:p>
    <w:p w14:paraId="7005F3A2">
      <w:pPr>
        <w:spacing w:line="360" w:lineRule="auto"/>
        <w:rPr>
          <w:sz w:val="24"/>
        </w:rPr>
      </w:pPr>
      <w:r>
        <w:rPr>
          <w:rFonts w:hint="eastAsia"/>
          <w:sz w:val="24"/>
        </w:rPr>
        <w:t>4.1.3公司第三级质量、环境、职业健康安全管理体系文件分为两类：</w:t>
      </w:r>
    </w:p>
    <w:p w14:paraId="6FCA2672">
      <w:pPr>
        <w:numPr>
          <w:ilvl w:val="0"/>
          <w:numId w:val="4"/>
        </w:numPr>
        <w:spacing w:line="360" w:lineRule="auto"/>
        <w:rPr>
          <w:sz w:val="24"/>
        </w:rPr>
      </w:pPr>
      <w:r>
        <w:rPr>
          <w:rFonts w:hint="eastAsia"/>
          <w:sz w:val="24"/>
        </w:rPr>
        <w:t>部门工作手册，作为各部门运行质量、环境、职业健康安全管理体系的常用实施细则：包括管理标准（部门管理制度等）；</w:t>
      </w:r>
    </w:p>
    <w:p w14:paraId="6EE2C5ED">
      <w:pPr>
        <w:numPr>
          <w:ilvl w:val="0"/>
          <w:numId w:val="4"/>
        </w:numPr>
        <w:tabs>
          <w:tab w:val="left" w:pos="851"/>
          <w:tab w:val="clear" w:pos="810"/>
        </w:tabs>
        <w:spacing w:line="360" w:lineRule="auto"/>
        <w:rPr>
          <w:sz w:val="24"/>
        </w:rPr>
      </w:pPr>
      <w:r>
        <w:rPr>
          <w:rFonts w:hint="eastAsia"/>
          <w:sz w:val="24"/>
        </w:rPr>
        <w:t>工作标准（岗位责任制和任职要求等）；技术标准（国家标准、行业标准、企业标准及作业指导书、检验规范等）；部门质量记录文件等。由各相关部门自行保存并报</w:t>
      </w:r>
      <w:r>
        <w:rPr>
          <w:rFonts w:hint="eastAsia"/>
          <w:sz w:val="24"/>
          <w:lang w:eastAsia="zh-CN"/>
        </w:rPr>
        <w:t>综合部</w:t>
      </w:r>
      <w:r>
        <w:rPr>
          <w:rFonts w:hint="eastAsia"/>
          <w:sz w:val="24"/>
        </w:rPr>
        <w:t>备案存档；</w:t>
      </w:r>
    </w:p>
    <w:p w14:paraId="09763D27">
      <w:pPr>
        <w:spacing w:line="360" w:lineRule="auto"/>
        <w:rPr>
          <w:sz w:val="24"/>
        </w:rPr>
      </w:pPr>
      <w:r>
        <w:rPr>
          <w:rFonts w:hint="eastAsia"/>
          <w:sz w:val="24"/>
        </w:rPr>
        <w:t>4.1.4公司级管理性文件，如各种行政管理制度、部门外来的管理性文件，由</w:t>
      </w:r>
      <w:r>
        <w:rPr>
          <w:rFonts w:hint="eastAsia"/>
          <w:sz w:val="24"/>
          <w:lang w:eastAsia="zh-CN"/>
        </w:rPr>
        <w:t>综合部</w:t>
      </w:r>
      <w:r>
        <w:rPr>
          <w:rFonts w:hint="eastAsia"/>
          <w:sz w:val="24"/>
        </w:rPr>
        <w:t>保存。</w:t>
      </w:r>
    </w:p>
    <w:p w14:paraId="21449399">
      <w:pPr>
        <w:spacing w:line="360" w:lineRule="auto"/>
        <w:rPr>
          <w:sz w:val="24"/>
        </w:rPr>
      </w:pPr>
      <w:r>
        <w:rPr>
          <w:rFonts w:hint="eastAsia"/>
          <w:sz w:val="24"/>
        </w:rPr>
        <w:t>4.2文件的编号</w:t>
      </w:r>
    </w:p>
    <w:p w14:paraId="3D7D6B6F">
      <w:pPr>
        <w:spacing w:line="360" w:lineRule="auto"/>
        <w:rPr>
          <w:sz w:val="24"/>
        </w:rPr>
      </w:pPr>
      <w:r>
        <w:rPr>
          <w:rFonts w:hint="eastAsia"/>
          <w:sz w:val="24"/>
        </w:rPr>
        <w:t>4.2.1质量、环境、职业健康安全管理体系文件的编号</w:t>
      </w:r>
    </w:p>
    <w:p w14:paraId="6C58B0D0">
      <w:pPr>
        <w:numPr>
          <w:ilvl w:val="0"/>
          <w:numId w:val="5"/>
        </w:numPr>
        <w:spacing w:line="360" w:lineRule="auto"/>
        <w:rPr>
          <w:sz w:val="24"/>
        </w:rPr>
      </w:pPr>
      <w:r>
        <w:rPr>
          <w:rFonts w:hint="eastAsia"/>
          <w:sz w:val="24"/>
        </w:rPr>
        <w:t>质量手册：公司名称代号(</w:t>
      </w:r>
      <w:r>
        <w:rPr>
          <w:rFonts w:hint="eastAsia"/>
          <w:sz w:val="24"/>
          <w:lang w:eastAsia="zh-CN"/>
        </w:rPr>
        <w:t>淄博海源</w:t>
      </w:r>
      <w:r>
        <w:rPr>
          <w:rFonts w:hint="eastAsia"/>
          <w:sz w:val="24"/>
        </w:rPr>
        <w:t>)—</w:t>
      </w:r>
      <w:r>
        <w:rPr>
          <w:rFonts w:hint="eastAsia"/>
          <w:sz w:val="24"/>
          <w:lang w:eastAsia="zh-CN"/>
        </w:rPr>
        <w:t>ZBHY</w:t>
      </w:r>
      <w:r>
        <w:rPr>
          <w:rFonts w:hint="eastAsia"/>
          <w:sz w:val="24"/>
        </w:rPr>
        <w:t>（质量手册）—版次，手册中各章以章节号区分。例如：</w:t>
      </w:r>
      <w:r>
        <w:rPr>
          <w:rFonts w:hint="eastAsia"/>
          <w:sz w:val="24"/>
          <w:lang w:eastAsia="zh-CN"/>
        </w:rPr>
        <w:t>ZBHY</w:t>
      </w:r>
      <w:r>
        <w:rPr>
          <w:rFonts w:hint="eastAsia"/>
          <w:sz w:val="24"/>
        </w:rPr>
        <w:t>—SC—A—</w:t>
      </w:r>
      <w:r>
        <w:rPr>
          <w:rFonts w:hint="eastAsia"/>
          <w:sz w:val="24"/>
          <w:lang w:eastAsia="zh-CN"/>
        </w:rPr>
        <w:t>2024</w:t>
      </w:r>
      <w:r>
        <w:rPr>
          <w:rFonts w:hint="eastAsia"/>
          <w:sz w:val="24"/>
        </w:rPr>
        <w:t>，表示公司质量手册</w:t>
      </w:r>
      <w:r>
        <w:rPr>
          <w:rFonts w:hint="eastAsia"/>
          <w:sz w:val="24"/>
          <w:lang w:eastAsia="zh-CN"/>
        </w:rPr>
        <w:t>2024</w:t>
      </w:r>
      <w:r>
        <w:rPr>
          <w:rFonts w:hint="eastAsia"/>
          <w:sz w:val="24"/>
        </w:rPr>
        <w:t>年第A版。</w:t>
      </w:r>
    </w:p>
    <w:p w14:paraId="48ACF6EC">
      <w:pPr>
        <w:numPr>
          <w:ilvl w:val="0"/>
          <w:numId w:val="5"/>
        </w:numPr>
        <w:tabs>
          <w:tab w:val="left" w:pos="851"/>
          <w:tab w:val="clear" w:pos="825"/>
        </w:tabs>
        <w:spacing w:line="360" w:lineRule="auto"/>
        <w:rPr>
          <w:sz w:val="24"/>
        </w:rPr>
      </w:pPr>
      <w:r>
        <w:rPr>
          <w:rFonts w:hint="eastAsia"/>
          <w:sz w:val="24"/>
        </w:rPr>
        <w:t>质量记录：公司名称代号(</w:t>
      </w:r>
      <w:r>
        <w:rPr>
          <w:rFonts w:hint="eastAsia"/>
          <w:sz w:val="24"/>
          <w:lang w:eastAsia="zh-CN"/>
        </w:rPr>
        <w:t>淄博海源</w:t>
      </w:r>
      <w:r>
        <w:rPr>
          <w:rFonts w:hint="eastAsia"/>
          <w:sz w:val="24"/>
        </w:rPr>
        <w:t>)—</w:t>
      </w:r>
      <w:r>
        <w:rPr>
          <w:rFonts w:hint="eastAsia"/>
          <w:sz w:val="24"/>
          <w:lang w:eastAsia="zh-CN"/>
        </w:rPr>
        <w:t>ZBHY</w:t>
      </w:r>
      <w:r>
        <w:rPr>
          <w:rFonts w:hint="eastAsia"/>
          <w:sz w:val="24"/>
        </w:rPr>
        <w:t>，编号</w:t>
      </w:r>
      <w:r>
        <w:rPr>
          <w:rFonts w:hint="eastAsia"/>
          <w:sz w:val="24"/>
          <w:lang w:eastAsia="zh-CN"/>
        </w:rPr>
        <w:t>ZBHY</w:t>
      </w:r>
      <w:r>
        <w:rPr>
          <w:rFonts w:hint="eastAsia"/>
          <w:sz w:val="24"/>
        </w:rPr>
        <w:t xml:space="preserve"> -JL-XX。（注：JL表示记录，XX表示表格顺序号；如：</w:t>
      </w:r>
      <w:r>
        <w:rPr>
          <w:rFonts w:hint="eastAsia"/>
          <w:sz w:val="24"/>
          <w:lang w:eastAsia="zh-CN"/>
        </w:rPr>
        <w:t>ZBHY</w:t>
      </w:r>
      <w:r>
        <w:rPr>
          <w:rFonts w:hint="eastAsia"/>
          <w:sz w:val="24"/>
        </w:rPr>
        <w:t xml:space="preserve"> -JL-01表示公司管理的第1个质量记录。</w:t>
      </w:r>
    </w:p>
    <w:p w14:paraId="72E6F999">
      <w:pPr>
        <w:numPr>
          <w:ilvl w:val="0"/>
          <w:numId w:val="5"/>
        </w:numPr>
        <w:spacing w:line="360" w:lineRule="auto"/>
        <w:rPr>
          <w:sz w:val="24"/>
        </w:rPr>
      </w:pPr>
      <w:r>
        <w:rPr>
          <w:rFonts w:hint="eastAsia"/>
          <w:sz w:val="24"/>
        </w:rPr>
        <w:t>其它质量体系文件：</w:t>
      </w:r>
    </w:p>
    <w:p w14:paraId="6B79A02A">
      <w:pPr>
        <w:spacing w:line="360" w:lineRule="auto"/>
        <w:rPr>
          <w:sz w:val="24"/>
        </w:rPr>
      </w:pPr>
      <w:r>
        <w:rPr>
          <w:rFonts w:hint="eastAsia"/>
          <w:sz w:val="24"/>
        </w:rPr>
        <w:t>●各部门的工作手册编号为</w:t>
      </w:r>
      <w:r>
        <w:rPr>
          <w:rFonts w:hint="eastAsia"/>
          <w:sz w:val="24"/>
          <w:lang w:eastAsia="zh-CN"/>
        </w:rPr>
        <w:t>ZBHY</w:t>
      </w:r>
      <w:r>
        <w:rPr>
          <w:rFonts w:hint="eastAsia"/>
          <w:sz w:val="24"/>
        </w:rPr>
        <w:t>—部门名称</w:t>
      </w:r>
      <w:r>
        <w:rPr>
          <w:rFonts w:hint="eastAsia"/>
          <w:sz w:val="24"/>
          <w:lang w:val="en-US" w:eastAsia="zh-CN"/>
        </w:rPr>
        <w:t>简称</w:t>
      </w:r>
      <w:r>
        <w:rPr>
          <w:rFonts w:hint="eastAsia"/>
          <w:sz w:val="24"/>
        </w:rPr>
        <w:t>—01，例如：</w:t>
      </w:r>
      <w:r>
        <w:rPr>
          <w:rFonts w:hint="eastAsia"/>
          <w:sz w:val="24"/>
          <w:lang w:eastAsia="zh-CN"/>
        </w:rPr>
        <w:t>ZBHY</w:t>
      </w:r>
      <w:r>
        <w:rPr>
          <w:rFonts w:hint="eastAsia"/>
          <w:sz w:val="24"/>
        </w:rPr>
        <w:t>—</w:t>
      </w:r>
      <w:r>
        <w:rPr>
          <w:rFonts w:hint="eastAsia"/>
          <w:sz w:val="24"/>
          <w:lang w:val="en-US" w:eastAsia="zh-CN"/>
        </w:rPr>
        <w:t>Z</w:t>
      </w:r>
      <w:r>
        <w:rPr>
          <w:rFonts w:hint="eastAsia"/>
          <w:sz w:val="24"/>
        </w:rPr>
        <w:t>—01，表示</w:t>
      </w:r>
      <w:r>
        <w:rPr>
          <w:rFonts w:hint="eastAsia"/>
          <w:sz w:val="24"/>
          <w:lang w:eastAsia="zh-CN"/>
        </w:rPr>
        <w:t>综合部</w:t>
      </w:r>
      <w:r>
        <w:rPr>
          <w:rFonts w:hint="eastAsia"/>
          <w:sz w:val="24"/>
        </w:rPr>
        <w:t>的工作手册第一版；</w:t>
      </w:r>
    </w:p>
    <w:p w14:paraId="7047BDCC">
      <w:pPr>
        <w:spacing w:line="360" w:lineRule="auto"/>
        <w:rPr>
          <w:sz w:val="24"/>
        </w:rPr>
      </w:pPr>
      <w:r>
        <w:rPr>
          <w:rFonts w:hint="eastAsia"/>
          <w:sz w:val="24"/>
        </w:rPr>
        <w:t>●管理性文件采用</w:t>
      </w:r>
      <w:r>
        <w:rPr>
          <w:rFonts w:hint="eastAsia"/>
          <w:sz w:val="24"/>
          <w:lang w:eastAsia="zh-CN"/>
        </w:rPr>
        <w:t>淄博海源</w:t>
      </w:r>
      <w:r>
        <w:rPr>
          <w:rFonts w:hint="eastAsia"/>
          <w:sz w:val="24"/>
        </w:rPr>
        <w:t>字[年份]编号，例如：</w:t>
      </w:r>
      <w:r>
        <w:rPr>
          <w:rFonts w:hint="eastAsia"/>
          <w:sz w:val="24"/>
          <w:lang w:eastAsia="zh-CN"/>
        </w:rPr>
        <w:t>淄博海源</w:t>
      </w:r>
      <w:r>
        <w:rPr>
          <w:rFonts w:hint="eastAsia"/>
          <w:sz w:val="24"/>
        </w:rPr>
        <w:t>字[</w:t>
      </w:r>
      <w:r>
        <w:rPr>
          <w:rFonts w:hint="eastAsia"/>
          <w:sz w:val="24"/>
          <w:lang w:eastAsia="zh-CN"/>
        </w:rPr>
        <w:t>2024</w:t>
      </w:r>
      <w:r>
        <w:rPr>
          <w:rFonts w:hint="eastAsia"/>
          <w:sz w:val="24"/>
        </w:rPr>
        <w:t>]1号，表示</w:t>
      </w:r>
      <w:r>
        <w:rPr>
          <w:rFonts w:hint="eastAsia"/>
          <w:sz w:val="24"/>
          <w:lang w:eastAsia="zh-CN"/>
        </w:rPr>
        <w:t>2024</w:t>
      </w:r>
      <w:r>
        <w:rPr>
          <w:rFonts w:hint="eastAsia"/>
          <w:sz w:val="24"/>
        </w:rPr>
        <w:t>年第1号管理性文件；</w:t>
      </w:r>
    </w:p>
    <w:p w14:paraId="42A14E53">
      <w:pPr>
        <w:spacing w:line="360" w:lineRule="auto"/>
        <w:rPr>
          <w:sz w:val="24"/>
        </w:rPr>
      </w:pPr>
      <w:r>
        <w:rPr>
          <w:rFonts w:hint="eastAsia"/>
          <w:sz w:val="24"/>
        </w:rPr>
        <w:t>●外来文件采用原编号。</w:t>
      </w:r>
    </w:p>
    <w:p w14:paraId="302E6B2F">
      <w:pPr>
        <w:spacing w:line="360" w:lineRule="auto"/>
        <w:rPr>
          <w:sz w:val="24"/>
        </w:rPr>
      </w:pPr>
      <w:r>
        <w:rPr>
          <w:rFonts w:hint="eastAsia"/>
          <w:sz w:val="24"/>
        </w:rPr>
        <w:t>4.3文件的编写、审核、批准、发放</w:t>
      </w:r>
    </w:p>
    <w:p w14:paraId="75206D8D">
      <w:pPr>
        <w:spacing w:line="360" w:lineRule="auto"/>
        <w:rPr>
          <w:sz w:val="24"/>
        </w:rPr>
      </w:pPr>
      <w:r>
        <w:rPr>
          <w:rFonts w:hint="eastAsia"/>
          <w:sz w:val="24"/>
        </w:rPr>
        <w:t>文件发布前应得到批准，以确保文件是充分与适宜的：</w:t>
      </w:r>
    </w:p>
    <w:p w14:paraId="4BABF977">
      <w:pPr>
        <w:numPr>
          <w:ilvl w:val="0"/>
          <w:numId w:val="6"/>
        </w:numPr>
        <w:spacing w:line="360" w:lineRule="auto"/>
        <w:rPr>
          <w:sz w:val="24"/>
        </w:rPr>
      </w:pPr>
      <w:r>
        <w:rPr>
          <w:rFonts w:hint="eastAsia"/>
          <w:sz w:val="24"/>
        </w:rPr>
        <w:t>质量手册由</w:t>
      </w:r>
      <w:r>
        <w:rPr>
          <w:rFonts w:hint="eastAsia"/>
          <w:sz w:val="24"/>
          <w:lang w:eastAsia="zh-CN"/>
        </w:rPr>
        <w:t>综合部</w:t>
      </w:r>
      <w:r>
        <w:rPr>
          <w:rFonts w:hint="eastAsia"/>
          <w:sz w:val="24"/>
        </w:rPr>
        <w:t>负责组织编写，由管理者代表审核，上报总经理批准发布，由</w:t>
      </w:r>
      <w:r>
        <w:rPr>
          <w:rFonts w:hint="eastAsia"/>
          <w:sz w:val="24"/>
          <w:lang w:eastAsia="zh-CN"/>
        </w:rPr>
        <w:t>综合部</w:t>
      </w:r>
      <w:r>
        <w:rPr>
          <w:rFonts w:hint="eastAsia"/>
          <w:sz w:val="24"/>
        </w:rPr>
        <w:t>负责登记、发放；</w:t>
      </w:r>
    </w:p>
    <w:p w14:paraId="5846A0AC">
      <w:pPr>
        <w:numPr>
          <w:ilvl w:val="0"/>
          <w:numId w:val="6"/>
        </w:numPr>
        <w:tabs>
          <w:tab w:val="left" w:pos="851"/>
          <w:tab w:val="clear" w:pos="825"/>
        </w:tabs>
        <w:spacing w:line="360" w:lineRule="auto"/>
        <w:rPr>
          <w:sz w:val="24"/>
        </w:rPr>
      </w:pPr>
      <w:r>
        <w:rPr>
          <w:rFonts w:hint="eastAsia"/>
          <w:sz w:val="24"/>
        </w:rPr>
        <w:t>各部门工作手册由各部门经理组织编写，由管理者代表审核，报总经理批准，</w:t>
      </w:r>
      <w:r>
        <w:rPr>
          <w:rFonts w:hint="eastAsia"/>
          <w:sz w:val="24"/>
          <w:lang w:eastAsia="zh-CN"/>
        </w:rPr>
        <w:t>综合部</w:t>
      </w:r>
      <w:r>
        <w:rPr>
          <w:rFonts w:hint="eastAsia"/>
          <w:sz w:val="24"/>
        </w:rPr>
        <w:t>负责登记、发放；</w:t>
      </w:r>
    </w:p>
    <w:p w14:paraId="3FAB376B">
      <w:pPr>
        <w:numPr>
          <w:ilvl w:val="0"/>
          <w:numId w:val="6"/>
        </w:numPr>
        <w:spacing w:line="360" w:lineRule="auto"/>
        <w:rPr>
          <w:sz w:val="24"/>
        </w:rPr>
      </w:pPr>
      <w:r>
        <w:rPr>
          <w:rFonts w:hint="eastAsia"/>
          <w:sz w:val="24"/>
          <w:lang w:eastAsia="zh-CN"/>
        </w:rPr>
        <w:t>生产技术部</w:t>
      </w:r>
      <w:r>
        <w:rPr>
          <w:rFonts w:hint="eastAsia"/>
          <w:sz w:val="24"/>
        </w:rPr>
        <w:t>负责技术性文件发放，并建立技术文件清单。</w:t>
      </w:r>
    </w:p>
    <w:p w14:paraId="23A948ED">
      <w:pPr>
        <w:numPr>
          <w:ilvl w:val="0"/>
          <w:numId w:val="6"/>
        </w:numPr>
        <w:tabs>
          <w:tab w:val="left" w:pos="851"/>
          <w:tab w:val="clear" w:pos="825"/>
        </w:tabs>
        <w:spacing w:line="360" w:lineRule="auto"/>
        <w:rPr>
          <w:sz w:val="24"/>
        </w:rPr>
      </w:pPr>
      <w:r>
        <w:rPr>
          <w:rFonts w:hint="eastAsia"/>
          <w:sz w:val="24"/>
        </w:rPr>
        <w:t>应确保文件使用的各场所都应得到适用文件的有效版本。文件的发放、回收要填写《文件发放回收记录》。</w:t>
      </w:r>
    </w:p>
    <w:p w14:paraId="0F0D7615">
      <w:pPr>
        <w:spacing w:line="360" w:lineRule="auto"/>
        <w:rPr>
          <w:sz w:val="24"/>
        </w:rPr>
      </w:pPr>
      <w:r>
        <w:rPr>
          <w:rFonts w:hint="eastAsia"/>
          <w:sz w:val="24"/>
        </w:rPr>
        <w:t>4.4文件的受控状况</w:t>
      </w:r>
    </w:p>
    <w:p w14:paraId="72C9F985">
      <w:pPr>
        <w:spacing w:line="360" w:lineRule="auto"/>
        <w:rPr>
          <w:sz w:val="24"/>
        </w:rPr>
      </w:pPr>
      <w:r>
        <w:rPr>
          <w:rFonts w:hint="eastAsia"/>
          <w:sz w:val="24"/>
        </w:rPr>
        <w:t xml:space="preserve">    文件分为“受控”和“非受控”两大类，凡与质量体系运行紧密相关的文件应为受控，由各</w:t>
      </w:r>
      <w:r>
        <w:rPr>
          <w:rFonts w:hint="eastAsia"/>
          <w:sz w:val="24"/>
          <w:lang w:eastAsia="zh-CN"/>
        </w:rPr>
        <w:t>综合部</w:t>
      </w:r>
      <w:r>
        <w:rPr>
          <w:rFonts w:hint="eastAsia"/>
          <w:sz w:val="24"/>
        </w:rPr>
        <w:t>按规定执行。所有受控文件必须加盖表明其受控状态的印章，并注明分发号。</w:t>
      </w:r>
    </w:p>
    <w:p w14:paraId="092707C7">
      <w:pPr>
        <w:spacing w:line="360" w:lineRule="auto"/>
        <w:rPr>
          <w:sz w:val="24"/>
        </w:rPr>
      </w:pPr>
      <w:r>
        <w:rPr>
          <w:rFonts w:hint="eastAsia"/>
          <w:sz w:val="24"/>
        </w:rPr>
        <w:t>4.5文件的更改</w:t>
      </w:r>
    </w:p>
    <w:p w14:paraId="02A4E9B9">
      <w:pPr>
        <w:numPr>
          <w:ilvl w:val="0"/>
          <w:numId w:val="7"/>
        </w:numPr>
        <w:tabs>
          <w:tab w:val="left" w:pos="960"/>
          <w:tab w:val="clear" w:pos="825"/>
        </w:tabs>
        <w:spacing w:line="360" w:lineRule="auto"/>
        <w:rPr>
          <w:sz w:val="24"/>
        </w:rPr>
      </w:pPr>
      <w:r>
        <w:rPr>
          <w:rFonts w:hint="eastAsia"/>
          <w:sz w:val="24"/>
        </w:rPr>
        <w:t>质量手册由</w:t>
      </w:r>
      <w:r>
        <w:rPr>
          <w:rFonts w:hint="eastAsia"/>
          <w:sz w:val="24"/>
          <w:lang w:eastAsia="zh-CN"/>
        </w:rPr>
        <w:t>综合部</w:t>
      </w:r>
      <w:r>
        <w:rPr>
          <w:rFonts w:hint="eastAsia"/>
          <w:sz w:val="24"/>
        </w:rPr>
        <w:t>组织更改，填写《文件更改申请单》，经管理者代表审核，上报总经理批准后更改，由</w:t>
      </w:r>
      <w:r>
        <w:rPr>
          <w:rFonts w:hint="eastAsia"/>
          <w:sz w:val="24"/>
          <w:lang w:eastAsia="zh-CN"/>
        </w:rPr>
        <w:t>综合部</w:t>
      </w:r>
      <w:r>
        <w:rPr>
          <w:rFonts w:hint="eastAsia"/>
          <w:sz w:val="24"/>
        </w:rPr>
        <w:t>发放。</w:t>
      </w:r>
      <w:r>
        <w:rPr>
          <w:rFonts w:hint="eastAsia"/>
          <w:sz w:val="24"/>
          <w:lang w:eastAsia="zh-CN"/>
        </w:rPr>
        <w:t>综合部</w:t>
      </w:r>
      <w:r>
        <w:rPr>
          <w:rFonts w:hint="eastAsia"/>
          <w:sz w:val="24"/>
        </w:rPr>
        <w:t>应保留文件更改内容的记录；</w:t>
      </w:r>
    </w:p>
    <w:p w14:paraId="30A91C15">
      <w:pPr>
        <w:numPr>
          <w:ilvl w:val="0"/>
          <w:numId w:val="7"/>
        </w:numPr>
        <w:tabs>
          <w:tab w:val="left" w:pos="960"/>
          <w:tab w:val="clear" w:pos="825"/>
        </w:tabs>
        <w:spacing w:line="360" w:lineRule="auto"/>
        <w:rPr>
          <w:sz w:val="24"/>
        </w:rPr>
      </w:pPr>
      <w:r>
        <w:rPr>
          <w:rFonts w:hint="eastAsia"/>
          <w:sz w:val="24"/>
        </w:rPr>
        <w:t>其他文件的更改由各相应</w:t>
      </w:r>
      <w:r>
        <w:rPr>
          <w:rFonts w:hint="eastAsia"/>
          <w:sz w:val="24"/>
          <w:lang w:eastAsia="zh-CN"/>
        </w:rPr>
        <w:t>综合部</w:t>
      </w:r>
      <w:r>
        <w:rPr>
          <w:rFonts w:hint="eastAsia"/>
          <w:sz w:val="24"/>
        </w:rPr>
        <w:t>填写《文件更改申请单》，经原审批部门审批，再由各相应部门指定人员进行更改。如果指定其他部门审批时，该部门应获得审批所需依据的有关背景资料；</w:t>
      </w:r>
    </w:p>
    <w:p w14:paraId="1B3F8693">
      <w:pPr>
        <w:numPr>
          <w:ilvl w:val="0"/>
          <w:numId w:val="7"/>
        </w:numPr>
        <w:tabs>
          <w:tab w:val="left" w:pos="960"/>
          <w:tab w:val="clear" w:pos="825"/>
        </w:tabs>
        <w:spacing w:line="360" w:lineRule="auto"/>
        <w:rPr>
          <w:sz w:val="24"/>
        </w:rPr>
      </w:pPr>
      <w:r>
        <w:rPr>
          <w:rFonts w:hint="eastAsia"/>
          <w:sz w:val="24"/>
        </w:rPr>
        <w:t>所有被更改的原文件必须收回，以确保有效文件的唯一性。</w:t>
      </w:r>
    </w:p>
    <w:p w14:paraId="24E5F482">
      <w:pPr>
        <w:spacing w:line="360" w:lineRule="auto"/>
        <w:rPr>
          <w:sz w:val="24"/>
        </w:rPr>
      </w:pPr>
      <w:r>
        <w:rPr>
          <w:rFonts w:hint="eastAsia"/>
          <w:sz w:val="24"/>
        </w:rPr>
        <w:t>4.6文件的领用</w:t>
      </w:r>
    </w:p>
    <w:p w14:paraId="0101A568">
      <w:pPr>
        <w:numPr>
          <w:ilvl w:val="0"/>
          <w:numId w:val="8"/>
        </w:numPr>
        <w:spacing w:line="360" w:lineRule="auto"/>
        <w:rPr>
          <w:sz w:val="24"/>
        </w:rPr>
      </w:pPr>
      <w:r>
        <w:rPr>
          <w:rFonts w:hint="eastAsia"/>
          <w:sz w:val="24"/>
        </w:rPr>
        <w:t>文件使用者应填写《文件发放回收记录》，经相应</w:t>
      </w:r>
      <w:r>
        <w:rPr>
          <w:rFonts w:hint="eastAsia"/>
          <w:sz w:val="24"/>
          <w:lang w:eastAsia="zh-CN"/>
        </w:rPr>
        <w:t>综合部</w:t>
      </w:r>
      <w:r>
        <w:rPr>
          <w:rFonts w:hint="eastAsia"/>
          <w:sz w:val="24"/>
        </w:rPr>
        <w:t>负责人审批方可领用。</w:t>
      </w:r>
    </w:p>
    <w:p w14:paraId="169C3687">
      <w:pPr>
        <w:numPr>
          <w:ilvl w:val="0"/>
          <w:numId w:val="8"/>
        </w:numPr>
        <w:spacing w:line="360" w:lineRule="auto"/>
        <w:rPr>
          <w:sz w:val="24"/>
        </w:rPr>
      </w:pPr>
      <w:r>
        <w:rPr>
          <w:rFonts w:hint="eastAsia"/>
          <w:sz w:val="24"/>
        </w:rPr>
        <w:t>因破损而重新领用的新文件，分发号不变，并收回相应旧文件；因丢失而补发的文件，应给予新的分发号，并注明已丢失的文件的分发号失效；发放部门作好相应发放签收记录。</w:t>
      </w:r>
    </w:p>
    <w:p w14:paraId="08E97D4C">
      <w:pPr>
        <w:spacing w:line="360" w:lineRule="auto"/>
        <w:rPr>
          <w:sz w:val="24"/>
        </w:rPr>
      </w:pPr>
      <w:r>
        <w:rPr>
          <w:rFonts w:hint="eastAsia"/>
          <w:sz w:val="24"/>
        </w:rPr>
        <w:t>4.7文件的保存、作废与销毁</w:t>
      </w:r>
    </w:p>
    <w:p w14:paraId="1BC9EC5E">
      <w:pPr>
        <w:spacing w:line="360" w:lineRule="auto"/>
        <w:rPr>
          <w:sz w:val="24"/>
        </w:rPr>
      </w:pPr>
      <w:r>
        <w:rPr>
          <w:rFonts w:hint="eastAsia"/>
          <w:sz w:val="24"/>
        </w:rPr>
        <w:t>4.7.1文件的保存</w:t>
      </w:r>
    </w:p>
    <w:p w14:paraId="4884A010">
      <w:pPr>
        <w:numPr>
          <w:ilvl w:val="0"/>
          <w:numId w:val="9"/>
        </w:numPr>
        <w:spacing w:line="360" w:lineRule="auto"/>
        <w:rPr>
          <w:sz w:val="24"/>
        </w:rPr>
      </w:pPr>
      <w:r>
        <w:rPr>
          <w:rFonts w:hint="eastAsia"/>
          <w:sz w:val="24"/>
        </w:rPr>
        <w:t>与质量、环境、职业健康安全管理体系相关的文件都必须分类存放在干燥通风，安全的地方；</w:t>
      </w:r>
    </w:p>
    <w:p w14:paraId="1DEBEFE0">
      <w:pPr>
        <w:numPr>
          <w:ilvl w:val="0"/>
          <w:numId w:val="9"/>
        </w:numPr>
        <w:spacing w:line="360" w:lineRule="auto"/>
        <w:rPr>
          <w:sz w:val="24"/>
        </w:rPr>
      </w:pPr>
      <w:r>
        <w:rPr>
          <w:rFonts w:hint="eastAsia"/>
          <w:sz w:val="24"/>
        </w:rPr>
        <w:t>各部门文件由本部门资料员保管。</w:t>
      </w:r>
      <w:r>
        <w:rPr>
          <w:rFonts w:hint="eastAsia"/>
          <w:sz w:val="24"/>
          <w:lang w:eastAsia="zh-CN"/>
        </w:rPr>
        <w:t>综合部</w:t>
      </w:r>
      <w:r>
        <w:rPr>
          <w:rFonts w:hint="eastAsia"/>
          <w:sz w:val="24"/>
        </w:rPr>
        <w:t>每季度对各部门文件保管情况进行检查；</w:t>
      </w:r>
    </w:p>
    <w:p w14:paraId="4BD44CAF">
      <w:pPr>
        <w:numPr>
          <w:ilvl w:val="0"/>
          <w:numId w:val="9"/>
        </w:numPr>
        <w:spacing w:line="360" w:lineRule="auto"/>
        <w:rPr>
          <w:sz w:val="24"/>
        </w:rPr>
      </w:pPr>
      <w:r>
        <w:rPr>
          <w:rFonts w:hint="eastAsia"/>
          <w:sz w:val="24"/>
        </w:rPr>
        <w:t>对受控文件，各部门应及时填写本部门使用文件的现行文件清单。每六个月应将清单副本报</w:t>
      </w:r>
      <w:r>
        <w:rPr>
          <w:rFonts w:hint="eastAsia"/>
          <w:sz w:val="24"/>
          <w:lang w:eastAsia="zh-CN"/>
        </w:rPr>
        <w:t>综合部</w:t>
      </w:r>
      <w:r>
        <w:rPr>
          <w:rFonts w:hint="eastAsia"/>
          <w:sz w:val="24"/>
        </w:rPr>
        <w:t>备案，如内容没有变化，应通知</w:t>
      </w:r>
      <w:r>
        <w:rPr>
          <w:rFonts w:hint="eastAsia"/>
          <w:sz w:val="24"/>
          <w:lang w:eastAsia="zh-CN"/>
        </w:rPr>
        <w:t>综合部</w:t>
      </w:r>
      <w:r>
        <w:rPr>
          <w:rFonts w:hint="eastAsia"/>
          <w:sz w:val="24"/>
        </w:rPr>
        <w:t>；</w:t>
      </w:r>
    </w:p>
    <w:p w14:paraId="4F388FDD">
      <w:pPr>
        <w:numPr>
          <w:ilvl w:val="0"/>
          <w:numId w:val="9"/>
        </w:numPr>
        <w:spacing w:line="360" w:lineRule="auto"/>
        <w:rPr>
          <w:sz w:val="24"/>
        </w:rPr>
      </w:pPr>
      <w:r>
        <w:rPr>
          <w:rFonts w:hint="eastAsia"/>
          <w:sz w:val="24"/>
        </w:rPr>
        <w:t>任何人不得在受控文件上乱涂画改，不准私自外借，确保文件的清晰、易于识别和检索。</w:t>
      </w:r>
    </w:p>
    <w:p w14:paraId="031D62B3">
      <w:pPr>
        <w:spacing w:line="360" w:lineRule="auto"/>
        <w:rPr>
          <w:sz w:val="24"/>
        </w:rPr>
      </w:pPr>
      <w:r>
        <w:rPr>
          <w:rFonts w:hint="eastAsia"/>
          <w:sz w:val="24"/>
        </w:rPr>
        <w:t>4.7.2文件的作废与销毁</w:t>
      </w:r>
    </w:p>
    <w:p w14:paraId="423AEB03">
      <w:pPr>
        <w:numPr>
          <w:ilvl w:val="0"/>
          <w:numId w:val="10"/>
        </w:numPr>
        <w:tabs>
          <w:tab w:val="left" w:pos="960"/>
          <w:tab w:val="clear" w:pos="840"/>
        </w:tabs>
        <w:spacing w:line="360" w:lineRule="auto"/>
        <w:rPr>
          <w:sz w:val="24"/>
        </w:rPr>
      </w:pPr>
      <w:r>
        <w:rPr>
          <w:rFonts w:hint="eastAsia"/>
          <w:sz w:val="24"/>
        </w:rPr>
        <w:t>质量、环境、职业健康安全管理体系的失效或作废文件由相关部门及时从所有发放或使用场所撤出，加盖“作废”印章，确保防止作废文件的非预期使用；</w:t>
      </w:r>
    </w:p>
    <w:p w14:paraId="6F7CB086">
      <w:pPr>
        <w:numPr>
          <w:ilvl w:val="0"/>
          <w:numId w:val="10"/>
        </w:numPr>
        <w:tabs>
          <w:tab w:val="left" w:pos="960"/>
          <w:tab w:val="clear" w:pos="840"/>
        </w:tabs>
        <w:spacing w:line="360" w:lineRule="auto"/>
        <w:rPr>
          <w:sz w:val="24"/>
        </w:rPr>
      </w:pPr>
      <w:r>
        <w:rPr>
          <w:rFonts w:hint="eastAsia"/>
          <w:sz w:val="24"/>
        </w:rPr>
        <w:t>为某种原因需保留的任何已作废的文件，都应进行适当的标识；</w:t>
      </w:r>
    </w:p>
    <w:p w14:paraId="57B2BDEC">
      <w:pPr>
        <w:numPr>
          <w:ilvl w:val="0"/>
          <w:numId w:val="10"/>
        </w:numPr>
        <w:tabs>
          <w:tab w:val="left" w:pos="960"/>
          <w:tab w:val="clear" w:pos="840"/>
        </w:tabs>
        <w:spacing w:line="360" w:lineRule="auto"/>
        <w:rPr>
          <w:sz w:val="24"/>
        </w:rPr>
      </w:pPr>
      <w:r>
        <w:rPr>
          <w:rFonts w:hint="eastAsia"/>
          <w:sz w:val="24"/>
        </w:rPr>
        <w:t>对要销毁的作废文件，由相关部门填写《文件销毁申请》，经管理者代表批准后，由</w:t>
      </w:r>
      <w:r>
        <w:rPr>
          <w:rFonts w:hint="eastAsia"/>
          <w:sz w:val="24"/>
          <w:lang w:eastAsia="zh-CN"/>
        </w:rPr>
        <w:t>综合部</w:t>
      </w:r>
      <w:r>
        <w:rPr>
          <w:rFonts w:hint="eastAsia"/>
          <w:sz w:val="24"/>
        </w:rPr>
        <w:t>销毁。</w:t>
      </w:r>
    </w:p>
    <w:p w14:paraId="18DF43AA">
      <w:pPr>
        <w:spacing w:line="360" w:lineRule="auto"/>
        <w:rPr>
          <w:sz w:val="24"/>
        </w:rPr>
      </w:pPr>
      <w:r>
        <w:rPr>
          <w:rFonts w:hint="eastAsia"/>
          <w:sz w:val="24"/>
        </w:rPr>
        <w:t>4.7.3文件的借阅、复制</w:t>
      </w:r>
    </w:p>
    <w:p w14:paraId="40E09DDF">
      <w:pPr>
        <w:spacing w:line="360" w:lineRule="auto"/>
        <w:rPr>
          <w:sz w:val="24"/>
        </w:rPr>
      </w:pPr>
      <w:r>
        <w:rPr>
          <w:rFonts w:hint="eastAsia"/>
          <w:sz w:val="24"/>
        </w:rPr>
        <w:t xml:space="preserve">    借阅、复制与质量、环境、职业健康安全管理体系有关的文件，应填写《文件借阅登记表》，由相关部门负责人按规定权限审批后向</w:t>
      </w:r>
      <w:r>
        <w:rPr>
          <w:rFonts w:hint="eastAsia"/>
          <w:sz w:val="24"/>
          <w:lang w:eastAsia="zh-CN"/>
        </w:rPr>
        <w:t>综合部</w:t>
      </w:r>
      <w:r>
        <w:rPr>
          <w:rFonts w:hint="eastAsia"/>
          <w:sz w:val="24"/>
        </w:rPr>
        <w:t>借阅、复制。复制的受控文件必须登记编号。</w:t>
      </w:r>
    </w:p>
    <w:p w14:paraId="6524EB50">
      <w:pPr>
        <w:spacing w:line="360" w:lineRule="auto"/>
        <w:rPr>
          <w:sz w:val="24"/>
        </w:rPr>
      </w:pPr>
      <w:r>
        <w:rPr>
          <w:rFonts w:hint="eastAsia"/>
          <w:sz w:val="24"/>
        </w:rPr>
        <w:t>4.8外来文件的控制</w:t>
      </w:r>
    </w:p>
    <w:p w14:paraId="7B896FFD">
      <w:pPr>
        <w:spacing w:line="360" w:lineRule="auto"/>
        <w:rPr>
          <w:sz w:val="24"/>
        </w:rPr>
      </w:pPr>
      <w:r>
        <w:rPr>
          <w:rFonts w:hint="eastAsia"/>
          <w:sz w:val="24"/>
        </w:rPr>
        <w:t>4.8.1收到外来文件的部门，需识别其适用性，并控制分发以确保其有效。</w:t>
      </w:r>
    </w:p>
    <w:p w14:paraId="66D18E78">
      <w:pPr>
        <w:spacing w:line="360" w:lineRule="auto"/>
        <w:rPr>
          <w:sz w:val="24"/>
        </w:rPr>
      </w:pPr>
      <w:r>
        <w:rPr>
          <w:rFonts w:hint="eastAsia"/>
          <w:sz w:val="24"/>
        </w:rPr>
        <w:t>4.8.2</w:t>
      </w:r>
      <w:r>
        <w:rPr>
          <w:rFonts w:hint="eastAsia"/>
          <w:sz w:val="24"/>
          <w:lang w:eastAsia="zh-CN"/>
        </w:rPr>
        <w:t>综合部</w:t>
      </w:r>
      <w:r>
        <w:rPr>
          <w:rFonts w:hint="eastAsia"/>
          <w:sz w:val="24"/>
        </w:rPr>
        <w:t>负责收集相关国家、行业、国际标准的最新版本，分发到相关部门使用，并把旧标准收回。</w:t>
      </w:r>
    </w:p>
    <w:p w14:paraId="3D1A01BB">
      <w:pPr>
        <w:spacing w:line="360" w:lineRule="auto"/>
        <w:rPr>
          <w:sz w:val="24"/>
        </w:rPr>
      </w:pPr>
      <w:r>
        <w:rPr>
          <w:rFonts w:hint="eastAsia"/>
          <w:sz w:val="24"/>
        </w:rPr>
        <w:t>4.8.3各部门要把上述标准及其他与质量、环境、职业健康安全管理体系有关的外来文件报</w:t>
      </w:r>
      <w:r>
        <w:rPr>
          <w:rFonts w:hint="eastAsia"/>
          <w:sz w:val="24"/>
          <w:lang w:eastAsia="zh-CN"/>
        </w:rPr>
        <w:t>综合部</w:t>
      </w:r>
      <w:r>
        <w:rPr>
          <w:rFonts w:hint="eastAsia"/>
          <w:sz w:val="24"/>
        </w:rPr>
        <w:t>存档并登记发放。</w:t>
      </w:r>
    </w:p>
    <w:p w14:paraId="44505883">
      <w:pPr>
        <w:spacing w:line="360" w:lineRule="auto"/>
        <w:rPr>
          <w:sz w:val="24"/>
        </w:rPr>
      </w:pPr>
      <w:r>
        <w:rPr>
          <w:rFonts w:hint="eastAsia"/>
          <w:sz w:val="24"/>
        </w:rPr>
        <w:t>4.9每年十月由</w:t>
      </w:r>
      <w:r>
        <w:rPr>
          <w:rFonts w:hint="eastAsia"/>
          <w:sz w:val="24"/>
          <w:lang w:eastAsia="zh-CN"/>
        </w:rPr>
        <w:t>综合部</w:t>
      </w:r>
      <w:r>
        <w:rPr>
          <w:rFonts w:hint="eastAsia"/>
          <w:sz w:val="24"/>
        </w:rPr>
        <w:t>组织对现行质量、环境、职业健康安全管理体系文件进行定期评审，各部门结合平时使用情况进行适时评审，必要时予以修改。</w:t>
      </w:r>
    </w:p>
    <w:p w14:paraId="1BD0CD07">
      <w:pPr>
        <w:spacing w:line="360" w:lineRule="auto"/>
        <w:rPr>
          <w:sz w:val="24"/>
        </w:rPr>
      </w:pPr>
      <w:r>
        <w:rPr>
          <w:rFonts w:hint="eastAsia"/>
          <w:sz w:val="24"/>
        </w:rPr>
        <w:t>4.10对承载媒体不是纸张的文件的控制，也应参照上述规定执行。</w:t>
      </w:r>
    </w:p>
    <w:p w14:paraId="25850A89">
      <w:pPr>
        <w:spacing w:line="360" w:lineRule="auto"/>
        <w:rPr>
          <w:sz w:val="24"/>
        </w:rPr>
      </w:pPr>
      <w:r>
        <w:rPr>
          <w:rFonts w:hint="eastAsia"/>
          <w:sz w:val="24"/>
        </w:rPr>
        <w:t>4.11作为质量记录的文件应执行《记录控制程序》。</w:t>
      </w:r>
    </w:p>
    <w:p w14:paraId="793EB41D">
      <w:pPr>
        <w:spacing w:line="360" w:lineRule="auto"/>
        <w:rPr>
          <w:sz w:val="24"/>
        </w:rPr>
      </w:pPr>
      <w:r>
        <w:rPr>
          <w:rFonts w:hint="eastAsia"/>
          <w:sz w:val="24"/>
        </w:rPr>
        <w:t>5、相关文件：《记录控制程序》。</w:t>
      </w:r>
    </w:p>
    <w:p w14:paraId="44D849F1">
      <w:pPr>
        <w:spacing w:line="360" w:lineRule="auto"/>
        <w:rPr>
          <w:sz w:val="24"/>
        </w:rPr>
      </w:pPr>
      <w:r>
        <w:rPr>
          <w:rFonts w:hint="eastAsia"/>
          <w:sz w:val="24"/>
        </w:rPr>
        <w:t>6、记录</w:t>
      </w:r>
    </w:p>
    <w:p w14:paraId="384ECEF3">
      <w:pPr>
        <w:spacing w:line="360" w:lineRule="auto"/>
        <w:rPr>
          <w:sz w:val="24"/>
        </w:rPr>
      </w:pPr>
      <w:r>
        <w:rPr>
          <w:rFonts w:hint="eastAsia"/>
          <w:sz w:val="24"/>
        </w:rPr>
        <w:t>6.1 《受控文件清单》。</w:t>
      </w:r>
    </w:p>
    <w:p w14:paraId="61A40916">
      <w:pPr>
        <w:spacing w:line="360" w:lineRule="auto"/>
        <w:rPr>
          <w:sz w:val="24"/>
        </w:rPr>
      </w:pPr>
      <w:r>
        <w:rPr>
          <w:rFonts w:hint="eastAsia"/>
          <w:sz w:val="24"/>
        </w:rPr>
        <w:t>6.2 《文件发放回收记录》。</w:t>
      </w:r>
    </w:p>
    <w:p w14:paraId="06AD5B41">
      <w:pPr>
        <w:spacing w:line="360" w:lineRule="auto"/>
        <w:rPr>
          <w:sz w:val="24"/>
        </w:rPr>
      </w:pPr>
      <w:r>
        <w:rPr>
          <w:rFonts w:hint="eastAsia"/>
          <w:sz w:val="24"/>
        </w:rPr>
        <w:t>6.3 《文件借阅登记表》。</w:t>
      </w:r>
    </w:p>
    <w:p w14:paraId="3FA6D101">
      <w:pPr>
        <w:widowControl/>
        <w:jc w:val="left"/>
        <w:rPr>
          <w:sz w:val="24"/>
        </w:rPr>
      </w:pPr>
      <w:r>
        <w:rPr>
          <w:sz w:val="24"/>
        </w:rPr>
        <w:br w:type="page"/>
      </w:r>
    </w:p>
    <w:p w14:paraId="791F6A13">
      <w:pPr>
        <w:pStyle w:val="2"/>
        <w:spacing w:before="156" w:beforeLines="50" w:after="156" w:afterLines="50" w:line="720" w:lineRule="auto"/>
        <w:jc w:val="left"/>
        <w:rPr>
          <w:sz w:val="28"/>
          <w:szCs w:val="28"/>
        </w:rPr>
      </w:pPr>
      <w:bookmarkStart w:id="0" w:name="_Toc144722619"/>
      <w:bookmarkStart w:id="1" w:name="_Toc144789312"/>
      <w:bookmarkStart w:id="2" w:name="_Toc144785382"/>
      <w:bookmarkStart w:id="3" w:name="_Toc144781445"/>
      <w:r>
        <w:rPr>
          <w:rFonts w:hint="eastAsia"/>
          <w:sz w:val="28"/>
          <w:szCs w:val="28"/>
        </w:rPr>
        <w:t>二、记录控制程序</w:t>
      </w:r>
      <w:bookmarkEnd w:id="0"/>
      <w:bookmarkEnd w:id="1"/>
      <w:bookmarkEnd w:id="2"/>
      <w:bookmarkEnd w:id="3"/>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-02</w:t>
      </w:r>
    </w:p>
    <w:p w14:paraId="02398A54">
      <w:pPr>
        <w:numPr>
          <w:ilvl w:val="0"/>
          <w:numId w:val="11"/>
        </w:numPr>
        <w:tabs>
          <w:tab w:val="left" w:pos="480"/>
          <w:tab w:val="clear" w:pos="360"/>
        </w:tabs>
        <w:spacing w:line="360" w:lineRule="auto"/>
        <w:rPr>
          <w:sz w:val="24"/>
        </w:rPr>
      </w:pPr>
      <w:bookmarkStart w:id="4" w:name="_Toc144789313"/>
      <w:bookmarkStart w:id="5" w:name="_Toc144722620"/>
      <w:bookmarkStart w:id="6" w:name="_Toc144785383"/>
      <w:bookmarkStart w:id="7" w:name="_Toc144781446"/>
      <w:r>
        <w:rPr>
          <w:rFonts w:hint="eastAsia"/>
          <w:sz w:val="24"/>
        </w:rPr>
        <w:t>目的</w:t>
      </w:r>
    </w:p>
    <w:p w14:paraId="3C97518E">
      <w:pPr>
        <w:spacing w:line="360" w:lineRule="auto"/>
        <w:rPr>
          <w:sz w:val="24"/>
        </w:rPr>
      </w:pPr>
      <w:r>
        <w:rPr>
          <w:rFonts w:hint="eastAsia"/>
          <w:sz w:val="24"/>
        </w:rPr>
        <w:t xml:space="preserve">    对质量、环境、职业健康安全管理体系所要求的记录予以控制。</w:t>
      </w:r>
    </w:p>
    <w:p w14:paraId="7EC4C9ED">
      <w:pPr>
        <w:numPr>
          <w:ilvl w:val="0"/>
          <w:numId w:val="11"/>
        </w:numPr>
        <w:tabs>
          <w:tab w:val="left" w:pos="480"/>
          <w:tab w:val="clear" w:pos="360"/>
        </w:tabs>
        <w:spacing w:line="360" w:lineRule="auto"/>
        <w:rPr>
          <w:sz w:val="24"/>
        </w:rPr>
      </w:pPr>
      <w:r>
        <w:rPr>
          <w:rFonts w:hint="eastAsia"/>
          <w:sz w:val="24"/>
        </w:rPr>
        <w:t>范围</w:t>
      </w:r>
    </w:p>
    <w:p w14:paraId="74132CF0">
      <w:pPr>
        <w:spacing w:line="360" w:lineRule="auto"/>
        <w:ind w:left="480" w:hanging="480" w:hangingChars="200"/>
        <w:rPr>
          <w:sz w:val="24"/>
        </w:rPr>
      </w:pPr>
      <w:r>
        <w:rPr>
          <w:rFonts w:hint="eastAsia"/>
          <w:sz w:val="24"/>
        </w:rPr>
        <w:t xml:space="preserve">    适用于为证明产品过程符合要求和质量、环境、职业健康安全管理体系有效运行的记录。</w:t>
      </w:r>
    </w:p>
    <w:p w14:paraId="2B031B28">
      <w:pPr>
        <w:numPr>
          <w:ilvl w:val="0"/>
          <w:numId w:val="11"/>
        </w:numPr>
        <w:tabs>
          <w:tab w:val="left" w:pos="480"/>
          <w:tab w:val="clear" w:pos="360"/>
        </w:tabs>
        <w:spacing w:line="360" w:lineRule="auto"/>
        <w:rPr>
          <w:sz w:val="24"/>
        </w:rPr>
      </w:pPr>
      <w:r>
        <w:rPr>
          <w:rFonts w:hint="eastAsia"/>
          <w:sz w:val="24"/>
        </w:rPr>
        <w:t>职责</w:t>
      </w:r>
    </w:p>
    <w:p w14:paraId="4926902F">
      <w:pPr>
        <w:spacing w:line="360" w:lineRule="auto"/>
        <w:rPr>
          <w:sz w:val="24"/>
        </w:rPr>
      </w:pPr>
      <w:r>
        <w:rPr>
          <w:rFonts w:hint="eastAsia"/>
          <w:sz w:val="24"/>
        </w:rPr>
        <w:t>3.1</w:t>
      </w:r>
      <w:r>
        <w:rPr>
          <w:rFonts w:hint="eastAsia"/>
          <w:sz w:val="24"/>
          <w:lang w:eastAsia="zh-CN"/>
        </w:rPr>
        <w:t>综合部</w:t>
      </w:r>
      <w:r>
        <w:rPr>
          <w:rFonts w:hint="eastAsia"/>
          <w:sz w:val="24"/>
        </w:rPr>
        <w:t>负责监督、管理各部门的质量记录。</w:t>
      </w:r>
    </w:p>
    <w:p w14:paraId="68A221E9">
      <w:pPr>
        <w:spacing w:line="360" w:lineRule="auto"/>
        <w:rPr>
          <w:sz w:val="24"/>
        </w:rPr>
      </w:pPr>
      <w:r>
        <w:rPr>
          <w:rFonts w:hint="eastAsia"/>
          <w:sz w:val="24"/>
        </w:rPr>
        <w:t>3.2各部门负责收集、整理、保管本部门的质量记录。</w:t>
      </w:r>
    </w:p>
    <w:p w14:paraId="5C591427">
      <w:pPr>
        <w:spacing w:line="360" w:lineRule="auto"/>
        <w:rPr>
          <w:sz w:val="24"/>
        </w:rPr>
      </w:pPr>
      <w:r>
        <w:rPr>
          <w:rFonts w:hint="eastAsia"/>
          <w:sz w:val="24"/>
        </w:rPr>
        <w:t>3.3各部门负责人负责批准本部门编制的质量记录格式。</w:t>
      </w:r>
    </w:p>
    <w:p w14:paraId="43FE7552">
      <w:pPr>
        <w:numPr>
          <w:ilvl w:val="0"/>
          <w:numId w:val="11"/>
        </w:numPr>
        <w:tabs>
          <w:tab w:val="left" w:pos="480"/>
          <w:tab w:val="clear" w:pos="360"/>
        </w:tabs>
        <w:spacing w:line="360" w:lineRule="auto"/>
        <w:rPr>
          <w:sz w:val="24"/>
        </w:rPr>
      </w:pPr>
      <w:r>
        <w:rPr>
          <w:rFonts w:hint="eastAsia"/>
          <w:sz w:val="24"/>
        </w:rPr>
        <w:t>程序</w:t>
      </w:r>
    </w:p>
    <w:p w14:paraId="760D8C32">
      <w:pPr>
        <w:spacing w:line="360" w:lineRule="auto"/>
        <w:rPr>
          <w:sz w:val="24"/>
        </w:rPr>
      </w:pPr>
      <w:r>
        <w:rPr>
          <w:rFonts w:hint="eastAsia"/>
          <w:sz w:val="24"/>
        </w:rPr>
        <w:t>4.1各部门负责收集、整理、保存本部门的质量记录。</w:t>
      </w:r>
    </w:p>
    <w:p w14:paraId="29B79435">
      <w:pPr>
        <w:spacing w:line="360" w:lineRule="auto"/>
        <w:rPr>
          <w:sz w:val="24"/>
        </w:rPr>
      </w:pPr>
      <w:r>
        <w:rPr>
          <w:rFonts w:hint="eastAsia"/>
          <w:sz w:val="24"/>
        </w:rPr>
        <w:t>4.2质量记录的标识编号</w:t>
      </w:r>
    </w:p>
    <w:p w14:paraId="3A5A2B54">
      <w:pPr>
        <w:spacing w:line="360" w:lineRule="auto"/>
        <w:rPr>
          <w:sz w:val="24"/>
        </w:rPr>
      </w:pPr>
      <w:r>
        <w:rPr>
          <w:rFonts w:hint="eastAsia"/>
          <w:sz w:val="24"/>
        </w:rPr>
        <w:t xml:space="preserve">    质量记录的标识编号按《文件控制程序》执行。</w:t>
      </w:r>
    </w:p>
    <w:p w14:paraId="5F7BA686">
      <w:pPr>
        <w:spacing w:line="360" w:lineRule="auto"/>
        <w:rPr>
          <w:sz w:val="24"/>
        </w:rPr>
      </w:pPr>
      <w:r>
        <w:rPr>
          <w:rFonts w:hint="eastAsia"/>
          <w:sz w:val="24"/>
        </w:rPr>
        <w:t>4.3质量记录填写</w:t>
      </w:r>
    </w:p>
    <w:p w14:paraId="734DDE80">
      <w:pPr>
        <w:spacing w:line="360" w:lineRule="auto"/>
        <w:rPr>
          <w:sz w:val="24"/>
        </w:rPr>
      </w:pPr>
      <w:r>
        <w:rPr>
          <w:rFonts w:hint="eastAsia"/>
          <w:sz w:val="24"/>
        </w:rPr>
        <w:t>4.3.1质量记录填写要及时、真实、内容完整、字迹清晰，易于识别和检索，不得随意涂改；如因某种原因不能填写的项目，应能说明理由，并将该项用单杠划去；各相关栏目负责人签名不允许空白。</w:t>
      </w:r>
    </w:p>
    <w:p w14:paraId="08CD4C34">
      <w:pPr>
        <w:spacing w:line="360" w:lineRule="auto"/>
        <w:rPr>
          <w:sz w:val="24"/>
        </w:rPr>
      </w:pPr>
      <w:r>
        <w:rPr>
          <w:rFonts w:hint="eastAsia"/>
          <w:sz w:val="24"/>
        </w:rPr>
        <w:t>4.3.2如因笔误或计算错误要修改原数据，应采用单杠划去原数据，在其上方写上更改后的数据，加盖或签上更改人的印章或姓名及日期。</w:t>
      </w:r>
    </w:p>
    <w:p w14:paraId="22708D84">
      <w:pPr>
        <w:spacing w:line="360" w:lineRule="auto"/>
        <w:rPr>
          <w:sz w:val="24"/>
        </w:rPr>
      </w:pPr>
      <w:r>
        <w:rPr>
          <w:rFonts w:hint="eastAsia"/>
          <w:sz w:val="24"/>
        </w:rPr>
        <w:t>4.4质量记录的保存、保护</w:t>
      </w:r>
    </w:p>
    <w:p w14:paraId="5D9128A8">
      <w:pPr>
        <w:spacing w:line="360" w:lineRule="auto"/>
        <w:rPr>
          <w:sz w:val="24"/>
        </w:rPr>
      </w:pPr>
      <w:r>
        <w:rPr>
          <w:rFonts w:hint="eastAsia"/>
          <w:sz w:val="24"/>
        </w:rPr>
        <w:t>4.4.1各部门必须把所有质量记录分类，依日期顺序整理好，存放于通风、干燥的地方，所有的质量记录保持清洁，字迹清晰。各部门按规定的期限保存记录。</w:t>
      </w:r>
    </w:p>
    <w:p w14:paraId="60B296F6">
      <w:pPr>
        <w:spacing w:line="360" w:lineRule="auto"/>
        <w:rPr>
          <w:sz w:val="24"/>
        </w:rPr>
      </w:pPr>
      <w:r>
        <w:rPr>
          <w:rFonts w:hint="eastAsia"/>
          <w:sz w:val="24"/>
        </w:rPr>
        <w:t>4.4.2</w:t>
      </w:r>
      <w:r>
        <w:rPr>
          <w:rFonts w:hint="eastAsia"/>
          <w:sz w:val="24"/>
          <w:lang w:eastAsia="zh-CN"/>
        </w:rPr>
        <w:t>综合部</w:t>
      </w:r>
      <w:r>
        <w:rPr>
          <w:rFonts w:hint="eastAsia"/>
          <w:sz w:val="24"/>
        </w:rPr>
        <w:t>编制《质量记录清单》，将公司所有与质量、环境、职业健康安全管理体系运行有关的记录汇总，包括名称、编号（版本）、保存期、使用部门等内容，交管理者代表审批，并汇集备案记录的原始样本。各部门应将本部门使用的质量记录清单作为部门工作手册的附录，并汇总本部门的质量记录原始样本。</w:t>
      </w:r>
    </w:p>
    <w:p w14:paraId="50A7EA57">
      <w:pPr>
        <w:spacing w:line="360" w:lineRule="auto"/>
        <w:rPr>
          <w:sz w:val="24"/>
        </w:rPr>
      </w:pPr>
      <w:r>
        <w:rPr>
          <w:rFonts w:hint="eastAsia"/>
          <w:sz w:val="24"/>
        </w:rPr>
        <w:t>4.4.3</w:t>
      </w:r>
      <w:r>
        <w:rPr>
          <w:rFonts w:hint="eastAsia"/>
          <w:sz w:val="24"/>
          <w:lang w:eastAsia="zh-CN"/>
        </w:rPr>
        <w:t>综合部</w:t>
      </w:r>
      <w:r>
        <w:rPr>
          <w:rFonts w:hint="eastAsia"/>
          <w:sz w:val="24"/>
        </w:rPr>
        <w:t>每三个月要检查一次各部门质量记录的使用、管理情况。</w:t>
      </w:r>
    </w:p>
    <w:p w14:paraId="1D2922DA">
      <w:pPr>
        <w:spacing w:line="360" w:lineRule="auto"/>
        <w:rPr>
          <w:sz w:val="24"/>
        </w:rPr>
      </w:pPr>
      <w:r>
        <w:rPr>
          <w:rFonts w:hint="eastAsia"/>
          <w:sz w:val="24"/>
        </w:rPr>
        <w:t>4.5质量记录发放、借阅和复制</w:t>
      </w:r>
    </w:p>
    <w:p w14:paraId="62CEAD9D">
      <w:pPr>
        <w:numPr>
          <w:ilvl w:val="0"/>
          <w:numId w:val="12"/>
        </w:numPr>
        <w:tabs>
          <w:tab w:val="left" w:pos="960"/>
          <w:tab w:val="clear" w:pos="825"/>
        </w:tabs>
        <w:spacing w:line="360" w:lineRule="auto"/>
        <w:ind w:left="0" w:firstLine="480"/>
        <w:rPr>
          <w:sz w:val="24"/>
        </w:rPr>
      </w:pPr>
      <w:r>
        <w:rPr>
          <w:rFonts w:hint="eastAsia"/>
          <w:sz w:val="24"/>
        </w:rPr>
        <w:t>各部门向</w:t>
      </w:r>
      <w:r>
        <w:rPr>
          <w:rFonts w:hint="eastAsia"/>
          <w:sz w:val="24"/>
          <w:lang w:eastAsia="zh-CN"/>
        </w:rPr>
        <w:t>综合部</w:t>
      </w:r>
      <w:r>
        <w:rPr>
          <w:rFonts w:hint="eastAsia"/>
          <w:sz w:val="24"/>
        </w:rPr>
        <w:t>领用所需记录空白表；</w:t>
      </w:r>
    </w:p>
    <w:p w14:paraId="091249EB">
      <w:pPr>
        <w:numPr>
          <w:ilvl w:val="0"/>
          <w:numId w:val="12"/>
        </w:numPr>
        <w:tabs>
          <w:tab w:val="left" w:pos="960"/>
          <w:tab w:val="clear" w:pos="825"/>
        </w:tabs>
        <w:spacing w:line="360" w:lineRule="auto"/>
        <w:ind w:left="0" w:firstLine="480"/>
        <w:rPr>
          <w:sz w:val="24"/>
        </w:rPr>
      </w:pPr>
      <w:r>
        <w:rPr>
          <w:rFonts w:hint="eastAsia"/>
          <w:sz w:val="24"/>
        </w:rPr>
        <w:t>各部门保管的质量记录应便于检索，需借阅或复制者要经相应部门负责人批准，由记录管理人登记备案。</w:t>
      </w:r>
    </w:p>
    <w:p w14:paraId="77AFD146">
      <w:pPr>
        <w:spacing w:line="360" w:lineRule="auto"/>
        <w:rPr>
          <w:sz w:val="24"/>
        </w:rPr>
      </w:pPr>
      <w:r>
        <w:rPr>
          <w:rFonts w:hint="eastAsia"/>
          <w:sz w:val="24"/>
        </w:rPr>
        <w:t>4.6质量记录的销毁处理</w:t>
      </w:r>
    </w:p>
    <w:p w14:paraId="37092E71">
      <w:pPr>
        <w:spacing w:line="360" w:lineRule="auto"/>
        <w:ind w:firstLine="570"/>
        <w:rPr>
          <w:sz w:val="24"/>
        </w:rPr>
      </w:pPr>
      <w:r>
        <w:rPr>
          <w:rFonts w:hint="eastAsia"/>
          <w:sz w:val="24"/>
        </w:rPr>
        <w:t>质量记录如超过保存期或其他特殊情况需要销毁时，由各部门填写</w:t>
      </w:r>
    </w:p>
    <w:p w14:paraId="3FFCE479">
      <w:pPr>
        <w:spacing w:line="360" w:lineRule="auto"/>
        <w:rPr>
          <w:sz w:val="24"/>
        </w:rPr>
      </w:pPr>
      <w:r>
        <w:rPr>
          <w:rFonts w:hint="eastAsia"/>
          <w:sz w:val="24"/>
        </w:rPr>
        <w:t>《文件销毁申请》交</w:t>
      </w:r>
      <w:r>
        <w:rPr>
          <w:rFonts w:hint="eastAsia"/>
          <w:sz w:val="24"/>
          <w:lang w:eastAsia="zh-CN"/>
        </w:rPr>
        <w:t>综合部</w:t>
      </w:r>
      <w:r>
        <w:rPr>
          <w:rFonts w:hint="eastAsia"/>
          <w:sz w:val="24"/>
        </w:rPr>
        <w:t>审核，报管理者代表批准，由</w:t>
      </w:r>
      <w:r>
        <w:rPr>
          <w:rFonts w:hint="eastAsia"/>
          <w:sz w:val="24"/>
          <w:lang w:eastAsia="zh-CN"/>
        </w:rPr>
        <w:t>综合部</w:t>
      </w:r>
      <w:r>
        <w:rPr>
          <w:rFonts w:hint="eastAsia"/>
          <w:sz w:val="24"/>
        </w:rPr>
        <w:t>执行销毁。</w:t>
      </w:r>
    </w:p>
    <w:p w14:paraId="0CCA6D4C">
      <w:pPr>
        <w:spacing w:line="360" w:lineRule="auto"/>
        <w:rPr>
          <w:sz w:val="24"/>
        </w:rPr>
      </w:pPr>
      <w:r>
        <w:rPr>
          <w:rFonts w:hint="eastAsia"/>
          <w:sz w:val="24"/>
        </w:rPr>
        <w:t>4.7记录格式</w:t>
      </w:r>
    </w:p>
    <w:p w14:paraId="579952EA">
      <w:pPr>
        <w:spacing w:line="360" w:lineRule="auto"/>
        <w:rPr>
          <w:sz w:val="24"/>
        </w:rPr>
      </w:pPr>
      <w:r>
        <w:rPr>
          <w:rFonts w:hint="eastAsia"/>
          <w:sz w:val="24"/>
        </w:rPr>
        <w:t>4.7.1各部门的质量记录格式，由各部门主任负责组织编制，部门主任审批，交</w:t>
      </w:r>
      <w:r>
        <w:rPr>
          <w:rFonts w:hint="eastAsia"/>
          <w:sz w:val="24"/>
          <w:lang w:eastAsia="zh-CN"/>
        </w:rPr>
        <w:t>综合部</w:t>
      </w:r>
      <w:r>
        <w:rPr>
          <w:rFonts w:hint="eastAsia"/>
          <w:sz w:val="24"/>
        </w:rPr>
        <w:t>备案。</w:t>
      </w:r>
    </w:p>
    <w:p w14:paraId="4AC5C262">
      <w:pPr>
        <w:spacing w:line="360" w:lineRule="auto"/>
        <w:rPr>
          <w:sz w:val="24"/>
        </w:rPr>
      </w:pPr>
      <w:r>
        <w:rPr>
          <w:rFonts w:hint="eastAsia"/>
          <w:sz w:val="24"/>
        </w:rPr>
        <w:t>4.7.2各相关部门可根据工作需要提出记录格式设计更改，执行《文件控制程序》有关文件更改的规定。</w:t>
      </w:r>
    </w:p>
    <w:p w14:paraId="7A9251CE">
      <w:pPr>
        <w:numPr>
          <w:ilvl w:val="0"/>
          <w:numId w:val="11"/>
        </w:numPr>
        <w:tabs>
          <w:tab w:val="left" w:pos="480"/>
          <w:tab w:val="clear" w:pos="360"/>
        </w:tabs>
        <w:spacing w:line="360" w:lineRule="auto"/>
        <w:rPr>
          <w:sz w:val="24"/>
        </w:rPr>
      </w:pPr>
      <w:r>
        <w:rPr>
          <w:rFonts w:hint="eastAsia"/>
          <w:sz w:val="24"/>
        </w:rPr>
        <w:t>相关文件</w:t>
      </w:r>
    </w:p>
    <w:p w14:paraId="6CDB7DB2">
      <w:pPr>
        <w:spacing w:line="360" w:lineRule="auto"/>
        <w:ind w:left="360"/>
        <w:rPr>
          <w:sz w:val="24"/>
        </w:rPr>
      </w:pPr>
      <w:r>
        <w:rPr>
          <w:rFonts w:hint="eastAsia"/>
          <w:sz w:val="24"/>
        </w:rPr>
        <w:t>《文件控制程序》</w:t>
      </w:r>
    </w:p>
    <w:p w14:paraId="70A5AE56">
      <w:pPr>
        <w:spacing w:line="360" w:lineRule="auto"/>
        <w:rPr>
          <w:sz w:val="24"/>
        </w:rPr>
      </w:pPr>
      <w:r>
        <w:rPr>
          <w:rFonts w:hint="eastAsia"/>
          <w:sz w:val="24"/>
        </w:rPr>
        <w:t>6、质量记录</w:t>
      </w:r>
    </w:p>
    <w:p w14:paraId="4EBFFD71">
      <w:pPr>
        <w:spacing w:line="360" w:lineRule="auto"/>
        <w:rPr>
          <w:sz w:val="24"/>
        </w:rPr>
      </w:pPr>
      <w:r>
        <w:rPr>
          <w:rFonts w:hint="eastAsia"/>
          <w:sz w:val="24"/>
        </w:rPr>
        <w:t>6.1 《文件发放回收记录》。</w:t>
      </w:r>
    </w:p>
    <w:p w14:paraId="0F2D5A96">
      <w:pPr>
        <w:spacing w:line="360" w:lineRule="auto"/>
        <w:rPr>
          <w:sz w:val="24"/>
        </w:rPr>
      </w:pPr>
      <w:r>
        <w:rPr>
          <w:rFonts w:hint="eastAsia"/>
          <w:sz w:val="24"/>
        </w:rPr>
        <w:t>6.2 《记录清单》。</w:t>
      </w:r>
    </w:p>
    <w:p w14:paraId="1F3E8345">
      <w:pPr>
        <w:rPr>
          <w:sz w:val="24"/>
        </w:rPr>
      </w:pPr>
    </w:p>
    <w:p w14:paraId="5E65FAEF">
      <w:pPr>
        <w:widowControl/>
        <w:jc w:val="left"/>
        <w:rPr>
          <w:sz w:val="24"/>
        </w:rPr>
      </w:pPr>
      <w:r>
        <w:rPr>
          <w:sz w:val="24"/>
        </w:rPr>
        <w:br w:type="page"/>
      </w:r>
    </w:p>
    <w:p w14:paraId="210EAA48">
      <w:pPr>
        <w:pStyle w:val="2"/>
        <w:spacing w:before="156" w:beforeLines="50" w:after="156" w:afterLines="50" w:line="720" w:lineRule="auto"/>
        <w:jc w:val="left"/>
        <w:rPr>
          <w:sz w:val="28"/>
          <w:szCs w:val="28"/>
        </w:rPr>
      </w:pPr>
      <w:r>
        <w:rPr>
          <w:rFonts w:hint="eastAsia"/>
          <w:sz w:val="28"/>
          <w:szCs w:val="28"/>
        </w:rPr>
        <w:t>三、管理评审程序</w:t>
      </w:r>
      <w:bookmarkEnd w:id="4"/>
      <w:bookmarkEnd w:id="5"/>
      <w:bookmarkEnd w:id="6"/>
      <w:bookmarkEnd w:id="7"/>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-03</w:t>
      </w:r>
    </w:p>
    <w:p w14:paraId="0448F808">
      <w:pPr>
        <w:numPr>
          <w:ilvl w:val="0"/>
          <w:numId w:val="13"/>
        </w:numPr>
        <w:tabs>
          <w:tab w:val="left" w:pos="480"/>
          <w:tab w:val="clear" w:pos="360"/>
        </w:tabs>
        <w:spacing w:line="360" w:lineRule="auto"/>
        <w:rPr>
          <w:sz w:val="24"/>
        </w:rPr>
      </w:pPr>
      <w:bookmarkStart w:id="8" w:name="_Toc144789314"/>
      <w:bookmarkStart w:id="9" w:name="_Toc144785384"/>
      <w:bookmarkStart w:id="10" w:name="_Toc144781447"/>
      <w:bookmarkStart w:id="11" w:name="_Toc144722621"/>
      <w:r>
        <w:rPr>
          <w:rFonts w:hint="eastAsia"/>
          <w:sz w:val="24"/>
        </w:rPr>
        <w:t>目的</w:t>
      </w:r>
    </w:p>
    <w:p w14:paraId="74A68C42">
      <w:pPr>
        <w:spacing w:line="360" w:lineRule="auto"/>
        <w:ind w:firstLine="360"/>
        <w:rPr>
          <w:sz w:val="24"/>
        </w:rPr>
      </w:pPr>
      <w:r>
        <w:rPr>
          <w:rFonts w:hint="eastAsia"/>
          <w:sz w:val="24"/>
        </w:rPr>
        <w:t>按策划的时间间隔评审质量、环境、职业健康安全管理体系，以确保其持续的适宜性、充分性和有效性。</w:t>
      </w:r>
    </w:p>
    <w:p w14:paraId="3C0B7537">
      <w:pPr>
        <w:numPr>
          <w:ilvl w:val="0"/>
          <w:numId w:val="13"/>
        </w:numPr>
        <w:tabs>
          <w:tab w:val="left" w:pos="480"/>
          <w:tab w:val="clear" w:pos="360"/>
        </w:tabs>
        <w:spacing w:line="360" w:lineRule="auto"/>
        <w:rPr>
          <w:sz w:val="24"/>
        </w:rPr>
      </w:pPr>
      <w:r>
        <w:rPr>
          <w:rFonts w:hint="eastAsia"/>
          <w:sz w:val="24"/>
        </w:rPr>
        <w:t>范围</w:t>
      </w:r>
    </w:p>
    <w:p w14:paraId="4CFBFA47">
      <w:pPr>
        <w:spacing w:line="360" w:lineRule="auto"/>
        <w:ind w:left="360"/>
        <w:rPr>
          <w:sz w:val="24"/>
        </w:rPr>
      </w:pPr>
      <w:r>
        <w:rPr>
          <w:rFonts w:hint="eastAsia"/>
          <w:sz w:val="24"/>
        </w:rPr>
        <w:t>适用于对公司质量、环境、职业健康安全管理体系的评审。</w:t>
      </w:r>
    </w:p>
    <w:p w14:paraId="518CF83E">
      <w:pPr>
        <w:numPr>
          <w:ilvl w:val="0"/>
          <w:numId w:val="13"/>
        </w:numPr>
        <w:tabs>
          <w:tab w:val="left" w:pos="480"/>
          <w:tab w:val="clear" w:pos="360"/>
        </w:tabs>
        <w:spacing w:line="360" w:lineRule="auto"/>
        <w:rPr>
          <w:sz w:val="24"/>
        </w:rPr>
      </w:pPr>
      <w:r>
        <w:rPr>
          <w:rFonts w:hint="eastAsia"/>
          <w:sz w:val="24"/>
        </w:rPr>
        <w:t>职责</w:t>
      </w:r>
    </w:p>
    <w:p w14:paraId="36D70BE0">
      <w:pPr>
        <w:spacing w:line="360" w:lineRule="auto"/>
        <w:rPr>
          <w:sz w:val="24"/>
        </w:rPr>
      </w:pPr>
      <w:r>
        <w:rPr>
          <w:rFonts w:hint="eastAsia"/>
          <w:sz w:val="24"/>
        </w:rPr>
        <w:t>3.1总经理主持管理评审活动。</w:t>
      </w:r>
    </w:p>
    <w:p w14:paraId="7EA80BA1">
      <w:pPr>
        <w:spacing w:line="360" w:lineRule="auto"/>
        <w:rPr>
          <w:sz w:val="24"/>
        </w:rPr>
      </w:pPr>
      <w:r>
        <w:rPr>
          <w:rFonts w:hint="eastAsia"/>
          <w:sz w:val="24"/>
        </w:rPr>
        <w:t>3.2管理者代表负责向总经理报告质量、环境、职业健康安全管理体系运行情况，提出改进建议，编写相应的管理评审报告。</w:t>
      </w:r>
    </w:p>
    <w:p w14:paraId="3EC2E1BF">
      <w:pPr>
        <w:spacing w:line="360" w:lineRule="auto"/>
        <w:rPr>
          <w:sz w:val="24"/>
        </w:rPr>
      </w:pPr>
      <w:r>
        <w:rPr>
          <w:rFonts w:hint="eastAsia"/>
          <w:sz w:val="24"/>
        </w:rPr>
        <w:t>3.3</w:t>
      </w:r>
      <w:r>
        <w:rPr>
          <w:rFonts w:hint="eastAsia"/>
          <w:sz w:val="24"/>
          <w:lang w:eastAsia="zh-CN"/>
        </w:rPr>
        <w:t>综合部</w:t>
      </w:r>
      <w:r>
        <w:rPr>
          <w:rFonts w:hint="eastAsia"/>
          <w:sz w:val="24"/>
        </w:rPr>
        <w:t>负责评审计划的制定、收集并提供管理评审所需的资料，负责对评审后的纠正、预防措施进行跟踪和验证。</w:t>
      </w:r>
    </w:p>
    <w:p w14:paraId="570A6787">
      <w:pPr>
        <w:spacing w:line="360" w:lineRule="auto"/>
        <w:rPr>
          <w:sz w:val="24"/>
        </w:rPr>
      </w:pPr>
      <w:r>
        <w:rPr>
          <w:rFonts w:hint="eastAsia"/>
          <w:sz w:val="24"/>
        </w:rPr>
        <w:t>3.4各相关部门负责准备、提供与本部门工作有关的评审所需资料，并负责实施管理评审中提出的相关的纠正、预防措施。</w:t>
      </w:r>
    </w:p>
    <w:p w14:paraId="60EF2B3B">
      <w:pPr>
        <w:numPr>
          <w:ilvl w:val="0"/>
          <w:numId w:val="13"/>
        </w:numPr>
        <w:tabs>
          <w:tab w:val="left" w:pos="480"/>
          <w:tab w:val="clear" w:pos="360"/>
        </w:tabs>
        <w:spacing w:line="360" w:lineRule="auto"/>
        <w:rPr>
          <w:sz w:val="24"/>
        </w:rPr>
      </w:pPr>
      <w:r>
        <w:rPr>
          <w:rFonts w:hint="eastAsia"/>
          <w:sz w:val="24"/>
        </w:rPr>
        <w:t>程序</w:t>
      </w:r>
    </w:p>
    <w:p w14:paraId="3FC7239B">
      <w:pPr>
        <w:spacing w:line="360" w:lineRule="auto"/>
        <w:rPr>
          <w:sz w:val="24"/>
        </w:rPr>
      </w:pPr>
      <w:r>
        <w:rPr>
          <w:rFonts w:hint="eastAsia"/>
          <w:sz w:val="24"/>
        </w:rPr>
        <w:t>4.1管理评审计划</w:t>
      </w:r>
      <w:r>
        <w:rPr>
          <w:rFonts w:hint="eastAsia"/>
          <w:sz w:val="24"/>
        </w:rPr>
        <w:cr/>
      </w:r>
      <w:r>
        <w:rPr>
          <w:rFonts w:hint="eastAsia"/>
          <w:sz w:val="24"/>
        </w:rPr>
        <w:t>4.1.1每年至少进行一次管理评审，可结合内审后的结果或年终总结进行，也可根据需要安排。</w:t>
      </w:r>
    </w:p>
    <w:p w14:paraId="637C3CB2">
      <w:pPr>
        <w:spacing w:line="360" w:lineRule="auto"/>
        <w:rPr>
          <w:sz w:val="24"/>
        </w:rPr>
      </w:pPr>
      <w:r>
        <w:rPr>
          <w:rFonts w:hint="eastAsia"/>
          <w:sz w:val="24"/>
        </w:rPr>
        <w:t>4.1.2</w:t>
      </w:r>
      <w:r>
        <w:rPr>
          <w:rFonts w:hint="eastAsia"/>
          <w:sz w:val="24"/>
          <w:lang w:eastAsia="zh-CN"/>
        </w:rPr>
        <w:t>综合部</w:t>
      </w:r>
      <w:r>
        <w:rPr>
          <w:rFonts w:hint="eastAsia"/>
          <w:sz w:val="24"/>
        </w:rPr>
        <w:t>于每次管理评审前一个月编制《管理评审计划》，报管理者代表审核,总经理批准。计划主要内容包括：</w:t>
      </w:r>
    </w:p>
    <w:p w14:paraId="3A6EBE3B">
      <w:pPr>
        <w:pStyle w:val="23"/>
        <w:numPr>
          <w:ilvl w:val="0"/>
          <w:numId w:val="14"/>
        </w:numPr>
        <w:tabs>
          <w:tab w:val="left" w:pos="960"/>
          <w:tab w:val="clear" w:pos="840"/>
        </w:tabs>
        <w:spacing w:line="360" w:lineRule="auto"/>
        <w:rPr>
          <w:sz w:val="24"/>
          <w:szCs w:val="24"/>
        </w:rPr>
      </w:pPr>
      <w:r>
        <w:rPr>
          <w:rFonts w:hint="eastAsia"/>
          <w:sz w:val="24"/>
          <w:szCs w:val="24"/>
        </w:rPr>
        <w:t>评审时间；</w:t>
      </w:r>
    </w:p>
    <w:p w14:paraId="69FDFE10">
      <w:pPr>
        <w:pStyle w:val="23"/>
        <w:numPr>
          <w:ilvl w:val="0"/>
          <w:numId w:val="14"/>
        </w:numPr>
        <w:tabs>
          <w:tab w:val="left" w:pos="960"/>
          <w:tab w:val="clear" w:pos="840"/>
        </w:tabs>
        <w:spacing w:line="360" w:lineRule="auto"/>
        <w:rPr>
          <w:sz w:val="24"/>
          <w:szCs w:val="24"/>
        </w:rPr>
      </w:pPr>
      <w:r>
        <w:rPr>
          <w:rFonts w:hint="eastAsia"/>
          <w:sz w:val="24"/>
          <w:szCs w:val="24"/>
        </w:rPr>
        <w:t>评审目的；</w:t>
      </w:r>
    </w:p>
    <w:p w14:paraId="7A18B7AD">
      <w:pPr>
        <w:pStyle w:val="23"/>
        <w:numPr>
          <w:ilvl w:val="0"/>
          <w:numId w:val="14"/>
        </w:numPr>
        <w:tabs>
          <w:tab w:val="left" w:pos="960"/>
          <w:tab w:val="clear" w:pos="840"/>
        </w:tabs>
        <w:spacing w:line="360" w:lineRule="auto"/>
        <w:rPr>
          <w:sz w:val="24"/>
          <w:szCs w:val="24"/>
        </w:rPr>
      </w:pPr>
      <w:r>
        <w:rPr>
          <w:rFonts w:hint="eastAsia"/>
          <w:sz w:val="24"/>
          <w:szCs w:val="24"/>
        </w:rPr>
        <w:t>评审范围及评审重点；</w:t>
      </w:r>
    </w:p>
    <w:p w14:paraId="2F92FC53">
      <w:pPr>
        <w:pStyle w:val="23"/>
        <w:numPr>
          <w:ilvl w:val="0"/>
          <w:numId w:val="14"/>
        </w:numPr>
        <w:tabs>
          <w:tab w:val="left" w:pos="960"/>
          <w:tab w:val="clear" w:pos="840"/>
        </w:tabs>
        <w:spacing w:line="360" w:lineRule="auto"/>
        <w:rPr>
          <w:sz w:val="24"/>
          <w:szCs w:val="24"/>
        </w:rPr>
      </w:pPr>
      <w:r>
        <w:rPr>
          <w:rFonts w:hint="eastAsia"/>
          <w:sz w:val="24"/>
          <w:szCs w:val="24"/>
        </w:rPr>
        <w:t>参加评审部门（人员）；</w:t>
      </w:r>
    </w:p>
    <w:p w14:paraId="69B9DF7F">
      <w:pPr>
        <w:pStyle w:val="23"/>
        <w:numPr>
          <w:ilvl w:val="0"/>
          <w:numId w:val="14"/>
        </w:numPr>
        <w:tabs>
          <w:tab w:val="left" w:pos="960"/>
          <w:tab w:val="clear" w:pos="840"/>
        </w:tabs>
        <w:spacing w:line="360" w:lineRule="auto"/>
        <w:rPr>
          <w:sz w:val="24"/>
          <w:szCs w:val="24"/>
        </w:rPr>
      </w:pPr>
      <w:r>
        <w:rPr>
          <w:rFonts w:hint="eastAsia"/>
          <w:sz w:val="24"/>
          <w:szCs w:val="24"/>
        </w:rPr>
        <w:t>评审内容。</w:t>
      </w:r>
    </w:p>
    <w:p w14:paraId="59E94B11">
      <w:pPr>
        <w:spacing w:line="360" w:lineRule="auto"/>
        <w:rPr>
          <w:sz w:val="24"/>
        </w:rPr>
      </w:pPr>
      <w:r>
        <w:rPr>
          <w:rFonts w:hint="eastAsia"/>
          <w:sz w:val="24"/>
        </w:rPr>
        <w:t>4.1.3当出现下列情况之一时可增加管理评审频次。</w:t>
      </w:r>
    </w:p>
    <w:p w14:paraId="7FCC2423">
      <w:pPr>
        <w:pStyle w:val="23"/>
        <w:numPr>
          <w:ilvl w:val="0"/>
          <w:numId w:val="15"/>
        </w:numPr>
        <w:tabs>
          <w:tab w:val="left" w:pos="960"/>
          <w:tab w:val="clear" w:pos="840"/>
        </w:tabs>
        <w:spacing w:line="360" w:lineRule="auto"/>
        <w:rPr>
          <w:sz w:val="24"/>
          <w:szCs w:val="24"/>
        </w:rPr>
      </w:pPr>
      <w:r>
        <w:rPr>
          <w:rFonts w:hint="eastAsia"/>
          <w:sz w:val="24"/>
          <w:szCs w:val="24"/>
        </w:rPr>
        <w:t>公司组织机构、产品范围、资源配置发生重大变化时；</w:t>
      </w:r>
    </w:p>
    <w:p w14:paraId="3859BE08">
      <w:pPr>
        <w:pStyle w:val="23"/>
        <w:numPr>
          <w:ilvl w:val="0"/>
          <w:numId w:val="15"/>
        </w:numPr>
        <w:tabs>
          <w:tab w:val="left" w:pos="960"/>
          <w:tab w:val="clear" w:pos="840"/>
        </w:tabs>
        <w:spacing w:line="360" w:lineRule="auto"/>
        <w:rPr>
          <w:sz w:val="24"/>
          <w:szCs w:val="24"/>
        </w:rPr>
      </w:pPr>
      <w:r>
        <w:rPr>
          <w:rFonts w:hint="eastAsia"/>
          <w:sz w:val="24"/>
          <w:szCs w:val="24"/>
        </w:rPr>
        <w:t>发生重大质量事故或顾客关于质量有严重投诉或投诉连续发生时；</w:t>
      </w:r>
    </w:p>
    <w:p w14:paraId="1BB2E0FA">
      <w:pPr>
        <w:pStyle w:val="23"/>
        <w:numPr>
          <w:ilvl w:val="0"/>
          <w:numId w:val="15"/>
        </w:numPr>
        <w:tabs>
          <w:tab w:val="left" w:pos="960"/>
          <w:tab w:val="clear" w:pos="840"/>
        </w:tabs>
        <w:spacing w:line="360" w:lineRule="auto"/>
        <w:rPr>
          <w:sz w:val="24"/>
          <w:szCs w:val="24"/>
        </w:rPr>
      </w:pPr>
      <w:r>
        <w:rPr>
          <w:rFonts w:hint="eastAsia"/>
          <w:sz w:val="24"/>
          <w:szCs w:val="24"/>
        </w:rPr>
        <w:t>当法律、法规、标准及其他要求有变化时；</w:t>
      </w:r>
    </w:p>
    <w:p w14:paraId="47F5CC2B">
      <w:pPr>
        <w:pStyle w:val="23"/>
        <w:numPr>
          <w:ilvl w:val="0"/>
          <w:numId w:val="15"/>
        </w:numPr>
        <w:tabs>
          <w:tab w:val="left" w:pos="960"/>
          <w:tab w:val="clear" w:pos="840"/>
        </w:tabs>
        <w:spacing w:line="360" w:lineRule="auto"/>
        <w:rPr>
          <w:sz w:val="24"/>
          <w:szCs w:val="24"/>
        </w:rPr>
      </w:pPr>
      <w:r>
        <w:rPr>
          <w:rFonts w:hint="eastAsia"/>
          <w:sz w:val="24"/>
          <w:szCs w:val="24"/>
        </w:rPr>
        <w:t>市场需求发生重大变化时；</w:t>
      </w:r>
    </w:p>
    <w:p w14:paraId="2072CD90">
      <w:pPr>
        <w:pStyle w:val="23"/>
        <w:numPr>
          <w:ilvl w:val="0"/>
          <w:numId w:val="15"/>
        </w:numPr>
        <w:tabs>
          <w:tab w:val="left" w:pos="960"/>
          <w:tab w:val="clear" w:pos="840"/>
        </w:tabs>
        <w:spacing w:line="360" w:lineRule="auto"/>
        <w:rPr>
          <w:sz w:val="24"/>
          <w:szCs w:val="24"/>
        </w:rPr>
      </w:pPr>
      <w:r>
        <w:rPr>
          <w:rFonts w:hint="eastAsia"/>
          <w:sz w:val="24"/>
          <w:szCs w:val="24"/>
        </w:rPr>
        <w:t>即将进行第二、三方审核或法律、法规规定的审核时；</w:t>
      </w:r>
    </w:p>
    <w:p w14:paraId="43FE14D0">
      <w:pPr>
        <w:pStyle w:val="23"/>
        <w:numPr>
          <w:ilvl w:val="0"/>
          <w:numId w:val="15"/>
        </w:numPr>
        <w:tabs>
          <w:tab w:val="left" w:pos="960"/>
          <w:tab w:val="clear" w:pos="840"/>
        </w:tabs>
        <w:spacing w:line="360" w:lineRule="auto"/>
        <w:rPr>
          <w:sz w:val="24"/>
          <w:szCs w:val="24"/>
        </w:rPr>
      </w:pPr>
      <w:r>
        <w:rPr>
          <w:rFonts w:hint="eastAsia"/>
          <w:sz w:val="24"/>
          <w:szCs w:val="24"/>
        </w:rPr>
        <w:t>质量审核中发现严重不合格时。</w:t>
      </w:r>
    </w:p>
    <w:p w14:paraId="003AEEDE">
      <w:pPr>
        <w:spacing w:line="360" w:lineRule="auto"/>
        <w:rPr>
          <w:sz w:val="24"/>
        </w:rPr>
      </w:pPr>
      <w:r>
        <w:rPr>
          <w:rFonts w:hint="eastAsia"/>
          <w:sz w:val="24"/>
        </w:rPr>
        <w:t>4.2管理评审输入</w:t>
      </w:r>
    </w:p>
    <w:p w14:paraId="29CB0178">
      <w:pPr>
        <w:spacing w:line="360" w:lineRule="auto"/>
        <w:ind w:firstLine="480"/>
        <w:rPr>
          <w:sz w:val="24"/>
        </w:rPr>
      </w:pPr>
      <w:r>
        <w:rPr>
          <w:rFonts w:hint="eastAsia"/>
          <w:sz w:val="24"/>
        </w:rPr>
        <w:t>管理评审输入应包括与以下方面有关的当前的业绩和改进的机会：</w:t>
      </w:r>
    </w:p>
    <w:p w14:paraId="13CA10BB">
      <w:pPr>
        <w:tabs>
          <w:tab w:val="left" w:pos="960"/>
        </w:tabs>
        <w:spacing w:line="360" w:lineRule="auto"/>
        <w:ind w:firstLine="480" w:firstLineChars="200"/>
        <w:rPr>
          <w:sz w:val="24"/>
        </w:rPr>
      </w:pPr>
      <w:r>
        <w:rPr>
          <w:rFonts w:hint="eastAsia"/>
          <w:sz w:val="24"/>
        </w:rPr>
        <w:t>审核结果，包括第一方、第二方、第三方质量、环境、职业健康安全管理体系审核、产品质量审核等的结果；</w:t>
      </w:r>
    </w:p>
    <w:p w14:paraId="614B558D">
      <w:pPr>
        <w:numPr>
          <w:ilvl w:val="0"/>
          <w:numId w:val="16"/>
        </w:numPr>
        <w:tabs>
          <w:tab w:val="left" w:pos="960"/>
          <w:tab w:val="clear" w:pos="840"/>
        </w:tabs>
        <w:spacing w:line="360" w:lineRule="auto"/>
        <w:rPr>
          <w:sz w:val="24"/>
        </w:rPr>
      </w:pPr>
      <w:r>
        <w:rPr>
          <w:rFonts w:hint="eastAsia"/>
          <w:sz w:val="24"/>
        </w:rPr>
        <w:t>顾客的反馈，包括顾客满意程度的测量结果及与顾客沟通的结果等；</w:t>
      </w:r>
    </w:p>
    <w:p w14:paraId="403C0774">
      <w:pPr>
        <w:numPr>
          <w:ilvl w:val="0"/>
          <w:numId w:val="16"/>
        </w:numPr>
        <w:tabs>
          <w:tab w:val="left" w:pos="960"/>
          <w:tab w:val="clear" w:pos="840"/>
        </w:tabs>
        <w:spacing w:line="360" w:lineRule="auto"/>
        <w:rPr>
          <w:sz w:val="24"/>
        </w:rPr>
      </w:pPr>
      <w:r>
        <w:rPr>
          <w:rFonts w:hint="eastAsia"/>
          <w:sz w:val="24"/>
        </w:rPr>
        <w:t>过程的业绩和产品的符合性，包括过程、产品测量和监控的结果；</w:t>
      </w:r>
    </w:p>
    <w:p w14:paraId="7260DD6F">
      <w:pPr>
        <w:numPr>
          <w:ilvl w:val="0"/>
          <w:numId w:val="16"/>
        </w:numPr>
        <w:tabs>
          <w:tab w:val="left" w:pos="960"/>
          <w:tab w:val="clear" w:pos="840"/>
        </w:tabs>
        <w:spacing w:line="360" w:lineRule="auto"/>
        <w:rPr>
          <w:sz w:val="24"/>
        </w:rPr>
      </w:pPr>
      <w:r>
        <w:rPr>
          <w:rFonts w:hint="eastAsia"/>
          <w:sz w:val="24"/>
        </w:rPr>
        <w:t>改进、预防和纠正措施的状况，包括对内部审核和日常发现的不合格项采取的纠正和预防措施的实施及其有效性的监控结果；</w:t>
      </w:r>
    </w:p>
    <w:p w14:paraId="0AD11B11">
      <w:pPr>
        <w:numPr>
          <w:ilvl w:val="0"/>
          <w:numId w:val="16"/>
        </w:numPr>
        <w:tabs>
          <w:tab w:val="left" w:pos="960"/>
          <w:tab w:val="clear" w:pos="840"/>
        </w:tabs>
        <w:spacing w:line="360" w:lineRule="auto"/>
        <w:rPr>
          <w:sz w:val="24"/>
        </w:rPr>
      </w:pPr>
      <w:r>
        <w:rPr>
          <w:rFonts w:hint="eastAsia"/>
          <w:sz w:val="24"/>
        </w:rPr>
        <w:t>以往管理评审跟踪措施的实施及有效性。</w:t>
      </w:r>
    </w:p>
    <w:p w14:paraId="237B0892">
      <w:pPr>
        <w:numPr>
          <w:ilvl w:val="0"/>
          <w:numId w:val="16"/>
        </w:numPr>
        <w:tabs>
          <w:tab w:val="left" w:pos="960"/>
          <w:tab w:val="clear" w:pos="840"/>
        </w:tabs>
        <w:spacing w:line="360" w:lineRule="auto"/>
        <w:rPr>
          <w:sz w:val="24"/>
        </w:rPr>
      </w:pPr>
      <w:r>
        <w:rPr>
          <w:rFonts w:hint="eastAsia"/>
          <w:sz w:val="24"/>
        </w:rPr>
        <w:t>可能影响质量、环境、职业健康安全管理体系的各种变化，包括内外环境的变化，法律法规的变化。以及可能影响质量体系的变更和改进的建议。</w:t>
      </w:r>
    </w:p>
    <w:p w14:paraId="17E1551D">
      <w:pPr>
        <w:numPr>
          <w:ilvl w:val="0"/>
          <w:numId w:val="16"/>
        </w:numPr>
        <w:tabs>
          <w:tab w:val="left" w:pos="960"/>
          <w:tab w:val="clear" w:pos="840"/>
        </w:tabs>
        <w:spacing w:line="360" w:lineRule="auto"/>
        <w:rPr>
          <w:sz w:val="24"/>
        </w:rPr>
      </w:pPr>
      <w:r>
        <w:rPr>
          <w:rFonts w:hint="eastAsia"/>
          <w:sz w:val="24"/>
        </w:rPr>
        <w:t>质量、环境、职业健康安全管理体系运行状况，包括质量方针和质量目标的适宜性和有效性。</w:t>
      </w:r>
    </w:p>
    <w:p w14:paraId="1B27B77A">
      <w:pPr>
        <w:spacing w:line="360" w:lineRule="auto"/>
        <w:rPr>
          <w:sz w:val="24"/>
        </w:rPr>
      </w:pPr>
      <w:r>
        <w:rPr>
          <w:rFonts w:hint="eastAsia"/>
          <w:sz w:val="24"/>
        </w:rPr>
        <w:t>4.3评审准备</w:t>
      </w:r>
    </w:p>
    <w:p w14:paraId="565B39A3">
      <w:pPr>
        <w:spacing w:line="360" w:lineRule="auto"/>
        <w:rPr>
          <w:sz w:val="24"/>
        </w:rPr>
      </w:pPr>
      <w:r>
        <w:rPr>
          <w:rFonts w:hint="eastAsia"/>
          <w:sz w:val="24"/>
        </w:rPr>
        <w:t>4.3.1预定评审前十天，</w:t>
      </w:r>
      <w:r>
        <w:rPr>
          <w:rFonts w:hint="eastAsia"/>
          <w:sz w:val="24"/>
          <w:lang w:eastAsia="zh-CN"/>
        </w:rPr>
        <w:t>综合部</w:t>
      </w:r>
      <w:r>
        <w:rPr>
          <w:rFonts w:hint="eastAsia"/>
          <w:sz w:val="24"/>
        </w:rPr>
        <w:t>以书面形式向管理者代表汇报现阶段质量、环境、职业健康安全管理体系运行情况并提交本次评审计划，由管理者代表审核，总经理批准。</w:t>
      </w:r>
    </w:p>
    <w:p w14:paraId="7A26CD92">
      <w:pPr>
        <w:spacing w:line="360" w:lineRule="auto"/>
        <w:rPr>
          <w:sz w:val="24"/>
        </w:rPr>
      </w:pPr>
      <w:r>
        <w:rPr>
          <w:rFonts w:hint="eastAsia"/>
          <w:sz w:val="24"/>
        </w:rPr>
        <w:t>4.3.2</w:t>
      </w:r>
      <w:r>
        <w:rPr>
          <w:rFonts w:hint="eastAsia"/>
          <w:sz w:val="24"/>
          <w:lang w:eastAsia="zh-CN"/>
        </w:rPr>
        <w:t>综合部</w:t>
      </w:r>
      <w:r>
        <w:rPr>
          <w:rFonts w:hint="eastAsia"/>
          <w:sz w:val="24"/>
        </w:rPr>
        <w:t>负责根据评审输入的要求，组织评审资料的收集，准备必要的文件,评审资料由管理者代表确认。</w:t>
      </w:r>
    </w:p>
    <w:p w14:paraId="1790BA81">
      <w:pPr>
        <w:spacing w:line="360" w:lineRule="auto"/>
        <w:rPr>
          <w:sz w:val="24"/>
        </w:rPr>
      </w:pPr>
      <w:r>
        <w:rPr>
          <w:rFonts w:hint="eastAsia"/>
          <w:sz w:val="24"/>
        </w:rPr>
        <w:t>4.3.3</w:t>
      </w:r>
      <w:r>
        <w:rPr>
          <w:rFonts w:hint="eastAsia"/>
          <w:sz w:val="24"/>
          <w:lang w:eastAsia="zh-CN"/>
        </w:rPr>
        <w:t>综合部</w:t>
      </w:r>
      <w:r>
        <w:rPr>
          <w:rFonts w:hint="eastAsia"/>
          <w:sz w:val="24"/>
        </w:rPr>
        <w:t>向参加评审的人员发放评审计划和有关资料。</w:t>
      </w:r>
    </w:p>
    <w:p w14:paraId="2BA41972">
      <w:pPr>
        <w:spacing w:line="360" w:lineRule="auto"/>
        <w:rPr>
          <w:sz w:val="24"/>
        </w:rPr>
      </w:pPr>
      <w:r>
        <w:rPr>
          <w:rFonts w:hint="eastAsia"/>
          <w:sz w:val="24"/>
        </w:rPr>
        <w:t>4.4管理评审会议</w:t>
      </w:r>
    </w:p>
    <w:p w14:paraId="1AA65F23">
      <w:pPr>
        <w:pStyle w:val="23"/>
        <w:numPr>
          <w:ilvl w:val="0"/>
          <w:numId w:val="17"/>
        </w:numPr>
        <w:tabs>
          <w:tab w:val="left" w:pos="960"/>
          <w:tab w:val="clear" w:pos="840"/>
        </w:tabs>
        <w:spacing w:line="360" w:lineRule="auto"/>
        <w:rPr>
          <w:sz w:val="24"/>
          <w:szCs w:val="24"/>
        </w:rPr>
      </w:pPr>
      <w:r>
        <w:rPr>
          <w:rFonts w:hint="eastAsia"/>
          <w:sz w:val="24"/>
          <w:szCs w:val="24"/>
        </w:rPr>
        <w:t>总经理主持评审会议，各部门负责人和有关人员对评审输入做出评价，对于存在或潜在的不合格项提出纠正和预防措施，确定责任人和整改时间；</w:t>
      </w:r>
    </w:p>
    <w:p w14:paraId="2D963F9F">
      <w:pPr>
        <w:pStyle w:val="23"/>
        <w:numPr>
          <w:ilvl w:val="0"/>
          <w:numId w:val="17"/>
        </w:numPr>
        <w:tabs>
          <w:tab w:val="left" w:pos="960"/>
          <w:tab w:val="clear" w:pos="840"/>
        </w:tabs>
        <w:spacing w:line="360" w:lineRule="auto"/>
        <w:rPr>
          <w:sz w:val="24"/>
          <w:szCs w:val="24"/>
        </w:rPr>
      </w:pPr>
      <w:r>
        <w:rPr>
          <w:rFonts w:hint="eastAsia"/>
          <w:sz w:val="24"/>
          <w:szCs w:val="24"/>
        </w:rPr>
        <w:t>总经理对所涉及的评审内容作出结论（包括进一步调查、验证等）。</w:t>
      </w:r>
    </w:p>
    <w:p w14:paraId="0D89D381">
      <w:pPr>
        <w:spacing w:line="360" w:lineRule="auto"/>
        <w:rPr>
          <w:sz w:val="24"/>
        </w:rPr>
      </w:pPr>
      <w:r>
        <w:rPr>
          <w:rFonts w:hint="eastAsia"/>
          <w:sz w:val="24"/>
        </w:rPr>
        <w:t>4.5管理评审输出</w:t>
      </w:r>
    </w:p>
    <w:p w14:paraId="482A76E5">
      <w:pPr>
        <w:spacing w:line="360" w:lineRule="auto"/>
        <w:rPr>
          <w:sz w:val="24"/>
        </w:rPr>
      </w:pPr>
      <w:r>
        <w:rPr>
          <w:rFonts w:hint="eastAsia"/>
          <w:sz w:val="24"/>
        </w:rPr>
        <w:t>4.5.1管理评审的输出应包括以下方面有关的措施：</w:t>
      </w:r>
    </w:p>
    <w:p w14:paraId="046DD008">
      <w:pPr>
        <w:pStyle w:val="23"/>
        <w:numPr>
          <w:ilvl w:val="0"/>
          <w:numId w:val="18"/>
        </w:numPr>
        <w:tabs>
          <w:tab w:val="left" w:pos="960"/>
          <w:tab w:val="clear" w:pos="840"/>
        </w:tabs>
        <w:spacing w:line="360" w:lineRule="auto"/>
        <w:rPr>
          <w:sz w:val="24"/>
          <w:szCs w:val="24"/>
        </w:rPr>
      </w:pPr>
      <w:r>
        <w:rPr>
          <w:rFonts w:hint="eastAsia"/>
          <w:sz w:val="24"/>
          <w:szCs w:val="24"/>
        </w:rPr>
        <w:t>质量、环境、职业健康安全管理体系及其过程有效性的改进，包括对质量方针、质量目标、组织结构、过程控制等方面的评价；</w:t>
      </w:r>
    </w:p>
    <w:p w14:paraId="405A1284">
      <w:pPr>
        <w:pStyle w:val="23"/>
        <w:numPr>
          <w:ilvl w:val="0"/>
          <w:numId w:val="18"/>
        </w:numPr>
        <w:tabs>
          <w:tab w:val="left" w:pos="960"/>
          <w:tab w:val="clear" w:pos="840"/>
        </w:tabs>
        <w:spacing w:line="360" w:lineRule="auto"/>
        <w:rPr>
          <w:sz w:val="24"/>
          <w:szCs w:val="24"/>
        </w:rPr>
      </w:pPr>
      <w:r>
        <w:rPr>
          <w:rFonts w:hint="eastAsia"/>
          <w:sz w:val="24"/>
          <w:szCs w:val="24"/>
        </w:rPr>
        <w:t>与顾客要求有关的产品的改进，对现有产品符合要求的评价，包括是否需要进行产品、过程审核等与评审内容相关的要求；</w:t>
      </w:r>
    </w:p>
    <w:p w14:paraId="719D6547">
      <w:pPr>
        <w:pStyle w:val="23"/>
        <w:numPr>
          <w:ilvl w:val="0"/>
          <w:numId w:val="18"/>
        </w:numPr>
        <w:tabs>
          <w:tab w:val="left" w:pos="960"/>
          <w:tab w:val="clear" w:pos="840"/>
        </w:tabs>
        <w:spacing w:line="360" w:lineRule="auto"/>
        <w:rPr>
          <w:sz w:val="24"/>
          <w:szCs w:val="24"/>
        </w:rPr>
      </w:pPr>
      <w:r>
        <w:rPr>
          <w:rFonts w:hint="eastAsia"/>
          <w:sz w:val="24"/>
          <w:szCs w:val="24"/>
        </w:rPr>
        <w:t>资源需求等。</w:t>
      </w:r>
    </w:p>
    <w:p w14:paraId="0B4662BC">
      <w:pPr>
        <w:spacing w:line="360" w:lineRule="auto"/>
        <w:rPr>
          <w:sz w:val="24"/>
        </w:rPr>
      </w:pPr>
      <w:r>
        <w:rPr>
          <w:rFonts w:hint="eastAsia"/>
          <w:sz w:val="24"/>
        </w:rPr>
        <w:t>4.5.2会议结束后，由</w:t>
      </w:r>
      <w:r>
        <w:rPr>
          <w:rFonts w:hint="eastAsia"/>
          <w:sz w:val="24"/>
          <w:lang w:eastAsia="zh-CN"/>
        </w:rPr>
        <w:t>综合部</w:t>
      </w:r>
      <w:r>
        <w:rPr>
          <w:rFonts w:hint="eastAsia"/>
          <w:sz w:val="24"/>
        </w:rPr>
        <w:t>根据管理评审输出的要求进行总结，编制《管理评审报告》，经管理者代表审核，交总经理批准，并发至相应部门并监控执行。本次管理评审的输出可以作为下次管理评审的输入。</w:t>
      </w:r>
    </w:p>
    <w:p w14:paraId="24F66E72">
      <w:pPr>
        <w:spacing w:line="360" w:lineRule="auto"/>
        <w:rPr>
          <w:sz w:val="24"/>
        </w:rPr>
      </w:pPr>
      <w:r>
        <w:rPr>
          <w:rFonts w:hint="eastAsia"/>
          <w:sz w:val="24"/>
        </w:rPr>
        <w:t>4.6改进、纠正、预防措施的实施和验证</w:t>
      </w:r>
    </w:p>
    <w:p w14:paraId="33CA435B">
      <w:pPr>
        <w:spacing w:line="360" w:lineRule="auto"/>
        <w:ind w:firstLine="480" w:firstLineChars="200"/>
        <w:rPr>
          <w:sz w:val="24"/>
        </w:rPr>
      </w:pPr>
      <w:r>
        <w:rPr>
          <w:rFonts w:hint="eastAsia"/>
          <w:sz w:val="24"/>
          <w:lang w:eastAsia="zh-CN"/>
        </w:rPr>
        <w:t>综合部</w:t>
      </w:r>
      <w:r>
        <w:rPr>
          <w:rFonts w:hint="eastAsia"/>
          <w:sz w:val="24"/>
        </w:rPr>
        <w:t>对改进、纠正和预防措施的实施效果进行跟踪验证。</w:t>
      </w:r>
    </w:p>
    <w:p w14:paraId="14148B69">
      <w:pPr>
        <w:spacing w:line="360" w:lineRule="auto"/>
        <w:rPr>
          <w:sz w:val="24"/>
        </w:rPr>
      </w:pPr>
      <w:r>
        <w:rPr>
          <w:rFonts w:hint="eastAsia"/>
          <w:sz w:val="24"/>
        </w:rPr>
        <w:t>4.7如果评审结果引起文件更改，应执行《文件控制程序》。</w:t>
      </w:r>
    </w:p>
    <w:p w14:paraId="2730ED7C">
      <w:pPr>
        <w:spacing w:line="360" w:lineRule="auto"/>
        <w:rPr>
          <w:sz w:val="24"/>
        </w:rPr>
      </w:pPr>
      <w:r>
        <w:rPr>
          <w:rFonts w:hint="eastAsia"/>
          <w:sz w:val="24"/>
        </w:rPr>
        <w:t>4.8管理评审产生的相关的质量记录由</w:t>
      </w:r>
      <w:r>
        <w:rPr>
          <w:rFonts w:hint="eastAsia"/>
          <w:sz w:val="24"/>
          <w:lang w:eastAsia="zh-CN"/>
        </w:rPr>
        <w:t>综合部</w:t>
      </w:r>
      <w:r>
        <w:rPr>
          <w:rFonts w:hint="eastAsia"/>
          <w:sz w:val="24"/>
        </w:rPr>
        <w:t>保管,包括管理评审计划、评审前各部门准备的评审资料、评审会议记录及管理评审报告等。</w:t>
      </w:r>
    </w:p>
    <w:p w14:paraId="168DF353">
      <w:pPr>
        <w:spacing w:line="360" w:lineRule="auto"/>
        <w:rPr>
          <w:sz w:val="24"/>
        </w:rPr>
      </w:pPr>
      <w:r>
        <w:rPr>
          <w:rFonts w:hint="eastAsia"/>
          <w:sz w:val="24"/>
        </w:rPr>
        <w:t>5 、相关文件</w:t>
      </w:r>
    </w:p>
    <w:p w14:paraId="33E21538">
      <w:pPr>
        <w:spacing w:line="360" w:lineRule="auto"/>
        <w:rPr>
          <w:sz w:val="24"/>
        </w:rPr>
      </w:pPr>
      <w:r>
        <w:rPr>
          <w:rFonts w:hint="eastAsia"/>
          <w:sz w:val="24"/>
        </w:rPr>
        <w:t>5.1《内部审核程序》。</w:t>
      </w:r>
    </w:p>
    <w:p w14:paraId="36479854">
      <w:pPr>
        <w:spacing w:line="360" w:lineRule="auto"/>
        <w:rPr>
          <w:sz w:val="24"/>
        </w:rPr>
      </w:pPr>
      <w:r>
        <w:rPr>
          <w:rFonts w:hint="eastAsia"/>
          <w:sz w:val="24"/>
        </w:rPr>
        <w:t>5.2《改进控制程序》。</w:t>
      </w:r>
    </w:p>
    <w:p w14:paraId="18130092">
      <w:pPr>
        <w:spacing w:line="360" w:lineRule="auto"/>
        <w:rPr>
          <w:sz w:val="24"/>
        </w:rPr>
      </w:pPr>
      <w:r>
        <w:rPr>
          <w:rFonts w:hint="eastAsia"/>
          <w:sz w:val="24"/>
        </w:rPr>
        <w:t>5.3《文件控制程序》。</w:t>
      </w:r>
    </w:p>
    <w:p w14:paraId="274BD481">
      <w:pPr>
        <w:spacing w:line="360" w:lineRule="auto"/>
        <w:rPr>
          <w:sz w:val="24"/>
        </w:rPr>
      </w:pPr>
      <w:r>
        <w:rPr>
          <w:rFonts w:hint="eastAsia"/>
          <w:sz w:val="24"/>
        </w:rPr>
        <w:t>5.4《质量记录控制程序》。</w:t>
      </w:r>
    </w:p>
    <w:p w14:paraId="6CAE7DBD">
      <w:pPr>
        <w:spacing w:line="360" w:lineRule="auto"/>
        <w:rPr>
          <w:sz w:val="24"/>
        </w:rPr>
      </w:pPr>
      <w:r>
        <w:rPr>
          <w:rFonts w:hint="eastAsia"/>
          <w:sz w:val="24"/>
        </w:rPr>
        <w:t>6 、质量记录</w:t>
      </w:r>
    </w:p>
    <w:p w14:paraId="1E5290DA">
      <w:pPr>
        <w:spacing w:line="360" w:lineRule="auto"/>
        <w:rPr>
          <w:sz w:val="24"/>
        </w:rPr>
      </w:pPr>
      <w:r>
        <w:rPr>
          <w:rFonts w:hint="eastAsia"/>
          <w:sz w:val="24"/>
        </w:rPr>
        <w:t>6.1 《管理评审计划》。</w:t>
      </w:r>
    </w:p>
    <w:p w14:paraId="2455074B">
      <w:pPr>
        <w:spacing w:line="360" w:lineRule="auto"/>
        <w:rPr>
          <w:sz w:val="24"/>
        </w:rPr>
      </w:pPr>
      <w:r>
        <w:rPr>
          <w:rFonts w:hint="eastAsia"/>
          <w:sz w:val="24"/>
        </w:rPr>
        <w:t>6.2 《管理评审通知单》。</w:t>
      </w:r>
    </w:p>
    <w:p w14:paraId="26D0D99B">
      <w:pPr>
        <w:spacing w:line="360" w:lineRule="auto"/>
        <w:rPr>
          <w:sz w:val="24"/>
        </w:rPr>
      </w:pPr>
      <w:r>
        <w:rPr>
          <w:rFonts w:hint="eastAsia"/>
          <w:sz w:val="24"/>
        </w:rPr>
        <w:t>6.3 《管理评审报告》。</w:t>
      </w:r>
    </w:p>
    <w:p w14:paraId="2BF58668">
      <w:pPr>
        <w:widowControl/>
        <w:jc w:val="left"/>
        <w:rPr>
          <w:sz w:val="24"/>
        </w:rPr>
      </w:pPr>
      <w:r>
        <w:rPr>
          <w:sz w:val="24"/>
        </w:rPr>
        <w:br w:type="page"/>
      </w:r>
    </w:p>
    <w:p w14:paraId="18D2403A">
      <w:pPr>
        <w:pStyle w:val="2"/>
        <w:spacing w:before="156" w:beforeLines="50" w:after="156" w:afterLines="50" w:line="720" w:lineRule="auto"/>
        <w:jc w:val="left"/>
        <w:rPr>
          <w:sz w:val="28"/>
          <w:szCs w:val="28"/>
        </w:rPr>
      </w:pPr>
      <w:r>
        <w:rPr>
          <w:rFonts w:hint="eastAsia"/>
          <w:sz w:val="28"/>
          <w:szCs w:val="28"/>
        </w:rPr>
        <w:t>四、内部审核控制程序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-04</w:t>
      </w:r>
    </w:p>
    <w:p w14:paraId="318EEF18">
      <w:pPr>
        <w:spacing w:line="360" w:lineRule="auto"/>
        <w:rPr>
          <w:rFonts w:ascii="宋体" w:hAnsi="宋体"/>
          <w:bCs/>
          <w:sz w:val="24"/>
        </w:rPr>
      </w:pPr>
      <w:r>
        <w:rPr>
          <w:rFonts w:hint="eastAsia" w:ascii="宋体" w:hAnsi="宋体"/>
          <w:bCs/>
          <w:sz w:val="24"/>
        </w:rPr>
        <w:t>1.   目的</w:t>
      </w:r>
    </w:p>
    <w:p w14:paraId="779EB973">
      <w:pPr>
        <w:spacing w:line="360" w:lineRule="auto"/>
        <w:ind w:firstLine="480" w:firstLineChars="200"/>
        <w:rPr>
          <w:rFonts w:ascii="宋体" w:hAnsi="宋体"/>
          <w:bCs/>
          <w:sz w:val="24"/>
        </w:rPr>
      </w:pPr>
      <w:r>
        <w:rPr>
          <w:rFonts w:hint="eastAsia" w:ascii="宋体" w:hAnsi="宋体"/>
          <w:sz w:val="24"/>
        </w:rPr>
        <w:t>为公司的内部审核规定时间间隔和运作程序；验证本公司质量、职业健康安全和环境管理体系是否符合策划的安排和标准的要求，是否得到有效的实施与保持，为管理体系的持续改进提供依据。</w:t>
      </w:r>
    </w:p>
    <w:p w14:paraId="7EB8D4B0">
      <w:pPr>
        <w:spacing w:line="360" w:lineRule="auto"/>
        <w:rPr>
          <w:rFonts w:ascii="宋体" w:hAnsi="宋体"/>
          <w:bCs/>
          <w:sz w:val="24"/>
        </w:rPr>
      </w:pPr>
      <w:r>
        <w:rPr>
          <w:rFonts w:hint="eastAsia" w:ascii="宋体" w:hAnsi="宋体"/>
          <w:bCs/>
          <w:sz w:val="24"/>
        </w:rPr>
        <w:t>2.  适用范围</w:t>
      </w:r>
    </w:p>
    <w:p w14:paraId="3CDF11DB">
      <w:pPr>
        <w:spacing w:line="360" w:lineRule="auto"/>
        <w:ind w:firstLine="480" w:firstLineChars="200"/>
        <w:rPr>
          <w:rFonts w:ascii="宋体" w:hAnsi="宋体"/>
          <w:bCs/>
          <w:sz w:val="24"/>
        </w:rPr>
      </w:pPr>
      <w:r>
        <w:rPr>
          <w:rFonts w:hint="eastAsia" w:ascii="宋体" w:hAnsi="宋体"/>
          <w:sz w:val="24"/>
        </w:rPr>
        <w:t>本程序适用于对</w:t>
      </w:r>
      <w:r>
        <w:rPr>
          <w:rFonts w:hint="eastAsia" w:ascii="宋体" w:hAnsi="宋体"/>
          <w:bCs/>
          <w:sz w:val="24"/>
        </w:rPr>
        <w:t>公司内部</w:t>
      </w:r>
      <w:r>
        <w:rPr>
          <w:rFonts w:hint="eastAsia" w:ascii="宋体" w:hAnsi="宋体"/>
          <w:sz w:val="24"/>
        </w:rPr>
        <w:t>与质量、环境、职业健康安全管理体系运行有关的公司领导、</w:t>
      </w:r>
      <w:r>
        <w:rPr>
          <w:rFonts w:hint="eastAsia" w:ascii="宋体" w:hAnsi="宋体"/>
          <w:bCs/>
          <w:sz w:val="24"/>
        </w:rPr>
        <w:t>各职能科室所涉及的所有活动、产品或服务的审核。</w:t>
      </w:r>
    </w:p>
    <w:p w14:paraId="1443BDCE">
      <w:pPr>
        <w:spacing w:line="360" w:lineRule="auto"/>
        <w:rPr>
          <w:rFonts w:ascii="宋体" w:hAnsi="宋体"/>
          <w:bCs/>
          <w:sz w:val="24"/>
        </w:rPr>
      </w:pPr>
      <w:r>
        <w:rPr>
          <w:rFonts w:hint="eastAsia" w:ascii="宋体" w:hAnsi="宋体"/>
          <w:bCs/>
          <w:sz w:val="24"/>
        </w:rPr>
        <w:t>3.  职责</w:t>
      </w:r>
    </w:p>
    <w:p w14:paraId="76278F96">
      <w:pPr>
        <w:spacing w:line="360" w:lineRule="auto"/>
        <w:ind w:left="579" w:leftChars="-14" w:hanging="608"/>
        <w:rPr>
          <w:rFonts w:ascii="宋体" w:hAnsi="宋体"/>
          <w:bCs/>
          <w:sz w:val="24"/>
        </w:rPr>
      </w:pPr>
      <w:r>
        <w:rPr>
          <w:rFonts w:hint="eastAsia" w:ascii="宋体" w:hAnsi="宋体"/>
          <w:bCs/>
          <w:sz w:val="24"/>
        </w:rPr>
        <w:t xml:space="preserve">3.1  </w:t>
      </w:r>
      <w:r>
        <w:rPr>
          <w:rFonts w:hint="eastAsia" w:ascii="宋体" w:hAnsi="宋体"/>
          <w:sz w:val="24"/>
        </w:rPr>
        <w:t>管理者代表负责审核内部审核计划和内部审核报告；</w:t>
      </w:r>
    </w:p>
    <w:p w14:paraId="0FEC1636">
      <w:pPr>
        <w:spacing w:line="360" w:lineRule="auto"/>
        <w:ind w:left="579" w:leftChars="-14" w:hanging="608"/>
        <w:rPr>
          <w:rFonts w:ascii="宋体" w:hAnsi="宋体"/>
          <w:bCs/>
          <w:sz w:val="24"/>
        </w:rPr>
      </w:pPr>
      <w:r>
        <w:rPr>
          <w:rFonts w:hint="eastAsia" w:ascii="宋体" w:hAnsi="宋体"/>
          <w:bCs/>
          <w:sz w:val="24"/>
        </w:rPr>
        <w:t xml:space="preserve">3.2  </w:t>
      </w:r>
      <w:r>
        <w:rPr>
          <w:rFonts w:hint="eastAsia" w:ascii="宋体" w:hAnsi="宋体"/>
          <w:sz w:val="24"/>
        </w:rPr>
        <w:t>审核组长负责内审的计划、组织、协调和检查；</w:t>
      </w:r>
    </w:p>
    <w:p w14:paraId="34CFFB64">
      <w:pPr>
        <w:spacing w:line="360" w:lineRule="auto"/>
        <w:rPr>
          <w:rFonts w:ascii="宋体" w:hAnsi="宋体"/>
          <w:bCs/>
          <w:sz w:val="24"/>
        </w:rPr>
      </w:pPr>
      <w:r>
        <w:rPr>
          <w:rFonts w:hint="eastAsia" w:ascii="宋体" w:hAnsi="宋体"/>
          <w:bCs/>
          <w:sz w:val="24"/>
        </w:rPr>
        <w:t xml:space="preserve">3.3  </w:t>
      </w:r>
      <w:r>
        <w:rPr>
          <w:rFonts w:hint="eastAsia" w:ascii="宋体" w:hAnsi="宋体"/>
          <w:sz w:val="24"/>
        </w:rPr>
        <w:t>审核员出具不符合报告，跟踪纠正措施的实施情况并验证；</w:t>
      </w:r>
    </w:p>
    <w:p w14:paraId="27B65CDD">
      <w:pPr>
        <w:spacing w:line="360" w:lineRule="auto"/>
        <w:ind w:left="607" w:hanging="607" w:hangingChars="253"/>
        <w:rPr>
          <w:rFonts w:ascii="宋体" w:hAnsi="宋体"/>
          <w:bCs/>
          <w:sz w:val="24"/>
        </w:rPr>
      </w:pPr>
      <w:r>
        <w:rPr>
          <w:rFonts w:hint="eastAsia" w:ascii="宋体" w:hAnsi="宋体"/>
          <w:bCs/>
          <w:sz w:val="24"/>
        </w:rPr>
        <w:t>3.4  各部门</w:t>
      </w:r>
      <w:r>
        <w:rPr>
          <w:rFonts w:hint="eastAsia" w:ascii="宋体" w:hAnsi="宋体"/>
          <w:sz w:val="24"/>
        </w:rPr>
        <w:t>协助完成公司策划的内部审核。</w:t>
      </w:r>
    </w:p>
    <w:p w14:paraId="385ED4AF">
      <w:pPr>
        <w:spacing w:line="360" w:lineRule="auto"/>
        <w:rPr>
          <w:rFonts w:ascii="宋体" w:hAnsi="宋体"/>
          <w:sz w:val="24"/>
        </w:rPr>
      </w:pPr>
      <w:r>
        <w:rPr>
          <w:rFonts w:hint="eastAsia" w:ascii="宋体" w:hAnsi="宋体"/>
          <w:sz w:val="24"/>
        </w:rPr>
        <w:t>4.  程序</w:t>
      </w:r>
    </w:p>
    <w:p w14:paraId="0A41A354">
      <w:pPr>
        <w:spacing w:line="360" w:lineRule="auto"/>
        <w:rPr>
          <w:rFonts w:ascii="宋体" w:hAnsi="宋体"/>
          <w:sz w:val="24"/>
        </w:rPr>
      </w:pPr>
      <w:r>
        <w:rPr>
          <w:rFonts w:hint="eastAsia" w:ascii="宋体" w:hAnsi="宋体"/>
          <w:sz w:val="24"/>
        </w:rPr>
        <w:t>4.1  审核的频次</w:t>
      </w:r>
    </w:p>
    <w:p w14:paraId="6CEC51E3">
      <w:pPr>
        <w:spacing w:line="360" w:lineRule="auto"/>
        <w:ind w:left="682" w:hanging="681" w:hangingChars="284"/>
        <w:rPr>
          <w:rFonts w:ascii="宋体" w:hAnsi="宋体"/>
          <w:sz w:val="24"/>
        </w:rPr>
      </w:pPr>
      <w:r>
        <w:rPr>
          <w:rFonts w:hint="eastAsia" w:ascii="宋体" w:hAnsi="宋体"/>
          <w:sz w:val="24"/>
        </w:rPr>
        <w:t>4.1.1 本公司正常规定的内部审核活动，每年至少进行一次，两次内审间隔不得超过12个月；每年3月份编制本《年度内部审核计划》。</w:t>
      </w:r>
    </w:p>
    <w:p w14:paraId="6FBA9F73">
      <w:pPr>
        <w:spacing w:line="360" w:lineRule="auto"/>
        <w:rPr>
          <w:rFonts w:ascii="宋体" w:hAnsi="宋体"/>
          <w:sz w:val="24"/>
        </w:rPr>
      </w:pPr>
      <w:r>
        <w:rPr>
          <w:rFonts w:ascii="宋体" w:hAnsi="宋体"/>
          <w:sz w:val="24"/>
        </w:rPr>
        <w:t xml:space="preserve">4.1.2 </w:t>
      </w:r>
      <w:r>
        <w:rPr>
          <w:rFonts w:hint="eastAsia" w:ascii="宋体" w:hAnsi="宋体"/>
          <w:sz w:val="24"/>
        </w:rPr>
        <w:t>若发生以下情况则需要增加临时的内部质量体系审核；</w:t>
      </w:r>
    </w:p>
    <w:p w14:paraId="719F5C44">
      <w:pPr>
        <w:numPr>
          <w:ilvl w:val="0"/>
          <w:numId w:val="19"/>
        </w:numPr>
        <w:spacing w:line="360" w:lineRule="auto"/>
        <w:rPr>
          <w:rFonts w:ascii="宋体" w:hAnsi="宋体"/>
          <w:sz w:val="24"/>
        </w:rPr>
      </w:pPr>
      <w:r>
        <w:rPr>
          <w:rFonts w:hint="eastAsia" w:ascii="宋体" w:hAnsi="宋体"/>
          <w:sz w:val="24"/>
        </w:rPr>
        <w:t>国家有关产品的法律法规发生变化时；</w:t>
      </w:r>
    </w:p>
    <w:p w14:paraId="319FB552">
      <w:pPr>
        <w:numPr>
          <w:ilvl w:val="0"/>
          <w:numId w:val="19"/>
        </w:numPr>
        <w:spacing w:line="360" w:lineRule="auto"/>
        <w:rPr>
          <w:rFonts w:ascii="宋体" w:hAnsi="宋体"/>
          <w:sz w:val="24"/>
        </w:rPr>
      </w:pPr>
      <w:r>
        <w:rPr>
          <w:rFonts w:hint="eastAsia" w:ascii="宋体" w:hAnsi="宋体"/>
          <w:sz w:val="24"/>
        </w:rPr>
        <w:t>公司的组织机构或重要人员发生变更时；</w:t>
      </w:r>
    </w:p>
    <w:p w14:paraId="5B689E89">
      <w:pPr>
        <w:numPr>
          <w:ilvl w:val="0"/>
          <w:numId w:val="19"/>
        </w:numPr>
        <w:spacing w:line="360" w:lineRule="auto"/>
        <w:rPr>
          <w:rFonts w:ascii="宋体" w:hAnsi="宋体"/>
          <w:sz w:val="24"/>
        </w:rPr>
      </w:pPr>
      <w:r>
        <w:rPr>
          <w:rFonts w:hint="eastAsia" w:ascii="宋体" w:hAnsi="宋体"/>
          <w:sz w:val="24"/>
        </w:rPr>
        <w:t>严重的顾客投诉时；</w:t>
      </w:r>
    </w:p>
    <w:p w14:paraId="67E13A00">
      <w:pPr>
        <w:numPr>
          <w:ilvl w:val="0"/>
          <w:numId w:val="19"/>
        </w:numPr>
        <w:spacing w:line="360" w:lineRule="auto"/>
        <w:rPr>
          <w:rFonts w:ascii="宋体" w:hAnsi="宋体"/>
          <w:sz w:val="24"/>
        </w:rPr>
      </w:pPr>
      <w:r>
        <w:rPr>
          <w:rFonts w:hint="eastAsia" w:ascii="宋体" w:hAnsi="宋体"/>
          <w:sz w:val="24"/>
        </w:rPr>
        <w:t>临时的管理评审前要安排一次内部审核；</w:t>
      </w:r>
    </w:p>
    <w:p w14:paraId="6D8C8599">
      <w:pPr>
        <w:spacing w:line="360" w:lineRule="auto"/>
        <w:rPr>
          <w:rFonts w:ascii="宋体" w:hAnsi="宋体"/>
          <w:sz w:val="24"/>
        </w:rPr>
      </w:pPr>
      <w:r>
        <w:rPr>
          <w:rFonts w:hint="eastAsia" w:ascii="宋体" w:hAnsi="宋体"/>
          <w:sz w:val="24"/>
        </w:rPr>
        <w:t>4.2  审核前的准备</w:t>
      </w:r>
    </w:p>
    <w:p w14:paraId="19017EA5">
      <w:pPr>
        <w:spacing w:line="360" w:lineRule="auto"/>
        <w:ind w:left="696" w:hanging="696" w:hangingChars="290"/>
        <w:rPr>
          <w:rFonts w:ascii="宋体" w:hAnsi="宋体"/>
          <w:sz w:val="24"/>
        </w:rPr>
      </w:pPr>
      <w:r>
        <w:rPr>
          <w:rFonts w:hint="eastAsia" w:ascii="宋体" w:hAnsi="宋体"/>
          <w:sz w:val="24"/>
        </w:rPr>
        <w:t>4.2.1由公司管理者代表确定审核组长和审核员。从具备资格的内审员中挑选审核组成员组成审核组；审核组成员至少要有两名，内审员需与审核活动或部门无直接责任；内审员资格要求：</w:t>
      </w:r>
    </w:p>
    <w:p w14:paraId="4FE840BB">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按照GB/T19001-2016, GB/T24001-2016,ISO45001-2018标准要求已通过培训并经考试取得资格证书；</w:t>
      </w:r>
    </w:p>
    <w:p w14:paraId="33B8BB76">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有较强的事业心和工作责任心，实事求是，办事认真；</w:t>
      </w:r>
    </w:p>
    <w:p w14:paraId="7B213B50">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有一定的实践经验和工作能力，对公司的质量、环境和职业健康安全管理体系文件及标准比较熟悉，能独立从事审核工作。</w:t>
      </w:r>
    </w:p>
    <w:p w14:paraId="21A9CCB7">
      <w:pPr>
        <w:spacing w:line="360" w:lineRule="auto"/>
        <w:ind w:left="696" w:hanging="696" w:hangingChars="290"/>
        <w:rPr>
          <w:rFonts w:ascii="宋体" w:hAnsi="宋体"/>
          <w:sz w:val="24"/>
        </w:rPr>
      </w:pPr>
      <w:r>
        <w:rPr>
          <w:rFonts w:hint="eastAsia" w:ascii="宋体" w:hAnsi="宋体"/>
          <w:sz w:val="24"/>
        </w:rPr>
        <w:t>4.2.2 由审核组长策划并编制本次《审核实施计划》，管理者代表批准；计划的内容主要包括：审核的目的、范围、依据、审核组成员、审核时间、地点等；</w:t>
      </w:r>
    </w:p>
    <w:p w14:paraId="63D8C8EA">
      <w:pPr>
        <w:spacing w:line="360" w:lineRule="auto"/>
        <w:ind w:left="682" w:hanging="681" w:hangingChars="284"/>
        <w:rPr>
          <w:rFonts w:ascii="宋体" w:hAnsi="宋体"/>
          <w:sz w:val="24"/>
        </w:rPr>
      </w:pPr>
      <w:r>
        <w:rPr>
          <w:rFonts w:hint="eastAsia" w:ascii="宋体" w:hAnsi="宋体"/>
          <w:sz w:val="24"/>
        </w:rPr>
        <w:t>4.2.3 在了解受审核部门的具体情况后，审核组长要确定审核的重点，组织编写《内审检查表》；</w:t>
      </w:r>
    </w:p>
    <w:p w14:paraId="0BBC8CEB">
      <w:pPr>
        <w:spacing w:line="360" w:lineRule="auto"/>
        <w:rPr>
          <w:rFonts w:ascii="宋体" w:hAnsi="宋体"/>
          <w:sz w:val="24"/>
        </w:rPr>
      </w:pPr>
      <w:r>
        <w:rPr>
          <w:rFonts w:hint="eastAsia" w:ascii="宋体" w:hAnsi="宋体"/>
          <w:sz w:val="24"/>
        </w:rPr>
        <w:t>4.2.4 审核组要在正式审核一周前通知受审核部门；</w:t>
      </w:r>
    </w:p>
    <w:p w14:paraId="7BB19DDA">
      <w:pPr>
        <w:spacing w:line="360" w:lineRule="auto"/>
        <w:rPr>
          <w:rFonts w:ascii="宋体" w:hAnsi="宋体"/>
          <w:sz w:val="24"/>
        </w:rPr>
      </w:pPr>
      <w:r>
        <w:rPr>
          <w:rFonts w:hint="eastAsia" w:ascii="宋体" w:hAnsi="宋体"/>
          <w:sz w:val="24"/>
        </w:rPr>
        <w:t>4.3  审核的实施</w:t>
      </w:r>
    </w:p>
    <w:p w14:paraId="3E79A5A3">
      <w:pPr>
        <w:spacing w:line="360" w:lineRule="auto"/>
        <w:rPr>
          <w:rFonts w:ascii="宋体" w:hAnsi="宋体"/>
          <w:sz w:val="24"/>
        </w:rPr>
      </w:pPr>
      <w:r>
        <w:rPr>
          <w:rFonts w:hint="eastAsia" w:ascii="宋体" w:hAnsi="宋体"/>
          <w:sz w:val="24"/>
        </w:rPr>
        <w:t>4.3.1 首次会议</w:t>
      </w:r>
    </w:p>
    <w:p w14:paraId="44905D17">
      <w:pPr>
        <w:numPr>
          <w:ilvl w:val="0"/>
          <w:numId w:val="21"/>
        </w:numPr>
        <w:spacing w:line="360" w:lineRule="auto"/>
        <w:rPr>
          <w:rFonts w:ascii="宋体" w:hAnsi="宋体"/>
          <w:sz w:val="24"/>
        </w:rPr>
      </w:pPr>
      <w:r>
        <w:rPr>
          <w:rFonts w:hint="eastAsia" w:ascii="宋体" w:hAnsi="宋体"/>
          <w:sz w:val="24"/>
        </w:rPr>
        <w:t>参加人员：管理者代表、审核组成员及各部门负责人；</w:t>
      </w:r>
    </w:p>
    <w:p w14:paraId="43C51DCB">
      <w:pPr>
        <w:numPr>
          <w:ilvl w:val="0"/>
          <w:numId w:val="21"/>
        </w:numPr>
        <w:spacing w:line="360" w:lineRule="auto"/>
        <w:rPr>
          <w:rFonts w:ascii="宋体" w:hAnsi="宋体"/>
          <w:sz w:val="24"/>
        </w:rPr>
      </w:pPr>
      <w:r>
        <w:rPr>
          <w:rFonts w:hint="eastAsia" w:ascii="宋体" w:hAnsi="宋体"/>
          <w:sz w:val="24"/>
        </w:rPr>
        <w:t>审核组长主持会议，介绍审核的目的、范围、依据、方式及审核安排；</w:t>
      </w:r>
    </w:p>
    <w:p w14:paraId="375B412B">
      <w:pPr>
        <w:numPr>
          <w:ilvl w:val="0"/>
          <w:numId w:val="21"/>
        </w:numPr>
        <w:spacing w:line="360" w:lineRule="auto"/>
        <w:rPr>
          <w:rFonts w:ascii="宋体" w:hAnsi="宋体"/>
          <w:sz w:val="24"/>
        </w:rPr>
      </w:pPr>
      <w:r>
        <w:rPr>
          <w:rFonts w:hint="eastAsia" w:ascii="宋体" w:hAnsi="宋体"/>
          <w:sz w:val="24"/>
        </w:rPr>
        <w:t>共同确认审核计划和日程安排并要求大家遵守。</w:t>
      </w:r>
    </w:p>
    <w:p w14:paraId="681DFCC9">
      <w:pPr>
        <w:spacing w:line="360" w:lineRule="auto"/>
        <w:rPr>
          <w:rFonts w:ascii="宋体" w:hAnsi="宋体"/>
          <w:sz w:val="24"/>
        </w:rPr>
      </w:pPr>
      <w:r>
        <w:rPr>
          <w:rFonts w:hint="eastAsia" w:ascii="宋体" w:hAnsi="宋体"/>
          <w:sz w:val="24"/>
        </w:rPr>
        <w:t>4.3.2 现场审核</w:t>
      </w:r>
    </w:p>
    <w:p w14:paraId="5CF71449">
      <w:pPr>
        <w:numPr>
          <w:ilvl w:val="0"/>
          <w:numId w:val="22"/>
        </w:numPr>
        <w:spacing w:line="360" w:lineRule="auto"/>
        <w:rPr>
          <w:rFonts w:ascii="宋体" w:hAnsi="宋体"/>
          <w:sz w:val="24"/>
        </w:rPr>
      </w:pPr>
      <w:r>
        <w:rPr>
          <w:rFonts w:hint="eastAsia" w:ascii="宋体" w:hAnsi="宋体"/>
          <w:sz w:val="24"/>
        </w:rPr>
        <w:t>审核组根据《内审检查表》对受审核部门的文件执行情况进行现场审核；</w:t>
      </w:r>
    </w:p>
    <w:p w14:paraId="61889E67">
      <w:pPr>
        <w:numPr>
          <w:ilvl w:val="0"/>
          <w:numId w:val="22"/>
        </w:numPr>
        <w:spacing w:line="360" w:lineRule="auto"/>
        <w:rPr>
          <w:rFonts w:ascii="宋体" w:hAnsi="宋体"/>
          <w:sz w:val="24"/>
        </w:rPr>
      </w:pPr>
      <w:r>
        <w:rPr>
          <w:rFonts w:hint="eastAsia" w:ascii="宋体" w:hAnsi="宋体"/>
          <w:sz w:val="24"/>
        </w:rPr>
        <w:t>审核员按照分工，通过与有关人员交谈，查阅文件，核对质量记录，检查生产现场等方式方法，收集证实质量、环境和职业健康安全管理体系有效运行/不符合事实的客观证据，并作详细的审核记录；</w:t>
      </w:r>
    </w:p>
    <w:p w14:paraId="074F61E1">
      <w:pPr>
        <w:spacing w:line="360" w:lineRule="auto"/>
        <w:rPr>
          <w:rFonts w:ascii="宋体" w:hAnsi="宋体"/>
          <w:sz w:val="24"/>
        </w:rPr>
      </w:pPr>
      <w:r>
        <w:rPr>
          <w:rFonts w:hint="eastAsia" w:ascii="宋体" w:hAnsi="宋体"/>
          <w:sz w:val="24"/>
        </w:rPr>
        <w:t>4</w:t>
      </w:r>
      <w:r>
        <w:rPr>
          <w:rFonts w:ascii="宋体" w:hAnsi="宋体"/>
          <w:sz w:val="24"/>
        </w:rPr>
        <w:t>.3.3</w:t>
      </w:r>
      <w:r>
        <w:rPr>
          <w:rFonts w:hint="eastAsia" w:ascii="宋体" w:hAnsi="宋体"/>
          <w:sz w:val="24"/>
        </w:rPr>
        <w:t xml:space="preserve"> 汇总审核结果</w:t>
      </w:r>
    </w:p>
    <w:p w14:paraId="176EFE2D">
      <w:pPr>
        <w:spacing w:line="360" w:lineRule="auto"/>
        <w:ind w:firstLine="480" w:firstLineChars="200"/>
        <w:rPr>
          <w:rFonts w:ascii="宋体" w:hAnsi="宋体"/>
          <w:sz w:val="24"/>
        </w:rPr>
      </w:pPr>
      <w:r>
        <w:rPr>
          <w:rFonts w:hint="eastAsia" w:ascii="宋体" w:hAnsi="宋体"/>
          <w:sz w:val="24"/>
        </w:rPr>
        <w:t>由审核组长主持召开审核组会议，对发现的不符合事实汇报、分析、确认，内审员确定不合格项时，要客观公正，经审核组长批准，开出《不符合项报告》，对不符合提出纠正/纠正措施的建议和验证时限，送达受审核方由受审核部门的有关人员对不符合项进行签字确认，并分析原因、制定纠正措施。</w:t>
      </w:r>
    </w:p>
    <w:p w14:paraId="5CB99FBC">
      <w:pPr>
        <w:spacing w:line="360" w:lineRule="auto"/>
        <w:rPr>
          <w:rFonts w:ascii="宋体" w:hAnsi="宋体"/>
          <w:sz w:val="24"/>
        </w:rPr>
      </w:pPr>
      <w:r>
        <w:rPr>
          <w:rFonts w:hint="eastAsia" w:ascii="宋体" w:hAnsi="宋体"/>
          <w:sz w:val="24"/>
        </w:rPr>
        <w:t>4.3.4 审核报告</w:t>
      </w:r>
    </w:p>
    <w:p w14:paraId="65B39631">
      <w:pPr>
        <w:spacing w:line="360" w:lineRule="auto"/>
        <w:ind w:firstLine="480"/>
        <w:rPr>
          <w:rFonts w:ascii="宋体" w:hAnsi="宋体"/>
          <w:sz w:val="24"/>
        </w:rPr>
      </w:pPr>
      <w:r>
        <w:rPr>
          <w:rFonts w:hint="eastAsia" w:ascii="宋体" w:hAnsi="宋体"/>
          <w:sz w:val="24"/>
        </w:rPr>
        <w:t>现场审核后审核组依据综合分析检查结果、标准、体系文件及有关法律、法规要求，编制《内部质量审核报告》，交管理者代表审核，总经理批准；审核报告内容：</w:t>
      </w:r>
    </w:p>
    <w:p w14:paraId="14F05CBE">
      <w:pPr>
        <w:numPr>
          <w:ilvl w:val="0"/>
          <w:numId w:val="23"/>
        </w:numPr>
        <w:spacing w:line="360" w:lineRule="auto"/>
        <w:rPr>
          <w:rFonts w:ascii="宋体" w:hAnsi="宋体"/>
          <w:sz w:val="24"/>
        </w:rPr>
      </w:pPr>
      <w:r>
        <w:rPr>
          <w:rFonts w:hint="eastAsia" w:ascii="宋体" w:hAnsi="宋体"/>
          <w:sz w:val="24"/>
        </w:rPr>
        <w:t>审核目的、范围、方法和依据；</w:t>
      </w:r>
    </w:p>
    <w:p w14:paraId="11B5D628">
      <w:pPr>
        <w:numPr>
          <w:ilvl w:val="0"/>
          <w:numId w:val="23"/>
        </w:numPr>
        <w:spacing w:line="360" w:lineRule="auto"/>
        <w:rPr>
          <w:rFonts w:ascii="宋体" w:hAnsi="宋体"/>
          <w:sz w:val="24"/>
        </w:rPr>
      </w:pPr>
      <w:r>
        <w:rPr>
          <w:rFonts w:hint="eastAsia" w:ascii="宋体" w:hAnsi="宋体"/>
          <w:sz w:val="24"/>
        </w:rPr>
        <w:t>审核组成员、受审核方；</w:t>
      </w:r>
    </w:p>
    <w:p w14:paraId="2AC47535">
      <w:pPr>
        <w:numPr>
          <w:ilvl w:val="0"/>
          <w:numId w:val="23"/>
        </w:numPr>
        <w:spacing w:line="360" w:lineRule="auto"/>
        <w:rPr>
          <w:rFonts w:ascii="宋体" w:hAnsi="宋体"/>
          <w:sz w:val="24"/>
        </w:rPr>
      </w:pPr>
      <w:r>
        <w:rPr>
          <w:rFonts w:hint="eastAsia" w:ascii="宋体" w:hAnsi="宋体"/>
          <w:sz w:val="24"/>
        </w:rPr>
        <w:t>审核计划实施情况总结；</w:t>
      </w:r>
    </w:p>
    <w:p w14:paraId="0AB167DD">
      <w:pPr>
        <w:numPr>
          <w:ilvl w:val="0"/>
          <w:numId w:val="23"/>
        </w:numPr>
        <w:spacing w:line="360" w:lineRule="auto"/>
        <w:rPr>
          <w:rFonts w:ascii="宋体" w:hAnsi="宋体"/>
          <w:sz w:val="24"/>
        </w:rPr>
      </w:pPr>
      <w:r>
        <w:rPr>
          <w:rFonts w:hint="eastAsia" w:ascii="宋体" w:hAnsi="宋体"/>
          <w:sz w:val="24"/>
        </w:rPr>
        <w:t>不合格项分布情况分析，不合格数量级严重情况；</w:t>
      </w:r>
    </w:p>
    <w:p w14:paraId="3DE1123B">
      <w:pPr>
        <w:numPr>
          <w:ilvl w:val="0"/>
          <w:numId w:val="23"/>
        </w:numPr>
        <w:spacing w:line="360" w:lineRule="auto"/>
        <w:rPr>
          <w:rFonts w:ascii="宋体" w:hAnsi="宋体"/>
          <w:sz w:val="24"/>
        </w:rPr>
      </w:pPr>
      <w:r>
        <w:rPr>
          <w:rFonts w:hint="eastAsia" w:ascii="宋体" w:hAnsi="宋体"/>
          <w:sz w:val="24"/>
        </w:rPr>
        <w:t>体系存在的主要问题，及今后发展的方向；</w:t>
      </w:r>
    </w:p>
    <w:p w14:paraId="1990973F">
      <w:pPr>
        <w:spacing w:line="360" w:lineRule="auto"/>
        <w:rPr>
          <w:rFonts w:ascii="宋体" w:hAnsi="宋体"/>
          <w:sz w:val="24"/>
        </w:rPr>
      </w:pPr>
      <w:r>
        <w:rPr>
          <w:rFonts w:hint="eastAsia" w:ascii="宋体" w:hAnsi="宋体"/>
          <w:sz w:val="24"/>
        </w:rPr>
        <w:t>4.3.5 末次会议</w:t>
      </w:r>
    </w:p>
    <w:p w14:paraId="59200139">
      <w:pPr>
        <w:numPr>
          <w:ilvl w:val="0"/>
          <w:numId w:val="24"/>
        </w:numPr>
        <w:spacing w:line="360" w:lineRule="auto"/>
        <w:rPr>
          <w:rFonts w:ascii="宋体" w:hAnsi="宋体"/>
          <w:sz w:val="24"/>
        </w:rPr>
      </w:pPr>
      <w:r>
        <w:rPr>
          <w:rFonts w:hint="eastAsia" w:ascii="宋体" w:hAnsi="宋体"/>
          <w:sz w:val="24"/>
        </w:rPr>
        <w:t>参加人员：管理者代表、审核组成员及各部门负责人；</w:t>
      </w:r>
    </w:p>
    <w:p w14:paraId="0FEEDABB">
      <w:pPr>
        <w:numPr>
          <w:ilvl w:val="0"/>
          <w:numId w:val="24"/>
        </w:numPr>
        <w:spacing w:line="360" w:lineRule="auto"/>
        <w:rPr>
          <w:rFonts w:ascii="宋体" w:hAnsi="宋体"/>
          <w:sz w:val="24"/>
        </w:rPr>
      </w:pPr>
      <w:r>
        <w:rPr>
          <w:rFonts w:hint="eastAsia" w:ascii="宋体" w:hAnsi="宋体"/>
          <w:sz w:val="24"/>
        </w:rPr>
        <w:t>管理者代表主持会议，宣读《不符合项报告》和《内部质量审核报告》，提出完成纠正措施的要求及日期；</w:t>
      </w:r>
    </w:p>
    <w:p w14:paraId="07A19617">
      <w:pPr>
        <w:numPr>
          <w:ilvl w:val="0"/>
          <w:numId w:val="24"/>
        </w:numPr>
        <w:spacing w:line="360" w:lineRule="auto"/>
        <w:rPr>
          <w:rFonts w:ascii="宋体" w:hAnsi="宋体"/>
          <w:sz w:val="24"/>
        </w:rPr>
      </w:pPr>
      <w:r>
        <w:rPr>
          <w:rFonts w:hint="eastAsia" w:ascii="宋体" w:hAnsi="宋体"/>
          <w:sz w:val="24"/>
        </w:rPr>
        <w:t>将《不符合项报告》和《内部质量审核报告》分发到各相关部门；</w:t>
      </w:r>
    </w:p>
    <w:p w14:paraId="4C05C7A6">
      <w:pPr>
        <w:spacing w:line="360" w:lineRule="auto"/>
        <w:ind w:left="480" w:hanging="480" w:hangingChars="200"/>
        <w:rPr>
          <w:rFonts w:ascii="宋体" w:hAnsi="宋体"/>
          <w:sz w:val="24"/>
        </w:rPr>
      </w:pPr>
      <w:r>
        <w:rPr>
          <w:rFonts w:hint="eastAsia" w:ascii="宋体" w:hAnsi="宋体"/>
          <w:sz w:val="24"/>
        </w:rPr>
        <w:t>4.4  审核组负责对审核中发现的不符合项的整改进行跟踪验证，出现不合格项的部门要按《改进控制程序》的相关规定进行整改。</w:t>
      </w:r>
    </w:p>
    <w:p w14:paraId="0B6ED56D">
      <w:pPr>
        <w:spacing w:line="360" w:lineRule="auto"/>
        <w:rPr>
          <w:rFonts w:ascii="宋体" w:hAnsi="宋体"/>
          <w:sz w:val="24"/>
        </w:rPr>
      </w:pPr>
      <w:r>
        <w:rPr>
          <w:rFonts w:hint="eastAsia" w:ascii="宋体" w:hAnsi="宋体"/>
          <w:sz w:val="24"/>
        </w:rPr>
        <w:t>5.  相关文件</w:t>
      </w:r>
    </w:p>
    <w:p w14:paraId="1B86D594">
      <w:pPr>
        <w:spacing w:line="360" w:lineRule="auto"/>
        <w:rPr>
          <w:rFonts w:ascii="宋体" w:hAnsi="宋体"/>
          <w:sz w:val="24"/>
        </w:rPr>
      </w:pPr>
      <w:r>
        <w:rPr>
          <w:rFonts w:hint="eastAsia" w:ascii="宋体" w:hAnsi="宋体"/>
          <w:sz w:val="24"/>
        </w:rPr>
        <w:t>5.1  《改进控制程序》</w:t>
      </w:r>
    </w:p>
    <w:p w14:paraId="225BBE7A">
      <w:pPr>
        <w:spacing w:line="360" w:lineRule="auto"/>
        <w:rPr>
          <w:rFonts w:ascii="宋体" w:hAnsi="宋体"/>
          <w:sz w:val="24"/>
        </w:rPr>
      </w:pPr>
      <w:r>
        <w:rPr>
          <w:rFonts w:hint="eastAsia" w:ascii="宋体" w:hAnsi="宋体"/>
          <w:sz w:val="24"/>
        </w:rPr>
        <w:t>6.  质量记录</w:t>
      </w:r>
    </w:p>
    <w:p w14:paraId="677F7B20">
      <w:pPr>
        <w:spacing w:line="360" w:lineRule="auto"/>
        <w:rPr>
          <w:rFonts w:ascii="宋体" w:hAnsi="宋体"/>
          <w:sz w:val="24"/>
        </w:rPr>
      </w:pPr>
      <w:r>
        <w:rPr>
          <w:rFonts w:hint="eastAsia" w:ascii="宋体" w:hAnsi="宋体"/>
          <w:sz w:val="24"/>
        </w:rPr>
        <w:t>6.1  《年度内部审核计划》</w:t>
      </w:r>
    </w:p>
    <w:p w14:paraId="2F9F00C6">
      <w:pPr>
        <w:spacing w:line="360" w:lineRule="auto"/>
        <w:rPr>
          <w:rFonts w:ascii="宋体" w:hAnsi="宋体"/>
          <w:sz w:val="24"/>
        </w:rPr>
      </w:pPr>
      <w:r>
        <w:rPr>
          <w:rFonts w:hint="eastAsia" w:ascii="宋体" w:hAnsi="宋体"/>
          <w:sz w:val="24"/>
        </w:rPr>
        <w:t>6.2  《内部审核实施计划》</w:t>
      </w:r>
    </w:p>
    <w:p w14:paraId="2C0A0947">
      <w:pPr>
        <w:spacing w:line="360" w:lineRule="auto"/>
        <w:rPr>
          <w:rFonts w:ascii="宋体" w:hAnsi="宋体"/>
          <w:sz w:val="24"/>
        </w:rPr>
      </w:pPr>
      <w:r>
        <w:rPr>
          <w:rFonts w:hint="eastAsia" w:ascii="宋体" w:hAnsi="宋体"/>
          <w:sz w:val="24"/>
        </w:rPr>
        <w:t>6.3  《内审首（末）次会议签到表》</w:t>
      </w:r>
    </w:p>
    <w:p w14:paraId="08EC46CF">
      <w:pPr>
        <w:spacing w:line="360" w:lineRule="auto"/>
        <w:rPr>
          <w:rFonts w:ascii="宋体" w:hAnsi="宋体"/>
          <w:sz w:val="24"/>
        </w:rPr>
      </w:pPr>
      <w:r>
        <w:rPr>
          <w:rFonts w:hint="eastAsia" w:ascii="宋体" w:hAnsi="宋体"/>
          <w:sz w:val="24"/>
        </w:rPr>
        <w:t>6.4  《内审检查表》</w:t>
      </w:r>
    </w:p>
    <w:p w14:paraId="23EF4C09">
      <w:pPr>
        <w:spacing w:line="360" w:lineRule="auto"/>
        <w:rPr>
          <w:rFonts w:ascii="宋体" w:hAnsi="宋体"/>
          <w:sz w:val="24"/>
        </w:rPr>
      </w:pPr>
      <w:r>
        <w:rPr>
          <w:rFonts w:hint="eastAsia" w:ascii="宋体" w:hAnsi="宋体"/>
          <w:sz w:val="24"/>
        </w:rPr>
        <w:t>6.5  《不符合项报告》</w:t>
      </w:r>
    </w:p>
    <w:p w14:paraId="17B1033C">
      <w:pPr>
        <w:spacing w:line="360" w:lineRule="auto"/>
        <w:rPr>
          <w:rFonts w:ascii="宋体" w:hAnsi="宋体"/>
          <w:sz w:val="24"/>
        </w:rPr>
      </w:pPr>
      <w:r>
        <w:rPr>
          <w:rFonts w:hint="eastAsia" w:ascii="宋体" w:hAnsi="宋体"/>
          <w:sz w:val="24"/>
        </w:rPr>
        <w:t>6.6  《内部审核报告》</w:t>
      </w:r>
    </w:p>
    <w:p w14:paraId="1C7ADC6A">
      <w:pPr>
        <w:spacing w:line="440" w:lineRule="exact"/>
        <w:ind w:left="907" w:hanging="907" w:hangingChars="378"/>
        <w:rPr>
          <w:rFonts w:ascii="宋体" w:hAnsi="宋体"/>
          <w:sz w:val="24"/>
        </w:rPr>
      </w:pPr>
    </w:p>
    <w:p w14:paraId="0DAD71D9">
      <w:pPr>
        <w:widowControl/>
        <w:jc w:val="left"/>
        <w:rPr>
          <w:rFonts w:ascii="宋体" w:hAnsi="宋体"/>
          <w:sz w:val="24"/>
        </w:rPr>
      </w:pPr>
      <w:r>
        <w:rPr>
          <w:rFonts w:ascii="宋体" w:hAnsi="宋体"/>
          <w:sz w:val="24"/>
        </w:rPr>
        <w:br w:type="page"/>
      </w:r>
    </w:p>
    <w:p w14:paraId="5206AAA5">
      <w:pPr>
        <w:pStyle w:val="2"/>
        <w:spacing w:before="156" w:beforeLines="50" w:after="156" w:afterLines="50" w:line="720" w:lineRule="auto"/>
        <w:jc w:val="left"/>
        <w:rPr>
          <w:sz w:val="28"/>
          <w:szCs w:val="28"/>
        </w:rPr>
      </w:pPr>
      <w:r>
        <w:rPr>
          <w:rFonts w:hint="eastAsia"/>
          <w:sz w:val="28"/>
          <w:szCs w:val="28"/>
        </w:rPr>
        <w:t>五、不合格控制程序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-05</w:t>
      </w:r>
    </w:p>
    <w:p w14:paraId="78E8313B">
      <w:pPr>
        <w:spacing w:line="360" w:lineRule="auto"/>
        <w:rPr>
          <w:b/>
          <w:sz w:val="24"/>
          <w:szCs w:val="28"/>
        </w:rPr>
      </w:pPr>
      <w:r>
        <w:rPr>
          <w:rFonts w:hint="eastAsia"/>
          <w:b/>
          <w:sz w:val="24"/>
          <w:szCs w:val="28"/>
        </w:rPr>
        <w:t>1、目的</w:t>
      </w:r>
    </w:p>
    <w:p w14:paraId="33CB7C28">
      <w:pPr>
        <w:spacing w:line="360" w:lineRule="auto"/>
        <w:rPr>
          <w:sz w:val="24"/>
          <w:szCs w:val="28"/>
        </w:rPr>
      </w:pPr>
      <w:r>
        <w:rPr>
          <w:sz w:val="24"/>
          <w:szCs w:val="28"/>
        </w:rPr>
        <w:t xml:space="preserve">     </w:t>
      </w:r>
      <w:r>
        <w:rPr>
          <w:rFonts w:hint="eastAsia"/>
          <w:sz w:val="24"/>
          <w:szCs w:val="28"/>
        </w:rPr>
        <w:t>通过对不合格输出进行识别和控制，防止不合格品非预期使用和交付及交付后发现不合格品所采取措施的控制</w:t>
      </w:r>
      <w:r>
        <w:rPr>
          <w:sz w:val="24"/>
          <w:szCs w:val="28"/>
        </w:rPr>
        <w:t>,</w:t>
      </w:r>
      <w:r>
        <w:rPr>
          <w:rFonts w:hint="eastAsia"/>
          <w:sz w:val="24"/>
          <w:szCs w:val="28"/>
        </w:rPr>
        <w:t>以确保顾客满意。</w:t>
      </w:r>
    </w:p>
    <w:p w14:paraId="765751C6">
      <w:pPr>
        <w:spacing w:line="360" w:lineRule="auto"/>
        <w:rPr>
          <w:sz w:val="24"/>
          <w:szCs w:val="28"/>
        </w:rPr>
      </w:pPr>
      <w:r>
        <w:rPr>
          <w:sz w:val="24"/>
          <w:szCs w:val="28"/>
        </w:rPr>
        <w:t>2</w:t>
      </w:r>
      <w:r>
        <w:rPr>
          <w:rFonts w:hint="eastAsia"/>
          <w:sz w:val="24"/>
          <w:szCs w:val="28"/>
        </w:rPr>
        <w:t>、范围</w:t>
      </w:r>
    </w:p>
    <w:p w14:paraId="5CAB5FF7">
      <w:pPr>
        <w:spacing w:line="360" w:lineRule="auto"/>
        <w:rPr>
          <w:sz w:val="24"/>
          <w:szCs w:val="28"/>
        </w:rPr>
      </w:pPr>
      <w:r>
        <w:rPr>
          <w:sz w:val="24"/>
          <w:szCs w:val="28"/>
        </w:rPr>
        <w:t xml:space="preserve">     </w:t>
      </w:r>
      <w:r>
        <w:rPr>
          <w:rFonts w:hint="eastAsia"/>
          <w:sz w:val="24"/>
          <w:szCs w:val="28"/>
        </w:rPr>
        <w:t>适用于公司采购产品、原材料及配件发生不合格及交付后发现不合格的控制。</w:t>
      </w:r>
    </w:p>
    <w:p w14:paraId="0B8ECC2F">
      <w:pPr>
        <w:spacing w:line="360" w:lineRule="auto"/>
        <w:rPr>
          <w:sz w:val="24"/>
          <w:szCs w:val="28"/>
        </w:rPr>
      </w:pPr>
      <w:r>
        <w:rPr>
          <w:sz w:val="24"/>
          <w:szCs w:val="28"/>
        </w:rPr>
        <w:t>3</w:t>
      </w:r>
      <w:r>
        <w:rPr>
          <w:rFonts w:hint="eastAsia"/>
          <w:sz w:val="24"/>
          <w:szCs w:val="28"/>
        </w:rPr>
        <w:t>、职责</w:t>
      </w:r>
    </w:p>
    <w:p w14:paraId="61DFA872">
      <w:pPr>
        <w:spacing w:line="360" w:lineRule="auto"/>
        <w:rPr>
          <w:sz w:val="24"/>
          <w:szCs w:val="28"/>
        </w:rPr>
      </w:pPr>
      <w:r>
        <w:rPr>
          <w:sz w:val="24"/>
          <w:szCs w:val="28"/>
        </w:rPr>
        <w:t>3.</w:t>
      </w:r>
      <w:r>
        <w:rPr>
          <w:rFonts w:hint="eastAsia"/>
          <w:sz w:val="24"/>
          <w:szCs w:val="28"/>
        </w:rPr>
        <w:t>1</w:t>
      </w:r>
      <w:r>
        <w:rPr>
          <w:sz w:val="24"/>
          <w:szCs w:val="28"/>
        </w:rPr>
        <w:t xml:space="preserve"> </w:t>
      </w:r>
      <w:r>
        <w:rPr>
          <w:rFonts w:hint="eastAsia"/>
          <w:sz w:val="24"/>
          <w:szCs w:val="28"/>
          <w:lang w:eastAsia="zh-CN"/>
        </w:rPr>
        <w:t>研发部</w:t>
      </w:r>
      <w:r>
        <w:rPr>
          <w:rFonts w:hint="eastAsia"/>
          <w:sz w:val="24"/>
          <w:szCs w:val="28"/>
        </w:rPr>
        <w:t>负责不合格品的识别，并跟踪不合格品的处理结果。</w:t>
      </w:r>
    </w:p>
    <w:p w14:paraId="7EF5112B">
      <w:pPr>
        <w:spacing w:line="360" w:lineRule="auto"/>
        <w:rPr>
          <w:sz w:val="24"/>
          <w:szCs w:val="28"/>
        </w:rPr>
      </w:pPr>
      <w:r>
        <w:rPr>
          <w:rFonts w:hint="eastAsia"/>
          <w:sz w:val="24"/>
          <w:szCs w:val="28"/>
        </w:rPr>
        <w:t>3</w:t>
      </w:r>
      <w:r>
        <w:rPr>
          <w:sz w:val="24"/>
          <w:szCs w:val="28"/>
        </w:rPr>
        <w:t>.</w:t>
      </w:r>
      <w:r>
        <w:rPr>
          <w:rFonts w:hint="eastAsia"/>
          <w:sz w:val="24"/>
          <w:szCs w:val="28"/>
        </w:rPr>
        <w:t>2</w:t>
      </w:r>
      <w:r>
        <w:rPr>
          <w:sz w:val="24"/>
          <w:szCs w:val="28"/>
        </w:rPr>
        <w:t xml:space="preserve"> </w:t>
      </w:r>
      <w:r>
        <w:rPr>
          <w:rFonts w:hint="eastAsia"/>
          <w:sz w:val="24"/>
          <w:szCs w:val="28"/>
        </w:rPr>
        <w:t>管理者代表负责对所有不合格处置的批准。</w:t>
      </w:r>
    </w:p>
    <w:p w14:paraId="5C0940E4">
      <w:pPr>
        <w:spacing w:line="360" w:lineRule="auto"/>
        <w:rPr>
          <w:sz w:val="24"/>
          <w:szCs w:val="28"/>
        </w:rPr>
      </w:pPr>
      <w:r>
        <w:rPr>
          <w:sz w:val="24"/>
          <w:szCs w:val="28"/>
        </w:rPr>
        <w:t>3.</w:t>
      </w:r>
      <w:r>
        <w:rPr>
          <w:rFonts w:hint="eastAsia"/>
          <w:sz w:val="24"/>
          <w:szCs w:val="28"/>
        </w:rPr>
        <w:t>3</w:t>
      </w:r>
      <w:r>
        <w:rPr>
          <w:sz w:val="24"/>
          <w:szCs w:val="28"/>
        </w:rPr>
        <w:t xml:space="preserve"> </w:t>
      </w:r>
      <w:r>
        <w:rPr>
          <w:rFonts w:hint="eastAsia"/>
          <w:sz w:val="24"/>
          <w:szCs w:val="28"/>
          <w:lang w:eastAsia="zh-CN"/>
        </w:rPr>
        <w:t>市场部</w:t>
      </w:r>
      <w:r>
        <w:rPr>
          <w:rFonts w:hint="eastAsia"/>
          <w:sz w:val="24"/>
          <w:szCs w:val="28"/>
        </w:rPr>
        <w:t>负责对进厂原辅料、配件的不合格的处置。</w:t>
      </w:r>
    </w:p>
    <w:p w14:paraId="73BD36C7">
      <w:pPr>
        <w:spacing w:line="360" w:lineRule="auto"/>
        <w:rPr>
          <w:sz w:val="24"/>
          <w:szCs w:val="28"/>
        </w:rPr>
      </w:pPr>
      <w:r>
        <w:rPr>
          <w:rFonts w:hint="eastAsia"/>
          <w:sz w:val="24"/>
          <w:szCs w:val="28"/>
        </w:rPr>
        <w:t>3</w:t>
      </w:r>
      <w:r>
        <w:rPr>
          <w:sz w:val="24"/>
          <w:szCs w:val="28"/>
        </w:rPr>
        <w:t>.</w:t>
      </w:r>
      <w:r>
        <w:rPr>
          <w:rFonts w:hint="eastAsia"/>
          <w:sz w:val="24"/>
          <w:szCs w:val="28"/>
        </w:rPr>
        <w:t>4各有关部门按照职责分工负责不合格的隔离、标识、处置工作。</w:t>
      </w:r>
    </w:p>
    <w:p w14:paraId="311F5FA3">
      <w:pPr>
        <w:spacing w:line="360" w:lineRule="auto"/>
        <w:rPr>
          <w:sz w:val="24"/>
          <w:szCs w:val="28"/>
        </w:rPr>
      </w:pPr>
      <w:r>
        <w:rPr>
          <w:sz w:val="24"/>
          <w:szCs w:val="28"/>
        </w:rPr>
        <w:t>3.</w:t>
      </w:r>
      <w:r>
        <w:rPr>
          <w:rFonts w:hint="eastAsia"/>
          <w:sz w:val="24"/>
          <w:szCs w:val="28"/>
        </w:rPr>
        <w:t>5</w:t>
      </w:r>
      <w:r>
        <w:rPr>
          <w:rFonts w:hint="eastAsia"/>
          <w:sz w:val="24"/>
          <w:szCs w:val="28"/>
          <w:lang w:eastAsia="zh-CN"/>
        </w:rPr>
        <w:t>市场部</w:t>
      </w:r>
      <w:r>
        <w:rPr>
          <w:rFonts w:hint="eastAsia"/>
          <w:sz w:val="24"/>
          <w:szCs w:val="28"/>
        </w:rPr>
        <w:t>负责对产品交付后顾客反映不合格组织处置。</w:t>
      </w:r>
    </w:p>
    <w:p w14:paraId="3DB3B3FF">
      <w:pPr>
        <w:spacing w:line="360" w:lineRule="auto"/>
        <w:rPr>
          <w:sz w:val="24"/>
          <w:szCs w:val="28"/>
        </w:rPr>
      </w:pPr>
      <w:r>
        <w:rPr>
          <w:sz w:val="24"/>
          <w:szCs w:val="28"/>
        </w:rPr>
        <w:t>3.</w:t>
      </w:r>
      <w:r>
        <w:rPr>
          <w:rFonts w:hint="eastAsia"/>
          <w:sz w:val="24"/>
          <w:szCs w:val="28"/>
        </w:rPr>
        <w:t>6</w:t>
      </w:r>
      <w:r>
        <w:rPr>
          <w:sz w:val="24"/>
          <w:szCs w:val="28"/>
        </w:rPr>
        <w:t xml:space="preserve"> </w:t>
      </w:r>
      <w:r>
        <w:rPr>
          <w:rFonts w:hint="eastAsia"/>
          <w:sz w:val="24"/>
          <w:szCs w:val="28"/>
          <w:lang w:eastAsia="zh-CN"/>
        </w:rPr>
        <w:t>生产技术部</w:t>
      </w:r>
      <w:r>
        <w:rPr>
          <w:rFonts w:hint="eastAsia"/>
          <w:sz w:val="24"/>
          <w:szCs w:val="28"/>
        </w:rPr>
        <w:t>负责对线上不合格品和已入库不合格品的标识、隔离、处置工作。</w:t>
      </w:r>
    </w:p>
    <w:p w14:paraId="1EBFF151">
      <w:pPr>
        <w:spacing w:line="360" w:lineRule="auto"/>
        <w:rPr>
          <w:sz w:val="24"/>
          <w:szCs w:val="28"/>
        </w:rPr>
      </w:pPr>
      <w:r>
        <w:rPr>
          <w:sz w:val="24"/>
          <w:szCs w:val="28"/>
        </w:rPr>
        <w:t>4</w:t>
      </w:r>
      <w:r>
        <w:rPr>
          <w:rFonts w:hint="eastAsia"/>
          <w:sz w:val="24"/>
          <w:szCs w:val="28"/>
        </w:rPr>
        <w:t>、程序</w:t>
      </w:r>
    </w:p>
    <w:p w14:paraId="2E74EE8E">
      <w:pPr>
        <w:spacing w:line="360" w:lineRule="auto"/>
        <w:rPr>
          <w:sz w:val="24"/>
          <w:szCs w:val="28"/>
        </w:rPr>
      </w:pPr>
      <w:r>
        <w:rPr>
          <w:sz w:val="24"/>
          <w:szCs w:val="28"/>
        </w:rPr>
        <w:t xml:space="preserve">4.1 </w:t>
      </w:r>
      <w:r>
        <w:rPr>
          <w:rFonts w:hint="eastAsia"/>
          <w:sz w:val="24"/>
          <w:szCs w:val="28"/>
        </w:rPr>
        <w:t>采购产品和最终产品不合格的发现与隔离：</w:t>
      </w:r>
    </w:p>
    <w:p w14:paraId="595A4FB5">
      <w:pPr>
        <w:spacing w:line="360" w:lineRule="auto"/>
        <w:rPr>
          <w:sz w:val="24"/>
          <w:szCs w:val="28"/>
        </w:rPr>
      </w:pPr>
      <w:r>
        <w:rPr>
          <w:sz w:val="24"/>
          <w:szCs w:val="28"/>
        </w:rPr>
        <w:t>4.</w:t>
      </w:r>
      <w:r>
        <w:rPr>
          <w:rFonts w:hint="eastAsia"/>
          <w:sz w:val="24"/>
          <w:szCs w:val="28"/>
        </w:rPr>
        <w:t>1</w:t>
      </w:r>
      <w:r>
        <w:rPr>
          <w:sz w:val="24"/>
          <w:szCs w:val="28"/>
        </w:rPr>
        <w:t>.1</w:t>
      </w:r>
      <w:r>
        <w:rPr>
          <w:rFonts w:hint="eastAsia"/>
          <w:sz w:val="24"/>
          <w:szCs w:val="28"/>
        </w:rPr>
        <w:t>采购产品</w:t>
      </w:r>
      <w:r>
        <w:rPr>
          <w:sz w:val="24"/>
          <w:szCs w:val="28"/>
        </w:rPr>
        <w:t xml:space="preserve"> </w:t>
      </w:r>
    </w:p>
    <w:p w14:paraId="77AFB6DE">
      <w:pPr>
        <w:spacing w:line="360" w:lineRule="auto"/>
        <w:rPr>
          <w:sz w:val="24"/>
          <w:szCs w:val="28"/>
        </w:rPr>
      </w:pPr>
      <w:r>
        <w:rPr>
          <w:sz w:val="24"/>
          <w:szCs w:val="28"/>
        </w:rPr>
        <w:t xml:space="preserve"> </w:t>
      </w:r>
      <w:r>
        <w:rPr>
          <w:rFonts w:hint="eastAsia"/>
          <w:sz w:val="24"/>
          <w:szCs w:val="28"/>
        </w:rPr>
        <w:t xml:space="preserve"> </w:t>
      </w:r>
      <w:r>
        <w:rPr>
          <w:sz w:val="24"/>
          <w:szCs w:val="28"/>
        </w:rPr>
        <w:t xml:space="preserve">a) </w:t>
      </w:r>
      <w:r>
        <w:rPr>
          <w:rFonts w:hint="eastAsia"/>
          <w:sz w:val="24"/>
          <w:szCs w:val="28"/>
        </w:rPr>
        <w:t>采购产品进厂后由质检人员按规定实施验证。当发现不合格时，由检验人员通知</w:t>
      </w:r>
      <w:r>
        <w:rPr>
          <w:rFonts w:hint="eastAsia"/>
          <w:sz w:val="24"/>
          <w:szCs w:val="28"/>
          <w:lang w:eastAsia="zh-CN"/>
        </w:rPr>
        <w:t>市场部</w:t>
      </w:r>
      <w:r>
        <w:rPr>
          <w:rFonts w:hint="eastAsia"/>
          <w:sz w:val="24"/>
          <w:szCs w:val="28"/>
        </w:rPr>
        <w:t>。</w:t>
      </w:r>
    </w:p>
    <w:p w14:paraId="1A0F1D62">
      <w:pPr>
        <w:spacing w:line="360" w:lineRule="auto"/>
        <w:rPr>
          <w:sz w:val="24"/>
          <w:szCs w:val="28"/>
        </w:rPr>
      </w:pPr>
      <w:r>
        <w:rPr>
          <w:rFonts w:hint="eastAsia"/>
          <w:sz w:val="24"/>
          <w:szCs w:val="28"/>
        </w:rPr>
        <w:t xml:space="preserve"> </w:t>
      </w:r>
      <w:r>
        <w:rPr>
          <w:sz w:val="24"/>
          <w:szCs w:val="28"/>
        </w:rPr>
        <w:t xml:space="preserve">b) </w:t>
      </w:r>
      <w:r>
        <w:rPr>
          <w:rFonts w:hint="eastAsia"/>
          <w:sz w:val="24"/>
          <w:szCs w:val="28"/>
          <w:lang w:eastAsia="zh-CN"/>
        </w:rPr>
        <w:t>市场部</w:t>
      </w:r>
      <w:r>
        <w:rPr>
          <w:rFonts w:hint="eastAsia"/>
          <w:sz w:val="24"/>
          <w:szCs w:val="28"/>
        </w:rPr>
        <w:t>门应对不合格品做退货处理,暂时无法退回的应立即组织有关人员对产品实施隔离，并悬挂“不合格待处理”的标识。</w:t>
      </w:r>
    </w:p>
    <w:p w14:paraId="0520F67F">
      <w:pPr>
        <w:spacing w:line="360" w:lineRule="auto"/>
        <w:rPr>
          <w:sz w:val="24"/>
          <w:szCs w:val="28"/>
        </w:rPr>
      </w:pPr>
      <w:r>
        <w:rPr>
          <w:rFonts w:hint="eastAsia"/>
          <w:sz w:val="24"/>
          <w:szCs w:val="28"/>
        </w:rPr>
        <w:t>4</w:t>
      </w:r>
      <w:r>
        <w:rPr>
          <w:sz w:val="24"/>
          <w:szCs w:val="28"/>
        </w:rPr>
        <w:t>.1.2</w:t>
      </w:r>
      <w:r>
        <w:rPr>
          <w:rFonts w:hint="eastAsia"/>
          <w:sz w:val="24"/>
          <w:szCs w:val="28"/>
        </w:rPr>
        <w:t xml:space="preserve">  最终产品经检验发现不合格</w:t>
      </w:r>
    </w:p>
    <w:p w14:paraId="262F2BE4">
      <w:pPr>
        <w:spacing w:line="360" w:lineRule="auto"/>
        <w:rPr>
          <w:sz w:val="24"/>
          <w:szCs w:val="28"/>
        </w:rPr>
      </w:pPr>
      <w:r>
        <w:rPr>
          <w:sz w:val="24"/>
          <w:szCs w:val="28"/>
        </w:rPr>
        <w:t xml:space="preserve">a)  </w:t>
      </w:r>
      <w:r>
        <w:rPr>
          <w:rFonts w:hint="eastAsia"/>
          <w:sz w:val="24"/>
          <w:szCs w:val="28"/>
        </w:rPr>
        <w:t>最终产品经检验发现不合格时，由检验人员立即通知有关岗位。</w:t>
      </w:r>
    </w:p>
    <w:p w14:paraId="17F019D7">
      <w:pPr>
        <w:spacing w:line="360" w:lineRule="auto"/>
        <w:rPr>
          <w:sz w:val="24"/>
          <w:szCs w:val="28"/>
        </w:rPr>
      </w:pPr>
      <w:r>
        <w:rPr>
          <w:sz w:val="24"/>
          <w:szCs w:val="28"/>
        </w:rPr>
        <w:t xml:space="preserve">b)  </w:t>
      </w:r>
      <w:r>
        <w:rPr>
          <w:rFonts w:hint="eastAsia"/>
          <w:sz w:val="24"/>
          <w:szCs w:val="28"/>
        </w:rPr>
        <w:t>岗位人员应立即将不合格产品移入“不合格区”进行处理。</w:t>
      </w:r>
    </w:p>
    <w:p w14:paraId="05AD7B9D">
      <w:pPr>
        <w:spacing w:line="360" w:lineRule="auto"/>
        <w:rPr>
          <w:sz w:val="24"/>
          <w:szCs w:val="28"/>
        </w:rPr>
      </w:pPr>
      <w:r>
        <w:rPr>
          <w:sz w:val="24"/>
          <w:szCs w:val="28"/>
        </w:rPr>
        <w:t>4.1.</w:t>
      </w:r>
      <w:r>
        <w:rPr>
          <w:rFonts w:hint="eastAsia"/>
          <w:sz w:val="24"/>
          <w:szCs w:val="28"/>
        </w:rPr>
        <w:t>3 库存产品或交付后顾客反馈的不合格信息</w:t>
      </w:r>
    </w:p>
    <w:p w14:paraId="5A61A83F">
      <w:pPr>
        <w:spacing w:line="360" w:lineRule="auto"/>
        <w:rPr>
          <w:sz w:val="24"/>
          <w:szCs w:val="28"/>
        </w:rPr>
      </w:pPr>
      <w:r>
        <w:rPr>
          <w:sz w:val="24"/>
          <w:szCs w:val="28"/>
        </w:rPr>
        <w:t>4.1.</w:t>
      </w:r>
      <w:r>
        <w:rPr>
          <w:rFonts w:hint="eastAsia"/>
          <w:sz w:val="24"/>
          <w:szCs w:val="28"/>
        </w:rPr>
        <w:t>3</w:t>
      </w:r>
      <w:r>
        <w:rPr>
          <w:sz w:val="24"/>
          <w:szCs w:val="28"/>
        </w:rPr>
        <w:t>.1</w:t>
      </w:r>
      <w:r>
        <w:rPr>
          <w:rFonts w:hint="eastAsia"/>
          <w:sz w:val="24"/>
          <w:szCs w:val="28"/>
        </w:rPr>
        <w:t>库存产品入库前由</w:t>
      </w:r>
      <w:r>
        <w:rPr>
          <w:rFonts w:hint="eastAsia"/>
          <w:sz w:val="24"/>
          <w:szCs w:val="28"/>
          <w:lang w:eastAsia="zh-CN"/>
        </w:rPr>
        <w:t>研发部</w:t>
      </w:r>
      <w:r>
        <w:rPr>
          <w:rFonts w:hint="eastAsia"/>
          <w:sz w:val="24"/>
          <w:szCs w:val="28"/>
        </w:rPr>
        <w:t>按标准的要求进行检验，当发现不合格时，应按标准的要求再次进行加大抽样量重新检验，当确认不合格时由仓库对该批产品实施隔离措施，并悬挂“不合格待处理”的标识，由管理者代表负责处置批准。</w:t>
      </w:r>
    </w:p>
    <w:p w14:paraId="31BB8315">
      <w:pPr>
        <w:spacing w:line="360" w:lineRule="auto"/>
        <w:rPr>
          <w:sz w:val="24"/>
          <w:szCs w:val="28"/>
        </w:rPr>
      </w:pPr>
      <w:r>
        <w:rPr>
          <w:rFonts w:hint="eastAsia"/>
          <w:sz w:val="24"/>
          <w:szCs w:val="28"/>
        </w:rPr>
        <w:t>4.1.3.2  当在交付或开始使用后发现产品不合格时，应采取与不合格的影响或潜在影响的程度相适应的措施。对于产品交付后顾客发现的不合格或不满意信息，由</w:t>
      </w:r>
      <w:r>
        <w:rPr>
          <w:rFonts w:hint="eastAsia"/>
          <w:sz w:val="24"/>
          <w:szCs w:val="28"/>
          <w:lang w:eastAsia="zh-CN"/>
        </w:rPr>
        <w:t>市场部</w:t>
      </w:r>
      <w:r>
        <w:rPr>
          <w:rFonts w:hint="eastAsia"/>
          <w:sz w:val="24"/>
          <w:szCs w:val="28"/>
        </w:rPr>
        <w:t>记录不合格的性质，按《顾客满意度控制程序》处理，并将不合格或不满意的信息及时报管理者代表。</w:t>
      </w:r>
    </w:p>
    <w:p w14:paraId="3283659E">
      <w:pPr>
        <w:spacing w:line="360" w:lineRule="auto"/>
        <w:rPr>
          <w:sz w:val="24"/>
          <w:szCs w:val="28"/>
        </w:rPr>
      </w:pPr>
      <w:r>
        <w:rPr>
          <w:rFonts w:hint="eastAsia"/>
          <w:sz w:val="24"/>
          <w:szCs w:val="28"/>
        </w:rPr>
        <w:t>4</w:t>
      </w:r>
      <w:r>
        <w:rPr>
          <w:sz w:val="24"/>
          <w:szCs w:val="28"/>
        </w:rPr>
        <w:t>.2</w:t>
      </w:r>
      <w:r>
        <w:rPr>
          <w:rFonts w:hint="eastAsia"/>
          <w:sz w:val="24"/>
          <w:szCs w:val="28"/>
        </w:rPr>
        <w:t>不合格品的评审</w:t>
      </w:r>
    </w:p>
    <w:p w14:paraId="25D95186">
      <w:pPr>
        <w:spacing w:line="360" w:lineRule="auto"/>
        <w:rPr>
          <w:sz w:val="24"/>
          <w:szCs w:val="28"/>
        </w:rPr>
      </w:pPr>
      <w:r>
        <w:rPr>
          <w:rFonts w:hint="eastAsia"/>
          <w:sz w:val="24"/>
          <w:szCs w:val="28"/>
        </w:rPr>
        <w:t xml:space="preserve"> 各部门分别对批次较大的不合格品组织有关部门进行评审，评审可采取专业会议、现场办公等形式进行，评审的内容包括：</w:t>
      </w:r>
    </w:p>
    <w:p w14:paraId="1E3C6120">
      <w:pPr>
        <w:spacing w:line="360" w:lineRule="auto"/>
        <w:ind w:firstLine="240" w:firstLineChars="100"/>
        <w:rPr>
          <w:sz w:val="24"/>
          <w:szCs w:val="28"/>
        </w:rPr>
      </w:pPr>
      <w:r>
        <w:rPr>
          <w:sz w:val="24"/>
          <w:szCs w:val="28"/>
        </w:rPr>
        <w:t xml:space="preserve">a) </w:t>
      </w:r>
      <w:r>
        <w:rPr>
          <w:rFonts w:hint="eastAsia"/>
          <w:sz w:val="24"/>
          <w:szCs w:val="28"/>
        </w:rPr>
        <w:t>不合格的性质、给产品和本公司造成的影响程度；</w:t>
      </w:r>
    </w:p>
    <w:p w14:paraId="64935C86">
      <w:pPr>
        <w:spacing w:line="360" w:lineRule="auto"/>
        <w:ind w:firstLine="240" w:firstLineChars="100"/>
        <w:rPr>
          <w:sz w:val="24"/>
          <w:szCs w:val="28"/>
        </w:rPr>
      </w:pPr>
      <w:r>
        <w:rPr>
          <w:sz w:val="24"/>
          <w:szCs w:val="28"/>
        </w:rPr>
        <w:t xml:space="preserve">b) </w:t>
      </w:r>
      <w:r>
        <w:rPr>
          <w:rFonts w:hint="eastAsia"/>
          <w:sz w:val="24"/>
          <w:szCs w:val="28"/>
        </w:rPr>
        <w:t>不合格产生的原因及处置意见。</w:t>
      </w:r>
    </w:p>
    <w:p w14:paraId="69F2BE96">
      <w:pPr>
        <w:spacing w:line="360" w:lineRule="auto"/>
        <w:rPr>
          <w:sz w:val="24"/>
          <w:szCs w:val="28"/>
        </w:rPr>
      </w:pPr>
      <w:r>
        <w:rPr>
          <w:rFonts w:hint="eastAsia"/>
          <w:sz w:val="24"/>
          <w:szCs w:val="28"/>
        </w:rPr>
        <w:t>4.3 不合格的处置方法：</w:t>
      </w:r>
    </w:p>
    <w:p w14:paraId="1BDAFCE2">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对采购物资采用退货、更换等方法进行处置。对产品不构成重大影响且因各种原因不能实施退货、更换等措施的产品，经管理者代表批准后进行让步接收。</w:t>
      </w:r>
    </w:p>
    <w:p w14:paraId="42F280D0">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对最终产品采用返工、报废等措施。</w:t>
      </w:r>
    </w:p>
    <w:p w14:paraId="1C936FB4">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返工产品经重新检验合格后方可交付。</w:t>
      </w:r>
    </w:p>
    <w:p w14:paraId="43CE3077">
      <w:pPr>
        <w:spacing w:line="360" w:lineRule="auto"/>
        <w:ind w:left="425" w:hanging="424" w:hangingChars="177"/>
        <w:rPr>
          <w:sz w:val="24"/>
          <w:szCs w:val="28"/>
        </w:rPr>
      </w:pPr>
      <w:r>
        <w:rPr>
          <w:sz w:val="24"/>
          <w:szCs w:val="28"/>
        </w:rPr>
        <w:t>4.</w:t>
      </w:r>
      <w:r>
        <w:rPr>
          <w:rFonts w:hint="eastAsia"/>
          <w:sz w:val="24"/>
          <w:szCs w:val="28"/>
        </w:rPr>
        <w:t>4 对重复发生的不合格品或发生重大不合格品，由管理者代表组织各有关部门按规定分析不合格产生的原因、制定改进措施并按制定的纠正措施实施，防止不合格的再发生。</w:t>
      </w:r>
    </w:p>
    <w:p w14:paraId="492F7ABF">
      <w:pPr>
        <w:spacing w:line="360" w:lineRule="auto"/>
        <w:ind w:left="425" w:hanging="424" w:hangingChars="177"/>
        <w:rPr>
          <w:sz w:val="24"/>
          <w:szCs w:val="28"/>
        </w:rPr>
      </w:pPr>
      <w:r>
        <w:rPr>
          <w:sz w:val="24"/>
          <w:szCs w:val="28"/>
        </w:rPr>
        <w:t>4.</w:t>
      </w:r>
      <w:r>
        <w:rPr>
          <w:rFonts w:hint="eastAsia"/>
          <w:sz w:val="24"/>
          <w:szCs w:val="28"/>
        </w:rPr>
        <w:t>5</w:t>
      </w:r>
      <w:r>
        <w:rPr>
          <w:sz w:val="24"/>
          <w:szCs w:val="28"/>
        </w:rPr>
        <w:t xml:space="preserve"> </w:t>
      </w:r>
      <w:r>
        <w:rPr>
          <w:rFonts w:hint="eastAsia"/>
          <w:sz w:val="24"/>
          <w:szCs w:val="28"/>
        </w:rPr>
        <w:t>不合格品处置(包括“让步接收”)的证据及针对不合格品所采取的纠正措施报告,由处置部门负责保留。</w:t>
      </w:r>
    </w:p>
    <w:p w14:paraId="50E316D0">
      <w:pPr>
        <w:spacing w:line="360" w:lineRule="auto"/>
        <w:rPr>
          <w:b/>
          <w:sz w:val="24"/>
          <w:szCs w:val="28"/>
        </w:rPr>
      </w:pPr>
      <w:r>
        <w:rPr>
          <w:b/>
          <w:sz w:val="24"/>
          <w:szCs w:val="28"/>
        </w:rPr>
        <w:t>5</w:t>
      </w:r>
      <w:r>
        <w:rPr>
          <w:rFonts w:hint="eastAsia"/>
          <w:b/>
          <w:sz w:val="24"/>
          <w:szCs w:val="28"/>
        </w:rPr>
        <w:t>、相关文件</w:t>
      </w:r>
    </w:p>
    <w:p w14:paraId="093FA121">
      <w:pPr>
        <w:spacing w:line="360" w:lineRule="auto"/>
        <w:rPr>
          <w:sz w:val="24"/>
          <w:szCs w:val="28"/>
        </w:rPr>
      </w:pPr>
      <w:r>
        <w:rPr>
          <w:sz w:val="24"/>
          <w:szCs w:val="28"/>
        </w:rPr>
        <w:t xml:space="preserve"> </w:t>
      </w:r>
      <w:r>
        <w:rPr>
          <w:rFonts w:hint="eastAsia"/>
          <w:sz w:val="24"/>
          <w:szCs w:val="28"/>
        </w:rPr>
        <w:t xml:space="preserve">  《改进控制程序》</w:t>
      </w:r>
      <w:r>
        <w:rPr>
          <w:sz w:val="24"/>
          <w:szCs w:val="28"/>
        </w:rPr>
        <w:t xml:space="preserve"> </w:t>
      </w:r>
    </w:p>
    <w:p w14:paraId="5A332170">
      <w:pPr>
        <w:spacing w:line="360" w:lineRule="auto"/>
        <w:rPr>
          <w:sz w:val="24"/>
          <w:szCs w:val="28"/>
        </w:rPr>
      </w:pPr>
      <w:r>
        <w:rPr>
          <w:rFonts w:hint="eastAsia"/>
          <w:sz w:val="24"/>
          <w:szCs w:val="28"/>
        </w:rPr>
        <w:t xml:space="preserve">  《顾客满意度控制程序》 </w:t>
      </w:r>
    </w:p>
    <w:p w14:paraId="7C6C3CB5">
      <w:pPr>
        <w:spacing w:line="360" w:lineRule="auto"/>
        <w:rPr>
          <w:b/>
          <w:sz w:val="24"/>
          <w:szCs w:val="28"/>
        </w:rPr>
      </w:pPr>
      <w:r>
        <w:rPr>
          <w:b/>
          <w:sz w:val="24"/>
          <w:szCs w:val="28"/>
        </w:rPr>
        <w:t>6</w:t>
      </w:r>
      <w:r>
        <w:rPr>
          <w:rFonts w:hint="eastAsia"/>
          <w:b/>
          <w:sz w:val="24"/>
          <w:szCs w:val="28"/>
        </w:rPr>
        <w:t>、记录</w:t>
      </w:r>
    </w:p>
    <w:p w14:paraId="3C1A0FE3">
      <w:pPr>
        <w:spacing w:line="360" w:lineRule="auto"/>
        <w:rPr>
          <w:sz w:val="24"/>
          <w:szCs w:val="28"/>
        </w:rPr>
      </w:pPr>
      <w:r>
        <w:rPr>
          <w:sz w:val="24"/>
          <w:szCs w:val="28"/>
        </w:rPr>
        <w:t>a.</w:t>
      </w:r>
      <w:r>
        <w:rPr>
          <w:rFonts w:hint="eastAsia"/>
          <w:sz w:val="24"/>
          <w:szCs w:val="28"/>
        </w:rPr>
        <w:t xml:space="preserve"> 不合格处置记录</w:t>
      </w:r>
    </w:p>
    <w:p w14:paraId="7B3B6806">
      <w:pPr>
        <w:rPr>
          <w:sz w:val="24"/>
          <w:szCs w:val="28"/>
          <w:highlight w:val="yellow"/>
        </w:rPr>
      </w:pPr>
    </w:p>
    <w:p w14:paraId="675B3CA5">
      <w:pPr>
        <w:rPr>
          <w:sz w:val="24"/>
          <w:highlight w:val="yellow"/>
        </w:rPr>
      </w:pPr>
    </w:p>
    <w:p w14:paraId="1891CCBC">
      <w:pPr>
        <w:widowControl/>
        <w:jc w:val="left"/>
        <w:rPr>
          <w:sz w:val="24"/>
        </w:rPr>
      </w:pPr>
      <w:r>
        <w:rPr>
          <w:sz w:val="24"/>
        </w:rPr>
        <w:br w:type="page"/>
      </w:r>
    </w:p>
    <w:p w14:paraId="3963D1FB">
      <w:pPr>
        <w:pStyle w:val="2"/>
        <w:spacing w:before="156" w:beforeLines="50" w:after="156" w:afterLines="50" w:line="720" w:lineRule="auto"/>
        <w:jc w:val="left"/>
        <w:rPr>
          <w:sz w:val="28"/>
          <w:szCs w:val="28"/>
        </w:rPr>
      </w:pPr>
      <w:r>
        <w:rPr>
          <w:rFonts w:hint="eastAsia"/>
          <w:sz w:val="28"/>
          <w:szCs w:val="28"/>
        </w:rPr>
        <w:t>六、</w:t>
      </w:r>
      <w:bookmarkEnd w:id="8"/>
      <w:bookmarkEnd w:id="9"/>
      <w:bookmarkEnd w:id="10"/>
      <w:bookmarkEnd w:id="11"/>
      <w:r>
        <w:rPr>
          <w:rFonts w:hint="eastAsia"/>
          <w:sz w:val="28"/>
          <w:szCs w:val="28"/>
        </w:rPr>
        <w:t>组织的环境、相关方</w:t>
      </w:r>
      <w:r>
        <w:rPr>
          <w:sz w:val="28"/>
          <w:szCs w:val="28"/>
        </w:rPr>
        <w:t>分析</w:t>
      </w:r>
      <w:r>
        <w:rPr>
          <w:rFonts w:hint="eastAsia"/>
          <w:sz w:val="28"/>
          <w:szCs w:val="28"/>
        </w:rPr>
        <w:t xml:space="preserve">及风险控制程序 </w:t>
      </w:r>
      <w:r>
        <w:rPr>
          <w:sz w:val="28"/>
          <w:szCs w:val="28"/>
        </w:rPr>
        <w:t xml:space="preserve"> </w:t>
      </w:r>
      <w:r>
        <w:rPr>
          <w:rFonts w:hint="eastAsia"/>
          <w:sz w:val="28"/>
          <w:szCs w:val="28"/>
        </w:rPr>
        <w:t>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-06</w:t>
      </w:r>
    </w:p>
    <w:p w14:paraId="4A6605FC">
      <w:pPr>
        <w:spacing w:line="360" w:lineRule="auto"/>
        <w:rPr>
          <w:b/>
          <w:sz w:val="24"/>
          <w:szCs w:val="28"/>
        </w:rPr>
      </w:pPr>
      <w:r>
        <w:rPr>
          <w:rFonts w:hint="eastAsia"/>
          <w:b/>
          <w:sz w:val="24"/>
          <w:szCs w:val="28"/>
        </w:rPr>
        <w:t>1 目的</w:t>
      </w:r>
    </w:p>
    <w:p w14:paraId="2173D691">
      <w:pPr>
        <w:spacing w:line="360" w:lineRule="auto"/>
        <w:ind w:firstLine="480" w:firstLineChars="200"/>
        <w:rPr>
          <w:sz w:val="24"/>
          <w:szCs w:val="28"/>
        </w:rPr>
      </w:pPr>
      <w:r>
        <w:rPr>
          <w:rFonts w:hint="eastAsia"/>
          <w:sz w:val="24"/>
          <w:szCs w:val="28"/>
        </w:rPr>
        <w:t>对与质量/环境管理体系有关的内外部环境、相关方的需求和期望进行识别和分析，确定影响质量、环境管理体系的内外部因素及相关要求，为识别和确定QES管理体系需要应对的风险和机遇奠定基础。</w:t>
      </w:r>
    </w:p>
    <w:p w14:paraId="2FDA6C11">
      <w:pPr>
        <w:spacing w:line="360" w:lineRule="auto"/>
        <w:rPr>
          <w:b/>
          <w:sz w:val="24"/>
          <w:szCs w:val="28"/>
        </w:rPr>
      </w:pPr>
      <w:r>
        <w:rPr>
          <w:rFonts w:hint="eastAsia"/>
          <w:b/>
          <w:sz w:val="24"/>
          <w:szCs w:val="28"/>
        </w:rPr>
        <w:t>2 适用范围</w:t>
      </w:r>
    </w:p>
    <w:p w14:paraId="2DF118BE">
      <w:pPr>
        <w:spacing w:line="360" w:lineRule="auto"/>
        <w:rPr>
          <w:sz w:val="24"/>
          <w:szCs w:val="28"/>
        </w:rPr>
      </w:pPr>
      <w:r>
        <w:rPr>
          <w:rFonts w:hint="eastAsia"/>
          <w:sz w:val="24"/>
          <w:szCs w:val="28"/>
        </w:rPr>
        <w:t>适用于公司与质量/环境管理体系的环境分析和相关方需求和期望的确定。</w:t>
      </w:r>
    </w:p>
    <w:p w14:paraId="125A1953">
      <w:pPr>
        <w:spacing w:line="360" w:lineRule="auto"/>
        <w:rPr>
          <w:b/>
          <w:sz w:val="24"/>
          <w:szCs w:val="28"/>
        </w:rPr>
      </w:pPr>
      <w:r>
        <w:rPr>
          <w:rFonts w:hint="eastAsia"/>
          <w:b/>
          <w:sz w:val="24"/>
          <w:szCs w:val="28"/>
        </w:rPr>
        <w:t>3 职责</w:t>
      </w:r>
    </w:p>
    <w:p w14:paraId="7A8F8F80">
      <w:pPr>
        <w:spacing w:line="360" w:lineRule="auto"/>
        <w:ind w:left="425" w:hanging="424" w:hangingChars="177"/>
        <w:rPr>
          <w:sz w:val="24"/>
          <w:szCs w:val="28"/>
        </w:rPr>
      </w:pPr>
      <w:r>
        <w:rPr>
          <w:rFonts w:hint="eastAsia"/>
          <w:sz w:val="24"/>
          <w:szCs w:val="28"/>
        </w:rPr>
        <w:t>3.1总经理负责依据确定影响质量/环境管理体系的内外部因素及相关要求，为识别和确定QES管理体系需要应对的风险和机遇。</w:t>
      </w:r>
    </w:p>
    <w:p w14:paraId="7024C568">
      <w:pPr>
        <w:spacing w:line="360" w:lineRule="auto"/>
        <w:ind w:left="425" w:hanging="424" w:hangingChars="177"/>
        <w:rPr>
          <w:sz w:val="24"/>
          <w:szCs w:val="28"/>
        </w:rPr>
      </w:pPr>
      <w:r>
        <w:rPr>
          <w:rFonts w:hint="eastAsia"/>
          <w:sz w:val="24"/>
          <w:szCs w:val="28"/>
        </w:rPr>
        <w:t>3.2 管理者代表负责组织相关部门，确定与组织环境分析、相关方的需求和期望的相关信息收集渠道和方法，并对收集的信息进行汇总、分析。</w:t>
      </w:r>
    </w:p>
    <w:p w14:paraId="7CF98D8D">
      <w:pPr>
        <w:spacing w:line="360" w:lineRule="auto"/>
        <w:ind w:left="425" w:hanging="424" w:hangingChars="177"/>
        <w:rPr>
          <w:sz w:val="24"/>
          <w:szCs w:val="28"/>
        </w:rPr>
      </w:pPr>
      <w:r>
        <w:rPr>
          <w:rFonts w:hint="eastAsia"/>
          <w:sz w:val="24"/>
          <w:szCs w:val="28"/>
        </w:rPr>
        <w:t>3.3 各相关部门负责与其职责相关的内外部环境、相关方信息的收集，并上报到管理者代表。</w:t>
      </w:r>
    </w:p>
    <w:p w14:paraId="20D4736B">
      <w:pPr>
        <w:spacing w:line="360" w:lineRule="auto"/>
        <w:rPr>
          <w:b/>
          <w:sz w:val="24"/>
          <w:szCs w:val="28"/>
        </w:rPr>
      </w:pPr>
      <w:r>
        <w:rPr>
          <w:rFonts w:hint="eastAsia"/>
          <w:b/>
          <w:sz w:val="24"/>
          <w:szCs w:val="28"/>
        </w:rPr>
        <w:t>4 工作程序</w:t>
      </w:r>
    </w:p>
    <w:p w14:paraId="60AEEE83">
      <w:pPr>
        <w:spacing w:line="360" w:lineRule="auto"/>
        <w:ind w:left="425" w:hanging="424" w:hangingChars="177"/>
        <w:rPr>
          <w:sz w:val="24"/>
          <w:szCs w:val="28"/>
        </w:rPr>
      </w:pPr>
      <w:r>
        <w:rPr>
          <w:rFonts w:hint="eastAsia"/>
          <w:sz w:val="24"/>
          <w:szCs w:val="28"/>
        </w:rPr>
        <w:t>4.1 管理者代表依据组织确定的管理体系范围，确定其环境分析中应关注的内外部因素及相关方，由责任部门负责对相关的信息进行识别，建立渠道收集；</w:t>
      </w:r>
    </w:p>
    <w:p w14:paraId="678F430C">
      <w:pPr>
        <w:spacing w:line="360" w:lineRule="auto"/>
        <w:ind w:left="425" w:hanging="424" w:hangingChars="177"/>
        <w:rPr>
          <w:sz w:val="24"/>
          <w:szCs w:val="28"/>
        </w:rPr>
      </w:pPr>
      <w:r>
        <w:rPr>
          <w:rFonts w:hint="eastAsia"/>
          <w:sz w:val="24"/>
          <w:szCs w:val="28"/>
        </w:rPr>
        <w:t>4.2 外部环境要考虑来自于国际、国内、地区和当地的各种法律法规、技术、竞争、市场、文化、社会和经济等外部因素；</w:t>
      </w:r>
    </w:p>
    <w:p w14:paraId="44623A54">
      <w:pPr>
        <w:spacing w:line="360" w:lineRule="auto"/>
        <w:ind w:left="425" w:hanging="424" w:hangingChars="177"/>
        <w:rPr>
          <w:sz w:val="24"/>
          <w:szCs w:val="28"/>
        </w:rPr>
      </w:pPr>
      <w:r>
        <w:rPr>
          <w:rFonts w:hint="eastAsia"/>
          <w:sz w:val="24"/>
          <w:szCs w:val="28"/>
        </w:rPr>
        <w:t>4.3内部环境要考虑与组织的价值观、文化、知识和绩效有关的内部因素；</w:t>
      </w:r>
    </w:p>
    <w:p w14:paraId="034D9862">
      <w:pPr>
        <w:spacing w:line="360" w:lineRule="auto"/>
        <w:ind w:left="425" w:hanging="424" w:hangingChars="177"/>
        <w:rPr>
          <w:sz w:val="24"/>
          <w:szCs w:val="28"/>
        </w:rPr>
      </w:pPr>
      <w:r>
        <w:rPr>
          <w:rFonts w:hint="eastAsia"/>
          <w:sz w:val="24"/>
          <w:szCs w:val="28"/>
        </w:rPr>
        <w:t>4.4 由相关部门将对质量和环境管理体系有影响的内外部因素，确定与公司宗旨和战略方向相关并影响实现QES管理体系预期结果的能力的各种外部和内部因素，针对这些内外部因素进行分析，确定其对质量、环境管理体系的影响及所带来的风险。</w:t>
      </w:r>
    </w:p>
    <w:p w14:paraId="198BE10E">
      <w:pPr>
        <w:spacing w:line="360" w:lineRule="auto"/>
        <w:ind w:left="425" w:hanging="424" w:hangingChars="177"/>
        <w:rPr>
          <w:sz w:val="24"/>
          <w:szCs w:val="28"/>
        </w:rPr>
      </w:pPr>
      <w:r>
        <w:rPr>
          <w:rFonts w:hint="eastAsia"/>
          <w:sz w:val="24"/>
          <w:szCs w:val="28"/>
        </w:rPr>
        <w:t>4.5 确定与质量和环境管理体系有关的相关方(如顾客、供方、政府、</w:t>
      </w:r>
      <w:r>
        <w:rPr>
          <w:rFonts w:hint="eastAsia"/>
          <w:sz w:val="24"/>
          <w:szCs w:val="28"/>
          <w:lang w:eastAsia="zh-CN"/>
        </w:rPr>
        <w:t>综合部</w:t>
      </w:r>
      <w:r>
        <w:rPr>
          <w:rFonts w:hint="eastAsia"/>
          <w:sz w:val="24"/>
          <w:szCs w:val="28"/>
        </w:rPr>
        <w:t>、投资者、员工、竞争对手、研发机构等)，并由责任部门定期对相关方的需求和期望进行监视和评审。</w:t>
      </w:r>
    </w:p>
    <w:p w14:paraId="1A3E1E1D">
      <w:pPr>
        <w:spacing w:line="360" w:lineRule="auto"/>
        <w:ind w:left="425" w:hanging="424" w:hangingChars="177"/>
        <w:rPr>
          <w:sz w:val="24"/>
          <w:szCs w:val="28"/>
        </w:rPr>
      </w:pPr>
      <w:r>
        <w:rPr>
          <w:rFonts w:hint="eastAsia"/>
          <w:sz w:val="24"/>
          <w:szCs w:val="28"/>
        </w:rPr>
        <w:t>4.6对于确定内外部问题、相关方的需求和期望对组织质量管理体的预期结果和环境管理体系绩效的影响程度，确定其组织面临的是风险和机遇，并由相关部门制定有关的措施。</w:t>
      </w:r>
    </w:p>
    <w:p w14:paraId="407B9986">
      <w:pPr>
        <w:spacing w:line="360" w:lineRule="auto"/>
        <w:rPr>
          <w:sz w:val="24"/>
          <w:szCs w:val="28"/>
        </w:rPr>
      </w:pPr>
      <w:r>
        <w:rPr>
          <w:rFonts w:hint="eastAsia"/>
          <w:sz w:val="24"/>
          <w:szCs w:val="28"/>
        </w:rPr>
        <w:t>5 记录</w:t>
      </w:r>
    </w:p>
    <w:p w14:paraId="0B4B40D5">
      <w:pPr>
        <w:spacing w:line="360" w:lineRule="auto"/>
        <w:rPr>
          <w:sz w:val="24"/>
          <w:szCs w:val="28"/>
        </w:rPr>
      </w:pPr>
      <w:r>
        <w:rPr>
          <w:rFonts w:hint="eastAsia"/>
          <w:sz w:val="24"/>
          <w:szCs w:val="28"/>
        </w:rPr>
        <w:t>5.1组织环境、相关方分析及风险控制一览表</w:t>
      </w:r>
    </w:p>
    <w:p w14:paraId="641A21ED">
      <w:pPr>
        <w:widowControl/>
        <w:jc w:val="left"/>
        <w:rPr>
          <w:sz w:val="24"/>
          <w:szCs w:val="28"/>
        </w:rPr>
      </w:pPr>
      <w:r>
        <w:rPr>
          <w:sz w:val="24"/>
          <w:szCs w:val="28"/>
        </w:rPr>
        <w:br w:type="page"/>
      </w:r>
    </w:p>
    <w:p w14:paraId="626D7D4B">
      <w:pPr>
        <w:pStyle w:val="2"/>
        <w:spacing w:before="156" w:beforeLines="50" w:after="156" w:afterLines="50" w:line="720" w:lineRule="auto"/>
        <w:jc w:val="left"/>
        <w:rPr>
          <w:sz w:val="28"/>
          <w:szCs w:val="28"/>
        </w:rPr>
      </w:pPr>
      <w:r>
        <w:rPr>
          <w:rFonts w:hint="eastAsia"/>
          <w:sz w:val="28"/>
          <w:szCs w:val="28"/>
        </w:rPr>
        <w:t>七、采购控制程序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-07</w:t>
      </w:r>
    </w:p>
    <w:p w14:paraId="300CCC03">
      <w:pPr>
        <w:spacing w:line="360" w:lineRule="auto"/>
        <w:rPr>
          <w:bCs/>
          <w:sz w:val="24"/>
        </w:rPr>
      </w:pPr>
      <w:r>
        <w:rPr>
          <w:rFonts w:hint="eastAsia"/>
          <w:bCs/>
          <w:sz w:val="24"/>
        </w:rPr>
        <w:t>1.  目的</w:t>
      </w:r>
    </w:p>
    <w:p w14:paraId="54D89D92">
      <w:pPr>
        <w:spacing w:line="360" w:lineRule="auto"/>
        <w:rPr>
          <w:bCs/>
          <w:sz w:val="24"/>
        </w:rPr>
      </w:pPr>
      <w:r>
        <w:rPr>
          <w:rFonts w:hint="eastAsia"/>
          <w:sz w:val="24"/>
        </w:rPr>
        <w:t>对采购过程和供方进行控制，确保本公司采购的产品和服务符合规定的采购要求。</w:t>
      </w:r>
    </w:p>
    <w:p w14:paraId="02D3BBF4">
      <w:pPr>
        <w:spacing w:line="360" w:lineRule="auto"/>
        <w:rPr>
          <w:bCs/>
          <w:sz w:val="24"/>
        </w:rPr>
      </w:pPr>
      <w:r>
        <w:rPr>
          <w:rFonts w:hint="eastAsia"/>
          <w:bCs/>
          <w:sz w:val="24"/>
        </w:rPr>
        <w:t>2.  适用范围</w:t>
      </w:r>
    </w:p>
    <w:p w14:paraId="7C1FBA86">
      <w:pPr>
        <w:spacing w:line="360" w:lineRule="auto"/>
        <w:rPr>
          <w:bCs/>
          <w:sz w:val="24"/>
        </w:rPr>
      </w:pPr>
      <w:r>
        <w:rPr>
          <w:rFonts w:hint="eastAsia"/>
          <w:sz w:val="24"/>
        </w:rPr>
        <w:t>适用于本公司产品生产有关的采购活动的控制。</w:t>
      </w:r>
    </w:p>
    <w:p w14:paraId="7FA5054F">
      <w:pPr>
        <w:spacing w:line="360" w:lineRule="auto"/>
        <w:rPr>
          <w:bCs/>
          <w:sz w:val="24"/>
        </w:rPr>
      </w:pPr>
      <w:r>
        <w:rPr>
          <w:rFonts w:hint="eastAsia"/>
          <w:bCs/>
          <w:sz w:val="24"/>
        </w:rPr>
        <w:t>3.  职责</w:t>
      </w:r>
    </w:p>
    <w:p w14:paraId="691ABA66">
      <w:pPr>
        <w:spacing w:line="360" w:lineRule="auto"/>
        <w:rPr>
          <w:bCs/>
          <w:sz w:val="24"/>
        </w:rPr>
      </w:pPr>
      <w:r>
        <w:rPr>
          <w:rFonts w:hint="eastAsia"/>
          <w:bCs/>
          <w:sz w:val="24"/>
        </w:rPr>
        <w:t>3.1  总经理负责</w:t>
      </w:r>
      <w:r>
        <w:rPr>
          <w:rFonts w:hint="eastAsia"/>
          <w:sz w:val="24"/>
        </w:rPr>
        <w:t>批准生产设备、原材料的购置计划；</w:t>
      </w:r>
    </w:p>
    <w:p w14:paraId="573AE929">
      <w:pPr>
        <w:spacing w:line="360" w:lineRule="auto"/>
        <w:ind w:left="566" w:hanging="566" w:hangingChars="236"/>
        <w:rPr>
          <w:sz w:val="24"/>
        </w:rPr>
      </w:pPr>
      <w:r>
        <w:rPr>
          <w:rFonts w:hint="eastAsia"/>
          <w:bCs/>
          <w:sz w:val="24"/>
        </w:rPr>
        <w:t xml:space="preserve">3.2  </w:t>
      </w:r>
      <w:r>
        <w:rPr>
          <w:rFonts w:hint="eastAsia"/>
          <w:bCs/>
          <w:sz w:val="24"/>
          <w:lang w:eastAsia="zh-CN"/>
        </w:rPr>
        <w:t>市场部</w:t>
      </w:r>
      <w:r>
        <w:rPr>
          <w:rFonts w:hint="eastAsia"/>
          <w:bCs/>
          <w:sz w:val="24"/>
        </w:rPr>
        <w:t>负责</w:t>
      </w:r>
      <w:r>
        <w:rPr>
          <w:rFonts w:hint="eastAsia"/>
          <w:sz w:val="24"/>
        </w:rPr>
        <w:t>批准物资采购及周转原材料采购办法、标准；批准A类产品合格供方名录；负责对供方的评价；编制物资需用计划；负责物资的采购；</w:t>
      </w:r>
    </w:p>
    <w:p w14:paraId="54DE3CFC">
      <w:pPr>
        <w:spacing w:line="360" w:lineRule="auto"/>
        <w:ind w:left="566" w:hanging="566" w:hangingChars="236"/>
        <w:rPr>
          <w:bCs/>
          <w:sz w:val="24"/>
        </w:rPr>
      </w:pPr>
      <w:r>
        <w:rPr>
          <w:rFonts w:hint="eastAsia"/>
          <w:bCs/>
          <w:sz w:val="24"/>
        </w:rPr>
        <w:t>3.3</w:t>
      </w:r>
      <w:r>
        <w:rPr>
          <w:bCs/>
          <w:sz w:val="24"/>
        </w:rPr>
        <w:t xml:space="preserve">  </w:t>
      </w:r>
      <w:r>
        <w:rPr>
          <w:rFonts w:hint="eastAsia"/>
          <w:bCs/>
          <w:sz w:val="24"/>
          <w:lang w:eastAsia="zh-CN"/>
        </w:rPr>
        <w:t>研发部</w:t>
      </w:r>
      <w:r>
        <w:rPr>
          <w:rFonts w:hint="eastAsia"/>
          <w:bCs/>
          <w:sz w:val="24"/>
        </w:rPr>
        <w:t>负责进入生产现场的物资验证、检验、标识和贮存；</w:t>
      </w:r>
    </w:p>
    <w:p w14:paraId="64C08526">
      <w:pPr>
        <w:spacing w:line="360" w:lineRule="auto"/>
        <w:rPr>
          <w:bCs/>
          <w:sz w:val="24"/>
        </w:rPr>
      </w:pPr>
      <w:r>
        <w:rPr>
          <w:rFonts w:hint="eastAsia"/>
          <w:bCs/>
          <w:sz w:val="24"/>
        </w:rPr>
        <w:t>4.  程序</w:t>
      </w:r>
    </w:p>
    <w:p w14:paraId="6D662BC5">
      <w:pPr>
        <w:spacing w:line="360" w:lineRule="auto"/>
        <w:rPr>
          <w:sz w:val="24"/>
        </w:rPr>
      </w:pPr>
      <w:r>
        <w:rPr>
          <w:rFonts w:hint="eastAsia"/>
          <w:bCs/>
          <w:sz w:val="24"/>
        </w:rPr>
        <w:t xml:space="preserve">4.1  </w:t>
      </w:r>
      <w:r>
        <w:rPr>
          <w:rFonts w:hint="eastAsia"/>
          <w:sz w:val="24"/>
        </w:rPr>
        <w:t>采购物料分类</w:t>
      </w:r>
    </w:p>
    <w:p w14:paraId="5F22AFDB">
      <w:pPr>
        <w:spacing w:line="360" w:lineRule="auto"/>
        <w:ind w:firstLine="480" w:firstLineChars="200"/>
        <w:rPr>
          <w:sz w:val="24"/>
        </w:rPr>
      </w:pPr>
      <w:r>
        <w:rPr>
          <w:rFonts w:hint="eastAsia"/>
          <w:sz w:val="24"/>
          <w:lang w:eastAsia="zh-CN"/>
        </w:rPr>
        <w:t>市场部</w:t>
      </w:r>
      <w:r>
        <w:rPr>
          <w:rFonts w:hint="eastAsia"/>
          <w:sz w:val="24"/>
        </w:rPr>
        <w:t>负责制定采购物资技术标准，根据其对随后的实现过程及其输出的影响，将采购物资分为三类：</w:t>
      </w:r>
    </w:p>
    <w:p w14:paraId="63AF59FF">
      <w:pPr>
        <w:spacing w:line="360" w:lineRule="auto"/>
        <w:rPr>
          <w:sz w:val="24"/>
        </w:rPr>
      </w:pPr>
      <w:r>
        <w:rPr>
          <w:rFonts w:hint="eastAsia"/>
          <w:sz w:val="24"/>
        </w:rPr>
        <w:t>A类  主要物资：指用于产品的对质量影响较大的物资；</w:t>
      </w:r>
    </w:p>
    <w:p w14:paraId="689E7AE6">
      <w:pPr>
        <w:spacing w:line="360" w:lineRule="auto"/>
        <w:rPr>
          <w:sz w:val="24"/>
        </w:rPr>
      </w:pPr>
      <w:r>
        <w:rPr>
          <w:rFonts w:hint="eastAsia"/>
          <w:sz w:val="24"/>
        </w:rPr>
        <w:t>B类  一般物资：指对产品质量影响一般的物资；</w:t>
      </w:r>
    </w:p>
    <w:p w14:paraId="4EAC3BB7">
      <w:pPr>
        <w:spacing w:line="360" w:lineRule="auto"/>
        <w:rPr>
          <w:sz w:val="24"/>
        </w:rPr>
      </w:pPr>
      <w:r>
        <w:rPr>
          <w:rFonts w:hint="eastAsia"/>
          <w:sz w:val="24"/>
        </w:rPr>
        <w:t>C类  辅助物资：除A类、B类以外的物资；非直接用于产品本身的起辅助作用及协助生产的物资；</w:t>
      </w:r>
    </w:p>
    <w:p w14:paraId="53FE6463">
      <w:pPr>
        <w:spacing w:line="360" w:lineRule="auto"/>
        <w:rPr>
          <w:bCs/>
          <w:sz w:val="24"/>
        </w:rPr>
      </w:pPr>
      <w:r>
        <w:rPr>
          <w:rFonts w:hint="eastAsia"/>
          <w:bCs/>
          <w:sz w:val="24"/>
        </w:rPr>
        <w:t>4.2.  供方评定的范围</w:t>
      </w:r>
    </w:p>
    <w:p w14:paraId="58378A77">
      <w:pPr>
        <w:numPr>
          <w:ilvl w:val="0"/>
          <w:numId w:val="26"/>
        </w:numPr>
        <w:spacing w:line="360" w:lineRule="auto"/>
        <w:rPr>
          <w:bCs/>
          <w:sz w:val="24"/>
        </w:rPr>
      </w:pPr>
      <w:r>
        <w:rPr>
          <w:rFonts w:hint="eastAsia"/>
          <w:sz w:val="24"/>
        </w:rPr>
        <w:t>对于A类主要物资的供方，本公司将对其进行全面的了解调查；根据合作情况，必要时，可由</w:t>
      </w:r>
      <w:r>
        <w:rPr>
          <w:rFonts w:hint="eastAsia"/>
          <w:sz w:val="24"/>
          <w:lang w:eastAsia="zh-CN"/>
        </w:rPr>
        <w:t>市场部</w:t>
      </w:r>
      <w:r>
        <w:rPr>
          <w:rFonts w:hint="eastAsia"/>
          <w:sz w:val="24"/>
        </w:rPr>
        <w:t>组织相关部门进行供方的现场评定；</w:t>
      </w:r>
    </w:p>
    <w:p w14:paraId="2C90FFA0">
      <w:pPr>
        <w:numPr>
          <w:ilvl w:val="0"/>
          <w:numId w:val="26"/>
        </w:numPr>
        <w:spacing w:line="360" w:lineRule="auto"/>
        <w:rPr>
          <w:bCs/>
          <w:sz w:val="24"/>
        </w:rPr>
      </w:pPr>
      <w:r>
        <w:rPr>
          <w:rFonts w:hint="eastAsia"/>
          <w:sz w:val="24"/>
        </w:rPr>
        <w:t>对于B类一般物资和C类辅助物资，由</w:t>
      </w:r>
      <w:r>
        <w:rPr>
          <w:rFonts w:hint="eastAsia"/>
          <w:sz w:val="24"/>
          <w:lang w:eastAsia="zh-CN"/>
        </w:rPr>
        <w:t>市场部</w:t>
      </w:r>
      <w:r>
        <w:rPr>
          <w:rFonts w:hint="eastAsia"/>
          <w:sz w:val="24"/>
        </w:rPr>
        <w:t>于采购时进行市场比较、商家比较、价格比较即可；</w:t>
      </w:r>
    </w:p>
    <w:p w14:paraId="10C63346">
      <w:pPr>
        <w:spacing w:line="360" w:lineRule="auto"/>
        <w:rPr>
          <w:sz w:val="24"/>
        </w:rPr>
      </w:pPr>
      <w:r>
        <w:rPr>
          <w:rFonts w:hint="eastAsia"/>
          <w:sz w:val="24"/>
        </w:rPr>
        <w:t>4.3  供方信息的收集</w:t>
      </w:r>
    </w:p>
    <w:p w14:paraId="4D968E52">
      <w:pPr>
        <w:spacing w:line="360" w:lineRule="auto"/>
        <w:rPr>
          <w:sz w:val="24"/>
        </w:rPr>
      </w:pPr>
      <w:r>
        <w:rPr>
          <w:rFonts w:hint="eastAsia"/>
          <w:sz w:val="24"/>
        </w:rPr>
        <w:t xml:space="preserve">4.3.1 </w:t>
      </w:r>
      <w:r>
        <w:rPr>
          <w:rFonts w:hint="eastAsia"/>
          <w:sz w:val="24"/>
          <w:lang w:eastAsia="zh-CN"/>
        </w:rPr>
        <w:t>市场部</w:t>
      </w:r>
      <w:r>
        <w:rPr>
          <w:rFonts w:hint="eastAsia"/>
          <w:sz w:val="24"/>
        </w:rPr>
        <w:t>多渠道了解不同物资的供应商情况，确定可选择的供应商；</w:t>
      </w:r>
    </w:p>
    <w:p w14:paraId="08331FE9">
      <w:pPr>
        <w:spacing w:line="360" w:lineRule="auto"/>
        <w:ind w:left="566" w:hanging="566" w:hangingChars="236"/>
        <w:rPr>
          <w:sz w:val="24"/>
        </w:rPr>
      </w:pPr>
      <w:r>
        <w:rPr>
          <w:rFonts w:hint="eastAsia"/>
          <w:sz w:val="24"/>
        </w:rPr>
        <w:t xml:space="preserve">4.3.2 </w:t>
      </w:r>
      <w:r>
        <w:rPr>
          <w:rFonts w:hint="eastAsia"/>
          <w:sz w:val="24"/>
          <w:lang w:eastAsia="zh-CN"/>
        </w:rPr>
        <w:t>市场部</w:t>
      </w:r>
      <w:r>
        <w:rPr>
          <w:rFonts w:hint="eastAsia"/>
          <w:sz w:val="24"/>
        </w:rPr>
        <w:t>收集供应商的相关资料，对供应商进行评审，填写《供方评定记录表》，评审资料包括：</w:t>
      </w:r>
    </w:p>
    <w:p w14:paraId="15CF0846">
      <w:pPr>
        <w:spacing w:line="360" w:lineRule="auto"/>
        <w:rPr>
          <w:sz w:val="24"/>
        </w:rPr>
      </w:pPr>
      <w:r>
        <w:rPr>
          <w:rFonts w:hint="eastAsia"/>
          <w:sz w:val="24"/>
        </w:rPr>
        <w:t>4.3.2.1当评价的供方是生产厂家,需提供下列部分资料(四种以上,原件或复印件)：</w:t>
      </w:r>
    </w:p>
    <w:p w14:paraId="39BEC1B6">
      <w:pPr>
        <w:numPr>
          <w:ilvl w:val="0"/>
          <w:numId w:val="27"/>
        </w:numPr>
        <w:spacing w:line="360" w:lineRule="auto"/>
        <w:rPr>
          <w:sz w:val="24"/>
        </w:rPr>
      </w:pPr>
      <w:r>
        <w:rPr>
          <w:rFonts w:hint="eastAsia"/>
          <w:sz w:val="24"/>
        </w:rPr>
        <w:t>企业的营业执照、资质证明、行政许可；</w:t>
      </w:r>
    </w:p>
    <w:p w14:paraId="1204CB8D">
      <w:pPr>
        <w:numPr>
          <w:ilvl w:val="0"/>
          <w:numId w:val="27"/>
        </w:numPr>
        <w:spacing w:line="360" w:lineRule="auto"/>
        <w:rPr>
          <w:sz w:val="24"/>
        </w:rPr>
      </w:pPr>
      <w:r>
        <w:rPr>
          <w:rFonts w:hint="eastAsia"/>
          <w:sz w:val="24"/>
        </w:rPr>
        <w:t>企业的公司简介，内容包括生产能力、质量评价和技术、人员等情况；</w:t>
      </w:r>
    </w:p>
    <w:p w14:paraId="414632F6">
      <w:pPr>
        <w:numPr>
          <w:ilvl w:val="0"/>
          <w:numId w:val="27"/>
        </w:numPr>
        <w:spacing w:line="360" w:lineRule="auto"/>
        <w:rPr>
          <w:sz w:val="24"/>
        </w:rPr>
      </w:pPr>
      <w:r>
        <w:rPr>
          <w:rFonts w:hint="eastAsia"/>
          <w:sz w:val="24"/>
        </w:rPr>
        <w:t>产品鉴定证明资料（包括省、市的认证或鉴定资料）；</w:t>
      </w:r>
    </w:p>
    <w:p w14:paraId="36B99E71">
      <w:pPr>
        <w:numPr>
          <w:ilvl w:val="0"/>
          <w:numId w:val="27"/>
        </w:numPr>
        <w:spacing w:line="360" w:lineRule="auto"/>
        <w:rPr>
          <w:sz w:val="24"/>
        </w:rPr>
      </w:pPr>
      <w:r>
        <w:rPr>
          <w:rFonts w:hint="eastAsia"/>
          <w:sz w:val="24"/>
        </w:rPr>
        <w:t>认证管理体系资料（包括第三方认证或鉴定资料）；</w:t>
      </w:r>
    </w:p>
    <w:p w14:paraId="765BB78A">
      <w:pPr>
        <w:numPr>
          <w:ilvl w:val="0"/>
          <w:numId w:val="27"/>
        </w:numPr>
        <w:spacing w:line="360" w:lineRule="auto"/>
        <w:rPr>
          <w:sz w:val="24"/>
        </w:rPr>
      </w:pPr>
      <w:r>
        <w:rPr>
          <w:rFonts w:hint="eastAsia"/>
          <w:sz w:val="24"/>
        </w:rPr>
        <w:t>产品生产能力证明资料；</w:t>
      </w:r>
    </w:p>
    <w:p w14:paraId="2592B162">
      <w:pPr>
        <w:numPr>
          <w:ilvl w:val="0"/>
          <w:numId w:val="27"/>
        </w:numPr>
        <w:spacing w:line="360" w:lineRule="auto"/>
        <w:rPr>
          <w:sz w:val="24"/>
        </w:rPr>
      </w:pPr>
      <w:r>
        <w:rPr>
          <w:rFonts w:hint="eastAsia"/>
          <w:sz w:val="24"/>
        </w:rPr>
        <w:t>公司以前多年使用的证明资料；</w:t>
      </w:r>
    </w:p>
    <w:p w14:paraId="5138B8F4">
      <w:pPr>
        <w:numPr>
          <w:ilvl w:val="0"/>
          <w:numId w:val="27"/>
        </w:numPr>
        <w:spacing w:line="360" w:lineRule="auto"/>
        <w:rPr>
          <w:sz w:val="24"/>
        </w:rPr>
      </w:pPr>
      <w:r>
        <w:rPr>
          <w:rFonts w:hint="eastAsia"/>
          <w:sz w:val="24"/>
        </w:rPr>
        <w:t>特殊物资，应有准用证和安全技术说明；</w:t>
      </w:r>
    </w:p>
    <w:p w14:paraId="1CEF2AC9">
      <w:pPr>
        <w:numPr>
          <w:ilvl w:val="0"/>
          <w:numId w:val="27"/>
        </w:numPr>
        <w:spacing w:line="360" w:lineRule="auto"/>
        <w:rPr>
          <w:sz w:val="24"/>
        </w:rPr>
      </w:pPr>
      <w:r>
        <w:rPr>
          <w:rFonts w:hint="eastAsia"/>
          <w:sz w:val="24"/>
        </w:rPr>
        <w:t>其他资料。</w:t>
      </w:r>
    </w:p>
    <w:p w14:paraId="0A8E6708">
      <w:pPr>
        <w:spacing w:line="360" w:lineRule="auto"/>
        <w:rPr>
          <w:sz w:val="24"/>
        </w:rPr>
      </w:pPr>
      <w:r>
        <w:rPr>
          <w:rFonts w:hint="eastAsia"/>
          <w:sz w:val="24"/>
        </w:rPr>
        <w:t>4.3.2.2当评价的供方是经销商，需提供下列部分资料（两种以上，原件或复印件）：</w:t>
      </w:r>
    </w:p>
    <w:p w14:paraId="6254478F">
      <w:pPr>
        <w:numPr>
          <w:ilvl w:val="1"/>
          <w:numId w:val="27"/>
        </w:numPr>
        <w:spacing w:line="360" w:lineRule="auto"/>
        <w:rPr>
          <w:sz w:val="24"/>
        </w:rPr>
      </w:pPr>
      <w:r>
        <w:rPr>
          <w:rFonts w:hint="eastAsia"/>
          <w:sz w:val="24"/>
        </w:rPr>
        <w:t>营业执照或许可证；</w:t>
      </w:r>
    </w:p>
    <w:p w14:paraId="2C46EA7B">
      <w:pPr>
        <w:numPr>
          <w:ilvl w:val="1"/>
          <w:numId w:val="27"/>
        </w:numPr>
        <w:spacing w:line="360" w:lineRule="auto"/>
        <w:rPr>
          <w:sz w:val="24"/>
        </w:rPr>
      </w:pPr>
      <w:r>
        <w:rPr>
          <w:rFonts w:hint="eastAsia"/>
          <w:sz w:val="24"/>
        </w:rPr>
        <w:t>产品质量证明（质量保证证明资料）；</w:t>
      </w:r>
    </w:p>
    <w:p w14:paraId="35E53904">
      <w:pPr>
        <w:numPr>
          <w:ilvl w:val="1"/>
          <w:numId w:val="27"/>
        </w:numPr>
        <w:spacing w:line="360" w:lineRule="auto"/>
        <w:rPr>
          <w:sz w:val="24"/>
        </w:rPr>
      </w:pPr>
      <w:r>
        <w:rPr>
          <w:rFonts w:hint="eastAsia"/>
          <w:sz w:val="24"/>
        </w:rPr>
        <w:t>第三方出具的同品牌产品的使用证明资料（旁证资料）；</w:t>
      </w:r>
    </w:p>
    <w:p w14:paraId="3CD7717C">
      <w:pPr>
        <w:numPr>
          <w:ilvl w:val="1"/>
          <w:numId w:val="27"/>
        </w:numPr>
        <w:spacing w:line="360" w:lineRule="auto"/>
        <w:rPr>
          <w:sz w:val="24"/>
        </w:rPr>
      </w:pPr>
      <w:r>
        <w:rPr>
          <w:rFonts w:hint="eastAsia"/>
          <w:sz w:val="24"/>
        </w:rPr>
        <w:t>供方诚信情况的有关证明资料；</w:t>
      </w:r>
    </w:p>
    <w:p w14:paraId="17B3C9FD">
      <w:pPr>
        <w:numPr>
          <w:ilvl w:val="1"/>
          <w:numId w:val="27"/>
        </w:numPr>
        <w:spacing w:line="360" w:lineRule="auto"/>
        <w:rPr>
          <w:sz w:val="24"/>
        </w:rPr>
      </w:pPr>
      <w:r>
        <w:rPr>
          <w:rFonts w:hint="eastAsia"/>
          <w:sz w:val="24"/>
        </w:rPr>
        <w:t>特殊物资应有准用证和安全技术说明；</w:t>
      </w:r>
    </w:p>
    <w:p w14:paraId="1A49660E">
      <w:pPr>
        <w:numPr>
          <w:ilvl w:val="1"/>
          <w:numId w:val="27"/>
        </w:numPr>
        <w:spacing w:line="360" w:lineRule="auto"/>
        <w:rPr>
          <w:sz w:val="24"/>
        </w:rPr>
      </w:pPr>
      <w:r>
        <w:rPr>
          <w:rFonts w:hint="eastAsia"/>
          <w:sz w:val="24"/>
        </w:rPr>
        <w:t>其他资料。</w:t>
      </w:r>
    </w:p>
    <w:p w14:paraId="50D8016E">
      <w:pPr>
        <w:spacing w:line="360" w:lineRule="auto"/>
        <w:ind w:left="708" w:hanging="708" w:hangingChars="295"/>
        <w:rPr>
          <w:sz w:val="24"/>
        </w:rPr>
      </w:pPr>
      <w:r>
        <w:rPr>
          <w:rFonts w:hint="eastAsia"/>
          <w:sz w:val="24"/>
        </w:rPr>
        <w:t>4.3.2.3如果生产厂家的评审资料中同时包括(a)、(b)、(c)资料，经销商的评审资料中同时包括(a)、(b)资料，且本公司以前使用其产品未出现任何质量问题，可以将其评价为合格供方；尚需进行样品检验及小批量试用，样品检验及小批量试用情况，做为选择依据之一。</w:t>
      </w:r>
    </w:p>
    <w:p w14:paraId="13EF8529">
      <w:pPr>
        <w:spacing w:line="360" w:lineRule="auto"/>
        <w:rPr>
          <w:sz w:val="24"/>
        </w:rPr>
      </w:pPr>
      <w:r>
        <w:rPr>
          <w:rFonts w:hint="eastAsia"/>
          <w:sz w:val="24"/>
        </w:rPr>
        <w:t>4.4  合格供方的确定</w:t>
      </w:r>
    </w:p>
    <w:p w14:paraId="758F15E6">
      <w:pPr>
        <w:numPr>
          <w:ilvl w:val="0"/>
          <w:numId w:val="28"/>
        </w:numPr>
        <w:tabs>
          <w:tab w:val="clear" w:pos="360"/>
        </w:tabs>
        <w:spacing w:line="360" w:lineRule="auto"/>
        <w:rPr>
          <w:sz w:val="24"/>
        </w:rPr>
      </w:pPr>
      <w:r>
        <w:rPr>
          <w:rFonts w:hint="eastAsia"/>
          <w:sz w:val="24"/>
          <w:lang w:eastAsia="zh-CN"/>
        </w:rPr>
        <w:t>市场部</w:t>
      </w:r>
      <w:r>
        <w:rPr>
          <w:rFonts w:hint="eastAsia"/>
          <w:sz w:val="24"/>
        </w:rPr>
        <w:t>对供方按上述要求对评价表和评审资料进行审核，审核后报管理者代表批准；根据评价及审批结果确定《合格供方名录》，需报总经理审批；</w:t>
      </w:r>
    </w:p>
    <w:p w14:paraId="6D7EC5D1">
      <w:pPr>
        <w:numPr>
          <w:ilvl w:val="0"/>
          <w:numId w:val="28"/>
        </w:numPr>
        <w:tabs>
          <w:tab w:val="clear" w:pos="360"/>
        </w:tabs>
        <w:spacing w:line="360" w:lineRule="auto"/>
        <w:rPr>
          <w:sz w:val="24"/>
        </w:rPr>
      </w:pPr>
      <w:r>
        <w:rPr>
          <w:rFonts w:hint="eastAsia"/>
          <w:sz w:val="24"/>
        </w:rPr>
        <w:t>对同一种物资可同时选择多家合作供方，以确保供货及时流畅；</w:t>
      </w:r>
    </w:p>
    <w:p w14:paraId="7313482F">
      <w:pPr>
        <w:spacing w:line="360" w:lineRule="auto"/>
        <w:rPr>
          <w:bCs/>
          <w:sz w:val="24"/>
        </w:rPr>
      </w:pPr>
      <w:r>
        <w:rPr>
          <w:rFonts w:hint="eastAsia"/>
          <w:bCs/>
          <w:sz w:val="24"/>
        </w:rPr>
        <w:t>4.5  合格供方的控制</w:t>
      </w:r>
    </w:p>
    <w:p w14:paraId="2BAB2F94">
      <w:pPr>
        <w:spacing w:line="360" w:lineRule="auto"/>
        <w:ind w:left="566" w:hanging="566" w:hangingChars="236"/>
        <w:rPr>
          <w:sz w:val="24"/>
        </w:rPr>
      </w:pPr>
      <w:r>
        <w:rPr>
          <w:rFonts w:hint="eastAsia"/>
          <w:sz w:val="24"/>
        </w:rPr>
        <w:t>4.5.1 根据市场需要及本公司采购需要，必要时</w:t>
      </w:r>
      <w:r>
        <w:rPr>
          <w:rFonts w:hint="eastAsia"/>
          <w:sz w:val="24"/>
          <w:lang w:eastAsia="zh-CN"/>
        </w:rPr>
        <w:t>市场部</w:t>
      </w:r>
      <w:r>
        <w:rPr>
          <w:rFonts w:hint="eastAsia"/>
          <w:sz w:val="24"/>
        </w:rPr>
        <w:t>负责与合格供方签订采购合同、质量保证协议、技术协议或解决质量争端协议等；</w:t>
      </w:r>
    </w:p>
    <w:p w14:paraId="0952E7DE">
      <w:pPr>
        <w:spacing w:line="360" w:lineRule="auto"/>
        <w:ind w:left="566" w:hanging="566" w:hangingChars="236"/>
        <w:rPr>
          <w:sz w:val="24"/>
        </w:rPr>
      </w:pPr>
      <w:r>
        <w:rPr>
          <w:rFonts w:hint="eastAsia"/>
          <w:sz w:val="24"/>
        </w:rPr>
        <w:t>4.5.2 在采购和物资使用过程中发现产品供方在质量保证、供货能力等方面出现较大失误或不合格时，对供方提出纠正措施；如多次出现质量问题，可提出终止该供方的合格资格，经</w:t>
      </w:r>
      <w:r>
        <w:rPr>
          <w:rFonts w:hint="eastAsia"/>
          <w:sz w:val="24"/>
          <w:lang w:eastAsia="zh-CN"/>
        </w:rPr>
        <w:t>市场部</w:t>
      </w:r>
      <w:r>
        <w:rPr>
          <w:rFonts w:hint="eastAsia"/>
          <w:sz w:val="24"/>
        </w:rPr>
        <w:t>批准后，将其从《合格供方名录》中删除；</w:t>
      </w:r>
    </w:p>
    <w:p w14:paraId="36C85514">
      <w:pPr>
        <w:spacing w:line="360" w:lineRule="auto"/>
        <w:ind w:left="566" w:hanging="566" w:hangingChars="236"/>
        <w:rPr>
          <w:sz w:val="24"/>
        </w:rPr>
      </w:pPr>
      <w:r>
        <w:rPr>
          <w:rFonts w:hint="eastAsia"/>
          <w:sz w:val="24"/>
        </w:rPr>
        <w:t xml:space="preserve">4.5.3 </w:t>
      </w:r>
      <w:r>
        <w:rPr>
          <w:rFonts w:hint="eastAsia"/>
          <w:sz w:val="24"/>
          <w:lang w:eastAsia="zh-CN"/>
        </w:rPr>
        <w:t>市场部</w:t>
      </w:r>
      <w:r>
        <w:rPr>
          <w:rFonts w:hint="eastAsia"/>
          <w:sz w:val="24"/>
        </w:rPr>
        <w:t>负责每年对合格供方进行一次年度综合评定，形成《供方业绩年度评定表》，总分低于60分或质量得分低于45分将不再作为合格供方；</w:t>
      </w:r>
    </w:p>
    <w:p w14:paraId="7E1830E5">
      <w:pPr>
        <w:spacing w:line="360" w:lineRule="auto"/>
        <w:rPr>
          <w:sz w:val="24"/>
        </w:rPr>
      </w:pPr>
      <w:r>
        <w:rPr>
          <w:rFonts w:hint="eastAsia"/>
          <w:sz w:val="24"/>
        </w:rPr>
        <w:t>4.6  采购</w:t>
      </w:r>
    </w:p>
    <w:p w14:paraId="42C44F96">
      <w:pPr>
        <w:spacing w:line="360" w:lineRule="auto"/>
        <w:rPr>
          <w:bCs/>
          <w:sz w:val="24"/>
        </w:rPr>
      </w:pPr>
      <w:r>
        <w:rPr>
          <w:rFonts w:hint="eastAsia"/>
          <w:bCs/>
          <w:sz w:val="24"/>
        </w:rPr>
        <w:t>4.6.1 采购计划</w:t>
      </w:r>
    </w:p>
    <w:p w14:paraId="51DDE056">
      <w:pPr>
        <w:spacing w:line="360" w:lineRule="auto"/>
        <w:rPr>
          <w:sz w:val="24"/>
        </w:rPr>
      </w:pPr>
      <w:r>
        <w:rPr>
          <w:rFonts w:hint="eastAsia"/>
          <w:sz w:val="24"/>
          <w:lang w:eastAsia="zh-CN"/>
        </w:rPr>
        <w:t>市场部</w:t>
      </w:r>
      <w:r>
        <w:rPr>
          <w:rFonts w:hint="eastAsia"/>
          <w:sz w:val="24"/>
        </w:rPr>
        <w:t>根据订单情况确定所需物资量；编制《采购计划》，报总经理审批；</w:t>
      </w:r>
    </w:p>
    <w:p w14:paraId="7C860ED4">
      <w:pPr>
        <w:spacing w:line="360" w:lineRule="auto"/>
        <w:rPr>
          <w:bCs/>
          <w:sz w:val="24"/>
        </w:rPr>
      </w:pPr>
      <w:r>
        <w:rPr>
          <w:rFonts w:hint="eastAsia"/>
          <w:bCs/>
          <w:sz w:val="24"/>
        </w:rPr>
        <w:t>4.6.2 实施采购</w:t>
      </w:r>
    </w:p>
    <w:p w14:paraId="58EEE73A">
      <w:pPr>
        <w:spacing w:line="360" w:lineRule="auto"/>
        <w:ind w:left="566" w:hanging="566" w:hangingChars="236"/>
        <w:rPr>
          <w:sz w:val="24"/>
        </w:rPr>
      </w:pPr>
      <w:r>
        <w:rPr>
          <w:rFonts w:hint="eastAsia"/>
          <w:sz w:val="24"/>
        </w:rPr>
        <w:t>4.6.2.1采购员接到审批后的采购计划，首先检查采购文件是否齐全，不全时及时报告，补齐必备文件，在合格产品供方名录中选择供方；</w:t>
      </w:r>
    </w:p>
    <w:p w14:paraId="3A0642C1">
      <w:pPr>
        <w:spacing w:line="360" w:lineRule="auto"/>
        <w:ind w:left="566" w:hanging="566" w:hangingChars="236"/>
        <w:rPr>
          <w:sz w:val="24"/>
        </w:rPr>
      </w:pPr>
      <w:r>
        <w:rPr>
          <w:rFonts w:hint="eastAsia"/>
          <w:sz w:val="24"/>
        </w:rPr>
        <w:t>4.6.2.2选好供方以后，采购员会同物资管理部门负责人同供方进行协商，协商一致后，如为小额、零星采购并即时货款的，可订立口头协议，其余情况应订立书面采购协议/合同，如为对外委托加工成品、半成品应与加工单位签订委托加工合同。与供方的电话、电报等口头协议，必须明确质量保证和要求，做好记录，必要时补签书面协议；</w:t>
      </w:r>
    </w:p>
    <w:p w14:paraId="58AB07DB">
      <w:pPr>
        <w:spacing w:line="360" w:lineRule="auto"/>
        <w:ind w:left="566" w:hanging="566" w:hangingChars="236"/>
        <w:rPr>
          <w:sz w:val="24"/>
        </w:rPr>
      </w:pPr>
      <w:r>
        <w:rPr>
          <w:rFonts w:hint="eastAsia"/>
          <w:sz w:val="24"/>
        </w:rPr>
        <w:t>4.6.2.3采购协议/合同的订立，应遵循有利于公司利益的原则，协议/合同中包括：品种、规格、数量、金额和检验标准等；</w:t>
      </w:r>
    </w:p>
    <w:p w14:paraId="22E3B682">
      <w:pPr>
        <w:spacing w:line="360" w:lineRule="auto"/>
        <w:ind w:left="566" w:hanging="566" w:hangingChars="236"/>
        <w:rPr>
          <w:sz w:val="24"/>
        </w:rPr>
      </w:pPr>
      <w:r>
        <w:rPr>
          <w:rFonts w:hint="eastAsia"/>
          <w:sz w:val="24"/>
        </w:rPr>
        <w:t>4.6.2.4若所采购的产品中已经识别出环境因素和职业健康安全风险，应在合同中将有关控制要求说明,通报供方；</w:t>
      </w:r>
    </w:p>
    <w:p w14:paraId="21881692">
      <w:pPr>
        <w:numPr>
          <w:ilvl w:val="0"/>
          <w:numId w:val="29"/>
        </w:numPr>
        <w:spacing w:line="360" w:lineRule="auto"/>
        <w:rPr>
          <w:sz w:val="24"/>
        </w:rPr>
      </w:pPr>
      <w:r>
        <w:rPr>
          <w:rFonts w:hint="eastAsia"/>
          <w:sz w:val="24"/>
        </w:rPr>
        <w:t>承包方式、</w:t>
      </w:r>
      <w:r>
        <w:rPr>
          <w:sz w:val="24"/>
        </w:rPr>
        <w:t>产品/劳务</w:t>
      </w:r>
      <w:r>
        <w:rPr>
          <w:rFonts w:hint="eastAsia"/>
          <w:sz w:val="24"/>
        </w:rPr>
        <w:t>造价、</w:t>
      </w:r>
      <w:r>
        <w:rPr>
          <w:sz w:val="24"/>
        </w:rPr>
        <w:t>结算</w:t>
      </w:r>
      <w:r>
        <w:rPr>
          <w:rFonts w:hint="eastAsia"/>
          <w:sz w:val="24"/>
        </w:rPr>
        <w:t>款的支付及结算方式；</w:t>
      </w:r>
    </w:p>
    <w:p w14:paraId="3AF367BC">
      <w:pPr>
        <w:numPr>
          <w:ilvl w:val="0"/>
          <w:numId w:val="29"/>
        </w:numPr>
        <w:spacing w:line="360" w:lineRule="auto"/>
        <w:rPr>
          <w:sz w:val="24"/>
        </w:rPr>
      </w:pPr>
      <w:r>
        <w:rPr>
          <w:sz w:val="24"/>
        </w:rPr>
        <w:t>产品/劳务</w:t>
      </w:r>
      <w:r>
        <w:rPr>
          <w:rFonts w:hint="eastAsia"/>
          <w:sz w:val="24"/>
        </w:rPr>
        <w:t>验收及安全文明生产管理责任，明确环保责任[按照项目的环境评价报告（表）]要求；</w:t>
      </w:r>
    </w:p>
    <w:p w14:paraId="7E9B7C14">
      <w:pPr>
        <w:numPr>
          <w:ilvl w:val="0"/>
          <w:numId w:val="29"/>
        </w:numPr>
        <w:spacing w:line="360" w:lineRule="auto"/>
        <w:rPr>
          <w:sz w:val="24"/>
        </w:rPr>
      </w:pPr>
      <w:r>
        <w:rPr>
          <w:rFonts w:hint="eastAsia"/>
          <w:sz w:val="24"/>
        </w:rPr>
        <w:t>奖罚条款及合同纠纷的仲裁与终止；</w:t>
      </w:r>
    </w:p>
    <w:p w14:paraId="252E0561">
      <w:pPr>
        <w:spacing w:line="360" w:lineRule="auto"/>
        <w:rPr>
          <w:sz w:val="24"/>
        </w:rPr>
      </w:pPr>
      <w:r>
        <w:rPr>
          <w:rFonts w:hint="eastAsia"/>
          <w:sz w:val="24"/>
        </w:rPr>
        <w:t>4.7  采购产品的验证</w:t>
      </w:r>
    </w:p>
    <w:p w14:paraId="644B0E22">
      <w:pPr>
        <w:spacing w:line="360" w:lineRule="auto"/>
        <w:rPr>
          <w:sz w:val="24"/>
        </w:rPr>
      </w:pPr>
      <w:r>
        <w:rPr>
          <w:rFonts w:hint="eastAsia"/>
          <w:sz w:val="24"/>
        </w:rPr>
        <w:t>4.7.1 公司应确定并实施来料验证活动，以确保采购的产品满足规定的采购要求；</w:t>
      </w:r>
    </w:p>
    <w:p w14:paraId="55F33A8E">
      <w:pPr>
        <w:spacing w:line="360" w:lineRule="auto"/>
        <w:rPr>
          <w:sz w:val="24"/>
        </w:rPr>
      </w:pPr>
      <w:r>
        <w:rPr>
          <w:rFonts w:hint="eastAsia"/>
          <w:sz w:val="24"/>
        </w:rPr>
        <w:t>4</w:t>
      </w:r>
      <w:r>
        <w:rPr>
          <w:sz w:val="24"/>
        </w:rPr>
        <w:t>.</w:t>
      </w:r>
      <w:r>
        <w:rPr>
          <w:rFonts w:hint="eastAsia"/>
          <w:sz w:val="24"/>
        </w:rPr>
        <w:t>7</w:t>
      </w:r>
      <w:r>
        <w:rPr>
          <w:sz w:val="24"/>
        </w:rPr>
        <w:t>.</w:t>
      </w:r>
      <w:r>
        <w:rPr>
          <w:rFonts w:hint="eastAsia"/>
          <w:sz w:val="24"/>
        </w:rPr>
        <w:t>2 采购产品的验证可以选择以下验证方式：</w:t>
      </w:r>
    </w:p>
    <w:p w14:paraId="5106D320">
      <w:pPr>
        <w:numPr>
          <w:ilvl w:val="1"/>
          <w:numId w:val="30"/>
        </w:numPr>
        <w:spacing w:line="360" w:lineRule="auto"/>
        <w:rPr>
          <w:sz w:val="24"/>
        </w:rPr>
      </w:pPr>
      <w:r>
        <w:rPr>
          <w:rFonts w:hint="eastAsia"/>
          <w:sz w:val="24"/>
        </w:rPr>
        <w:t>在本公司验证；（见《监视和测量控制程序》）；</w:t>
      </w:r>
    </w:p>
    <w:p w14:paraId="7AA80347">
      <w:pPr>
        <w:numPr>
          <w:ilvl w:val="1"/>
          <w:numId w:val="30"/>
        </w:numPr>
        <w:spacing w:line="360" w:lineRule="auto"/>
        <w:rPr>
          <w:sz w:val="24"/>
        </w:rPr>
      </w:pPr>
      <w:r>
        <w:rPr>
          <w:rFonts w:hint="eastAsia"/>
          <w:sz w:val="24"/>
        </w:rPr>
        <w:t>由顾客在本公司现场实施验证；</w:t>
      </w:r>
    </w:p>
    <w:p w14:paraId="3FA1B3A8">
      <w:pPr>
        <w:numPr>
          <w:ilvl w:val="1"/>
          <w:numId w:val="30"/>
        </w:numPr>
        <w:spacing w:line="360" w:lineRule="auto"/>
        <w:rPr>
          <w:sz w:val="24"/>
        </w:rPr>
      </w:pPr>
      <w:r>
        <w:rPr>
          <w:rFonts w:hint="eastAsia"/>
          <w:sz w:val="24"/>
        </w:rPr>
        <w:t>由本公司在供方现场实施验证；</w:t>
      </w:r>
    </w:p>
    <w:p w14:paraId="58FFD9F2">
      <w:pPr>
        <w:numPr>
          <w:ilvl w:val="1"/>
          <w:numId w:val="30"/>
        </w:numPr>
        <w:spacing w:line="360" w:lineRule="auto"/>
        <w:rPr>
          <w:sz w:val="24"/>
        </w:rPr>
      </w:pPr>
      <w:r>
        <w:rPr>
          <w:rFonts w:hint="eastAsia"/>
          <w:sz w:val="24"/>
        </w:rPr>
        <w:t>由顾客在供方现场实施验证。</w:t>
      </w:r>
    </w:p>
    <w:p w14:paraId="09057C33">
      <w:pPr>
        <w:spacing w:line="360" w:lineRule="auto"/>
        <w:rPr>
          <w:sz w:val="24"/>
        </w:rPr>
      </w:pPr>
      <w:r>
        <w:rPr>
          <w:rFonts w:hint="eastAsia"/>
          <w:sz w:val="24"/>
        </w:rPr>
        <w:t>对</w:t>
      </w:r>
      <w:r>
        <w:rPr>
          <w:sz w:val="24"/>
        </w:rPr>
        <w:t>c</w:t>
      </w:r>
      <w:r>
        <w:rPr>
          <w:rFonts w:hint="eastAsia"/>
          <w:sz w:val="24"/>
        </w:rPr>
        <w:t>）、</w:t>
      </w:r>
      <w:r>
        <w:rPr>
          <w:sz w:val="24"/>
        </w:rPr>
        <w:t>d</w:t>
      </w:r>
      <w:r>
        <w:rPr>
          <w:rFonts w:hint="eastAsia"/>
          <w:sz w:val="24"/>
        </w:rPr>
        <w:t>）两种验证安排，</w:t>
      </w:r>
      <w:r>
        <w:rPr>
          <w:rFonts w:hint="eastAsia"/>
          <w:sz w:val="24"/>
          <w:lang w:eastAsia="zh-CN"/>
        </w:rPr>
        <w:t>市场部</w:t>
      </w:r>
      <w:r>
        <w:rPr>
          <w:rFonts w:hint="eastAsia"/>
          <w:sz w:val="24"/>
        </w:rPr>
        <w:t>应在《采购合同》或《采购计划》中明确提出，并且说明产品放行的方法；</w:t>
      </w:r>
    </w:p>
    <w:p w14:paraId="70407255">
      <w:pPr>
        <w:spacing w:line="360" w:lineRule="auto"/>
        <w:ind w:left="566" w:hanging="566" w:hangingChars="236"/>
        <w:rPr>
          <w:sz w:val="24"/>
        </w:rPr>
      </w:pPr>
      <w:r>
        <w:rPr>
          <w:rFonts w:hint="eastAsia"/>
          <w:sz w:val="24"/>
        </w:rPr>
        <w:t>4</w:t>
      </w:r>
      <w:r>
        <w:rPr>
          <w:sz w:val="24"/>
        </w:rPr>
        <w:t>.</w:t>
      </w:r>
      <w:r>
        <w:rPr>
          <w:rFonts w:hint="eastAsia"/>
          <w:sz w:val="24"/>
        </w:rPr>
        <w:t>7</w:t>
      </w:r>
      <w:r>
        <w:rPr>
          <w:sz w:val="24"/>
        </w:rPr>
        <w:t>.</w:t>
      </w:r>
      <w:r>
        <w:rPr>
          <w:rFonts w:hint="eastAsia"/>
          <w:sz w:val="24"/>
        </w:rPr>
        <w:t>3 验证活动可包括：检验、测量、观察、提供合格证明文件等方式，在相应的检验规程中规定不同的验证方式；</w:t>
      </w:r>
    </w:p>
    <w:p w14:paraId="6BDABEC9">
      <w:pPr>
        <w:spacing w:line="360" w:lineRule="auto"/>
        <w:ind w:left="566" w:hanging="566" w:hangingChars="236"/>
        <w:rPr>
          <w:sz w:val="24"/>
        </w:rPr>
      </w:pPr>
      <w:r>
        <w:rPr>
          <w:rFonts w:hint="eastAsia"/>
          <w:sz w:val="24"/>
        </w:rPr>
        <w:t>4</w:t>
      </w:r>
      <w:r>
        <w:rPr>
          <w:sz w:val="24"/>
        </w:rPr>
        <w:t>.</w:t>
      </w:r>
      <w:r>
        <w:rPr>
          <w:rFonts w:hint="eastAsia"/>
          <w:sz w:val="24"/>
        </w:rPr>
        <w:t>7</w:t>
      </w:r>
      <w:r>
        <w:rPr>
          <w:sz w:val="24"/>
        </w:rPr>
        <w:t>.</w:t>
      </w:r>
      <w:r>
        <w:rPr>
          <w:rFonts w:hint="eastAsia"/>
          <w:sz w:val="24"/>
        </w:rPr>
        <w:t>4 顾客验证不能免除本公司提供合格产品的责任，也不能排除其后顾客拒收的可能；</w:t>
      </w:r>
    </w:p>
    <w:p w14:paraId="1D1A5840">
      <w:pPr>
        <w:spacing w:line="360" w:lineRule="auto"/>
        <w:ind w:left="566" w:hanging="566" w:hangingChars="236"/>
        <w:rPr>
          <w:sz w:val="24"/>
        </w:rPr>
      </w:pPr>
      <w:r>
        <w:rPr>
          <w:rFonts w:hint="eastAsia"/>
          <w:sz w:val="24"/>
        </w:rPr>
        <w:t>4.7.5 对于验证合格的采购物资，可以入库；对于未达到检验标准采购物资，按《不合格品控制程序》处理。</w:t>
      </w:r>
    </w:p>
    <w:p w14:paraId="6DBC26F6">
      <w:pPr>
        <w:spacing w:line="360" w:lineRule="auto"/>
        <w:rPr>
          <w:bCs/>
          <w:sz w:val="24"/>
        </w:rPr>
      </w:pPr>
      <w:r>
        <w:rPr>
          <w:rFonts w:hint="eastAsia"/>
          <w:bCs/>
          <w:sz w:val="24"/>
        </w:rPr>
        <w:t>5.  相关文件</w:t>
      </w:r>
    </w:p>
    <w:p w14:paraId="56BA1CE1">
      <w:pPr>
        <w:spacing w:line="360" w:lineRule="auto"/>
        <w:rPr>
          <w:bCs/>
          <w:sz w:val="24"/>
        </w:rPr>
      </w:pPr>
      <w:r>
        <w:rPr>
          <w:rFonts w:hint="eastAsia"/>
          <w:bCs/>
          <w:sz w:val="24"/>
        </w:rPr>
        <w:t>5.1《</w:t>
      </w:r>
      <w:r>
        <w:rPr>
          <w:rFonts w:hint="eastAsia"/>
          <w:sz w:val="24"/>
        </w:rPr>
        <w:t>不合格控制程序</w:t>
      </w:r>
      <w:r>
        <w:rPr>
          <w:rFonts w:hint="eastAsia"/>
          <w:bCs/>
          <w:sz w:val="24"/>
        </w:rPr>
        <w:t>》</w:t>
      </w:r>
    </w:p>
    <w:p w14:paraId="19289CC4">
      <w:pPr>
        <w:spacing w:line="360" w:lineRule="auto"/>
        <w:rPr>
          <w:bCs/>
          <w:sz w:val="24"/>
        </w:rPr>
      </w:pPr>
      <w:r>
        <w:rPr>
          <w:rFonts w:hint="eastAsia"/>
          <w:bCs/>
          <w:sz w:val="24"/>
        </w:rPr>
        <w:t>6.  记录</w:t>
      </w:r>
    </w:p>
    <w:p w14:paraId="4AE1B5CE">
      <w:pPr>
        <w:spacing w:line="360" w:lineRule="auto"/>
        <w:rPr>
          <w:bCs/>
          <w:sz w:val="24"/>
        </w:rPr>
      </w:pPr>
      <w:r>
        <w:rPr>
          <w:rFonts w:hint="eastAsia"/>
          <w:bCs/>
          <w:sz w:val="24"/>
        </w:rPr>
        <w:t>6.1  《</w:t>
      </w:r>
      <w:r>
        <w:rPr>
          <w:rFonts w:hint="eastAsia"/>
          <w:sz w:val="24"/>
        </w:rPr>
        <w:t>合格供方名录》</w:t>
      </w:r>
    </w:p>
    <w:p w14:paraId="573A20B0">
      <w:pPr>
        <w:spacing w:line="360" w:lineRule="auto"/>
        <w:rPr>
          <w:sz w:val="24"/>
        </w:rPr>
      </w:pPr>
      <w:r>
        <w:rPr>
          <w:rFonts w:hint="eastAsia"/>
          <w:sz w:val="24"/>
        </w:rPr>
        <w:t>6.2  《</w:t>
      </w:r>
      <w:r>
        <w:rPr>
          <w:rFonts w:hint="eastAsia"/>
          <w:bCs/>
          <w:sz w:val="24"/>
        </w:rPr>
        <w:t>供方评价记录》</w:t>
      </w:r>
    </w:p>
    <w:p w14:paraId="31FA545D">
      <w:pPr>
        <w:spacing w:line="360" w:lineRule="auto"/>
        <w:rPr>
          <w:sz w:val="24"/>
        </w:rPr>
      </w:pPr>
      <w:r>
        <w:rPr>
          <w:rFonts w:hint="eastAsia"/>
          <w:sz w:val="24"/>
        </w:rPr>
        <w:t>6.3  《采购计划》</w:t>
      </w:r>
    </w:p>
    <w:p w14:paraId="3C8F1820">
      <w:pPr>
        <w:spacing w:line="360" w:lineRule="auto"/>
        <w:rPr>
          <w:sz w:val="24"/>
        </w:rPr>
      </w:pPr>
      <w:r>
        <w:rPr>
          <w:rFonts w:hint="eastAsia"/>
          <w:sz w:val="24"/>
        </w:rPr>
        <w:t>6.4  《供方业绩年度评定表》</w:t>
      </w:r>
    </w:p>
    <w:p w14:paraId="0FA5CF55">
      <w:pPr>
        <w:rPr>
          <w:sz w:val="24"/>
          <w:szCs w:val="28"/>
        </w:rPr>
      </w:pPr>
    </w:p>
    <w:p w14:paraId="60854A15">
      <w:pPr>
        <w:widowControl/>
        <w:jc w:val="left"/>
        <w:rPr>
          <w:sz w:val="24"/>
          <w:szCs w:val="28"/>
        </w:rPr>
      </w:pPr>
      <w:r>
        <w:rPr>
          <w:sz w:val="24"/>
          <w:szCs w:val="28"/>
        </w:rPr>
        <w:br w:type="page"/>
      </w:r>
    </w:p>
    <w:p w14:paraId="7C9C9FBA">
      <w:pPr>
        <w:pStyle w:val="2"/>
        <w:spacing w:before="156" w:beforeLines="50" w:after="156" w:afterLines="50" w:line="720" w:lineRule="auto"/>
        <w:jc w:val="left"/>
        <w:rPr>
          <w:sz w:val="28"/>
          <w:szCs w:val="28"/>
        </w:rPr>
      </w:pPr>
      <w:r>
        <w:rPr>
          <w:rFonts w:hint="eastAsia"/>
          <w:sz w:val="28"/>
          <w:szCs w:val="28"/>
        </w:rPr>
        <w:t>八、</w:t>
      </w:r>
      <w:r>
        <w:rPr>
          <w:sz w:val="28"/>
          <w:szCs w:val="28"/>
        </w:rPr>
        <w:t>知识</w:t>
      </w:r>
      <w:r>
        <w:rPr>
          <w:rFonts w:hint="eastAsia"/>
          <w:sz w:val="28"/>
          <w:szCs w:val="28"/>
        </w:rPr>
        <w:t>管理控制程序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-08</w:t>
      </w:r>
    </w:p>
    <w:p w14:paraId="16F2BC71">
      <w:pPr>
        <w:spacing w:line="360" w:lineRule="auto"/>
        <w:rPr>
          <w:b/>
          <w:sz w:val="24"/>
          <w:szCs w:val="28"/>
        </w:rPr>
      </w:pPr>
      <w:r>
        <w:rPr>
          <w:rFonts w:hint="eastAsia"/>
          <w:b/>
          <w:sz w:val="24"/>
          <w:szCs w:val="28"/>
        </w:rPr>
        <w:t>1 目的</w:t>
      </w:r>
    </w:p>
    <w:p w14:paraId="5C538A6C">
      <w:pPr>
        <w:spacing w:line="360" w:lineRule="auto"/>
        <w:ind w:firstLine="360" w:firstLineChars="150"/>
        <w:rPr>
          <w:sz w:val="24"/>
          <w:szCs w:val="28"/>
        </w:rPr>
      </w:pPr>
      <w:r>
        <w:rPr>
          <w:sz w:val="24"/>
          <w:szCs w:val="28"/>
        </w:rPr>
        <w:t>让公司中的知识，透过获得、创造、分享、整合、记录、存取、更新等过程，</w:t>
      </w:r>
      <w:r>
        <w:rPr>
          <w:rFonts w:hint="eastAsia"/>
          <w:sz w:val="24"/>
          <w:szCs w:val="28"/>
        </w:rPr>
        <w:t>促进各种知识的创造、沟通和应用，</w:t>
      </w:r>
      <w:r>
        <w:rPr>
          <w:sz w:val="24"/>
          <w:szCs w:val="28"/>
        </w:rPr>
        <w:t>达到知识不断创新的目的，并回馈到知识系统內</w:t>
      </w:r>
      <w:r>
        <w:rPr>
          <w:rFonts w:hint="eastAsia"/>
          <w:sz w:val="24"/>
          <w:szCs w:val="28"/>
        </w:rPr>
        <w:t>，形成</w:t>
      </w:r>
      <w:r>
        <w:rPr>
          <w:sz w:val="24"/>
          <w:szCs w:val="28"/>
        </w:rPr>
        <w:t>个人与企业的知识永不间断的累积，从系统的角度进行思考这将成为组织的智慧资本，有助于企业做出正确的决策，应对市场的变迁</w:t>
      </w:r>
      <w:r>
        <w:rPr>
          <w:rFonts w:hint="eastAsia"/>
          <w:sz w:val="24"/>
          <w:szCs w:val="28"/>
        </w:rPr>
        <w:t>。</w:t>
      </w:r>
    </w:p>
    <w:p w14:paraId="1DC28C1A">
      <w:pPr>
        <w:spacing w:line="360" w:lineRule="auto"/>
        <w:rPr>
          <w:b/>
          <w:sz w:val="24"/>
          <w:szCs w:val="28"/>
        </w:rPr>
      </w:pPr>
      <w:r>
        <w:rPr>
          <w:rFonts w:hint="eastAsia"/>
          <w:b/>
          <w:sz w:val="24"/>
          <w:szCs w:val="28"/>
        </w:rPr>
        <w:t>2 适用范围</w:t>
      </w:r>
    </w:p>
    <w:p w14:paraId="53305596">
      <w:pPr>
        <w:spacing w:line="360" w:lineRule="auto"/>
        <w:rPr>
          <w:sz w:val="24"/>
          <w:szCs w:val="28"/>
        </w:rPr>
      </w:pPr>
      <w:r>
        <w:rPr>
          <w:rFonts w:hint="eastAsia"/>
          <w:sz w:val="24"/>
          <w:szCs w:val="28"/>
        </w:rPr>
        <w:t>适用于公司质量管理体系涉及的所有知识。</w:t>
      </w:r>
    </w:p>
    <w:p w14:paraId="1B44D54D">
      <w:pPr>
        <w:spacing w:line="360" w:lineRule="auto"/>
        <w:rPr>
          <w:b/>
          <w:sz w:val="24"/>
          <w:szCs w:val="28"/>
        </w:rPr>
      </w:pPr>
      <w:r>
        <w:rPr>
          <w:rFonts w:hint="eastAsia"/>
          <w:b/>
          <w:sz w:val="24"/>
          <w:szCs w:val="28"/>
        </w:rPr>
        <w:t>3 职责</w:t>
      </w:r>
    </w:p>
    <w:p w14:paraId="372E6535">
      <w:pPr>
        <w:spacing w:line="360" w:lineRule="auto"/>
        <w:rPr>
          <w:sz w:val="24"/>
          <w:szCs w:val="28"/>
        </w:rPr>
      </w:pPr>
      <w:r>
        <w:rPr>
          <w:rFonts w:hint="eastAsia"/>
          <w:sz w:val="24"/>
          <w:szCs w:val="28"/>
        </w:rPr>
        <w:t>3.1 管理者代表负责建立知识管理机制，促进全员注重知识管理；</w:t>
      </w:r>
    </w:p>
    <w:p w14:paraId="19CF6D38">
      <w:pPr>
        <w:spacing w:line="360" w:lineRule="auto"/>
        <w:ind w:left="425" w:hanging="424" w:hangingChars="177"/>
        <w:rPr>
          <w:sz w:val="24"/>
          <w:szCs w:val="28"/>
        </w:rPr>
      </w:pPr>
      <w:r>
        <w:rPr>
          <w:rFonts w:hint="eastAsia"/>
          <w:sz w:val="24"/>
          <w:szCs w:val="28"/>
        </w:rPr>
        <w:t>3.2 各部门收集其职责和权限范围内的相关知识，并汇总上报到</w:t>
      </w:r>
      <w:r>
        <w:rPr>
          <w:rFonts w:hint="eastAsia"/>
          <w:sz w:val="24"/>
          <w:szCs w:val="28"/>
          <w:lang w:eastAsia="zh-CN"/>
        </w:rPr>
        <w:t>研发部</w:t>
      </w:r>
      <w:r>
        <w:rPr>
          <w:rFonts w:hint="eastAsia"/>
          <w:sz w:val="24"/>
          <w:szCs w:val="28"/>
        </w:rPr>
        <w:t>，由其对收集的知识进行更新管理；</w:t>
      </w:r>
    </w:p>
    <w:p w14:paraId="751413C2">
      <w:pPr>
        <w:spacing w:line="360" w:lineRule="auto"/>
        <w:rPr>
          <w:sz w:val="24"/>
          <w:szCs w:val="28"/>
        </w:rPr>
      </w:pPr>
      <w:r>
        <w:rPr>
          <w:rFonts w:hint="eastAsia"/>
          <w:sz w:val="24"/>
          <w:szCs w:val="28"/>
        </w:rPr>
        <w:t xml:space="preserve">3.3 </w:t>
      </w:r>
      <w:r>
        <w:rPr>
          <w:rFonts w:hint="eastAsia"/>
          <w:sz w:val="24"/>
          <w:szCs w:val="28"/>
          <w:lang w:eastAsia="zh-CN"/>
        </w:rPr>
        <w:t>研发部</w:t>
      </w:r>
      <w:r>
        <w:rPr>
          <w:rFonts w:hint="eastAsia"/>
          <w:sz w:val="24"/>
          <w:szCs w:val="28"/>
        </w:rPr>
        <w:t>负责知识的登记、注册、评估、分级管理。</w:t>
      </w:r>
    </w:p>
    <w:p w14:paraId="013BB952">
      <w:pPr>
        <w:spacing w:line="360" w:lineRule="auto"/>
        <w:rPr>
          <w:b/>
          <w:sz w:val="24"/>
          <w:szCs w:val="28"/>
        </w:rPr>
      </w:pPr>
      <w:r>
        <w:rPr>
          <w:rFonts w:hint="eastAsia"/>
          <w:b/>
          <w:sz w:val="24"/>
          <w:szCs w:val="28"/>
        </w:rPr>
        <w:t>4 工作程序</w:t>
      </w:r>
    </w:p>
    <w:p w14:paraId="76668895">
      <w:pPr>
        <w:spacing w:line="360" w:lineRule="auto"/>
        <w:ind w:left="566" w:hanging="566" w:hangingChars="236"/>
        <w:rPr>
          <w:sz w:val="24"/>
          <w:szCs w:val="28"/>
        </w:rPr>
      </w:pPr>
      <w:r>
        <w:rPr>
          <w:rFonts w:hint="eastAsia"/>
          <w:sz w:val="24"/>
          <w:szCs w:val="28"/>
        </w:rPr>
        <w:t xml:space="preserve">4.1 </w:t>
      </w:r>
      <w:r>
        <w:rPr>
          <w:sz w:val="24"/>
          <w:szCs w:val="28"/>
        </w:rPr>
        <w:t xml:space="preserve"> </w:t>
      </w:r>
      <w:r>
        <w:rPr>
          <w:rFonts w:hint="eastAsia"/>
          <w:sz w:val="24"/>
          <w:szCs w:val="28"/>
        </w:rPr>
        <w:t>各部门负责识别以运行过程并获得合格的产品和服务的知识，并上报到</w:t>
      </w:r>
      <w:r>
        <w:rPr>
          <w:rFonts w:hint="eastAsia"/>
          <w:sz w:val="24"/>
          <w:szCs w:val="28"/>
          <w:lang w:eastAsia="zh-CN"/>
        </w:rPr>
        <w:t>研发部</w:t>
      </w:r>
      <w:r>
        <w:rPr>
          <w:rFonts w:hint="eastAsia"/>
          <w:sz w:val="24"/>
          <w:szCs w:val="28"/>
        </w:rPr>
        <w:t>。知识可以来自于以下方面：</w:t>
      </w:r>
    </w:p>
    <w:p w14:paraId="6C48922D">
      <w:pPr>
        <w:spacing w:line="360" w:lineRule="auto"/>
        <w:ind w:firstLine="240" w:firstLineChars="100"/>
        <w:rPr>
          <w:sz w:val="24"/>
          <w:szCs w:val="28"/>
        </w:rPr>
      </w:pPr>
      <w:r>
        <w:rPr>
          <w:rFonts w:hint="eastAsia"/>
          <w:sz w:val="24"/>
          <w:szCs w:val="28"/>
        </w:rPr>
        <w:t>a) 从失败或临近失败的情况和成功经验中吸取经验教训；</w:t>
      </w:r>
    </w:p>
    <w:p w14:paraId="5AAB1C02">
      <w:pPr>
        <w:spacing w:line="360" w:lineRule="auto"/>
        <w:ind w:firstLine="240" w:firstLineChars="100"/>
        <w:rPr>
          <w:sz w:val="24"/>
          <w:szCs w:val="28"/>
        </w:rPr>
      </w:pPr>
      <w:r>
        <w:rPr>
          <w:rFonts w:hint="eastAsia"/>
          <w:sz w:val="24"/>
          <w:szCs w:val="28"/>
        </w:rPr>
        <w:t>b) 企业内部人员的知识和经验；</w:t>
      </w:r>
    </w:p>
    <w:p w14:paraId="06D79D8B">
      <w:pPr>
        <w:spacing w:line="360" w:lineRule="auto"/>
        <w:ind w:firstLine="240" w:firstLineChars="100"/>
        <w:rPr>
          <w:sz w:val="24"/>
          <w:szCs w:val="28"/>
        </w:rPr>
      </w:pPr>
      <w:r>
        <w:rPr>
          <w:rFonts w:hint="eastAsia"/>
          <w:sz w:val="24"/>
          <w:szCs w:val="28"/>
        </w:rPr>
        <w:t>c) 从顾客、供应商和合作伙伴等相关方收集知识；</w:t>
      </w:r>
    </w:p>
    <w:p w14:paraId="12AA7B5C">
      <w:pPr>
        <w:spacing w:line="360" w:lineRule="auto"/>
        <w:ind w:firstLine="240" w:firstLineChars="100"/>
        <w:rPr>
          <w:sz w:val="24"/>
          <w:szCs w:val="28"/>
        </w:rPr>
      </w:pPr>
      <w:r>
        <w:rPr>
          <w:rFonts w:hint="eastAsia"/>
          <w:sz w:val="24"/>
          <w:szCs w:val="28"/>
        </w:rPr>
        <w:t>d) 组织内部存在的显性或隐性的知识；</w:t>
      </w:r>
    </w:p>
    <w:p w14:paraId="7F0312DC">
      <w:pPr>
        <w:spacing w:line="360" w:lineRule="auto"/>
        <w:ind w:firstLine="240" w:firstLineChars="100"/>
        <w:rPr>
          <w:sz w:val="24"/>
          <w:szCs w:val="28"/>
        </w:rPr>
      </w:pPr>
      <w:r>
        <w:rPr>
          <w:rFonts w:hint="eastAsia"/>
          <w:sz w:val="24"/>
          <w:szCs w:val="28"/>
        </w:rPr>
        <w:t>e) 标杆及竞争对手的知识等。</w:t>
      </w:r>
    </w:p>
    <w:p w14:paraId="634D3235">
      <w:pPr>
        <w:spacing w:line="360" w:lineRule="auto"/>
        <w:ind w:left="566" w:hanging="566" w:hangingChars="236"/>
        <w:rPr>
          <w:sz w:val="24"/>
          <w:szCs w:val="28"/>
        </w:rPr>
      </w:pPr>
      <w:r>
        <w:rPr>
          <w:rFonts w:hint="eastAsia"/>
          <w:sz w:val="24"/>
          <w:szCs w:val="28"/>
        </w:rPr>
        <w:t>4.</w:t>
      </w:r>
      <w:r>
        <w:rPr>
          <w:sz w:val="24"/>
          <w:szCs w:val="28"/>
        </w:rPr>
        <w:t>2</w:t>
      </w:r>
      <w:r>
        <w:rPr>
          <w:rFonts w:hint="eastAsia"/>
          <w:sz w:val="24"/>
          <w:szCs w:val="28"/>
        </w:rPr>
        <w:t>知识</w:t>
      </w:r>
      <w:r>
        <w:rPr>
          <w:sz w:val="24"/>
          <w:szCs w:val="28"/>
        </w:rPr>
        <w:t>管理关注的是对企业内外部的显性、隐性知识的管理，显性知识包括内外部的研究报告、标准规范、程序文档和数据等；而隐性知识包括隐藏在人的大脑中的经验和隐含在企业业务中还没有被发现的知识或经验</w:t>
      </w:r>
      <w:r>
        <w:rPr>
          <w:rFonts w:hint="eastAsia"/>
          <w:sz w:val="24"/>
          <w:szCs w:val="28"/>
        </w:rPr>
        <w:t>；</w:t>
      </w:r>
    </w:p>
    <w:p w14:paraId="6D8754C7">
      <w:pPr>
        <w:spacing w:line="360" w:lineRule="auto"/>
        <w:ind w:left="566" w:hanging="566" w:hangingChars="236"/>
        <w:rPr>
          <w:sz w:val="24"/>
          <w:szCs w:val="28"/>
        </w:rPr>
      </w:pPr>
      <w:r>
        <w:rPr>
          <w:rFonts w:hint="eastAsia"/>
          <w:sz w:val="24"/>
          <w:szCs w:val="28"/>
        </w:rPr>
        <w:t>4.3 公司可以通过学术交流、专业会议、行业会议</w:t>
      </w:r>
      <w:r>
        <w:rPr>
          <w:sz w:val="24"/>
          <w:szCs w:val="28"/>
        </w:rPr>
        <w:t>、企业标准</w:t>
      </w:r>
      <w:r>
        <w:rPr>
          <w:rFonts w:hint="eastAsia"/>
          <w:sz w:val="24"/>
          <w:szCs w:val="28"/>
        </w:rPr>
        <w:t>等方式，从外部收集相关的知识； 通过</w:t>
      </w:r>
      <w:r>
        <w:rPr>
          <w:sz w:val="24"/>
          <w:szCs w:val="28"/>
        </w:rPr>
        <w:t>工作总结、</w:t>
      </w:r>
      <w:r>
        <w:rPr>
          <w:rFonts w:hint="eastAsia"/>
          <w:sz w:val="24"/>
          <w:szCs w:val="28"/>
        </w:rPr>
        <w:t>QC小组、合理化建议、技术比武、分析会等方式收集内部相关的知识。</w:t>
      </w:r>
    </w:p>
    <w:p w14:paraId="0757DA8E">
      <w:pPr>
        <w:spacing w:line="360" w:lineRule="auto"/>
        <w:ind w:left="566" w:hanging="566" w:hangingChars="236"/>
        <w:rPr>
          <w:sz w:val="24"/>
          <w:szCs w:val="28"/>
        </w:rPr>
      </w:pPr>
      <w:r>
        <w:rPr>
          <w:rFonts w:hint="eastAsia"/>
          <w:sz w:val="24"/>
          <w:szCs w:val="28"/>
        </w:rPr>
        <w:t xml:space="preserve">4.4 </w:t>
      </w:r>
      <w:r>
        <w:rPr>
          <w:rFonts w:hint="eastAsia"/>
          <w:sz w:val="24"/>
          <w:szCs w:val="28"/>
          <w:lang w:eastAsia="zh-CN"/>
        </w:rPr>
        <w:t>研发部</w:t>
      </w:r>
      <w:r>
        <w:rPr>
          <w:rFonts w:hint="eastAsia"/>
          <w:sz w:val="24"/>
          <w:szCs w:val="28"/>
        </w:rPr>
        <w:t>对各部门上报的知识进行登记、注册、评估、分级，</w:t>
      </w:r>
      <w:r>
        <w:rPr>
          <w:sz w:val="24"/>
          <w:szCs w:val="28"/>
        </w:rPr>
        <w:t>构建知识库，对纷杂的知识内容（</w:t>
      </w:r>
      <w:r>
        <w:rPr>
          <w:rFonts w:hint="eastAsia"/>
          <w:sz w:val="24"/>
          <w:szCs w:val="28"/>
        </w:rPr>
        <w:t>标准、技术、</w:t>
      </w:r>
      <w:r>
        <w:rPr>
          <w:sz w:val="24"/>
          <w:szCs w:val="28"/>
        </w:rPr>
        <w:t>方案、策划、制度</w:t>
      </w:r>
      <w:r>
        <w:rPr>
          <w:rFonts w:hint="eastAsia"/>
          <w:sz w:val="24"/>
          <w:szCs w:val="28"/>
        </w:rPr>
        <w:t>、总结</w:t>
      </w:r>
      <w:r>
        <w:rPr>
          <w:sz w:val="24"/>
          <w:szCs w:val="28"/>
        </w:rPr>
        <w:t>等）和格式（图片、word、excel、ppt、pdf等）分门别类管理。</w:t>
      </w:r>
    </w:p>
    <w:p w14:paraId="5346C511">
      <w:pPr>
        <w:spacing w:line="360" w:lineRule="auto"/>
        <w:ind w:left="566" w:hanging="566" w:hangingChars="236"/>
        <w:rPr>
          <w:sz w:val="24"/>
          <w:szCs w:val="28"/>
        </w:rPr>
      </w:pPr>
      <w:r>
        <w:rPr>
          <w:rFonts w:hint="eastAsia"/>
          <w:sz w:val="24"/>
          <w:szCs w:val="28"/>
        </w:rPr>
        <w:t>通过分析，我公司的知识主要存在：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961"/>
        <w:gridCol w:w="5017"/>
      </w:tblGrid>
      <w:tr w14:paraId="5BAC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13387FC7">
            <w:pPr>
              <w:jc w:val="center"/>
              <w:rPr>
                <w:b/>
                <w:bCs/>
                <w:sz w:val="24"/>
                <w:szCs w:val="28"/>
              </w:rPr>
            </w:pPr>
            <w:r>
              <w:rPr>
                <w:rFonts w:hint="eastAsia"/>
                <w:b/>
                <w:bCs/>
                <w:sz w:val="24"/>
                <w:szCs w:val="28"/>
              </w:rPr>
              <w:t>部门</w:t>
            </w:r>
          </w:p>
        </w:tc>
        <w:tc>
          <w:tcPr>
            <w:tcW w:w="1547" w:type="pct"/>
          </w:tcPr>
          <w:p w14:paraId="3D2A0A37">
            <w:pPr>
              <w:jc w:val="center"/>
              <w:rPr>
                <w:b/>
                <w:bCs/>
                <w:sz w:val="24"/>
                <w:szCs w:val="28"/>
              </w:rPr>
            </w:pPr>
            <w:r>
              <w:rPr>
                <w:rFonts w:hint="eastAsia"/>
                <w:b/>
                <w:bCs/>
                <w:sz w:val="24"/>
                <w:szCs w:val="28"/>
              </w:rPr>
              <w:t>知识内容</w:t>
            </w:r>
          </w:p>
        </w:tc>
        <w:tc>
          <w:tcPr>
            <w:tcW w:w="2621" w:type="pct"/>
          </w:tcPr>
          <w:p w14:paraId="1093FA28">
            <w:pPr>
              <w:jc w:val="center"/>
              <w:rPr>
                <w:b/>
                <w:bCs/>
                <w:sz w:val="24"/>
                <w:szCs w:val="28"/>
              </w:rPr>
            </w:pPr>
            <w:r>
              <w:rPr>
                <w:rFonts w:hint="eastAsia"/>
                <w:b/>
                <w:bCs/>
                <w:sz w:val="24"/>
                <w:szCs w:val="28"/>
              </w:rPr>
              <w:t>体现</w:t>
            </w:r>
          </w:p>
        </w:tc>
      </w:tr>
      <w:tr w14:paraId="27D4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14:paraId="0FA32E54">
            <w:pPr>
              <w:rPr>
                <w:sz w:val="24"/>
                <w:szCs w:val="28"/>
              </w:rPr>
            </w:pPr>
            <w:r>
              <w:rPr>
                <w:rFonts w:hint="eastAsia"/>
                <w:sz w:val="24"/>
                <w:szCs w:val="28"/>
              </w:rPr>
              <w:t>领导层</w:t>
            </w:r>
          </w:p>
        </w:tc>
        <w:tc>
          <w:tcPr>
            <w:tcW w:w="1547" w:type="pct"/>
          </w:tcPr>
          <w:p w14:paraId="0C35F73A">
            <w:pPr>
              <w:rPr>
                <w:sz w:val="24"/>
                <w:szCs w:val="28"/>
              </w:rPr>
            </w:pPr>
            <w:r>
              <w:rPr>
                <w:rFonts w:hint="eastAsia"/>
                <w:sz w:val="24"/>
                <w:szCs w:val="28"/>
              </w:rPr>
              <w:t>战略</w:t>
            </w:r>
          </w:p>
        </w:tc>
        <w:tc>
          <w:tcPr>
            <w:tcW w:w="2621" w:type="pct"/>
          </w:tcPr>
          <w:p w14:paraId="72E092A3">
            <w:pPr>
              <w:rPr>
                <w:sz w:val="24"/>
                <w:szCs w:val="28"/>
              </w:rPr>
            </w:pPr>
            <w:r>
              <w:rPr>
                <w:rFonts w:hint="eastAsia"/>
                <w:sz w:val="24"/>
                <w:szCs w:val="28"/>
              </w:rPr>
              <w:t>发展战略、企业文化手册、工作经验、各种总结、先进管理理念、方法应用、工作报告、合理化建议、失效分析等</w:t>
            </w:r>
          </w:p>
        </w:tc>
      </w:tr>
      <w:tr w14:paraId="5B0A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583ABF3D">
            <w:pPr>
              <w:rPr>
                <w:rFonts w:hint="eastAsia" w:eastAsia="宋体"/>
                <w:sz w:val="24"/>
                <w:szCs w:val="28"/>
                <w:lang w:eastAsia="zh-CN"/>
              </w:rPr>
            </w:pPr>
            <w:r>
              <w:rPr>
                <w:rFonts w:hint="eastAsia"/>
                <w:sz w:val="24"/>
                <w:szCs w:val="28"/>
                <w:lang w:eastAsia="zh-CN"/>
              </w:rPr>
              <w:t>综合部</w:t>
            </w:r>
          </w:p>
        </w:tc>
        <w:tc>
          <w:tcPr>
            <w:tcW w:w="1547" w:type="pct"/>
            <w:vAlign w:val="center"/>
          </w:tcPr>
          <w:p w14:paraId="204BCCBB">
            <w:pPr>
              <w:rPr>
                <w:sz w:val="24"/>
                <w:szCs w:val="28"/>
              </w:rPr>
            </w:pPr>
            <w:r>
              <w:rPr>
                <w:rFonts w:hint="eastAsia"/>
                <w:sz w:val="24"/>
                <w:szCs w:val="28"/>
              </w:rPr>
              <w:t>企业文化</w:t>
            </w:r>
          </w:p>
        </w:tc>
        <w:tc>
          <w:tcPr>
            <w:tcW w:w="2621" w:type="pct"/>
            <w:vAlign w:val="center"/>
          </w:tcPr>
          <w:p w14:paraId="55914C5D">
            <w:pPr>
              <w:rPr>
                <w:sz w:val="24"/>
                <w:szCs w:val="28"/>
              </w:rPr>
            </w:pPr>
            <w:r>
              <w:rPr>
                <w:rFonts w:hint="eastAsia"/>
                <w:sz w:val="24"/>
                <w:szCs w:val="28"/>
              </w:rPr>
              <w:t>企业文化手册、员工先进事迹汇编、公司内部刊物</w:t>
            </w:r>
          </w:p>
        </w:tc>
      </w:tr>
      <w:tr w14:paraId="241F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7E3AC7FA">
            <w:pPr>
              <w:rPr>
                <w:rFonts w:hint="eastAsia" w:eastAsia="宋体"/>
                <w:sz w:val="24"/>
                <w:szCs w:val="28"/>
                <w:lang w:eastAsia="zh-CN"/>
              </w:rPr>
            </w:pPr>
            <w:r>
              <w:rPr>
                <w:rFonts w:hint="eastAsia"/>
                <w:sz w:val="24"/>
                <w:szCs w:val="28"/>
                <w:lang w:eastAsia="zh-CN"/>
              </w:rPr>
              <w:t>研发部</w:t>
            </w:r>
          </w:p>
        </w:tc>
        <w:tc>
          <w:tcPr>
            <w:tcW w:w="1547" w:type="pct"/>
            <w:vAlign w:val="center"/>
          </w:tcPr>
          <w:p w14:paraId="2CA8F80B">
            <w:pPr>
              <w:rPr>
                <w:sz w:val="24"/>
                <w:szCs w:val="28"/>
              </w:rPr>
            </w:pPr>
            <w:r>
              <w:rPr>
                <w:rFonts w:hint="eastAsia"/>
                <w:sz w:val="24"/>
                <w:szCs w:val="28"/>
              </w:rPr>
              <w:t>政策、法规知识</w:t>
            </w:r>
          </w:p>
        </w:tc>
        <w:tc>
          <w:tcPr>
            <w:tcW w:w="2621" w:type="pct"/>
            <w:vAlign w:val="center"/>
          </w:tcPr>
          <w:p w14:paraId="5587CCEB">
            <w:pPr>
              <w:rPr>
                <w:sz w:val="24"/>
                <w:szCs w:val="28"/>
              </w:rPr>
            </w:pPr>
            <w:r>
              <w:rPr>
                <w:rFonts w:hint="eastAsia"/>
                <w:sz w:val="24"/>
                <w:szCs w:val="28"/>
              </w:rPr>
              <w:t>管理制度、技术规范、产品标准、环保标准、国家产业政策、安全相关标准等</w:t>
            </w:r>
          </w:p>
        </w:tc>
      </w:tr>
      <w:tr w14:paraId="21AD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14:paraId="45B68340">
            <w:pPr>
              <w:rPr>
                <w:rFonts w:hint="eastAsia" w:eastAsia="宋体"/>
                <w:sz w:val="24"/>
                <w:szCs w:val="28"/>
                <w:lang w:eastAsia="zh-CN"/>
              </w:rPr>
            </w:pPr>
            <w:r>
              <w:rPr>
                <w:rFonts w:hint="eastAsia"/>
                <w:sz w:val="24"/>
                <w:szCs w:val="28"/>
                <w:lang w:eastAsia="zh-CN"/>
              </w:rPr>
              <w:t>研发部</w:t>
            </w:r>
          </w:p>
        </w:tc>
        <w:tc>
          <w:tcPr>
            <w:tcW w:w="1547" w:type="pct"/>
            <w:vAlign w:val="center"/>
          </w:tcPr>
          <w:p w14:paraId="5DF87AAC">
            <w:pPr>
              <w:rPr>
                <w:sz w:val="24"/>
                <w:szCs w:val="28"/>
              </w:rPr>
            </w:pPr>
            <w:r>
              <w:rPr>
                <w:rFonts w:hint="eastAsia"/>
                <w:sz w:val="24"/>
                <w:szCs w:val="28"/>
              </w:rPr>
              <w:t>工作流程</w:t>
            </w:r>
          </w:p>
        </w:tc>
        <w:tc>
          <w:tcPr>
            <w:tcW w:w="2621" w:type="pct"/>
            <w:vAlign w:val="center"/>
          </w:tcPr>
          <w:p w14:paraId="39811F98">
            <w:pPr>
              <w:rPr>
                <w:sz w:val="24"/>
                <w:szCs w:val="28"/>
              </w:rPr>
            </w:pPr>
            <w:r>
              <w:rPr>
                <w:rFonts w:hint="eastAsia"/>
                <w:sz w:val="24"/>
                <w:szCs w:val="28"/>
              </w:rPr>
              <w:t>工作标准、作业指导书</w:t>
            </w:r>
          </w:p>
        </w:tc>
      </w:tr>
      <w:tr w14:paraId="043F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14:paraId="41A03EDF">
            <w:pPr>
              <w:rPr>
                <w:sz w:val="24"/>
                <w:szCs w:val="28"/>
              </w:rPr>
            </w:pPr>
          </w:p>
        </w:tc>
        <w:tc>
          <w:tcPr>
            <w:tcW w:w="1547" w:type="pct"/>
            <w:vAlign w:val="center"/>
          </w:tcPr>
          <w:p w14:paraId="6A7662FA">
            <w:pPr>
              <w:rPr>
                <w:sz w:val="24"/>
                <w:szCs w:val="28"/>
              </w:rPr>
            </w:pPr>
            <w:r>
              <w:rPr>
                <w:rFonts w:hint="eastAsia"/>
                <w:sz w:val="24"/>
                <w:szCs w:val="28"/>
              </w:rPr>
              <w:t>管理知识</w:t>
            </w:r>
          </w:p>
        </w:tc>
        <w:tc>
          <w:tcPr>
            <w:tcW w:w="2621" w:type="pct"/>
            <w:vAlign w:val="center"/>
          </w:tcPr>
          <w:p w14:paraId="5525D8B2">
            <w:pPr>
              <w:rPr>
                <w:sz w:val="24"/>
                <w:szCs w:val="28"/>
              </w:rPr>
            </w:pPr>
            <w:r>
              <w:rPr>
                <w:rFonts w:hint="eastAsia"/>
                <w:sz w:val="24"/>
                <w:szCs w:val="28"/>
              </w:rPr>
              <w:t>管理制度、体系文件、管理论文、管理现代化成果汇编</w:t>
            </w:r>
          </w:p>
        </w:tc>
      </w:tr>
      <w:tr w14:paraId="643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2D1F7772">
            <w:pPr>
              <w:rPr>
                <w:rFonts w:hint="eastAsia" w:eastAsia="宋体"/>
                <w:sz w:val="24"/>
                <w:szCs w:val="28"/>
                <w:lang w:eastAsia="zh-CN"/>
              </w:rPr>
            </w:pPr>
            <w:r>
              <w:rPr>
                <w:rFonts w:hint="eastAsia"/>
                <w:sz w:val="24"/>
                <w:szCs w:val="28"/>
                <w:lang w:eastAsia="zh-CN"/>
              </w:rPr>
              <w:t>研发部</w:t>
            </w:r>
          </w:p>
        </w:tc>
        <w:tc>
          <w:tcPr>
            <w:tcW w:w="1547" w:type="pct"/>
            <w:vAlign w:val="center"/>
          </w:tcPr>
          <w:p w14:paraId="4F5AB9EA">
            <w:pPr>
              <w:rPr>
                <w:sz w:val="24"/>
                <w:szCs w:val="28"/>
              </w:rPr>
            </w:pPr>
            <w:r>
              <w:rPr>
                <w:rFonts w:hint="eastAsia"/>
                <w:sz w:val="24"/>
                <w:szCs w:val="28"/>
              </w:rPr>
              <w:t>质量管理知识</w:t>
            </w:r>
          </w:p>
        </w:tc>
        <w:tc>
          <w:tcPr>
            <w:tcW w:w="2621" w:type="pct"/>
            <w:vAlign w:val="center"/>
          </w:tcPr>
          <w:p w14:paraId="33107F4B">
            <w:pPr>
              <w:rPr>
                <w:sz w:val="24"/>
                <w:szCs w:val="28"/>
              </w:rPr>
            </w:pPr>
            <w:r>
              <w:rPr>
                <w:rFonts w:hint="eastAsia"/>
                <w:sz w:val="24"/>
                <w:szCs w:val="28"/>
              </w:rPr>
              <w:t>质量手册、质量责任制、QC论文、QC成果、先进管理理念、方法应用</w:t>
            </w:r>
          </w:p>
        </w:tc>
      </w:tr>
      <w:tr w14:paraId="70F0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14:paraId="0674C4B7">
            <w:pPr>
              <w:rPr>
                <w:rFonts w:hint="eastAsia" w:eastAsia="宋体"/>
                <w:sz w:val="24"/>
                <w:szCs w:val="28"/>
                <w:lang w:eastAsia="zh-CN"/>
              </w:rPr>
            </w:pPr>
            <w:r>
              <w:rPr>
                <w:rFonts w:hint="eastAsia"/>
                <w:sz w:val="24"/>
                <w:szCs w:val="28"/>
                <w:lang w:eastAsia="zh-CN"/>
              </w:rPr>
              <w:t>研发部</w:t>
            </w:r>
          </w:p>
        </w:tc>
        <w:tc>
          <w:tcPr>
            <w:tcW w:w="1547" w:type="pct"/>
            <w:vAlign w:val="center"/>
          </w:tcPr>
          <w:p w14:paraId="26BFCCE3">
            <w:pPr>
              <w:rPr>
                <w:sz w:val="24"/>
                <w:szCs w:val="28"/>
              </w:rPr>
            </w:pPr>
            <w:r>
              <w:rPr>
                <w:rFonts w:hint="eastAsia"/>
                <w:sz w:val="24"/>
                <w:szCs w:val="28"/>
              </w:rPr>
              <w:t>创新知识</w:t>
            </w:r>
          </w:p>
        </w:tc>
        <w:tc>
          <w:tcPr>
            <w:tcW w:w="2621" w:type="pct"/>
            <w:vAlign w:val="center"/>
          </w:tcPr>
          <w:p w14:paraId="415A20C8">
            <w:pPr>
              <w:rPr>
                <w:sz w:val="24"/>
                <w:szCs w:val="28"/>
              </w:rPr>
            </w:pPr>
            <w:r>
              <w:rPr>
                <w:rFonts w:hint="eastAsia"/>
                <w:sz w:val="24"/>
                <w:szCs w:val="28"/>
              </w:rPr>
              <w:t>专利、科技成果、工艺成果、科研论文</w:t>
            </w:r>
          </w:p>
        </w:tc>
      </w:tr>
      <w:tr w14:paraId="7E26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14:paraId="4C9BF991">
            <w:pPr>
              <w:rPr>
                <w:sz w:val="24"/>
                <w:szCs w:val="28"/>
              </w:rPr>
            </w:pPr>
          </w:p>
        </w:tc>
        <w:tc>
          <w:tcPr>
            <w:tcW w:w="1547" w:type="pct"/>
            <w:vAlign w:val="center"/>
          </w:tcPr>
          <w:p w14:paraId="6214C02A">
            <w:pPr>
              <w:rPr>
                <w:sz w:val="24"/>
                <w:szCs w:val="28"/>
              </w:rPr>
            </w:pPr>
            <w:r>
              <w:rPr>
                <w:rFonts w:hint="eastAsia"/>
                <w:sz w:val="24"/>
                <w:szCs w:val="28"/>
              </w:rPr>
              <w:t>科学、技术、管理创新知识</w:t>
            </w:r>
          </w:p>
        </w:tc>
        <w:tc>
          <w:tcPr>
            <w:tcW w:w="2621" w:type="pct"/>
            <w:vAlign w:val="center"/>
          </w:tcPr>
          <w:p w14:paraId="3F95E2C9">
            <w:pPr>
              <w:rPr>
                <w:sz w:val="24"/>
                <w:szCs w:val="28"/>
              </w:rPr>
            </w:pPr>
            <w:r>
              <w:rPr>
                <w:rFonts w:hint="eastAsia"/>
                <w:sz w:val="24"/>
                <w:szCs w:val="28"/>
              </w:rPr>
              <w:t>科技查新报告、专利调研报告、经济技术评价报告</w:t>
            </w:r>
          </w:p>
        </w:tc>
      </w:tr>
      <w:tr w14:paraId="0090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7518473B">
            <w:pPr>
              <w:rPr>
                <w:rFonts w:hint="eastAsia" w:eastAsia="宋体"/>
                <w:sz w:val="24"/>
                <w:szCs w:val="28"/>
                <w:lang w:eastAsia="zh-CN"/>
              </w:rPr>
            </w:pPr>
            <w:r>
              <w:rPr>
                <w:rFonts w:hint="eastAsia"/>
                <w:sz w:val="24"/>
                <w:szCs w:val="28"/>
                <w:lang w:eastAsia="zh-CN"/>
              </w:rPr>
              <w:t>市场部</w:t>
            </w:r>
          </w:p>
        </w:tc>
        <w:tc>
          <w:tcPr>
            <w:tcW w:w="1547" w:type="pct"/>
            <w:vAlign w:val="center"/>
          </w:tcPr>
          <w:p w14:paraId="299C4F94">
            <w:pPr>
              <w:rPr>
                <w:sz w:val="24"/>
                <w:szCs w:val="28"/>
              </w:rPr>
            </w:pPr>
            <w:r>
              <w:rPr>
                <w:rFonts w:hint="eastAsia"/>
                <w:sz w:val="24"/>
                <w:szCs w:val="28"/>
              </w:rPr>
              <w:t>采购过程和供方相关知识</w:t>
            </w:r>
          </w:p>
        </w:tc>
        <w:tc>
          <w:tcPr>
            <w:tcW w:w="2621" w:type="pct"/>
            <w:vAlign w:val="center"/>
          </w:tcPr>
          <w:p w14:paraId="424E17A6">
            <w:pPr>
              <w:rPr>
                <w:sz w:val="24"/>
                <w:szCs w:val="28"/>
              </w:rPr>
            </w:pPr>
            <w:r>
              <w:rPr>
                <w:rFonts w:hint="eastAsia"/>
                <w:sz w:val="24"/>
                <w:szCs w:val="28"/>
              </w:rPr>
              <w:t>采购成本控制、合格供方、物流运营、相关材料储存分析、</w:t>
            </w:r>
          </w:p>
        </w:tc>
      </w:tr>
      <w:tr w14:paraId="4439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14:paraId="4E6F06F1">
            <w:pPr>
              <w:rPr>
                <w:rFonts w:hint="eastAsia" w:eastAsia="宋体"/>
                <w:sz w:val="24"/>
                <w:szCs w:val="28"/>
                <w:lang w:eastAsia="zh-CN"/>
              </w:rPr>
            </w:pPr>
            <w:r>
              <w:rPr>
                <w:rFonts w:hint="eastAsia"/>
                <w:sz w:val="24"/>
                <w:szCs w:val="28"/>
                <w:lang w:eastAsia="zh-CN"/>
              </w:rPr>
              <w:t>市场部</w:t>
            </w:r>
          </w:p>
          <w:p w14:paraId="4AFA6B71">
            <w:pPr>
              <w:rPr>
                <w:sz w:val="24"/>
                <w:szCs w:val="28"/>
              </w:rPr>
            </w:pPr>
          </w:p>
        </w:tc>
        <w:tc>
          <w:tcPr>
            <w:tcW w:w="1547" w:type="pct"/>
            <w:vAlign w:val="center"/>
          </w:tcPr>
          <w:p w14:paraId="4D471F81">
            <w:pPr>
              <w:rPr>
                <w:sz w:val="24"/>
                <w:szCs w:val="28"/>
              </w:rPr>
            </w:pPr>
            <w:r>
              <w:rPr>
                <w:rFonts w:hint="eastAsia"/>
                <w:sz w:val="24"/>
                <w:szCs w:val="28"/>
              </w:rPr>
              <w:t>顾客关系和需求知识</w:t>
            </w:r>
          </w:p>
        </w:tc>
        <w:tc>
          <w:tcPr>
            <w:tcW w:w="2621" w:type="pct"/>
            <w:vAlign w:val="center"/>
          </w:tcPr>
          <w:p w14:paraId="6E7D95E4">
            <w:pPr>
              <w:rPr>
                <w:sz w:val="24"/>
                <w:szCs w:val="28"/>
              </w:rPr>
            </w:pPr>
            <w:r>
              <w:rPr>
                <w:rFonts w:hint="eastAsia"/>
                <w:sz w:val="24"/>
                <w:szCs w:val="28"/>
              </w:rPr>
              <w:t>合同要求、产品标准、服务规范、用户档案、产品说明书、宣传画册</w:t>
            </w:r>
          </w:p>
        </w:tc>
      </w:tr>
      <w:tr w14:paraId="20C3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14:paraId="69DC53FE">
            <w:pPr>
              <w:rPr>
                <w:sz w:val="24"/>
                <w:szCs w:val="28"/>
              </w:rPr>
            </w:pPr>
          </w:p>
        </w:tc>
        <w:tc>
          <w:tcPr>
            <w:tcW w:w="1547" w:type="pct"/>
            <w:vAlign w:val="center"/>
          </w:tcPr>
          <w:p w14:paraId="23368149">
            <w:pPr>
              <w:rPr>
                <w:sz w:val="24"/>
                <w:szCs w:val="28"/>
              </w:rPr>
            </w:pPr>
            <w:r>
              <w:rPr>
                <w:rFonts w:hint="eastAsia"/>
                <w:sz w:val="24"/>
                <w:szCs w:val="28"/>
              </w:rPr>
              <w:t>市场、竞争对手相关知识</w:t>
            </w:r>
          </w:p>
        </w:tc>
        <w:tc>
          <w:tcPr>
            <w:tcW w:w="2621" w:type="pct"/>
            <w:vAlign w:val="center"/>
          </w:tcPr>
          <w:p w14:paraId="3B0AA8D6">
            <w:pPr>
              <w:rPr>
                <w:sz w:val="24"/>
                <w:szCs w:val="28"/>
              </w:rPr>
            </w:pPr>
            <w:r>
              <w:rPr>
                <w:rFonts w:hint="eastAsia"/>
                <w:sz w:val="24"/>
                <w:szCs w:val="28"/>
              </w:rPr>
              <w:t>运营指标、成本控制、发展战略、营销战略、专题报告、商情内参</w:t>
            </w:r>
          </w:p>
        </w:tc>
      </w:tr>
    </w:tbl>
    <w:p w14:paraId="0B92E1FC">
      <w:pPr>
        <w:spacing w:line="360" w:lineRule="auto"/>
        <w:ind w:left="425" w:hanging="424" w:hangingChars="177"/>
        <w:rPr>
          <w:sz w:val="24"/>
          <w:szCs w:val="28"/>
        </w:rPr>
      </w:pPr>
      <w:r>
        <w:rPr>
          <w:rFonts w:hint="eastAsia"/>
          <w:sz w:val="24"/>
          <w:szCs w:val="28"/>
        </w:rPr>
        <w:t>4.5 针对以上知识对获得合格的产品和服务的</w:t>
      </w:r>
      <w:r>
        <w:rPr>
          <w:sz w:val="24"/>
          <w:szCs w:val="28"/>
        </w:rPr>
        <w:t>资产量、使用率、增长率</w:t>
      </w:r>
      <w:r>
        <w:rPr>
          <w:rFonts w:hint="eastAsia"/>
          <w:sz w:val="24"/>
          <w:szCs w:val="28"/>
        </w:rPr>
        <w:t>，分为公司级、部门级、岗位级的</w:t>
      </w:r>
      <w:r>
        <w:rPr>
          <w:sz w:val="24"/>
          <w:szCs w:val="28"/>
        </w:rPr>
        <w:t>知识</w:t>
      </w:r>
      <w:r>
        <w:rPr>
          <w:rFonts w:hint="eastAsia"/>
          <w:sz w:val="24"/>
          <w:szCs w:val="28"/>
        </w:rPr>
        <w:t>，由主要部门负责归类收集，并用</w:t>
      </w:r>
      <w:r>
        <w:rPr>
          <w:sz w:val="24"/>
          <w:szCs w:val="28"/>
        </w:rPr>
        <w:t>分享</w:t>
      </w:r>
      <w:r>
        <w:rPr>
          <w:rFonts w:hint="eastAsia"/>
          <w:sz w:val="24"/>
          <w:szCs w:val="28"/>
        </w:rPr>
        <w:t>权限管理，防止知识的流失；</w:t>
      </w:r>
    </w:p>
    <w:p w14:paraId="34C4112C">
      <w:pPr>
        <w:spacing w:line="360" w:lineRule="auto"/>
        <w:ind w:left="425" w:hanging="424" w:hangingChars="177"/>
        <w:rPr>
          <w:sz w:val="24"/>
          <w:szCs w:val="28"/>
        </w:rPr>
      </w:pPr>
      <w:r>
        <w:rPr>
          <w:rFonts w:hint="eastAsia"/>
          <w:sz w:val="24"/>
          <w:szCs w:val="28"/>
        </w:rPr>
        <w:t>4.6 管理者代表每半年对</w:t>
      </w:r>
      <w:r>
        <w:rPr>
          <w:sz w:val="24"/>
          <w:szCs w:val="28"/>
        </w:rPr>
        <w:t>有关部门</w:t>
      </w:r>
      <w:r>
        <w:rPr>
          <w:rFonts w:hint="eastAsia"/>
          <w:sz w:val="24"/>
          <w:szCs w:val="28"/>
        </w:rPr>
        <w:t>上报的知识进行价值评价，按分级对知识所有者进行奖励。</w:t>
      </w:r>
    </w:p>
    <w:p w14:paraId="2A74AD1F">
      <w:pPr>
        <w:spacing w:line="360" w:lineRule="auto"/>
        <w:ind w:firstLine="480" w:firstLineChars="200"/>
        <w:rPr>
          <w:sz w:val="24"/>
          <w:szCs w:val="28"/>
        </w:rPr>
      </w:pPr>
      <w:r>
        <w:rPr>
          <w:rFonts w:hint="eastAsia"/>
          <w:sz w:val="24"/>
          <w:szCs w:val="28"/>
        </w:rPr>
        <w:t>奖励标准：</w:t>
      </w:r>
    </w:p>
    <w:p w14:paraId="7DF212CD">
      <w:pPr>
        <w:spacing w:line="360" w:lineRule="auto"/>
        <w:ind w:firstLine="480" w:firstLineChars="200"/>
        <w:rPr>
          <w:sz w:val="24"/>
          <w:szCs w:val="28"/>
        </w:rPr>
      </w:pPr>
      <w:r>
        <w:rPr>
          <w:rFonts w:hint="eastAsia"/>
          <w:sz w:val="24"/>
          <w:szCs w:val="28"/>
        </w:rPr>
        <w:t>公司级；按其价值的创造收入，第一年提取30%</w:t>
      </w:r>
      <w:r>
        <w:rPr>
          <w:sz w:val="24"/>
          <w:szCs w:val="28"/>
        </w:rPr>
        <w:t>，</w:t>
      </w:r>
      <w:r>
        <w:rPr>
          <w:rFonts w:hint="eastAsia"/>
          <w:sz w:val="24"/>
          <w:szCs w:val="28"/>
        </w:rPr>
        <w:t>第二年20%，以后归公司所有；</w:t>
      </w:r>
    </w:p>
    <w:p w14:paraId="7EA54996">
      <w:pPr>
        <w:spacing w:line="360" w:lineRule="auto"/>
        <w:ind w:firstLine="480" w:firstLineChars="200"/>
        <w:rPr>
          <w:sz w:val="24"/>
          <w:szCs w:val="28"/>
        </w:rPr>
      </w:pPr>
      <w:r>
        <w:rPr>
          <w:rFonts w:hint="eastAsia"/>
          <w:sz w:val="24"/>
          <w:szCs w:val="28"/>
        </w:rPr>
        <w:t>部门级：按其价值的创造收入，第一年提取20% ；第二年10%，以后归公司所有；</w:t>
      </w:r>
    </w:p>
    <w:p w14:paraId="59478060">
      <w:pPr>
        <w:spacing w:line="360" w:lineRule="auto"/>
        <w:ind w:firstLine="480" w:firstLineChars="200"/>
        <w:rPr>
          <w:sz w:val="24"/>
          <w:szCs w:val="28"/>
        </w:rPr>
      </w:pPr>
      <w:r>
        <w:rPr>
          <w:rFonts w:hint="eastAsia"/>
          <w:sz w:val="24"/>
          <w:szCs w:val="28"/>
        </w:rPr>
        <w:t>岗位级：按其价值的创造收入，第一年提取10%；以后知识所有权直接属于公司。</w:t>
      </w:r>
    </w:p>
    <w:p w14:paraId="77AA0913">
      <w:pPr>
        <w:spacing w:line="360" w:lineRule="auto"/>
        <w:ind w:left="425" w:hanging="424" w:hangingChars="177"/>
        <w:rPr>
          <w:sz w:val="24"/>
          <w:szCs w:val="28"/>
        </w:rPr>
      </w:pPr>
      <w:r>
        <w:rPr>
          <w:rFonts w:hint="eastAsia"/>
          <w:sz w:val="24"/>
          <w:szCs w:val="28"/>
        </w:rPr>
        <w:t>4.7</w:t>
      </w:r>
      <w:r>
        <w:rPr>
          <w:rFonts w:hint="eastAsia"/>
          <w:sz w:val="24"/>
          <w:szCs w:val="28"/>
          <w:lang w:eastAsia="zh-CN"/>
        </w:rPr>
        <w:t>研发部</w:t>
      </w:r>
      <w:r>
        <w:rPr>
          <w:rFonts w:hint="eastAsia"/>
          <w:sz w:val="24"/>
          <w:szCs w:val="28"/>
        </w:rPr>
        <w:t>每年对知识的价值进行评价，并重新分级管理，在公司的办公自动化系统进行分享，按照知识的分级设置密码，分级分享，</w:t>
      </w:r>
      <w:r>
        <w:rPr>
          <w:sz w:val="24"/>
          <w:szCs w:val="28"/>
        </w:rPr>
        <w:t>充分利用知识成果，提供工作效率，减少重复劳动</w:t>
      </w:r>
    </w:p>
    <w:p w14:paraId="19A999D2">
      <w:pPr>
        <w:spacing w:line="360" w:lineRule="auto"/>
        <w:ind w:left="425" w:hanging="424" w:hangingChars="177"/>
        <w:rPr>
          <w:sz w:val="24"/>
          <w:szCs w:val="28"/>
        </w:rPr>
      </w:pPr>
      <w:r>
        <w:rPr>
          <w:rFonts w:hint="eastAsia"/>
          <w:sz w:val="24"/>
          <w:szCs w:val="28"/>
        </w:rPr>
        <w:t xml:space="preserve">4.8 </w:t>
      </w:r>
      <w:r>
        <w:rPr>
          <w:rFonts w:hint="eastAsia"/>
          <w:sz w:val="24"/>
          <w:szCs w:val="28"/>
          <w:lang w:eastAsia="zh-CN"/>
        </w:rPr>
        <w:t>研发部</w:t>
      </w:r>
      <w:r>
        <w:rPr>
          <w:rFonts w:hint="eastAsia"/>
          <w:sz w:val="24"/>
          <w:szCs w:val="28"/>
        </w:rPr>
        <w:t>要加强相关知识的培训学习，并列入公司的培训计划。</w:t>
      </w:r>
    </w:p>
    <w:p w14:paraId="4FACB4A5">
      <w:pPr>
        <w:spacing w:line="360" w:lineRule="auto"/>
        <w:rPr>
          <w:sz w:val="24"/>
          <w:szCs w:val="28"/>
        </w:rPr>
      </w:pPr>
      <w:r>
        <w:rPr>
          <w:rFonts w:hint="eastAsia"/>
          <w:sz w:val="24"/>
          <w:szCs w:val="28"/>
        </w:rPr>
        <w:t>5 记录</w:t>
      </w:r>
    </w:p>
    <w:p w14:paraId="5C2D7B36">
      <w:pPr>
        <w:spacing w:line="360" w:lineRule="auto"/>
        <w:rPr>
          <w:sz w:val="24"/>
          <w:szCs w:val="28"/>
        </w:rPr>
      </w:pPr>
      <w:r>
        <w:rPr>
          <w:rFonts w:hint="eastAsia"/>
          <w:sz w:val="24"/>
          <w:szCs w:val="28"/>
        </w:rPr>
        <w:t>5.1 知识一览表</w:t>
      </w:r>
    </w:p>
    <w:p w14:paraId="17DD4280">
      <w:pPr>
        <w:pStyle w:val="2"/>
        <w:spacing w:before="156" w:beforeLines="50" w:after="156" w:afterLines="50" w:line="720" w:lineRule="auto"/>
        <w:jc w:val="left"/>
        <w:rPr>
          <w:sz w:val="28"/>
          <w:szCs w:val="28"/>
        </w:rPr>
      </w:pPr>
      <w:r>
        <w:rPr>
          <w:rFonts w:hint="eastAsia"/>
          <w:sz w:val="28"/>
          <w:szCs w:val="28"/>
        </w:rPr>
        <w:t>九、顾客满意度控制程序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-09</w:t>
      </w:r>
    </w:p>
    <w:p w14:paraId="37780B61">
      <w:pPr>
        <w:spacing w:line="360" w:lineRule="auto"/>
        <w:rPr>
          <w:sz w:val="24"/>
          <w:szCs w:val="28"/>
        </w:rPr>
      </w:pPr>
      <w:r>
        <w:rPr>
          <w:sz w:val="24"/>
          <w:szCs w:val="28"/>
        </w:rPr>
        <w:t>1．</w:t>
      </w:r>
      <w:r>
        <w:rPr>
          <w:rFonts w:hint="eastAsia"/>
          <w:sz w:val="24"/>
          <w:szCs w:val="28"/>
        </w:rPr>
        <w:t>目的：</w:t>
      </w:r>
    </w:p>
    <w:p w14:paraId="017EB1E7">
      <w:pPr>
        <w:spacing w:line="360" w:lineRule="auto"/>
        <w:ind w:firstLine="480" w:firstLineChars="200"/>
        <w:rPr>
          <w:sz w:val="24"/>
          <w:szCs w:val="28"/>
        </w:rPr>
      </w:pPr>
      <w:r>
        <w:rPr>
          <w:rFonts w:hint="eastAsia"/>
          <w:sz w:val="24"/>
          <w:szCs w:val="28"/>
        </w:rPr>
        <w:t>为监视和测量顾客对本公司产品和服务的满意程度,获取顾客的意见或建议,寻找质量管理体系持续改进的机会,特制定本规定。</w:t>
      </w:r>
    </w:p>
    <w:p w14:paraId="31F1C9CE">
      <w:pPr>
        <w:spacing w:line="360" w:lineRule="auto"/>
        <w:rPr>
          <w:sz w:val="24"/>
          <w:szCs w:val="28"/>
        </w:rPr>
      </w:pPr>
      <w:r>
        <w:rPr>
          <w:sz w:val="24"/>
          <w:szCs w:val="28"/>
        </w:rPr>
        <w:t>2．</w:t>
      </w:r>
      <w:r>
        <w:rPr>
          <w:rFonts w:hint="eastAsia"/>
          <w:sz w:val="24"/>
          <w:szCs w:val="28"/>
        </w:rPr>
        <w:t>适用范围：</w:t>
      </w:r>
    </w:p>
    <w:p w14:paraId="221D3220">
      <w:pPr>
        <w:spacing w:line="360" w:lineRule="auto"/>
        <w:rPr>
          <w:sz w:val="24"/>
          <w:szCs w:val="28"/>
        </w:rPr>
      </w:pPr>
      <w:r>
        <w:rPr>
          <w:rFonts w:hint="eastAsia"/>
          <w:sz w:val="24"/>
          <w:szCs w:val="28"/>
        </w:rPr>
        <w:t>本规定适用于本公司对顾客满意度调查和评估活动的管理。</w:t>
      </w:r>
    </w:p>
    <w:p w14:paraId="45E65F62">
      <w:pPr>
        <w:spacing w:line="360" w:lineRule="auto"/>
        <w:rPr>
          <w:sz w:val="24"/>
          <w:szCs w:val="28"/>
        </w:rPr>
      </w:pPr>
      <w:r>
        <w:rPr>
          <w:sz w:val="24"/>
          <w:szCs w:val="28"/>
        </w:rPr>
        <w:t>3</w:t>
      </w:r>
      <w:r>
        <w:rPr>
          <w:rFonts w:hint="eastAsia"/>
          <w:sz w:val="24"/>
          <w:szCs w:val="28"/>
        </w:rPr>
        <w:t>．职责：</w:t>
      </w:r>
      <w:r>
        <w:rPr>
          <w:rFonts w:hint="eastAsia"/>
          <w:sz w:val="24"/>
          <w:szCs w:val="28"/>
          <w:lang w:eastAsia="zh-CN"/>
        </w:rPr>
        <w:t>市场部</w:t>
      </w:r>
      <w:r>
        <w:rPr>
          <w:rFonts w:hint="eastAsia"/>
          <w:sz w:val="24"/>
          <w:szCs w:val="28"/>
        </w:rPr>
        <w:t>负责顾客满意度的调查和评估。</w:t>
      </w:r>
    </w:p>
    <w:p w14:paraId="78A0E0B6">
      <w:pPr>
        <w:spacing w:line="360" w:lineRule="auto"/>
        <w:rPr>
          <w:sz w:val="24"/>
          <w:szCs w:val="28"/>
        </w:rPr>
      </w:pPr>
      <w:r>
        <w:rPr>
          <w:rFonts w:hint="eastAsia"/>
          <w:sz w:val="24"/>
          <w:szCs w:val="28"/>
        </w:rPr>
        <w:t>4．内容</w:t>
      </w:r>
    </w:p>
    <w:p w14:paraId="72030358">
      <w:pPr>
        <w:spacing w:line="360" w:lineRule="auto"/>
        <w:ind w:left="425" w:hanging="424" w:hangingChars="177"/>
        <w:rPr>
          <w:sz w:val="24"/>
          <w:szCs w:val="28"/>
        </w:rPr>
      </w:pPr>
      <w:r>
        <w:rPr>
          <w:rFonts w:hint="eastAsia"/>
          <w:sz w:val="24"/>
          <w:szCs w:val="28"/>
        </w:rPr>
        <w:t>4.1为获取顾客对本公司所提供的产品和服务的满意信息，</w:t>
      </w:r>
      <w:r>
        <w:rPr>
          <w:rFonts w:hint="eastAsia"/>
          <w:sz w:val="24"/>
          <w:szCs w:val="28"/>
          <w:lang w:eastAsia="zh-CN"/>
        </w:rPr>
        <w:t>市场部</w:t>
      </w:r>
      <w:r>
        <w:rPr>
          <w:rFonts w:hint="eastAsia"/>
          <w:sz w:val="24"/>
          <w:szCs w:val="28"/>
        </w:rPr>
        <w:t>负责每年至少一次向顾客实施全面系统的顾客满意度调查活动，一般在管理评审前进行。</w:t>
      </w:r>
    </w:p>
    <w:p w14:paraId="271EC98A">
      <w:pPr>
        <w:spacing w:line="360" w:lineRule="auto"/>
        <w:ind w:left="425" w:hanging="424" w:hangingChars="177"/>
        <w:rPr>
          <w:sz w:val="24"/>
          <w:szCs w:val="28"/>
        </w:rPr>
      </w:pPr>
      <w:r>
        <w:rPr>
          <w:rFonts w:hint="eastAsia"/>
          <w:sz w:val="24"/>
          <w:szCs w:val="28"/>
        </w:rPr>
        <w:t>4.2调查活动的具体实施</w:t>
      </w:r>
    </w:p>
    <w:p w14:paraId="75216921">
      <w:pPr>
        <w:spacing w:line="360" w:lineRule="auto"/>
        <w:ind w:left="425" w:hanging="424" w:hangingChars="177"/>
        <w:rPr>
          <w:sz w:val="24"/>
          <w:szCs w:val="28"/>
        </w:rPr>
      </w:pPr>
      <w:r>
        <w:rPr>
          <w:rFonts w:hint="eastAsia"/>
          <w:sz w:val="24"/>
          <w:szCs w:val="28"/>
        </w:rPr>
        <w:t>4.2.1</w:t>
      </w:r>
      <w:r>
        <w:rPr>
          <w:rFonts w:hint="eastAsia"/>
          <w:sz w:val="24"/>
          <w:szCs w:val="28"/>
          <w:lang w:eastAsia="zh-CN"/>
        </w:rPr>
        <w:t>市场部</w:t>
      </w:r>
      <w:r>
        <w:rPr>
          <w:rFonts w:hint="eastAsia"/>
          <w:sz w:val="24"/>
          <w:szCs w:val="28"/>
        </w:rPr>
        <w:t>按照规定时间间隔，根据各自所辖范围的顾客情况，全面或有代表性的向顾客发放《顾客满意度调查表》，并及时收回。</w:t>
      </w:r>
    </w:p>
    <w:p w14:paraId="177105DC">
      <w:pPr>
        <w:spacing w:line="360" w:lineRule="auto"/>
        <w:ind w:left="425" w:hanging="424" w:hangingChars="177"/>
        <w:rPr>
          <w:sz w:val="24"/>
          <w:szCs w:val="28"/>
        </w:rPr>
      </w:pPr>
      <w:r>
        <w:rPr>
          <w:rFonts w:hint="eastAsia"/>
          <w:sz w:val="24"/>
          <w:szCs w:val="28"/>
        </w:rPr>
        <w:t>4.2.2调查的方式可采取</w:t>
      </w:r>
    </w:p>
    <w:p w14:paraId="2E54FE3D">
      <w:pPr>
        <w:spacing w:line="360" w:lineRule="auto"/>
        <w:ind w:firstLine="240" w:firstLineChars="100"/>
        <w:rPr>
          <w:sz w:val="24"/>
          <w:szCs w:val="28"/>
        </w:rPr>
      </w:pPr>
      <w:r>
        <w:rPr>
          <w:sz w:val="24"/>
          <w:szCs w:val="28"/>
        </w:rPr>
        <w:t>a)</w:t>
      </w:r>
      <w:r>
        <w:rPr>
          <w:rFonts w:hint="eastAsia"/>
          <w:sz w:val="24"/>
          <w:szCs w:val="28"/>
        </w:rPr>
        <w:t>面对面直接调查；</w:t>
      </w:r>
      <w:r>
        <w:rPr>
          <w:sz w:val="24"/>
          <w:szCs w:val="28"/>
        </w:rPr>
        <w:t>b)</w:t>
      </w:r>
      <w:r>
        <w:rPr>
          <w:rFonts w:hint="eastAsia"/>
          <w:sz w:val="24"/>
          <w:szCs w:val="28"/>
        </w:rPr>
        <w:t>采取网上调查；</w:t>
      </w:r>
      <w:r>
        <w:rPr>
          <w:sz w:val="24"/>
          <w:szCs w:val="28"/>
        </w:rPr>
        <w:t>c)</w:t>
      </w:r>
      <w:r>
        <w:rPr>
          <w:rFonts w:hint="eastAsia"/>
          <w:sz w:val="24"/>
          <w:szCs w:val="28"/>
        </w:rPr>
        <w:t>上门走访调查；</w:t>
      </w:r>
      <w:r>
        <w:rPr>
          <w:sz w:val="24"/>
          <w:szCs w:val="28"/>
        </w:rPr>
        <w:t>d)</w:t>
      </w:r>
      <w:r>
        <w:rPr>
          <w:rFonts w:hint="eastAsia"/>
          <w:sz w:val="24"/>
          <w:szCs w:val="28"/>
        </w:rPr>
        <w:t>传真、电话等其它形式调查；</w:t>
      </w:r>
    </w:p>
    <w:p w14:paraId="5DC3598C">
      <w:pPr>
        <w:spacing w:line="360" w:lineRule="auto"/>
        <w:ind w:left="425" w:hanging="424" w:hangingChars="177"/>
        <w:rPr>
          <w:sz w:val="24"/>
          <w:szCs w:val="28"/>
        </w:rPr>
      </w:pPr>
      <w:r>
        <w:rPr>
          <w:rFonts w:hint="eastAsia"/>
          <w:sz w:val="24"/>
          <w:szCs w:val="28"/>
        </w:rPr>
        <w:t>4.2.3</w:t>
      </w:r>
      <w:r>
        <w:rPr>
          <w:rFonts w:hint="eastAsia"/>
          <w:sz w:val="24"/>
          <w:szCs w:val="28"/>
          <w:lang w:eastAsia="zh-CN"/>
        </w:rPr>
        <w:t>市场部</w:t>
      </w:r>
      <w:r>
        <w:rPr>
          <w:sz w:val="24"/>
          <w:szCs w:val="28"/>
        </w:rPr>
        <w:t>按计划规定的回收数量和回收时间的要求,将回收的调查问卷进行统计，回收率超过50％作为有效调查，编制《顾客满意度调查情况统计表》，计算本公司的顾客满意度，具体计算方法如下：</w:t>
      </w:r>
    </w:p>
    <w:p w14:paraId="49A13368">
      <w:pPr>
        <w:spacing w:line="360" w:lineRule="auto"/>
        <w:ind w:firstLine="240" w:firstLineChars="100"/>
        <w:rPr>
          <w:sz w:val="24"/>
          <w:szCs w:val="28"/>
        </w:rPr>
      </w:pPr>
      <w:r>
        <w:rPr>
          <w:rFonts w:hint="eastAsia"/>
          <w:sz w:val="24"/>
          <w:szCs w:val="28"/>
        </w:rPr>
        <w:t>a)</w:t>
      </w:r>
      <w:r>
        <w:rPr>
          <w:sz w:val="24"/>
          <w:szCs w:val="28"/>
        </w:rPr>
        <w:t>.满意程度分类规定如下: 非常满意；满意</w:t>
      </w:r>
      <w:r>
        <w:rPr>
          <w:rFonts w:hint="eastAsia"/>
          <w:sz w:val="24"/>
          <w:szCs w:val="28"/>
        </w:rPr>
        <w:t>100分</w:t>
      </w:r>
      <w:r>
        <w:rPr>
          <w:sz w:val="24"/>
          <w:szCs w:val="28"/>
        </w:rPr>
        <w:t>；一般</w:t>
      </w:r>
      <w:r>
        <w:rPr>
          <w:rFonts w:hint="eastAsia"/>
          <w:sz w:val="24"/>
          <w:szCs w:val="28"/>
        </w:rPr>
        <w:t>80分</w:t>
      </w:r>
      <w:r>
        <w:rPr>
          <w:sz w:val="24"/>
          <w:szCs w:val="28"/>
        </w:rPr>
        <w:t>；不满意</w:t>
      </w:r>
      <w:r>
        <w:rPr>
          <w:rFonts w:hint="eastAsia"/>
          <w:sz w:val="24"/>
          <w:szCs w:val="28"/>
        </w:rPr>
        <w:t>60分</w:t>
      </w:r>
    </w:p>
    <w:p w14:paraId="556058B9">
      <w:pPr>
        <w:spacing w:line="360" w:lineRule="auto"/>
        <w:ind w:firstLine="240" w:firstLineChars="100"/>
        <w:rPr>
          <w:sz w:val="24"/>
          <w:szCs w:val="28"/>
        </w:rPr>
      </w:pPr>
      <w:r>
        <w:rPr>
          <w:rFonts w:hint="eastAsia"/>
          <w:sz w:val="24"/>
          <w:szCs w:val="28"/>
        </w:rPr>
        <w:t>b)</w:t>
      </w:r>
      <w:r>
        <w:rPr>
          <w:sz w:val="24"/>
          <w:szCs w:val="28"/>
        </w:rPr>
        <w:t>顾客满意</w:t>
      </w:r>
      <w:r>
        <w:rPr>
          <w:rFonts w:hint="eastAsia"/>
          <w:sz w:val="24"/>
          <w:szCs w:val="28"/>
        </w:rPr>
        <w:t>率</w:t>
      </w:r>
      <w:r>
        <w:rPr>
          <w:sz w:val="24"/>
          <w:szCs w:val="28"/>
        </w:rPr>
        <w:t>=</w:t>
      </w:r>
      <w:r>
        <w:rPr>
          <w:rFonts w:hint="eastAsia"/>
          <w:sz w:val="24"/>
          <w:szCs w:val="28"/>
        </w:rPr>
        <w:t>（质量*60%+价格*20%+交货期*20%）/100</w:t>
      </w:r>
    </w:p>
    <w:p w14:paraId="5D805FC8">
      <w:pPr>
        <w:spacing w:line="360" w:lineRule="auto"/>
        <w:ind w:firstLine="240" w:firstLineChars="100"/>
        <w:rPr>
          <w:sz w:val="24"/>
          <w:szCs w:val="28"/>
        </w:rPr>
      </w:pPr>
      <w:r>
        <w:rPr>
          <w:rFonts w:hint="eastAsia"/>
          <w:sz w:val="24"/>
          <w:szCs w:val="28"/>
        </w:rPr>
        <w:t>c)总顾客满意率</w:t>
      </w:r>
      <w:r>
        <w:rPr>
          <w:sz w:val="24"/>
          <w:szCs w:val="28"/>
        </w:rPr>
        <w:t>=</w:t>
      </w:r>
      <w:r>
        <w:rPr>
          <w:rFonts w:hint="eastAsia"/>
          <w:sz w:val="24"/>
          <w:szCs w:val="28"/>
        </w:rPr>
        <w:t>Σ（</w:t>
      </w:r>
      <w:r>
        <w:rPr>
          <w:sz w:val="24"/>
          <w:szCs w:val="28"/>
        </w:rPr>
        <w:t>顾客满意</w:t>
      </w:r>
      <w:r>
        <w:rPr>
          <w:rFonts w:hint="eastAsia"/>
          <w:sz w:val="24"/>
          <w:szCs w:val="28"/>
        </w:rPr>
        <w:t>率1+</w:t>
      </w:r>
      <w:r>
        <w:rPr>
          <w:sz w:val="24"/>
          <w:szCs w:val="28"/>
        </w:rPr>
        <w:t>顾客满意</w:t>
      </w:r>
      <w:r>
        <w:rPr>
          <w:rFonts w:hint="eastAsia"/>
          <w:sz w:val="24"/>
          <w:szCs w:val="28"/>
        </w:rPr>
        <w:t>率2+…</w:t>
      </w:r>
      <w:r>
        <w:rPr>
          <w:sz w:val="24"/>
          <w:szCs w:val="28"/>
        </w:rPr>
        <w:t>顾客满意</w:t>
      </w:r>
      <w:r>
        <w:rPr>
          <w:rFonts w:hint="eastAsia"/>
          <w:sz w:val="24"/>
          <w:szCs w:val="28"/>
        </w:rPr>
        <w:t>率n）/n</w:t>
      </w:r>
    </w:p>
    <w:p w14:paraId="4E8BBAE4">
      <w:pPr>
        <w:spacing w:line="360" w:lineRule="auto"/>
        <w:ind w:left="425" w:hanging="424" w:hangingChars="177"/>
        <w:rPr>
          <w:sz w:val="24"/>
          <w:szCs w:val="28"/>
        </w:rPr>
      </w:pPr>
      <w:r>
        <w:rPr>
          <w:sz w:val="24"/>
          <w:szCs w:val="28"/>
        </w:rPr>
        <w:t>4.2.</w:t>
      </w:r>
      <w:r>
        <w:rPr>
          <w:rFonts w:hint="eastAsia"/>
          <w:sz w:val="24"/>
          <w:szCs w:val="28"/>
        </w:rPr>
        <w:t>4</w:t>
      </w:r>
      <w:r>
        <w:rPr>
          <w:rFonts w:hint="eastAsia"/>
          <w:sz w:val="24"/>
          <w:szCs w:val="28"/>
          <w:lang w:eastAsia="zh-CN"/>
        </w:rPr>
        <w:t>市场部</w:t>
      </w:r>
      <w:r>
        <w:rPr>
          <w:sz w:val="24"/>
          <w:szCs w:val="28"/>
        </w:rPr>
        <w:t>分析顾客满意度调查和计算结果，形成《顾客满意度调查结果及分析报告》，报告应包括以下内容：</w:t>
      </w:r>
    </w:p>
    <w:p w14:paraId="5DFAB159">
      <w:pPr>
        <w:spacing w:line="360" w:lineRule="auto"/>
        <w:ind w:firstLine="240" w:firstLineChars="100"/>
        <w:rPr>
          <w:sz w:val="24"/>
          <w:szCs w:val="28"/>
        </w:rPr>
      </w:pPr>
      <w:r>
        <w:rPr>
          <w:rFonts w:hint="eastAsia"/>
          <w:sz w:val="24"/>
          <w:szCs w:val="28"/>
        </w:rPr>
        <w:t>a)</w:t>
      </w:r>
      <w:r>
        <w:rPr>
          <w:sz w:val="24"/>
          <w:szCs w:val="28"/>
        </w:rPr>
        <w:t xml:space="preserve"> 顾客满意度情况；</w:t>
      </w:r>
    </w:p>
    <w:p w14:paraId="4E116693">
      <w:pPr>
        <w:spacing w:line="360" w:lineRule="auto"/>
        <w:ind w:firstLine="240" w:firstLineChars="100"/>
        <w:rPr>
          <w:sz w:val="24"/>
          <w:szCs w:val="28"/>
        </w:rPr>
      </w:pPr>
      <w:r>
        <w:rPr>
          <w:rFonts w:hint="eastAsia"/>
          <w:sz w:val="24"/>
          <w:szCs w:val="28"/>
        </w:rPr>
        <w:t>b)</w:t>
      </w:r>
      <w:r>
        <w:rPr>
          <w:sz w:val="24"/>
          <w:szCs w:val="28"/>
        </w:rPr>
        <w:t xml:space="preserve"> 顾客不满意情况的分布及原因分析；</w:t>
      </w:r>
    </w:p>
    <w:p w14:paraId="49DCF773">
      <w:pPr>
        <w:spacing w:line="360" w:lineRule="auto"/>
        <w:ind w:firstLine="240" w:firstLineChars="100"/>
        <w:rPr>
          <w:sz w:val="24"/>
          <w:szCs w:val="28"/>
        </w:rPr>
      </w:pPr>
      <w:r>
        <w:rPr>
          <w:rFonts w:hint="eastAsia"/>
          <w:sz w:val="24"/>
          <w:szCs w:val="28"/>
        </w:rPr>
        <w:t>c)</w:t>
      </w:r>
      <w:r>
        <w:rPr>
          <w:sz w:val="24"/>
          <w:szCs w:val="28"/>
        </w:rPr>
        <w:t xml:space="preserve"> 有关顾客对产品、服务质量的建议情况；</w:t>
      </w:r>
    </w:p>
    <w:p w14:paraId="3AD8C7B0">
      <w:pPr>
        <w:spacing w:line="360" w:lineRule="auto"/>
        <w:ind w:firstLine="240" w:firstLineChars="100"/>
        <w:rPr>
          <w:sz w:val="24"/>
          <w:szCs w:val="28"/>
        </w:rPr>
      </w:pPr>
      <w:r>
        <w:rPr>
          <w:rFonts w:hint="eastAsia"/>
          <w:sz w:val="24"/>
          <w:szCs w:val="28"/>
        </w:rPr>
        <w:t>d)</w:t>
      </w:r>
      <w:r>
        <w:rPr>
          <w:sz w:val="24"/>
          <w:szCs w:val="28"/>
        </w:rPr>
        <w:t xml:space="preserve"> 对顾客不满意情况所采取的措施及质量管理体系改进的建议。</w:t>
      </w:r>
    </w:p>
    <w:p w14:paraId="1B5F5FCF">
      <w:pPr>
        <w:spacing w:line="360" w:lineRule="auto"/>
        <w:ind w:left="425" w:hanging="424" w:hangingChars="177"/>
        <w:rPr>
          <w:sz w:val="24"/>
          <w:szCs w:val="28"/>
        </w:rPr>
      </w:pPr>
      <w:r>
        <w:rPr>
          <w:sz w:val="24"/>
          <w:szCs w:val="28"/>
        </w:rPr>
        <w:t>4.2.</w:t>
      </w:r>
      <w:r>
        <w:rPr>
          <w:rFonts w:hint="eastAsia"/>
          <w:sz w:val="24"/>
          <w:szCs w:val="28"/>
        </w:rPr>
        <w:t>5</w:t>
      </w:r>
      <w:r>
        <w:rPr>
          <w:sz w:val="24"/>
          <w:szCs w:val="28"/>
        </w:rPr>
        <w:t>《顾客满意度调查结果及分析报告》经</w:t>
      </w:r>
      <w:r>
        <w:rPr>
          <w:rFonts w:hint="eastAsia"/>
          <w:sz w:val="24"/>
          <w:szCs w:val="28"/>
        </w:rPr>
        <w:t>管理者代表</w:t>
      </w:r>
      <w:r>
        <w:rPr>
          <w:sz w:val="24"/>
          <w:szCs w:val="28"/>
        </w:rPr>
        <w:t>审阅后报总经理。</w:t>
      </w:r>
    </w:p>
    <w:p w14:paraId="3A5FE559">
      <w:pPr>
        <w:spacing w:line="360" w:lineRule="auto"/>
        <w:ind w:left="425" w:hanging="424" w:hangingChars="177"/>
        <w:rPr>
          <w:sz w:val="24"/>
          <w:szCs w:val="28"/>
        </w:rPr>
      </w:pPr>
      <w:r>
        <w:rPr>
          <w:sz w:val="24"/>
          <w:szCs w:val="28"/>
        </w:rPr>
        <w:t>4.</w:t>
      </w:r>
      <w:r>
        <w:rPr>
          <w:rFonts w:hint="eastAsia"/>
          <w:sz w:val="24"/>
          <w:szCs w:val="28"/>
        </w:rPr>
        <w:t>3</w:t>
      </w:r>
      <w:r>
        <w:rPr>
          <w:sz w:val="24"/>
          <w:szCs w:val="28"/>
        </w:rPr>
        <w:t>当顾客满意度低于质量目标规定值时，</w:t>
      </w:r>
      <w:r>
        <w:rPr>
          <w:rFonts w:hint="eastAsia"/>
          <w:sz w:val="24"/>
          <w:szCs w:val="28"/>
          <w:lang w:eastAsia="zh-CN"/>
        </w:rPr>
        <w:t>市场部</w:t>
      </w:r>
      <w:r>
        <w:rPr>
          <w:sz w:val="24"/>
          <w:szCs w:val="28"/>
        </w:rPr>
        <w:t>应对原因进行分析形成分析报告,并将分析报告上报</w:t>
      </w:r>
      <w:r>
        <w:rPr>
          <w:rFonts w:hint="eastAsia"/>
          <w:sz w:val="24"/>
          <w:szCs w:val="28"/>
        </w:rPr>
        <w:t>管理者代表</w:t>
      </w:r>
      <w:r>
        <w:rPr>
          <w:sz w:val="24"/>
          <w:szCs w:val="28"/>
        </w:rPr>
        <w:t>,由</w:t>
      </w:r>
      <w:r>
        <w:rPr>
          <w:rFonts w:hint="eastAsia"/>
          <w:sz w:val="24"/>
          <w:szCs w:val="28"/>
        </w:rPr>
        <w:t>管理者代表</w:t>
      </w:r>
      <w:r>
        <w:rPr>
          <w:sz w:val="24"/>
          <w:szCs w:val="28"/>
        </w:rPr>
        <w:t>组织制定纠正预防措施，。要通知责任部门按照《</w:t>
      </w:r>
      <w:r>
        <w:rPr>
          <w:rFonts w:hint="eastAsia"/>
          <w:sz w:val="24"/>
          <w:szCs w:val="28"/>
        </w:rPr>
        <w:t>改进</w:t>
      </w:r>
      <w:r>
        <w:rPr>
          <w:sz w:val="24"/>
          <w:szCs w:val="28"/>
        </w:rPr>
        <w:t xml:space="preserve">控制程序》制定纠正措施计划，并对其进行验证。 </w:t>
      </w:r>
    </w:p>
    <w:p w14:paraId="545EF7B2">
      <w:pPr>
        <w:spacing w:line="360" w:lineRule="auto"/>
        <w:ind w:left="425" w:hanging="424" w:hangingChars="177"/>
        <w:rPr>
          <w:sz w:val="24"/>
          <w:szCs w:val="28"/>
        </w:rPr>
      </w:pPr>
      <w:r>
        <w:rPr>
          <w:rFonts w:hint="eastAsia"/>
          <w:sz w:val="24"/>
          <w:szCs w:val="28"/>
        </w:rPr>
        <w:t>4.4 顾客满意情况的日常监视</w:t>
      </w:r>
    </w:p>
    <w:p w14:paraId="699708A6">
      <w:pPr>
        <w:spacing w:line="360" w:lineRule="auto"/>
        <w:ind w:left="425" w:hanging="424" w:hangingChars="177"/>
        <w:rPr>
          <w:sz w:val="24"/>
          <w:szCs w:val="28"/>
        </w:rPr>
      </w:pPr>
      <w:r>
        <w:rPr>
          <w:rFonts w:hint="eastAsia"/>
          <w:sz w:val="24"/>
          <w:szCs w:val="28"/>
          <w:lang w:eastAsia="zh-CN"/>
        </w:rPr>
        <w:t>市场部</w:t>
      </w:r>
      <w:r>
        <w:rPr>
          <w:rFonts w:hint="eastAsia"/>
          <w:sz w:val="24"/>
          <w:szCs w:val="28"/>
        </w:rPr>
        <w:t>随时关注顾客投诉情况，每年将《顾客意见反馈处理单》情况进行汇总分析,上报总经理。</w:t>
      </w:r>
    </w:p>
    <w:p w14:paraId="5E4FCFAE">
      <w:pPr>
        <w:spacing w:line="360" w:lineRule="auto"/>
        <w:rPr>
          <w:sz w:val="24"/>
          <w:szCs w:val="28"/>
        </w:rPr>
      </w:pPr>
      <w:r>
        <w:rPr>
          <w:rFonts w:hint="eastAsia"/>
          <w:sz w:val="24"/>
          <w:szCs w:val="28"/>
        </w:rPr>
        <w:t>5.相关文件</w:t>
      </w:r>
    </w:p>
    <w:p w14:paraId="1A75322D">
      <w:pPr>
        <w:spacing w:line="360" w:lineRule="auto"/>
        <w:rPr>
          <w:sz w:val="24"/>
          <w:szCs w:val="28"/>
        </w:rPr>
      </w:pPr>
      <w:r>
        <w:rPr>
          <w:rFonts w:hint="eastAsia"/>
          <w:sz w:val="24"/>
          <w:szCs w:val="28"/>
        </w:rPr>
        <w:t xml:space="preserve">《改进控制程序》       </w:t>
      </w:r>
    </w:p>
    <w:p w14:paraId="2059977D">
      <w:pPr>
        <w:spacing w:line="360" w:lineRule="auto"/>
        <w:rPr>
          <w:sz w:val="24"/>
          <w:szCs w:val="28"/>
        </w:rPr>
      </w:pPr>
      <w:r>
        <w:rPr>
          <w:rFonts w:hint="eastAsia"/>
          <w:sz w:val="24"/>
          <w:szCs w:val="28"/>
        </w:rPr>
        <w:t>6.记</w:t>
      </w:r>
      <w:r>
        <w:rPr>
          <w:sz w:val="24"/>
          <w:szCs w:val="28"/>
        </w:rPr>
        <w:t>录</w:t>
      </w:r>
    </w:p>
    <w:p w14:paraId="5A54925B">
      <w:pPr>
        <w:spacing w:line="360" w:lineRule="auto"/>
        <w:rPr>
          <w:sz w:val="24"/>
          <w:szCs w:val="28"/>
        </w:rPr>
      </w:pPr>
      <w:r>
        <w:rPr>
          <w:rFonts w:hint="eastAsia"/>
          <w:sz w:val="24"/>
          <w:szCs w:val="28"/>
        </w:rPr>
        <w:t>1、《顾客满意度调查表》</w:t>
      </w:r>
    </w:p>
    <w:p w14:paraId="7A552DD8">
      <w:pPr>
        <w:spacing w:line="360" w:lineRule="auto"/>
        <w:rPr>
          <w:sz w:val="24"/>
          <w:szCs w:val="28"/>
        </w:rPr>
      </w:pPr>
      <w:r>
        <w:rPr>
          <w:rFonts w:hint="eastAsia"/>
          <w:sz w:val="24"/>
          <w:szCs w:val="28"/>
        </w:rPr>
        <w:t>2、</w:t>
      </w:r>
      <w:r>
        <w:rPr>
          <w:sz w:val="24"/>
          <w:szCs w:val="28"/>
        </w:rPr>
        <w:t>《顾客满意度调查结果及分析报告》</w:t>
      </w:r>
    </w:p>
    <w:p w14:paraId="332DC865">
      <w:pPr>
        <w:widowControl/>
        <w:jc w:val="left"/>
        <w:rPr>
          <w:sz w:val="24"/>
          <w:szCs w:val="28"/>
        </w:rPr>
      </w:pPr>
      <w:r>
        <w:rPr>
          <w:sz w:val="24"/>
          <w:szCs w:val="28"/>
        </w:rPr>
        <w:br w:type="page"/>
      </w:r>
    </w:p>
    <w:p w14:paraId="47387827">
      <w:pPr>
        <w:pStyle w:val="2"/>
        <w:spacing w:before="156" w:beforeLines="50" w:after="156" w:afterLines="50" w:line="720" w:lineRule="auto"/>
        <w:jc w:val="left"/>
        <w:rPr>
          <w:sz w:val="28"/>
          <w:szCs w:val="28"/>
        </w:rPr>
      </w:pPr>
      <w:r>
        <w:rPr>
          <w:rFonts w:hint="eastAsia"/>
          <w:sz w:val="28"/>
          <w:szCs w:val="28"/>
        </w:rPr>
        <w:t>十、环境因素识别和评价控制程序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-10</w:t>
      </w:r>
    </w:p>
    <w:p w14:paraId="1F022865">
      <w:pPr>
        <w:spacing w:line="360" w:lineRule="auto"/>
        <w:rPr>
          <w:b/>
          <w:bCs/>
          <w:sz w:val="24"/>
        </w:rPr>
      </w:pPr>
      <w:r>
        <w:rPr>
          <w:rFonts w:hint="eastAsia"/>
          <w:b/>
          <w:bCs/>
          <w:sz w:val="24"/>
        </w:rPr>
        <w:t>1 目的</w:t>
      </w:r>
    </w:p>
    <w:p w14:paraId="303E61C6">
      <w:pPr>
        <w:spacing w:line="360" w:lineRule="auto"/>
        <w:ind w:firstLine="480" w:firstLineChars="200"/>
        <w:rPr>
          <w:sz w:val="24"/>
        </w:rPr>
      </w:pPr>
      <w:r>
        <w:rPr>
          <w:rFonts w:hint="eastAsia"/>
          <w:sz w:val="24"/>
        </w:rPr>
        <w:t>识别能够控制的以及可以期望对其施加影响的环境因素，评价并确定重要环境因素，以对其进行管理。</w:t>
      </w:r>
    </w:p>
    <w:p w14:paraId="1F8BFEE6">
      <w:pPr>
        <w:spacing w:line="360" w:lineRule="auto"/>
        <w:rPr>
          <w:b/>
          <w:bCs/>
          <w:sz w:val="24"/>
        </w:rPr>
      </w:pPr>
      <w:r>
        <w:rPr>
          <w:rFonts w:hint="eastAsia"/>
          <w:b/>
          <w:bCs/>
          <w:sz w:val="24"/>
        </w:rPr>
        <w:t>2 适用范围</w:t>
      </w:r>
    </w:p>
    <w:p w14:paraId="3C6BEB13">
      <w:pPr>
        <w:spacing w:line="360" w:lineRule="auto"/>
        <w:rPr>
          <w:sz w:val="24"/>
        </w:rPr>
      </w:pPr>
      <w:r>
        <w:rPr>
          <w:rFonts w:hint="eastAsia"/>
          <w:sz w:val="24"/>
        </w:rPr>
        <w:t>对公司活动、产品或服务中的环境因素进行识别、评价、更新与管理。</w:t>
      </w:r>
    </w:p>
    <w:p w14:paraId="0C6DD092">
      <w:pPr>
        <w:spacing w:line="360" w:lineRule="auto"/>
        <w:rPr>
          <w:b/>
          <w:bCs/>
          <w:sz w:val="24"/>
        </w:rPr>
      </w:pPr>
      <w:r>
        <w:rPr>
          <w:rFonts w:hint="eastAsia"/>
          <w:b/>
          <w:bCs/>
          <w:sz w:val="24"/>
        </w:rPr>
        <w:t>3 职责</w:t>
      </w:r>
    </w:p>
    <w:p w14:paraId="3438E6A3">
      <w:pPr>
        <w:spacing w:line="360" w:lineRule="auto"/>
        <w:rPr>
          <w:sz w:val="24"/>
        </w:rPr>
      </w:pPr>
      <w:r>
        <w:rPr>
          <w:rFonts w:hint="eastAsia"/>
          <w:b/>
          <w:bCs/>
          <w:sz w:val="24"/>
        </w:rPr>
        <w:t>3.1</w:t>
      </w:r>
      <w:r>
        <w:rPr>
          <w:rFonts w:hint="eastAsia"/>
          <w:sz w:val="24"/>
        </w:rPr>
        <w:t xml:space="preserve"> 管理者代表负责重要环境因素的批准。</w:t>
      </w:r>
    </w:p>
    <w:p w14:paraId="2C7610BB">
      <w:pPr>
        <w:spacing w:line="360" w:lineRule="auto"/>
        <w:rPr>
          <w:sz w:val="24"/>
        </w:rPr>
      </w:pPr>
      <w:r>
        <w:rPr>
          <w:rFonts w:hint="eastAsia"/>
          <w:b/>
          <w:bCs/>
          <w:sz w:val="24"/>
        </w:rPr>
        <w:t>3.2</w:t>
      </w:r>
      <w:r>
        <w:rPr>
          <w:rFonts w:hint="eastAsia"/>
          <w:sz w:val="24"/>
        </w:rPr>
        <w:t xml:space="preserve"> 各部门负责本部门环境因素和环境影响的初步识别评价。</w:t>
      </w:r>
    </w:p>
    <w:p w14:paraId="3656A638">
      <w:pPr>
        <w:spacing w:line="360" w:lineRule="auto"/>
        <w:rPr>
          <w:sz w:val="24"/>
        </w:rPr>
      </w:pPr>
      <w:r>
        <w:rPr>
          <w:rFonts w:hint="eastAsia"/>
          <w:b/>
          <w:bCs/>
          <w:sz w:val="24"/>
        </w:rPr>
        <w:t xml:space="preserve">3.3 </w:t>
      </w:r>
      <w:r>
        <w:rPr>
          <w:rFonts w:hint="eastAsia"/>
          <w:sz w:val="24"/>
          <w:lang w:eastAsia="zh-CN"/>
        </w:rPr>
        <w:t>综合部</w:t>
      </w:r>
      <w:r>
        <w:rPr>
          <w:rFonts w:hint="eastAsia"/>
          <w:sz w:val="24"/>
        </w:rPr>
        <w:t>负责组织环境影响评价活动，进行综合评价，确定重要环境因素。</w:t>
      </w:r>
    </w:p>
    <w:p w14:paraId="08853C92">
      <w:pPr>
        <w:spacing w:line="360" w:lineRule="auto"/>
        <w:rPr>
          <w:b/>
          <w:bCs/>
          <w:sz w:val="24"/>
        </w:rPr>
      </w:pPr>
      <w:r>
        <w:rPr>
          <w:rFonts w:hint="eastAsia"/>
          <w:b/>
          <w:bCs/>
          <w:sz w:val="24"/>
        </w:rPr>
        <w:t>4 程序</w:t>
      </w:r>
    </w:p>
    <w:p w14:paraId="78FF24EE">
      <w:pPr>
        <w:spacing w:line="360" w:lineRule="auto"/>
        <w:rPr>
          <w:sz w:val="24"/>
        </w:rPr>
      </w:pPr>
      <w:r>
        <w:rPr>
          <w:rFonts w:hint="eastAsia"/>
          <w:b/>
          <w:bCs/>
          <w:sz w:val="24"/>
        </w:rPr>
        <w:t>4.1</w:t>
      </w:r>
      <w:r>
        <w:rPr>
          <w:rFonts w:hint="eastAsia"/>
          <w:sz w:val="24"/>
        </w:rPr>
        <w:t xml:space="preserve"> </w:t>
      </w:r>
      <w:r>
        <w:rPr>
          <w:rFonts w:hint="eastAsia"/>
          <w:b/>
          <w:bCs/>
          <w:sz w:val="24"/>
        </w:rPr>
        <w:t>环境因素识别、评价与更新时机：</w:t>
      </w:r>
    </w:p>
    <w:p w14:paraId="317A0296">
      <w:pPr>
        <w:spacing w:line="360" w:lineRule="auto"/>
        <w:ind w:firstLine="240" w:firstLineChars="100"/>
        <w:rPr>
          <w:sz w:val="24"/>
        </w:rPr>
      </w:pPr>
      <w:r>
        <w:rPr>
          <w:rFonts w:hint="eastAsia"/>
          <w:sz w:val="24"/>
        </w:rPr>
        <w:t>1) 环境管理体系建立之初进行环境调查时；</w:t>
      </w:r>
    </w:p>
    <w:p w14:paraId="5827C386">
      <w:pPr>
        <w:spacing w:line="360" w:lineRule="auto"/>
        <w:ind w:firstLine="240" w:firstLineChars="100"/>
        <w:rPr>
          <w:sz w:val="24"/>
        </w:rPr>
      </w:pPr>
      <w:r>
        <w:rPr>
          <w:rFonts w:hint="eastAsia"/>
          <w:sz w:val="24"/>
        </w:rPr>
        <w:t>2) 相关法律法规及其他要求变更或追加；</w:t>
      </w:r>
    </w:p>
    <w:p w14:paraId="23187D28">
      <w:pPr>
        <w:spacing w:line="360" w:lineRule="auto"/>
        <w:ind w:firstLine="240" w:firstLineChars="100"/>
        <w:rPr>
          <w:sz w:val="24"/>
        </w:rPr>
      </w:pPr>
      <w:r>
        <w:rPr>
          <w:rFonts w:hint="eastAsia"/>
          <w:sz w:val="24"/>
        </w:rPr>
        <w:t>3) 管理评审要求；</w:t>
      </w:r>
    </w:p>
    <w:p w14:paraId="672CC757">
      <w:pPr>
        <w:spacing w:line="360" w:lineRule="auto"/>
        <w:ind w:firstLine="240" w:firstLineChars="100"/>
        <w:rPr>
          <w:sz w:val="24"/>
        </w:rPr>
      </w:pPr>
      <w:r>
        <w:rPr>
          <w:rFonts w:hint="eastAsia"/>
          <w:sz w:val="24"/>
        </w:rPr>
        <w:t>4) 相关方提出抱怨或合理要求；</w:t>
      </w:r>
    </w:p>
    <w:p w14:paraId="0A1C61D0">
      <w:pPr>
        <w:spacing w:line="360" w:lineRule="auto"/>
        <w:ind w:firstLine="240" w:firstLineChars="100"/>
        <w:rPr>
          <w:sz w:val="24"/>
        </w:rPr>
      </w:pPr>
      <w:r>
        <w:rPr>
          <w:rFonts w:hint="eastAsia"/>
          <w:sz w:val="24"/>
        </w:rPr>
        <w:t>5) 公司的活动、产品中服务发生较大变化。</w:t>
      </w:r>
    </w:p>
    <w:p w14:paraId="6BCB81D9">
      <w:pPr>
        <w:spacing w:line="360" w:lineRule="auto"/>
        <w:rPr>
          <w:sz w:val="24"/>
        </w:rPr>
      </w:pPr>
      <w:r>
        <w:rPr>
          <w:rFonts w:hint="eastAsia"/>
          <w:b/>
          <w:bCs/>
          <w:sz w:val="24"/>
        </w:rPr>
        <w:t>4.2 环境因素识别与评价的步骤：</w:t>
      </w:r>
    </w:p>
    <w:p w14:paraId="3486C0EA">
      <w:pPr>
        <w:spacing w:line="360" w:lineRule="auto"/>
        <w:ind w:left="425" w:hanging="424" w:hangingChars="177"/>
        <w:rPr>
          <w:sz w:val="24"/>
          <w:szCs w:val="28"/>
        </w:rPr>
      </w:pPr>
      <w:r>
        <w:rPr>
          <w:rFonts w:hint="eastAsia"/>
          <w:sz w:val="24"/>
          <w:szCs w:val="28"/>
        </w:rPr>
        <w:t>4.</w:t>
      </w:r>
      <w:r>
        <w:rPr>
          <w:sz w:val="24"/>
          <w:szCs w:val="28"/>
        </w:rPr>
        <w:t>2</w:t>
      </w:r>
      <w:r>
        <w:rPr>
          <w:rFonts w:hint="eastAsia"/>
          <w:sz w:val="24"/>
          <w:szCs w:val="28"/>
        </w:rPr>
        <w:t>.1 各部门使用《环境因素登记评价表》选择和确定（可能）造成环境影响的环境因素，考虑全生命周期观点，即从原材料、产品、配件的获取、运输、交付、使用、寿命结束后的处理和最终处置，包括过去、现在、将来三个时态，正常、异常、紧急三个状态，其中活动的选择可涉及采购、生产、包装、储存、运输、销售、维修、绿化、动力供应、相关方等多方面。</w:t>
      </w:r>
    </w:p>
    <w:p w14:paraId="7502E274">
      <w:pPr>
        <w:spacing w:line="360" w:lineRule="auto"/>
        <w:ind w:left="425" w:hanging="424" w:hangingChars="177"/>
        <w:rPr>
          <w:sz w:val="24"/>
          <w:szCs w:val="28"/>
        </w:rPr>
      </w:pPr>
      <w:r>
        <w:rPr>
          <w:rFonts w:hint="eastAsia"/>
          <w:sz w:val="24"/>
          <w:szCs w:val="28"/>
        </w:rPr>
        <w:t>4.</w:t>
      </w:r>
      <w:r>
        <w:rPr>
          <w:sz w:val="24"/>
          <w:szCs w:val="28"/>
        </w:rPr>
        <w:t>2</w:t>
      </w:r>
      <w:r>
        <w:rPr>
          <w:rFonts w:hint="eastAsia"/>
          <w:sz w:val="24"/>
          <w:szCs w:val="28"/>
        </w:rPr>
        <w:t>.2 在识别环境因素和环境影响时，考虑全生命周期观点及以下几个方面：</w:t>
      </w:r>
    </w:p>
    <w:p w14:paraId="4C10EAC6">
      <w:pPr>
        <w:spacing w:line="360" w:lineRule="auto"/>
        <w:ind w:left="425" w:hanging="424" w:hangingChars="177"/>
        <w:rPr>
          <w:sz w:val="24"/>
          <w:szCs w:val="28"/>
        </w:rPr>
      </w:pPr>
      <w:r>
        <w:rPr>
          <w:rFonts w:hint="eastAsia"/>
          <w:sz w:val="24"/>
          <w:szCs w:val="28"/>
        </w:rPr>
        <w:t>1) 由于公司的活动、产品、服务所排出的水、气、声、固废等以及资源能源的消耗给公司、周围居民、地区等造成的影响；</w:t>
      </w:r>
    </w:p>
    <w:p w14:paraId="503CB8B4">
      <w:pPr>
        <w:spacing w:line="360" w:lineRule="auto"/>
        <w:ind w:left="425" w:hanging="424" w:hangingChars="177"/>
        <w:rPr>
          <w:sz w:val="24"/>
          <w:szCs w:val="28"/>
        </w:rPr>
      </w:pPr>
      <w:r>
        <w:rPr>
          <w:rFonts w:hint="eastAsia"/>
          <w:sz w:val="24"/>
          <w:szCs w:val="28"/>
        </w:rPr>
        <w:t>2) 公司所必需的原材料、能源等的供给者、工程合同方、废弃物处理者以及产品运输者等相关方的活动所产生的环境影响；</w:t>
      </w:r>
    </w:p>
    <w:p w14:paraId="622F5F8C">
      <w:pPr>
        <w:spacing w:line="360" w:lineRule="auto"/>
        <w:ind w:left="425" w:hanging="424" w:hangingChars="177"/>
        <w:rPr>
          <w:sz w:val="24"/>
          <w:szCs w:val="28"/>
        </w:rPr>
      </w:pPr>
      <w:r>
        <w:rPr>
          <w:rFonts w:hint="eastAsia"/>
          <w:sz w:val="24"/>
          <w:szCs w:val="28"/>
        </w:rPr>
        <w:t>3) 正常运行条件、异常运行条件（如开车、停车与检修等）以及可合理预见的情况或紧急状态（如火灾、爆炸、地震等事故）所伴随的潜在重大环境影响；</w:t>
      </w:r>
    </w:p>
    <w:p w14:paraId="38D5FB60">
      <w:pPr>
        <w:spacing w:line="360" w:lineRule="auto"/>
        <w:rPr>
          <w:sz w:val="24"/>
        </w:rPr>
      </w:pPr>
      <w:r>
        <w:rPr>
          <w:rFonts w:hint="eastAsia"/>
          <w:sz w:val="24"/>
        </w:rPr>
        <w:t>4) 以往遗留的环境问题、现场的、现有的污染及环境问题，以及产品出公司、计划中的活动可能带来的环境问题和将来潜在的法律、法规和其他的要求。</w:t>
      </w:r>
    </w:p>
    <w:p w14:paraId="775D2CF2">
      <w:pPr>
        <w:spacing w:line="360" w:lineRule="auto"/>
        <w:rPr>
          <w:sz w:val="24"/>
        </w:rPr>
      </w:pPr>
      <w:r>
        <w:rPr>
          <w:rFonts w:hint="eastAsia"/>
          <w:b/>
          <w:bCs/>
          <w:sz w:val="24"/>
        </w:rPr>
        <w:t>4.</w:t>
      </w:r>
      <w:r>
        <w:rPr>
          <w:b/>
          <w:bCs/>
          <w:sz w:val="24"/>
        </w:rPr>
        <w:t>2</w:t>
      </w:r>
      <w:r>
        <w:rPr>
          <w:rFonts w:hint="eastAsia"/>
          <w:b/>
          <w:bCs/>
          <w:sz w:val="24"/>
        </w:rPr>
        <w:t>.3</w:t>
      </w:r>
      <w:r>
        <w:rPr>
          <w:rFonts w:hint="eastAsia"/>
          <w:sz w:val="24"/>
        </w:rPr>
        <w:t xml:space="preserve"> </w:t>
      </w:r>
      <w:r>
        <w:rPr>
          <w:rFonts w:hint="eastAsia"/>
          <w:sz w:val="24"/>
          <w:lang w:eastAsia="zh-CN"/>
        </w:rPr>
        <w:t>综合部</w:t>
      </w:r>
      <w:r>
        <w:rPr>
          <w:rFonts w:hint="eastAsia"/>
          <w:sz w:val="24"/>
        </w:rPr>
        <w:t>整理各部门填写的《环境因素登记表》，并据此形成《环境因素清单》。</w:t>
      </w:r>
    </w:p>
    <w:p w14:paraId="58EF2A01">
      <w:pPr>
        <w:spacing w:line="360" w:lineRule="auto"/>
        <w:rPr>
          <w:sz w:val="24"/>
        </w:rPr>
      </w:pPr>
      <w:r>
        <w:rPr>
          <w:rFonts w:hint="eastAsia"/>
          <w:b/>
          <w:bCs/>
          <w:sz w:val="24"/>
        </w:rPr>
        <w:t>4.</w:t>
      </w:r>
      <w:r>
        <w:rPr>
          <w:b/>
          <w:bCs/>
          <w:sz w:val="24"/>
        </w:rPr>
        <w:t>3</w:t>
      </w:r>
      <w:r>
        <w:rPr>
          <w:rFonts w:hint="eastAsia"/>
          <w:b/>
          <w:bCs/>
          <w:sz w:val="24"/>
        </w:rPr>
        <w:t xml:space="preserve"> 重要环境因素的评价</w:t>
      </w:r>
    </w:p>
    <w:p w14:paraId="590776D8">
      <w:pPr>
        <w:spacing w:line="360" w:lineRule="auto"/>
        <w:rPr>
          <w:sz w:val="24"/>
        </w:rPr>
      </w:pPr>
      <w:r>
        <w:rPr>
          <w:rFonts w:hint="eastAsia"/>
          <w:b/>
          <w:bCs/>
          <w:sz w:val="24"/>
        </w:rPr>
        <w:t>4.</w:t>
      </w:r>
      <w:r>
        <w:rPr>
          <w:b/>
          <w:bCs/>
          <w:sz w:val="24"/>
        </w:rPr>
        <w:t>3</w:t>
      </w:r>
      <w:r>
        <w:rPr>
          <w:rFonts w:hint="eastAsia"/>
          <w:b/>
          <w:bCs/>
          <w:sz w:val="24"/>
        </w:rPr>
        <w:t>.1</w:t>
      </w:r>
      <w:r>
        <w:rPr>
          <w:rFonts w:hint="eastAsia"/>
          <w:sz w:val="24"/>
        </w:rPr>
        <w:t xml:space="preserve"> 对于每一个环境因素的环境影响的评价，由</w:t>
      </w:r>
      <w:r>
        <w:rPr>
          <w:rFonts w:hint="eastAsia"/>
          <w:sz w:val="24"/>
          <w:lang w:eastAsia="zh-CN"/>
        </w:rPr>
        <w:t>综合部</w:t>
      </w:r>
      <w:r>
        <w:rPr>
          <w:rFonts w:hint="eastAsia"/>
          <w:sz w:val="24"/>
        </w:rPr>
        <w:t>组织专业人员采用是非判断法与多因子评分法相结合的办法进行。对所有环境因素可先通过是非判定法进行判定，其余的用打分法进行评价。</w:t>
      </w:r>
    </w:p>
    <w:p w14:paraId="3C91FDB5">
      <w:pPr>
        <w:spacing w:line="360" w:lineRule="auto"/>
        <w:rPr>
          <w:sz w:val="24"/>
        </w:rPr>
      </w:pPr>
      <w:r>
        <w:rPr>
          <w:rFonts w:hint="eastAsia"/>
          <w:b/>
          <w:bCs/>
          <w:sz w:val="24"/>
        </w:rPr>
        <w:t>4.</w:t>
      </w:r>
      <w:r>
        <w:rPr>
          <w:b/>
          <w:bCs/>
          <w:sz w:val="24"/>
        </w:rPr>
        <w:t>3</w:t>
      </w:r>
      <w:r>
        <w:rPr>
          <w:rFonts w:hint="eastAsia"/>
          <w:b/>
          <w:bCs/>
          <w:sz w:val="24"/>
        </w:rPr>
        <w:t>.2</w:t>
      </w:r>
      <w:r>
        <w:rPr>
          <w:rFonts w:hint="eastAsia"/>
          <w:sz w:val="24"/>
        </w:rPr>
        <w:t xml:space="preserve"> 是非判断法：</w:t>
      </w:r>
    </w:p>
    <w:p w14:paraId="78EB78B0">
      <w:pPr>
        <w:spacing w:line="360" w:lineRule="auto"/>
        <w:rPr>
          <w:sz w:val="24"/>
        </w:rPr>
      </w:pPr>
      <w:r>
        <w:rPr>
          <w:rFonts w:hint="eastAsia"/>
          <w:sz w:val="24"/>
        </w:rPr>
        <w:t>对于识别出的环境因素：</w:t>
      </w:r>
    </w:p>
    <w:p w14:paraId="5F598690">
      <w:pPr>
        <w:spacing w:line="360" w:lineRule="auto"/>
        <w:rPr>
          <w:sz w:val="24"/>
        </w:rPr>
      </w:pPr>
      <w:r>
        <w:rPr>
          <w:rFonts w:hint="eastAsia"/>
          <w:sz w:val="24"/>
        </w:rPr>
        <w:t>1) 凡属《国家危险品名录》或被列入国家一类污染物的，除数量特别少外，一般均直接列为重要环境因素。</w:t>
      </w:r>
    </w:p>
    <w:p w14:paraId="6C65197A">
      <w:pPr>
        <w:spacing w:line="360" w:lineRule="auto"/>
        <w:rPr>
          <w:sz w:val="24"/>
        </w:rPr>
      </w:pPr>
      <w:r>
        <w:rPr>
          <w:rFonts w:hint="eastAsia"/>
          <w:sz w:val="24"/>
        </w:rPr>
        <w:t>2）凡违反本公司所适用的法律法规及其他要求的，直接列为重要环境因素。</w:t>
      </w:r>
    </w:p>
    <w:p w14:paraId="11343F56">
      <w:pPr>
        <w:spacing w:line="360" w:lineRule="auto"/>
        <w:rPr>
          <w:sz w:val="24"/>
        </w:rPr>
      </w:pPr>
      <w:r>
        <w:rPr>
          <w:rFonts w:hint="eastAsia"/>
          <w:b/>
          <w:bCs/>
          <w:sz w:val="24"/>
        </w:rPr>
        <w:t>4.</w:t>
      </w:r>
      <w:r>
        <w:rPr>
          <w:b/>
          <w:bCs/>
          <w:sz w:val="24"/>
        </w:rPr>
        <w:t>3</w:t>
      </w:r>
      <w:r>
        <w:rPr>
          <w:rFonts w:hint="eastAsia"/>
          <w:b/>
          <w:bCs/>
          <w:sz w:val="24"/>
        </w:rPr>
        <w:t>.3</w:t>
      </w:r>
      <w:r>
        <w:rPr>
          <w:rFonts w:hint="eastAsia"/>
          <w:sz w:val="24"/>
        </w:rPr>
        <w:t xml:space="preserve"> 多因子评分从以下11个方面进行，共100分。</w:t>
      </w:r>
    </w:p>
    <w:p w14:paraId="4B706ECC">
      <w:pPr>
        <w:spacing w:line="360" w:lineRule="auto"/>
        <w:rPr>
          <w:sz w:val="24"/>
          <w:u w:val="single"/>
        </w:rPr>
      </w:pPr>
      <w:r>
        <w:rPr>
          <w:rFonts w:hint="eastAsia"/>
          <w:b/>
          <w:bCs/>
          <w:sz w:val="24"/>
          <w:u w:val="single"/>
        </w:rPr>
        <w:t>a</w:t>
      </w:r>
      <w:r>
        <w:rPr>
          <w:rFonts w:hint="eastAsia"/>
          <w:sz w:val="24"/>
          <w:u w:val="single"/>
        </w:rPr>
        <w:t xml:space="preserve">. </w:t>
      </w:r>
      <w:r>
        <w:rPr>
          <w:rFonts w:hint="eastAsia"/>
          <w:b/>
          <w:bCs/>
          <w:sz w:val="24"/>
          <w:u w:val="single"/>
        </w:rPr>
        <w:t xml:space="preserve">环境影响的规模范围 </w:t>
      </w:r>
      <w:r>
        <w:rPr>
          <w:rFonts w:hint="eastAsia"/>
          <w:sz w:val="24"/>
          <w:u w:val="single"/>
        </w:rPr>
        <w:t xml:space="preserve">                              15分</w:t>
      </w:r>
    </w:p>
    <w:p w14:paraId="4C8F4F5F">
      <w:pPr>
        <w:spacing w:line="360" w:lineRule="auto"/>
        <w:rPr>
          <w:sz w:val="24"/>
          <w:u w:val="single"/>
        </w:rPr>
      </w:pPr>
      <w:r>
        <w:rPr>
          <w:rFonts w:hint="eastAsia"/>
          <w:sz w:val="24"/>
          <w:u w:val="single"/>
        </w:rPr>
        <w:t>1) 超出边界扩散至较远的                             11-15分</w:t>
      </w:r>
    </w:p>
    <w:p w14:paraId="70296250">
      <w:pPr>
        <w:spacing w:line="360" w:lineRule="auto"/>
        <w:rPr>
          <w:sz w:val="24"/>
          <w:u w:val="single"/>
        </w:rPr>
      </w:pPr>
      <w:r>
        <w:rPr>
          <w:rFonts w:hint="eastAsia"/>
          <w:sz w:val="24"/>
          <w:u w:val="single"/>
        </w:rPr>
        <w:t>2) 在装置内控制或略微超出装置边界的                 6-10分</w:t>
      </w:r>
    </w:p>
    <w:p w14:paraId="161982FF">
      <w:pPr>
        <w:spacing w:line="360" w:lineRule="auto"/>
        <w:rPr>
          <w:sz w:val="24"/>
          <w:u w:val="single"/>
        </w:rPr>
      </w:pPr>
      <w:r>
        <w:rPr>
          <w:rFonts w:hint="eastAsia"/>
          <w:sz w:val="24"/>
          <w:u w:val="single"/>
        </w:rPr>
        <w:t xml:space="preserve">3) 比上述两项小的                                   0-5分  </w:t>
      </w:r>
    </w:p>
    <w:p w14:paraId="392900B0">
      <w:pPr>
        <w:spacing w:line="360" w:lineRule="auto"/>
        <w:rPr>
          <w:sz w:val="24"/>
          <w:u w:val="single"/>
        </w:rPr>
      </w:pPr>
      <w:r>
        <w:rPr>
          <w:rFonts w:hint="eastAsia"/>
          <w:b/>
          <w:bCs/>
          <w:sz w:val="24"/>
          <w:u w:val="single"/>
        </w:rPr>
        <w:t>b</w:t>
      </w:r>
      <w:r>
        <w:rPr>
          <w:rFonts w:hint="eastAsia"/>
          <w:sz w:val="24"/>
          <w:u w:val="single"/>
        </w:rPr>
        <w:t>.</w:t>
      </w:r>
      <w:r>
        <w:rPr>
          <w:rFonts w:hint="eastAsia"/>
          <w:b/>
          <w:bCs/>
          <w:sz w:val="24"/>
          <w:u w:val="single"/>
        </w:rPr>
        <w:t xml:space="preserve">环境影响程度的大小 </w:t>
      </w:r>
      <w:r>
        <w:rPr>
          <w:rFonts w:hint="eastAsia"/>
          <w:sz w:val="24"/>
          <w:u w:val="single"/>
        </w:rPr>
        <w:t xml:space="preserve">                              15分</w:t>
      </w:r>
    </w:p>
    <w:p w14:paraId="39645BA3">
      <w:pPr>
        <w:spacing w:line="360" w:lineRule="auto"/>
        <w:rPr>
          <w:sz w:val="24"/>
          <w:u w:val="single"/>
        </w:rPr>
      </w:pPr>
      <w:r>
        <w:rPr>
          <w:rFonts w:hint="eastAsia"/>
          <w:sz w:val="24"/>
          <w:u w:val="single"/>
        </w:rPr>
        <w:t>1) 环境影响程度大的                                 15分</w:t>
      </w:r>
    </w:p>
    <w:p w14:paraId="3EE667BB">
      <w:pPr>
        <w:spacing w:line="360" w:lineRule="auto"/>
        <w:rPr>
          <w:sz w:val="24"/>
          <w:u w:val="single"/>
        </w:rPr>
      </w:pPr>
      <w:r>
        <w:rPr>
          <w:rFonts w:hint="eastAsia"/>
          <w:sz w:val="24"/>
          <w:u w:val="single"/>
        </w:rPr>
        <w:t>2) 进行处理仍有环境影响的                           12-14分</w:t>
      </w:r>
    </w:p>
    <w:p w14:paraId="267F9FBB">
      <w:pPr>
        <w:spacing w:line="360" w:lineRule="auto"/>
        <w:rPr>
          <w:sz w:val="24"/>
          <w:u w:val="single"/>
        </w:rPr>
      </w:pPr>
      <w:r>
        <w:rPr>
          <w:rFonts w:hint="eastAsia"/>
          <w:sz w:val="24"/>
          <w:u w:val="single"/>
        </w:rPr>
        <w:t>3) 环境影响不易消除的                               8-11分</w:t>
      </w:r>
    </w:p>
    <w:p w14:paraId="1B6E3A7F">
      <w:pPr>
        <w:spacing w:line="360" w:lineRule="auto"/>
        <w:rPr>
          <w:sz w:val="24"/>
          <w:u w:val="single"/>
        </w:rPr>
      </w:pPr>
      <w:r>
        <w:rPr>
          <w:rFonts w:hint="eastAsia"/>
          <w:sz w:val="24"/>
          <w:u w:val="single"/>
        </w:rPr>
        <w:t>4) 比以上三项程度小的                               0-7分</w:t>
      </w:r>
    </w:p>
    <w:p w14:paraId="17B15DB3">
      <w:pPr>
        <w:spacing w:line="360" w:lineRule="auto"/>
        <w:rPr>
          <w:sz w:val="24"/>
          <w:u w:val="single"/>
        </w:rPr>
      </w:pPr>
      <w:r>
        <w:rPr>
          <w:rFonts w:hint="eastAsia"/>
          <w:b/>
          <w:bCs/>
          <w:sz w:val="24"/>
          <w:u w:val="single"/>
        </w:rPr>
        <w:t>c</w:t>
      </w:r>
      <w:r>
        <w:rPr>
          <w:rFonts w:hint="eastAsia"/>
          <w:sz w:val="24"/>
          <w:u w:val="single"/>
        </w:rPr>
        <w:t xml:space="preserve">. </w:t>
      </w:r>
      <w:r>
        <w:rPr>
          <w:rFonts w:hint="eastAsia"/>
          <w:b/>
          <w:bCs/>
          <w:sz w:val="24"/>
          <w:u w:val="single"/>
        </w:rPr>
        <w:t xml:space="preserve">环境影响的持续性 </w:t>
      </w:r>
      <w:r>
        <w:rPr>
          <w:rFonts w:hint="eastAsia"/>
          <w:sz w:val="24"/>
          <w:u w:val="single"/>
        </w:rPr>
        <w:t xml:space="preserve">                                10分</w:t>
      </w:r>
    </w:p>
    <w:p w14:paraId="420437F5">
      <w:pPr>
        <w:spacing w:line="360" w:lineRule="auto"/>
        <w:rPr>
          <w:sz w:val="24"/>
          <w:u w:val="single"/>
        </w:rPr>
      </w:pPr>
      <w:r>
        <w:rPr>
          <w:rFonts w:hint="eastAsia"/>
          <w:sz w:val="24"/>
          <w:u w:val="single"/>
        </w:rPr>
        <w:t>1) 连续产生使影响持续的                             8-10分</w:t>
      </w:r>
    </w:p>
    <w:p w14:paraId="72BE9AAC">
      <w:pPr>
        <w:spacing w:line="360" w:lineRule="auto"/>
        <w:rPr>
          <w:sz w:val="24"/>
          <w:u w:val="single"/>
        </w:rPr>
      </w:pPr>
      <w:r>
        <w:rPr>
          <w:rFonts w:hint="eastAsia"/>
          <w:sz w:val="24"/>
          <w:u w:val="single"/>
        </w:rPr>
        <w:t>2) 持续影响时间小于1个月的                         4-7分</w:t>
      </w:r>
    </w:p>
    <w:p w14:paraId="6E0D35E1">
      <w:pPr>
        <w:spacing w:line="360" w:lineRule="auto"/>
        <w:rPr>
          <w:sz w:val="24"/>
          <w:u w:val="single"/>
        </w:rPr>
      </w:pPr>
      <w:r>
        <w:rPr>
          <w:rFonts w:hint="eastAsia"/>
          <w:sz w:val="24"/>
          <w:u w:val="single"/>
        </w:rPr>
        <w:t>3) 持续影响时间小于1个周的                         0-3分</w:t>
      </w:r>
    </w:p>
    <w:p w14:paraId="5FB9E6DD">
      <w:pPr>
        <w:spacing w:line="360" w:lineRule="auto"/>
        <w:rPr>
          <w:sz w:val="24"/>
          <w:u w:val="single"/>
        </w:rPr>
      </w:pPr>
      <w:r>
        <w:rPr>
          <w:rFonts w:hint="eastAsia"/>
          <w:b/>
          <w:bCs/>
          <w:sz w:val="24"/>
          <w:u w:val="single"/>
        </w:rPr>
        <w:t>d. 环境风险的概率</w:t>
      </w:r>
      <w:r>
        <w:rPr>
          <w:rFonts w:hint="eastAsia"/>
          <w:sz w:val="24"/>
          <w:u w:val="single"/>
        </w:rPr>
        <w:t xml:space="preserve">                                   10分</w:t>
      </w:r>
    </w:p>
    <w:p w14:paraId="5886C5D4">
      <w:pPr>
        <w:spacing w:line="360" w:lineRule="auto"/>
        <w:rPr>
          <w:sz w:val="24"/>
          <w:u w:val="single"/>
        </w:rPr>
      </w:pPr>
      <w:r>
        <w:rPr>
          <w:rFonts w:hint="eastAsia"/>
          <w:sz w:val="24"/>
          <w:u w:val="single"/>
        </w:rPr>
        <w:t>1) 产生风险的可能性75%以上                         8-10分</w:t>
      </w:r>
    </w:p>
    <w:p w14:paraId="0EA887CA">
      <w:pPr>
        <w:spacing w:line="360" w:lineRule="auto"/>
        <w:rPr>
          <w:sz w:val="24"/>
          <w:u w:val="single"/>
        </w:rPr>
      </w:pPr>
      <w:r>
        <w:rPr>
          <w:rFonts w:hint="eastAsia"/>
          <w:sz w:val="24"/>
          <w:u w:val="single"/>
        </w:rPr>
        <w:t>2) 产生风险的可能性50%以上                         5-7分</w:t>
      </w:r>
    </w:p>
    <w:p w14:paraId="12EFEA8A">
      <w:pPr>
        <w:spacing w:line="360" w:lineRule="auto"/>
        <w:rPr>
          <w:sz w:val="24"/>
          <w:u w:val="single"/>
        </w:rPr>
      </w:pPr>
      <w:r>
        <w:rPr>
          <w:rFonts w:hint="eastAsia"/>
          <w:sz w:val="24"/>
          <w:u w:val="single"/>
        </w:rPr>
        <w:t>3) 产生风险的可能性50%以下                         0-4分</w:t>
      </w:r>
    </w:p>
    <w:p w14:paraId="6B6A53B3">
      <w:pPr>
        <w:spacing w:line="360" w:lineRule="auto"/>
        <w:rPr>
          <w:sz w:val="24"/>
          <w:u w:val="single"/>
        </w:rPr>
      </w:pPr>
      <w:r>
        <w:rPr>
          <w:rFonts w:hint="eastAsia"/>
          <w:b/>
          <w:bCs/>
          <w:sz w:val="24"/>
          <w:u w:val="single"/>
        </w:rPr>
        <w:t xml:space="preserve">e. 有关法律法规及其它要求   </w:t>
      </w:r>
      <w:r>
        <w:rPr>
          <w:rFonts w:hint="eastAsia"/>
          <w:sz w:val="24"/>
          <w:u w:val="single"/>
        </w:rPr>
        <w:t xml:space="preserve">                        10分</w:t>
      </w:r>
    </w:p>
    <w:p w14:paraId="193981A5">
      <w:pPr>
        <w:spacing w:line="360" w:lineRule="auto"/>
        <w:rPr>
          <w:sz w:val="24"/>
          <w:u w:val="single"/>
        </w:rPr>
      </w:pPr>
      <w:r>
        <w:rPr>
          <w:rFonts w:hint="eastAsia"/>
          <w:sz w:val="24"/>
          <w:u w:val="single"/>
        </w:rPr>
        <w:t>1) 国家法律法规有要求的                             8-10分</w:t>
      </w:r>
    </w:p>
    <w:p w14:paraId="4F4417CC">
      <w:pPr>
        <w:spacing w:line="360" w:lineRule="auto"/>
        <w:rPr>
          <w:sz w:val="24"/>
          <w:u w:val="single"/>
        </w:rPr>
      </w:pPr>
      <w:r>
        <w:rPr>
          <w:rFonts w:hint="eastAsia"/>
          <w:sz w:val="24"/>
          <w:u w:val="single"/>
        </w:rPr>
        <w:t>2) 本公司要求的                                     4-7分</w:t>
      </w:r>
    </w:p>
    <w:p w14:paraId="10719F06">
      <w:pPr>
        <w:spacing w:line="360" w:lineRule="auto"/>
        <w:rPr>
          <w:sz w:val="24"/>
          <w:u w:val="single"/>
        </w:rPr>
      </w:pPr>
      <w:r>
        <w:rPr>
          <w:rFonts w:hint="eastAsia"/>
          <w:sz w:val="24"/>
          <w:u w:val="single"/>
        </w:rPr>
        <w:t>3) 无要求的                                         0-3分</w:t>
      </w:r>
    </w:p>
    <w:p w14:paraId="0398AFC0">
      <w:pPr>
        <w:spacing w:line="360" w:lineRule="auto"/>
        <w:rPr>
          <w:sz w:val="24"/>
          <w:u w:val="single"/>
        </w:rPr>
      </w:pPr>
      <w:r>
        <w:rPr>
          <w:rFonts w:hint="eastAsia"/>
          <w:b/>
          <w:bCs/>
          <w:sz w:val="24"/>
          <w:u w:val="single"/>
        </w:rPr>
        <w:t xml:space="preserve">f. 控制改变环境影响的难度  </w:t>
      </w:r>
      <w:r>
        <w:rPr>
          <w:rFonts w:hint="eastAsia"/>
          <w:sz w:val="24"/>
          <w:u w:val="single"/>
        </w:rPr>
        <w:t xml:space="preserve">                         10分</w:t>
      </w:r>
    </w:p>
    <w:p w14:paraId="2D8F3947">
      <w:pPr>
        <w:spacing w:line="360" w:lineRule="auto"/>
        <w:rPr>
          <w:sz w:val="24"/>
          <w:u w:val="single"/>
        </w:rPr>
      </w:pPr>
      <w:r>
        <w:rPr>
          <w:rFonts w:hint="eastAsia"/>
          <w:sz w:val="24"/>
          <w:u w:val="single"/>
        </w:rPr>
        <w:t>1) 技术不成熟，短期内无法控制                       8-10分</w:t>
      </w:r>
    </w:p>
    <w:p w14:paraId="28EE2FBA">
      <w:pPr>
        <w:spacing w:line="360" w:lineRule="auto"/>
        <w:rPr>
          <w:sz w:val="24"/>
          <w:u w:val="single"/>
        </w:rPr>
      </w:pPr>
      <w:r>
        <w:rPr>
          <w:rFonts w:hint="eastAsia"/>
          <w:sz w:val="24"/>
          <w:u w:val="single"/>
        </w:rPr>
        <w:t>2) 技术不成熟，但通过加强管理而能得到控制           5-7分</w:t>
      </w:r>
    </w:p>
    <w:p w14:paraId="776DF044">
      <w:pPr>
        <w:spacing w:line="360" w:lineRule="auto"/>
        <w:rPr>
          <w:sz w:val="24"/>
          <w:u w:val="single"/>
        </w:rPr>
      </w:pPr>
      <w:r>
        <w:rPr>
          <w:rFonts w:hint="eastAsia"/>
          <w:sz w:val="24"/>
          <w:u w:val="single"/>
        </w:rPr>
        <w:t>3) 技术成熟或通过加强管理而较易控制                 0-4分</w:t>
      </w:r>
    </w:p>
    <w:p w14:paraId="21AD3F8A">
      <w:pPr>
        <w:spacing w:line="360" w:lineRule="auto"/>
        <w:rPr>
          <w:sz w:val="24"/>
          <w:u w:val="single"/>
        </w:rPr>
      </w:pPr>
      <w:r>
        <w:rPr>
          <w:rFonts w:hint="eastAsia"/>
          <w:b/>
          <w:bCs/>
          <w:sz w:val="24"/>
          <w:u w:val="single"/>
        </w:rPr>
        <w:t xml:space="preserve">g. 改变环境影响的资源代价     </w:t>
      </w:r>
      <w:r>
        <w:rPr>
          <w:rFonts w:hint="eastAsia"/>
          <w:sz w:val="24"/>
          <w:u w:val="single"/>
        </w:rPr>
        <w:t xml:space="preserve">                      5分</w:t>
      </w:r>
    </w:p>
    <w:p w14:paraId="34F8558F">
      <w:pPr>
        <w:spacing w:line="360" w:lineRule="auto"/>
        <w:rPr>
          <w:sz w:val="24"/>
          <w:u w:val="single"/>
        </w:rPr>
      </w:pPr>
      <w:r>
        <w:rPr>
          <w:rFonts w:hint="eastAsia"/>
          <w:sz w:val="24"/>
          <w:u w:val="single"/>
        </w:rPr>
        <w:t>1) 需要较多的资源                                   5分</w:t>
      </w:r>
    </w:p>
    <w:p w14:paraId="0DCF7C77">
      <w:pPr>
        <w:spacing w:line="360" w:lineRule="auto"/>
        <w:rPr>
          <w:sz w:val="24"/>
          <w:u w:val="single"/>
        </w:rPr>
      </w:pPr>
      <w:r>
        <w:rPr>
          <w:rFonts w:hint="eastAsia"/>
          <w:sz w:val="24"/>
          <w:u w:val="single"/>
        </w:rPr>
        <w:t>2) 需要较少的资源                                   2-4分</w:t>
      </w:r>
    </w:p>
    <w:p w14:paraId="61F78845">
      <w:pPr>
        <w:spacing w:line="360" w:lineRule="auto"/>
        <w:rPr>
          <w:sz w:val="24"/>
          <w:u w:val="single"/>
        </w:rPr>
      </w:pPr>
      <w:r>
        <w:rPr>
          <w:rFonts w:hint="eastAsia"/>
          <w:sz w:val="24"/>
          <w:u w:val="single"/>
        </w:rPr>
        <w:t>3) 节约资源                                         0-1分</w:t>
      </w:r>
    </w:p>
    <w:p w14:paraId="6F48F50E">
      <w:pPr>
        <w:spacing w:line="360" w:lineRule="auto"/>
        <w:rPr>
          <w:sz w:val="24"/>
          <w:u w:val="single"/>
        </w:rPr>
      </w:pPr>
      <w:r>
        <w:rPr>
          <w:rFonts w:hint="eastAsia"/>
          <w:b/>
          <w:bCs/>
          <w:sz w:val="24"/>
          <w:u w:val="single"/>
        </w:rPr>
        <w:t xml:space="preserve">h. 相关方的关注程度  </w:t>
      </w:r>
      <w:r>
        <w:rPr>
          <w:rFonts w:hint="eastAsia"/>
          <w:sz w:val="24"/>
          <w:u w:val="single"/>
        </w:rPr>
        <w:t xml:space="preserve">                               10分</w:t>
      </w:r>
    </w:p>
    <w:p w14:paraId="6C445573">
      <w:pPr>
        <w:spacing w:line="360" w:lineRule="auto"/>
        <w:rPr>
          <w:sz w:val="24"/>
          <w:u w:val="single"/>
        </w:rPr>
      </w:pPr>
      <w:r>
        <w:rPr>
          <w:rFonts w:hint="eastAsia"/>
          <w:sz w:val="24"/>
          <w:u w:val="single"/>
        </w:rPr>
        <w:t>1) 相关方提出明确要求                               8-10分</w:t>
      </w:r>
    </w:p>
    <w:p w14:paraId="4A5752C2">
      <w:pPr>
        <w:spacing w:line="360" w:lineRule="auto"/>
        <w:rPr>
          <w:sz w:val="24"/>
          <w:u w:val="single"/>
        </w:rPr>
      </w:pPr>
      <w:r>
        <w:rPr>
          <w:rFonts w:hint="eastAsia"/>
          <w:sz w:val="24"/>
          <w:u w:val="single"/>
        </w:rPr>
        <w:t>2) 相关方未能提出明确要求，但需要控制的             4-7分</w:t>
      </w:r>
    </w:p>
    <w:p w14:paraId="3207D929">
      <w:pPr>
        <w:spacing w:line="360" w:lineRule="auto"/>
        <w:rPr>
          <w:sz w:val="24"/>
          <w:u w:val="single"/>
        </w:rPr>
      </w:pPr>
      <w:r>
        <w:rPr>
          <w:rFonts w:hint="eastAsia"/>
          <w:sz w:val="24"/>
          <w:u w:val="single"/>
        </w:rPr>
        <w:t>3) 相关方不做要求的                                 0-3分</w:t>
      </w:r>
    </w:p>
    <w:p w14:paraId="4A813B6D">
      <w:pPr>
        <w:spacing w:line="360" w:lineRule="auto"/>
        <w:rPr>
          <w:sz w:val="24"/>
          <w:u w:val="single"/>
        </w:rPr>
      </w:pPr>
      <w:r>
        <w:rPr>
          <w:rFonts w:hint="eastAsia"/>
          <w:b/>
          <w:bCs/>
          <w:sz w:val="24"/>
          <w:u w:val="single"/>
        </w:rPr>
        <w:t xml:space="preserve">i. 公司的社会形象     </w:t>
      </w:r>
      <w:r>
        <w:rPr>
          <w:rFonts w:hint="eastAsia"/>
          <w:sz w:val="24"/>
          <w:u w:val="single"/>
        </w:rPr>
        <w:t xml:space="preserve">                               5分</w:t>
      </w:r>
    </w:p>
    <w:p w14:paraId="22ADE852">
      <w:pPr>
        <w:spacing w:line="360" w:lineRule="auto"/>
        <w:rPr>
          <w:sz w:val="24"/>
          <w:u w:val="single"/>
        </w:rPr>
      </w:pPr>
      <w:r>
        <w:rPr>
          <w:rFonts w:hint="eastAsia"/>
          <w:sz w:val="24"/>
          <w:u w:val="single"/>
        </w:rPr>
        <w:t>1) 对社会形象有损害的                               4-5分</w:t>
      </w:r>
    </w:p>
    <w:p w14:paraId="12A1FE53">
      <w:pPr>
        <w:spacing w:line="360" w:lineRule="auto"/>
        <w:rPr>
          <w:sz w:val="24"/>
          <w:u w:val="single"/>
        </w:rPr>
      </w:pPr>
      <w:r>
        <w:rPr>
          <w:rFonts w:hint="eastAsia"/>
          <w:sz w:val="24"/>
          <w:u w:val="single"/>
        </w:rPr>
        <w:t>2) 不影响社会形象的                                 3分</w:t>
      </w:r>
    </w:p>
    <w:p w14:paraId="024CBA31">
      <w:pPr>
        <w:spacing w:line="360" w:lineRule="auto"/>
        <w:rPr>
          <w:sz w:val="24"/>
          <w:u w:val="single"/>
        </w:rPr>
      </w:pPr>
      <w:r>
        <w:rPr>
          <w:rFonts w:hint="eastAsia"/>
          <w:sz w:val="24"/>
          <w:u w:val="single"/>
        </w:rPr>
        <w:t>3) 能树立较好的社会形象                             0-2分</w:t>
      </w:r>
    </w:p>
    <w:p w14:paraId="59A99CCA">
      <w:pPr>
        <w:spacing w:line="360" w:lineRule="auto"/>
        <w:rPr>
          <w:sz w:val="24"/>
          <w:u w:val="single"/>
        </w:rPr>
      </w:pPr>
      <w:r>
        <w:rPr>
          <w:rFonts w:hint="eastAsia"/>
          <w:b/>
          <w:bCs/>
          <w:sz w:val="24"/>
          <w:u w:val="single"/>
        </w:rPr>
        <w:t>j. 进行环境影响控制对其他的影响作用</w:t>
      </w:r>
      <w:r>
        <w:rPr>
          <w:rFonts w:hint="eastAsia"/>
          <w:sz w:val="24"/>
          <w:u w:val="single"/>
        </w:rPr>
        <w:t xml:space="preserve">                  5分</w:t>
      </w:r>
    </w:p>
    <w:p w14:paraId="4755A502">
      <w:pPr>
        <w:spacing w:line="360" w:lineRule="auto"/>
        <w:rPr>
          <w:sz w:val="24"/>
          <w:u w:val="single"/>
        </w:rPr>
      </w:pPr>
      <w:r>
        <w:rPr>
          <w:rFonts w:hint="eastAsia"/>
          <w:sz w:val="24"/>
          <w:u w:val="single"/>
        </w:rPr>
        <w:t>1) 无影响的                                         4-5分</w:t>
      </w:r>
    </w:p>
    <w:p w14:paraId="1499BD55">
      <w:pPr>
        <w:spacing w:line="360" w:lineRule="auto"/>
        <w:rPr>
          <w:sz w:val="24"/>
          <w:u w:val="single"/>
        </w:rPr>
      </w:pPr>
      <w:r>
        <w:rPr>
          <w:rFonts w:hint="eastAsia"/>
          <w:sz w:val="24"/>
          <w:u w:val="single"/>
        </w:rPr>
        <w:t>2) 产生一般影响的                                   3分</w:t>
      </w:r>
    </w:p>
    <w:p w14:paraId="2A2A80A8">
      <w:pPr>
        <w:spacing w:line="360" w:lineRule="auto"/>
        <w:rPr>
          <w:sz w:val="24"/>
          <w:u w:val="single"/>
        </w:rPr>
      </w:pPr>
      <w:r>
        <w:rPr>
          <w:rFonts w:hint="eastAsia"/>
          <w:sz w:val="24"/>
          <w:u w:val="single"/>
        </w:rPr>
        <w:t>3) 产生良好影响的                                   0-2分</w:t>
      </w:r>
    </w:p>
    <w:p w14:paraId="78C1D1B2">
      <w:pPr>
        <w:spacing w:line="360" w:lineRule="auto"/>
        <w:rPr>
          <w:sz w:val="24"/>
          <w:u w:val="single"/>
        </w:rPr>
      </w:pPr>
      <w:r>
        <w:rPr>
          <w:rFonts w:hint="eastAsia"/>
          <w:b/>
          <w:bCs/>
          <w:sz w:val="24"/>
          <w:u w:val="single"/>
        </w:rPr>
        <w:t xml:space="preserve">k. 是否发生过污染事故 </w:t>
      </w:r>
      <w:r>
        <w:rPr>
          <w:rFonts w:hint="eastAsia"/>
          <w:sz w:val="24"/>
          <w:u w:val="single"/>
        </w:rPr>
        <w:t xml:space="preserve">                                5分</w:t>
      </w:r>
    </w:p>
    <w:p w14:paraId="06DF1846">
      <w:pPr>
        <w:spacing w:line="360" w:lineRule="auto"/>
        <w:rPr>
          <w:sz w:val="24"/>
          <w:u w:val="single"/>
        </w:rPr>
      </w:pPr>
      <w:r>
        <w:rPr>
          <w:rFonts w:hint="eastAsia"/>
          <w:sz w:val="24"/>
          <w:u w:val="single"/>
        </w:rPr>
        <w:t>1) 发生过公司以上及污染事故                         5分</w:t>
      </w:r>
    </w:p>
    <w:p w14:paraId="7A5D1C74">
      <w:pPr>
        <w:spacing w:line="360" w:lineRule="auto"/>
        <w:rPr>
          <w:sz w:val="24"/>
          <w:u w:val="single"/>
        </w:rPr>
      </w:pPr>
      <w:r>
        <w:rPr>
          <w:rFonts w:hint="eastAsia"/>
          <w:sz w:val="24"/>
          <w:u w:val="single"/>
        </w:rPr>
        <w:t>2) 发生过公司级污染事故                             3-5分</w:t>
      </w:r>
    </w:p>
    <w:p w14:paraId="40DA0C82">
      <w:pPr>
        <w:spacing w:line="360" w:lineRule="auto"/>
        <w:rPr>
          <w:sz w:val="24"/>
          <w:u w:val="single"/>
        </w:rPr>
      </w:pPr>
      <w:r>
        <w:rPr>
          <w:rFonts w:hint="eastAsia"/>
          <w:sz w:val="24"/>
          <w:u w:val="single"/>
        </w:rPr>
        <w:t>3) 发生过车间级污染事故                             0-3分</w:t>
      </w:r>
    </w:p>
    <w:p w14:paraId="112D5338">
      <w:pPr>
        <w:spacing w:line="360" w:lineRule="auto"/>
        <w:rPr>
          <w:sz w:val="24"/>
        </w:rPr>
      </w:pPr>
      <w:r>
        <w:rPr>
          <w:rFonts w:hint="eastAsia"/>
          <w:b/>
          <w:bCs/>
          <w:sz w:val="24"/>
        </w:rPr>
        <w:t>4.</w:t>
      </w:r>
      <w:r>
        <w:rPr>
          <w:b/>
          <w:bCs/>
          <w:sz w:val="24"/>
        </w:rPr>
        <w:t>3</w:t>
      </w:r>
      <w:r>
        <w:rPr>
          <w:rFonts w:hint="eastAsia"/>
          <w:b/>
          <w:bCs/>
          <w:sz w:val="24"/>
        </w:rPr>
        <w:t>.4</w:t>
      </w:r>
      <w:r>
        <w:rPr>
          <w:rFonts w:hint="eastAsia"/>
          <w:sz w:val="24"/>
        </w:rPr>
        <w:t xml:space="preserve"> 评价专业组人员对每一个环境因素的环境影响进行评分，然后汇总评出每一个环境因素得分。凡通过是非判断法确定的或通过多因子评分得分在50分以上的环境因素，均为公司重要环境因素，</w:t>
      </w:r>
      <w:r>
        <w:rPr>
          <w:rFonts w:hint="eastAsia"/>
          <w:sz w:val="24"/>
          <w:lang w:eastAsia="zh-CN"/>
        </w:rPr>
        <w:t>综合部</w:t>
      </w:r>
      <w:r>
        <w:rPr>
          <w:rFonts w:hint="eastAsia"/>
          <w:sz w:val="24"/>
        </w:rPr>
        <w:t>汇总出《重要环境因素清单》，报请管理者代表批准。</w:t>
      </w:r>
    </w:p>
    <w:p w14:paraId="1262AA38">
      <w:pPr>
        <w:spacing w:line="360" w:lineRule="auto"/>
        <w:rPr>
          <w:sz w:val="24"/>
        </w:rPr>
      </w:pPr>
      <w:r>
        <w:rPr>
          <w:rFonts w:hint="eastAsia"/>
          <w:b/>
          <w:bCs/>
          <w:sz w:val="24"/>
        </w:rPr>
        <w:t>4.</w:t>
      </w:r>
      <w:r>
        <w:rPr>
          <w:b/>
          <w:bCs/>
          <w:sz w:val="24"/>
        </w:rPr>
        <w:t>4</w:t>
      </w:r>
      <w:r>
        <w:rPr>
          <w:rFonts w:hint="eastAsia"/>
          <w:sz w:val="24"/>
        </w:rPr>
        <w:t>重要环境因素的管理</w:t>
      </w:r>
    </w:p>
    <w:p w14:paraId="61AC5690">
      <w:pPr>
        <w:spacing w:line="360" w:lineRule="auto"/>
        <w:rPr>
          <w:sz w:val="24"/>
        </w:rPr>
      </w:pPr>
      <w:r>
        <w:rPr>
          <w:rFonts w:hint="eastAsia"/>
          <w:sz w:val="24"/>
        </w:rPr>
        <w:t>对登录在《重要环境因素清单》中重要环境因素的管理分为三种方式：</w:t>
      </w:r>
    </w:p>
    <w:p w14:paraId="5F634797">
      <w:pPr>
        <w:spacing w:line="360" w:lineRule="auto"/>
        <w:rPr>
          <w:sz w:val="24"/>
        </w:rPr>
      </w:pPr>
      <w:r>
        <w:rPr>
          <w:rFonts w:hint="eastAsia"/>
          <w:sz w:val="24"/>
        </w:rPr>
        <w:t>1) 对于技术指标型重要环境因素，考虑本公司财力可体现在环境目标指标和方案中。</w:t>
      </w:r>
    </w:p>
    <w:p w14:paraId="2C60D680">
      <w:pPr>
        <w:spacing w:line="360" w:lineRule="auto"/>
        <w:rPr>
          <w:sz w:val="24"/>
        </w:rPr>
      </w:pPr>
      <w:r>
        <w:rPr>
          <w:rFonts w:hint="eastAsia"/>
          <w:sz w:val="24"/>
        </w:rPr>
        <w:t>2) 对于管理型重要环境因素，可在运行控制文件或其三层次文件中加以控制。</w:t>
      </w:r>
    </w:p>
    <w:p w14:paraId="112B5053">
      <w:pPr>
        <w:spacing w:line="360" w:lineRule="auto"/>
        <w:rPr>
          <w:sz w:val="24"/>
        </w:rPr>
      </w:pPr>
      <w:r>
        <w:rPr>
          <w:rFonts w:hint="eastAsia"/>
          <w:sz w:val="24"/>
        </w:rPr>
        <w:t>3）对于潜在型重要环境因素，可在应急准备与响应控制程序文件或三层次文件中加以控制。</w:t>
      </w:r>
    </w:p>
    <w:p w14:paraId="12C14D58">
      <w:pPr>
        <w:spacing w:line="360" w:lineRule="auto"/>
        <w:rPr>
          <w:sz w:val="24"/>
        </w:rPr>
      </w:pPr>
      <w:r>
        <w:rPr>
          <w:rFonts w:hint="eastAsia"/>
          <w:sz w:val="24"/>
        </w:rPr>
        <w:t>4）也可以上述一种、两种或三种方式同时进行控制。</w:t>
      </w:r>
    </w:p>
    <w:p w14:paraId="6C7A381B">
      <w:pPr>
        <w:spacing w:line="360" w:lineRule="auto"/>
        <w:rPr>
          <w:b/>
          <w:bCs/>
          <w:sz w:val="24"/>
        </w:rPr>
      </w:pPr>
      <w:r>
        <w:rPr>
          <w:rFonts w:hint="eastAsia"/>
          <w:b/>
          <w:bCs/>
          <w:sz w:val="24"/>
        </w:rPr>
        <w:t>4.</w:t>
      </w:r>
      <w:r>
        <w:rPr>
          <w:b/>
          <w:bCs/>
          <w:sz w:val="24"/>
        </w:rPr>
        <w:t>5</w:t>
      </w:r>
      <w:r>
        <w:rPr>
          <w:rFonts w:hint="eastAsia"/>
          <w:b/>
          <w:bCs/>
          <w:sz w:val="24"/>
        </w:rPr>
        <w:t xml:space="preserve"> 记录的管理</w:t>
      </w:r>
    </w:p>
    <w:p w14:paraId="4143B097">
      <w:pPr>
        <w:spacing w:line="360" w:lineRule="auto"/>
        <w:rPr>
          <w:sz w:val="24"/>
        </w:rPr>
      </w:pPr>
      <w:r>
        <w:rPr>
          <w:rFonts w:hint="eastAsia"/>
          <w:b/>
          <w:bCs/>
          <w:sz w:val="24"/>
        </w:rPr>
        <w:t>4.</w:t>
      </w:r>
      <w:r>
        <w:rPr>
          <w:b/>
          <w:bCs/>
          <w:sz w:val="24"/>
        </w:rPr>
        <w:t>5</w:t>
      </w:r>
      <w:r>
        <w:rPr>
          <w:rFonts w:hint="eastAsia"/>
          <w:b/>
          <w:bCs/>
          <w:sz w:val="24"/>
        </w:rPr>
        <w:t>.1</w:t>
      </w:r>
      <w:r>
        <w:rPr>
          <w:rFonts w:hint="eastAsia"/>
          <w:sz w:val="24"/>
        </w:rPr>
        <w:t xml:space="preserve"> 环境因素识别与评价过程中有关文件和记录的控制，具体执行《文件控制程序》和《记录控制程序》。</w:t>
      </w:r>
    </w:p>
    <w:p w14:paraId="65923C9B">
      <w:pPr>
        <w:spacing w:line="360" w:lineRule="auto"/>
        <w:rPr>
          <w:sz w:val="24"/>
        </w:rPr>
      </w:pPr>
      <w:r>
        <w:rPr>
          <w:rFonts w:hint="eastAsia"/>
          <w:b/>
          <w:bCs/>
          <w:sz w:val="24"/>
        </w:rPr>
        <w:t>4.</w:t>
      </w:r>
      <w:r>
        <w:rPr>
          <w:b/>
          <w:bCs/>
          <w:sz w:val="24"/>
        </w:rPr>
        <w:t>5</w:t>
      </w:r>
      <w:r>
        <w:rPr>
          <w:rFonts w:hint="eastAsia"/>
          <w:b/>
          <w:bCs/>
          <w:sz w:val="24"/>
        </w:rPr>
        <w:t xml:space="preserve">.2 </w:t>
      </w:r>
      <w:r>
        <w:rPr>
          <w:rFonts w:hint="eastAsia"/>
          <w:sz w:val="24"/>
          <w:lang w:eastAsia="zh-CN"/>
        </w:rPr>
        <w:t>综合部</w:t>
      </w:r>
      <w:r>
        <w:rPr>
          <w:rFonts w:hint="eastAsia"/>
          <w:sz w:val="24"/>
        </w:rPr>
        <w:t>负责保存环境因素识别与评价过程中的有关记录。</w:t>
      </w:r>
    </w:p>
    <w:p w14:paraId="4EFA035E">
      <w:pPr>
        <w:spacing w:line="360" w:lineRule="auto"/>
        <w:rPr>
          <w:sz w:val="24"/>
        </w:rPr>
      </w:pPr>
      <w:r>
        <w:rPr>
          <w:rFonts w:hint="eastAsia"/>
          <w:b/>
          <w:bCs/>
          <w:sz w:val="24"/>
        </w:rPr>
        <w:t>4.</w:t>
      </w:r>
      <w:r>
        <w:rPr>
          <w:b/>
          <w:bCs/>
          <w:sz w:val="24"/>
        </w:rPr>
        <w:t>5</w:t>
      </w:r>
      <w:r>
        <w:rPr>
          <w:rFonts w:hint="eastAsia"/>
          <w:b/>
          <w:bCs/>
          <w:sz w:val="24"/>
        </w:rPr>
        <w:t>.3</w:t>
      </w:r>
      <w:r>
        <w:rPr>
          <w:rFonts w:hint="eastAsia"/>
          <w:sz w:val="24"/>
        </w:rPr>
        <w:t xml:space="preserve"> 各部门负责保存有关的信息记录。</w:t>
      </w:r>
    </w:p>
    <w:p w14:paraId="73AA84E9">
      <w:pPr>
        <w:spacing w:line="360" w:lineRule="auto"/>
        <w:rPr>
          <w:b/>
          <w:bCs/>
          <w:sz w:val="24"/>
        </w:rPr>
      </w:pPr>
      <w:r>
        <w:rPr>
          <w:rFonts w:hint="eastAsia"/>
          <w:b/>
          <w:bCs/>
          <w:sz w:val="24"/>
        </w:rPr>
        <w:t>5 相关记录</w:t>
      </w:r>
    </w:p>
    <w:p w14:paraId="075AD214">
      <w:pPr>
        <w:spacing w:line="360" w:lineRule="auto"/>
        <w:rPr>
          <w:sz w:val="24"/>
        </w:rPr>
      </w:pPr>
      <w:r>
        <w:rPr>
          <w:rFonts w:hint="eastAsia"/>
          <w:b/>
          <w:bCs/>
          <w:sz w:val="24"/>
        </w:rPr>
        <w:t>5.1</w:t>
      </w:r>
      <w:r>
        <w:rPr>
          <w:rFonts w:hint="eastAsia"/>
          <w:sz w:val="24"/>
        </w:rPr>
        <w:t>《重要环境因素清单》</w:t>
      </w:r>
    </w:p>
    <w:p w14:paraId="3777268D">
      <w:pPr>
        <w:spacing w:line="360" w:lineRule="auto"/>
        <w:rPr>
          <w:sz w:val="24"/>
        </w:rPr>
      </w:pPr>
      <w:r>
        <w:rPr>
          <w:rFonts w:hint="eastAsia"/>
          <w:b/>
          <w:sz w:val="24"/>
        </w:rPr>
        <w:t>5.2</w:t>
      </w:r>
      <w:r>
        <w:rPr>
          <w:rFonts w:hint="eastAsia"/>
          <w:b/>
          <w:bCs/>
          <w:sz w:val="24"/>
        </w:rPr>
        <w:t xml:space="preserve"> </w:t>
      </w:r>
      <w:r>
        <w:rPr>
          <w:rFonts w:hint="eastAsia"/>
          <w:sz w:val="24"/>
        </w:rPr>
        <w:t>《环境因素辨识评价表》</w:t>
      </w:r>
    </w:p>
    <w:p w14:paraId="555508D4">
      <w:pPr>
        <w:rPr>
          <w:sz w:val="24"/>
        </w:rPr>
      </w:pPr>
    </w:p>
    <w:p w14:paraId="6272B1DA">
      <w:pPr>
        <w:rPr>
          <w:rFonts w:ascii="Arial" w:hAnsi="Arial" w:cs="Arial"/>
          <w:sz w:val="24"/>
        </w:rPr>
      </w:pPr>
    </w:p>
    <w:p w14:paraId="3884141D">
      <w:pPr>
        <w:widowControl/>
        <w:jc w:val="left"/>
        <w:rPr>
          <w:rFonts w:ascii="Arial" w:hAnsi="Arial" w:cs="Arial"/>
          <w:sz w:val="24"/>
        </w:rPr>
      </w:pPr>
      <w:r>
        <w:rPr>
          <w:rFonts w:ascii="Arial" w:hAnsi="Arial" w:cs="Arial"/>
          <w:sz w:val="24"/>
        </w:rPr>
        <w:br w:type="page"/>
      </w:r>
    </w:p>
    <w:p w14:paraId="0BB44E23">
      <w:pPr>
        <w:pStyle w:val="2"/>
        <w:snapToGrid w:val="0"/>
        <w:spacing w:before="0" w:after="0" w:line="240" w:lineRule="auto"/>
        <w:jc w:val="left"/>
        <w:rPr>
          <w:sz w:val="28"/>
          <w:szCs w:val="28"/>
        </w:rPr>
      </w:pPr>
      <w:r>
        <w:rPr>
          <w:rFonts w:hint="eastAsia"/>
          <w:sz w:val="28"/>
          <w:szCs w:val="28"/>
        </w:rPr>
        <w:t>十一、危险源辨识、风险评价和措施确定控制程序</w:t>
      </w:r>
    </w:p>
    <w:p w14:paraId="41ECFBEC">
      <w:pPr>
        <w:pStyle w:val="2"/>
        <w:snapToGrid w:val="0"/>
        <w:spacing w:before="0" w:after="0" w:line="240" w:lineRule="auto"/>
        <w:ind w:firstLine="840" w:firstLineChars="300"/>
        <w:jc w:val="left"/>
        <w:rPr>
          <w:sz w:val="28"/>
          <w:szCs w:val="28"/>
        </w:rPr>
      </w:pPr>
      <w:r>
        <w:rPr>
          <w:rFonts w:hint="eastAsia"/>
          <w:sz w:val="28"/>
          <w:szCs w:val="28"/>
        </w:rPr>
        <w:t>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-011</w:t>
      </w:r>
    </w:p>
    <w:p w14:paraId="59810B44">
      <w:pPr>
        <w:spacing w:line="360" w:lineRule="auto"/>
        <w:rPr>
          <w:rFonts w:ascii="宋体" w:hAnsi="宋体"/>
          <w:sz w:val="24"/>
        </w:rPr>
      </w:pPr>
      <w:r>
        <w:rPr>
          <w:rFonts w:hint="eastAsia" w:ascii="宋体"/>
          <w:bCs/>
          <w:sz w:val="24"/>
        </w:rPr>
        <w:t xml:space="preserve">1.  </w:t>
      </w:r>
      <w:r>
        <w:rPr>
          <w:rFonts w:hint="eastAsia" w:ascii="宋体" w:hAnsi="宋体"/>
          <w:sz w:val="24"/>
        </w:rPr>
        <w:t>目的</w:t>
      </w:r>
    </w:p>
    <w:p w14:paraId="2B45EDAA">
      <w:pPr>
        <w:spacing w:line="360" w:lineRule="auto"/>
        <w:ind w:firstLine="480" w:firstLineChars="200"/>
        <w:rPr>
          <w:rFonts w:ascii="宋体" w:hAnsi="宋体"/>
          <w:sz w:val="24"/>
        </w:rPr>
      </w:pPr>
      <w:r>
        <w:rPr>
          <w:rFonts w:hint="eastAsia" w:ascii="宋体" w:hAnsi="宋体"/>
          <w:sz w:val="24"/>
        </w:rPr>
        <w:t>为了准确辨识危险根源或状态，评价其风险程度，进行风险分级，实施有效控制，特制定本程序。</w:t>
      </w:r>
    </w:p>
    <w:p w14:paraId="1C621BDC">
      <w:pPr>
        <w:spacing w:line="360" w:lineRule="auto"/>
        <w:rPr>
          <w:rFonts w:ascii="宋体" w:hAnsi="宋体"/>
          <w:sz w:val="24"/>
        </w:rPr>
      </w:pPr>
      <w:r>
        <w:rPr>
          <w:rFonts w:hint="eastAsia" w:ascii="宋体" w:hAnsi="宋体"/>
          <w:sz w:val="24"/>
        </w:rPr>
        <w:t>2.  适用范围</w:t>
      </w:r>
    </w:p>
    <w:p w14:paraId="1F893869">
      <w:pPr>
        <w:spacing w:line="360" w:lineRule="auto"/>
        <w:ind w:firstLine="513" w:firstLineChars="214"/>
        <w:rPr>
          <w:rFonts w:ascii="宋体" w:hAnsi="宋体"/>
          <w:sz w:val="24"/>
        </w:rPr>
      </w:pPr>
      <w:r>
        <w:rPr>
          <w:rFonts w:hint="eastAsia" w:ascii="宋体" w:hAnsi="宋体"/>
          <w:sz w:val="24"/>
        </w:rPr>
        <w:t>本程序适用于公司生产现场、仓库、办公区等所有活动和区域范围内的危险源辨识、风险评价和风险控制的策划。</w:t>
      </w:r>
    </w:p>
    <w:p w14:paraId="5BF33BB6">
      <w:pPr>
        <w:spacing w:line="360" w:lineRule="auto"/>
        <w:rPr>
          <w:rFonts w:ascii="宋体" w:hAnsi="宋体"/>
          <w:sz w:val="24"/>
        </w:rPr>
      </w:pPr>
      <w:r>
        <w:rPr>
          <w:rFonts w:hint="eastAsia" w:ascii="宋体" w:hAnsi="宋体"/>
          <w:sz w:val="24"/>
        </w:rPr>
        <w:t>3.  职责</w:t>
      </w:r>
    </w:p>
    <w:p w14:paraId="682E2BF0">
      <w:pPr>
        <w:spacing w:line="360" w:lineRule="auto"/>
        <w:ind w:left="590" w:hanging="590" w:hangingChars="246"/>
        <w:rPr>
          <w:rFonts w:ascii="宋体" w:hAnsi="宋体"/>
          <w:sz w:val="24"/>
        </w:rPr>
      </w:pPr>
      <w:r>
        <w:rPr>
          <w:rFonts w:hint="eastAsia" w:ascii="宋体" w:hAnsi="宋体"/>
          <w:sz w:val="24"/>
        </w:rPr>
        <w:t xml:space="preserve">3.1  </w:t>
      </w:r>
      <w:r>
        <w:rPr>
          <w:rFonts w:hint="eastAsia" w:ascii="宋体" w:hAnsi="宋体"/>
          <w:sz w:val="24"/>
          <w:lang w:eastAsia="zh-CN"/>
        </w:rPr>
        <w:t>市场部</w:t>
      </w:r>
      <w:r>
        <w:rPr>
          <w:rFonts w:hint="eastAsia" w:ascii="宋体" w:hAnsi="宋体"/>
          <w:sz w:val="24"/>
        </w:rPr>
        <w:t>负责产品采购、物资管理等方面的危险源辨识和风险评价、风险控制的实施；</w:t>
      </w:r>
    </w:p>
    <w:p w14:paraId="194DC2C5">
      <w:pPr>
        <w:spacing w:line="360" w:lineRule="auto"/>
        <w:ind w:left="590" w:hanging="590" w:hangingChars="246"/>
        <w:rPr>
          <w:rFonts w:ascii="宋体" w:hAnsi="宋体"/>
          <w:sz w:val="24"/>
        </w:rPr>
      </w:pPr>
      <w:r>
        <w:rPr>
          <w:rFonts w:hint="eastAsia" w:ascii="宋体" w:hAnsi="宋体"/>
          <w:sz w:val="24"/>
        </w:rPr>
        <w:t xml:space="preserve">3.2  </w:t>
      </w:r>
      <w:r>
        <w:rPr>
          <w:rFonts w:hint="eastAsia" w:ascii="宋体" w:hAnsi="宋体"/>
          <w:sz w:val="24"/>
          <w:lang w:eastAsia="zh-CN"/>
        </w:rPr>
        <w:t>生产技术部</w:t>
      </w:r>
      <w:r>
        <w:rPr>
          <w:rFonts w:hint="eastAsia" w:ascii="宋体" w:hAnsi="宋体"/>
          <w:sz w:val="24"/>
        </w:rPr>
        <w:t>负责生产准备、过程控制、安全用电、安全防护装置和设施、特殊工种作业、工具使用、个体劳动保护、职业危害等方面的危险源辨识和风险评价、风险控制的实施；</w:t>
      </w:r>
    </w:p>
    <w:p w14:paraId="16E7E9C5">
      <w:pPr>
        <w:spacing w:line="360" w:lineRule="auto"/>
        <w:ind w:left="576" w:hanging="576" w:hangingChars="240"/>
        <w:rPr>
          <w:rFonts w:ascii="宋体" w:hAnsi="宋体"/>
          <w:sz w:val="24"/>
        </w:rPr>
      </w:pPr>
      <w:r>
        <w:rPr>
          <w:rFonts w:hint="eastAsia" w:ascii="宋体" w:hAnsi="宋体"/>
          <w:sz w:val="24"/>
        </w:rPr>
        <w:t xml:space="preserve">3.3 </w:t>
      </w:r>
      <w:r>
        <w:rPr>
          <w:rFonts w:hint="eastAsia" w:ascii="宋体" w:hAnsi="宋体"/>
          <w:sz w:val="24"/>
          <w:lang w:eastAsia="zh-CN"/>
        </w:rPr>
        <w:t>研发部</w:t>
      </w:r>
      <w:r>
        <w:rPr>
          <w:rFonts w:hint="eastAsia" w:ascii="宋体" w:hAnsi="宋体"/>
          <w:sz w:val="24"/>
        </w:rPr>
        <w:t>负责检测计量器具的使用，过程及最终产品的检验过程中的危险源辨识和风险评价、风险控制的实施；</w:t>
      </w:r>
    </w:p>
    <w:p w14:paraId="5948F39B">
      <w:pPr>
        <w:spacing w:line="360" w:lineRule="auto"/>
        <w:ind w:left="576" w:hanging="576" w:hangingChars="240"/>
        <w:rPr>
          <w:rFonts w:ascii="宋体" w:hAnsi="宋体"/>
          <w:sz w:val="24"/>
        </w:rPr>
      </w:pPr>
      <w:r>
        <w:rPr>
          <w:rFonts w:hint="eastAsia" w:ascii="宋体" w:hAnsi="宋体"/>
          <w:sz w:val="24"/>
        </w:rPr>
        <w:t xml:space="preserve">3.4  </w:t>
      </w:r>
      <w:r>
        <w:rPr>
          <w:rFonts w:hint="eastAsia" w:ascii="宋体" w:hAnsi="宋体"/>
          <w:sz w:val="24"/>
          <w:lang w:eastAsia="zh-CN"/>
        </w:rPr>
        <w:t>综合部</w:t>
      </w:r>
      <w:r>
        <w:rPr>
          <w:rFonts w:hint="eastAsia" w:ascii="宋体" w:hAnsi="宋体"/>
          <w:sz w:val="24"/>
        </w:rPr>
        <w:t>负责办公楼区域的危险源辨识、风险评价和风险控制策划工作。</w:t>
      </w:r>
    </w:p>
    <w:p w14:paraId="54C71BEC">
      <w:pPr>
        <w:spacing w:line="360" w:lineRule="auto"/>
        <w:rPr>
          <w:rFonts w:ascii="宋体" w:hAnsi="宋体"/>
          <w:sz w:val="24"/>
        </w:rPr>
      </w:pPr>
      <w:r>
        <w:rPr>
          <w:rFonts w:hint="eastAsia" w:ascii="宋体" w:hAnsi="宋体"/>
          <w:sz w:val="24"/>
        </w:rPr>
        <w:t>4.  程序</w:t>
      </w:r>
    </w:p>
    <w:p w14:paraId="7541FA7B">
      <w:pPr>
        <w:spacing w:line="360" w:lineRule="auto"/>
        <w:rPr>
          <w:rFonts w:ascii="宋体" w:hAnsi="宋体"/>
          <w:sz w:val="24"/>
        </w:rPr>
      </w:pPr>
      <w:r>
        <w:rPr>
          <w:rFonts w:hint="eastAsia" w:ascii="宋体" w:hAnsi="宋体"/>
          <w:sz w:val="24"/>
        </w:rPr>
        <w:t>4.1  总则</w:t>
      </w:r>
    </w:p>
    <w:p w14:paraId="14CEE47C">
      <w:pPr>
        <w:spacing w:line="360" w:lineRule="auto"/>
        <w:ind w:firstLine="480" w:firstLineChars="200"/>
        <w:rPr>
          <w:rFonts w:ascii="宋体" w:hAnsi="宋体"/>
          <w:sz w:val="24"/>
        </w:rPr>
      </w:pPr>
      <w:r>
        <w:rPr>
          <w:rFonts w:hint="eastAsia" w:ascii="宋体" w:hAnsi="宋体"/>
          <w:sz w:val="24"/>
        </w:rPr>
        <w:t>要控制风险，首先要辨识危险根源或状况，评价其带来危害的严重程度和可能性，判定其风险级别，据此考虑风险控制的措施，这是持续发展和不断改进的过程。</w:t>
      </w:r>
    </w:p>
    <w:p w14:paraId="4B25D4FA">
      <w:pPr>
        <w:spacing w:line="360" w:lineRule="auto"/>
        <w:rPr>
          <w:rFonts w:ascii="宋体" w:hAnsi="宋体"/>
          <w:sz w:val="24"/>
        </w:rPr>
      </w:pPr>
      <w:r>
        <w:rPr>
          <w:rFonts w:ascii="宋体" w:hAnsi="宋体"/>
          <w:sz w:val="24"/>
        </w:rPr>
        <w:t>4.2</w:t>
      </w:r>
      <w:r>
        <w:rPr>
          <w:rFonts w:hint="eastAsia" w:ascii="宋体" w:hAnsi="宋体"/>
          <w:sz w:val="24"/>
        </w:rPr>
        <w:t xml:space="preserve">  危害根源或状态的辨识</w:t>
      </w:r>
    </w:p>
    <w:p w14:paraId="193D45E4">
      <w:pPr>
        <w:spacing w:line="360" w:lineRule="auto"/>
        <w:rPr>
          <w:rFonts w:ascii="宋体" w:hAnsi="宋体"/>
          <w:sz w:val="24"/>
        </w:rPr>
      </w:pPr>
      <w:r>
        <w:rPr>
          <w:rFonts w:ascii="宋体" w:hAnsi="宋体"/>
          <w:sz w:val="24"/>
        </w:rPr>
        <w:t>4.2.1</w:t>
      </w:r>
      <w:r>
        <w:rPr>
          <w:rFonts w:hint="eastAsia" w:ascii="宋体" w:hAnsi="宋体"/>
          <w:sz w:val="24"/>
        </w:rPr>
        <w:t xml:space="preserve">  各部门根据各自的职能分工，根据各项活动，确定本部门内员工的活动范围、业务范围及作业流程，分别建立《危险源辨识清单》。</w:t>
      </w:r>
    </w:p>
    <w:p w14:paraId="1EE8E478">
      <w:pPr>
        <w:spacing w:line="360" w:lineRule="auto"/>
        <w:rPr>
          <w:rFonts w:ascii="宋体" w:hAnsi="宋体"/>
          <w:sz w:val="24"/>
        </w:rPr>
      </w:pPr>
      <w:r>
        <w:rPr>
          <w:rFonts w:hint="eastAsia" w:ascii="宋体" w:hAnsi="宋体"/>
          <w:sz w:val="24"/>
        </w:rPr>
        <w:t>4.2.2  危险源辨识应考虑以下活动和设施：</w:t>
      </w:r>
    </w:p>
    <w:p w14:paraId="18B62EAC">
      <w:pPr>
        <w:numPr>
          <w:ilvl w:val="0"/>
          <w:numId w:val="31"/>
        </w:numPr>
        <w:spacing w:line="360" w:lineRule="auto"/>
        <w:rPr>
          <w:rFonts w:ascii="宋体" w:hAnsi="宋体"/>
          <w:sz w:val="24"/>
        </w:rPr>
      </w:pPr>
      <w:r>
        <w:rPr>
          <w:rFonts w:hint="eastAsia" w:ascii="宋体" w:hAnsi="宋体"/>
          <w:sz w:val="24"/>
        </w:rPr>
        <w:t>常规（如正常的生产、安装）和非常规活动（如临时抢修、抢险等）；</w:t>
      </w:r>
    </w:p>
    <w:p w14:paraId="7C8006C5">
      <w:pPr>
        <w:numPr>
          <w:ilvl w:val="0"/>
          <w:numId w:val="31"/>
        </w:numPr>
        <w:spacing w:line="360" w:lineRule="auto"/>
        <w:rPr>
          <w:rFonts w:ascii="宋体" w:hAnsi="宋体"/>
          <w:sz w:val="24"/>
        </w:rPr>
      </w:pPr>
      <w:r>
        <w:rPr>
          <w:rFonts w:hint="eastAsia" w:ascii="宋体" w:hAnsi="宋体"/>
          <w:sz w:val="24"/>
        </w:rPr>
        <w:t>所有进入作业场所人员（含员工、相关方人员和访问者）的活动；</w:t>
      </w:r>
    </w:p>
    <w:p w14:paraId="52380D9B">
      <w:pPr>
        <w:numPr>
          <w:ilvl w:val="0"/>
          <w:numId w:val="31"/>
        </w:numPr>
        <w:spacing w:line="360" w:lineRule="auto"/>
        <w:rPr>
          <w:rFonts w:ascii="宋体" w:hAnsi="宋体"/>
          <w:sz w:val="24"/>
        </w:rPr>
      </w:pPr>
      <w:r>
        <w:rPr>
          <w:rFonts w:hint="eastAsia" w:ascii="宋体" w:hAnsi="宋体"/>
          <w:sz w:val="24"/>
        </w:rPr>
        <w:t>所有作业场所内的设施，如建筑物、设备、设施等（含公司所有的或租赁使用的）。</w:t>
      </w:r>
    </w:p>
    <w:p w14:paraId="7BDA4B7C">
      <w:pPr>
        <w:spacing w:line="360" w:lineRule="auto"/>
        <w:rPr>
          <w:rFonts w:ascii="宋体" w:hAnsi="宋体"/>
          <w:sz w:val="24"/>
        </w:rPr>
      </w:pPr>
      <w:r>
        <w:rPr>
          <w:rFonts w:hint="eastAsia" w:ascii="宋体" w:hAnsi="宋体"/>
          <w:sz w:val="24"/>
        </w:rPr>
        <w:t>4.2.3  在辨识危险根源或状态辨识时，应考虑活动、产品和服务的以下方面内容</w:t>
      </w:r>
      <w:r>
        <w:rPr>
          <w:rFonts w:ascii="宋体" w:hAnsi="宋体"/>
          <w:sz w:val="24"/>
        </w:rPr>
        <w:t>:</w:t>
      </w:r>
      <w:r>
        <w:rPr>
          <w:rFonts w:hint="eastAsia" w:ascii="宋体" w:hAnsi="宋体"/>
          <w:sz w:val="24"/>
        </w:rPr>
        <w:t xml:space="preserve"> </w:t>
      </w:r>
    </w:p>
    <w:p w14:paraId="6244F4A4">
      <w:pPr>
        <w:numPr>
          <w:ilvl w:val="0"/>
          <w:numId w:val="32"/>
        </w:numPr>
        <w:spacing w:line="360" w:lineRule="auto"/>
        <w:rPr>
          <w:rFonts w:ascii="宋体" w:hAnsi="宋体"/>
          <w:sz w:val="24"/>
        </w:rPr>
      </w:pPr>
      <w:r>
        <w:rPr>
          <w:rFonts w:hint="eastAsia" w:ascii="宋体" w:hAnsi="宋体"/>
          <w:sz w:val="24"/>
        </w:rPr>
        <w:t>三种状态：</w:t>
      </w:r>
    </w:p>
    <w:p w14:paraId="678AA5C2">
      <w:pPr>
        <w:spacing w:line="360" w:lineRule="auto"/>
        <w:ind w:left="426"/>
        <w:rPr>
          <w:rFonts w:ascii="宋体" w:hAnsi="宋体"/>
          <w:sz w:val="24"/>
        </w:rPr>
      </w:pPr>
      <w:r>
        <w:rPr>
          <w:rFonts w:hint="eastAsia" w:ascii="宋体" w:hAnsi="宋体"/>
          <w:sz w:val="24"/>
        </w:rPr>
        <w:t>正常（例如：每天正常生产过程）；</w:t>
      </w:r>
    </w:p>
    <w:p w14:paraId="58FE5195">
      <w:pPr>
        <w:spacing w:line="360" w:lineRule="auto"/>
        <w:ind w:left="426"/>
        <w:rPr>
          <w:rFonts w:ascii="宋体" w:hAnsi="宋体"/>
          <w:sz w:val="24"/>
        </w:rPr>
      </w:pPr>
      <w:r>
        <w:rPr>
          <w:rFonts w:hint="eastAsia" w:ascii="宋体" w:hAnsi="宋体"/>
          <w:sz w:val="24"/>
        </w:rPr>
        <w:t>异常（例如：停机、检修等）；</w:t>
      </w:r>
    </w:p>
    <w:p w14:paraId="04306C0A">
      <w:pPr>
        <w:spacing w:line="360" w:lineRule="auto"/>
        <w:ind w:left="426"/>
        <w:rPr>
          <w:rFonts w:ascii="宋体" w:hAnsi="宋体"/>
          <w:sz w:val="24"/>
        </w:rPr>
      </w:pPr>
      <w:r>
        <w:rPr>
          <w:rFonts w:hint="eastAsia" w:ascii="宋体" w:hAnsi="宋体"/>
          <w:sz w:val="24"/>
        </w:rPr>
        <w:t>紧急（例如：火灾、爆炸、坍塌）；</w:t>
      </w:r>
    </w:p>
    <w:p w14:paraId="2B830F60">
      <w:pPr>
        <w:numPr>
          <w:ilvl w:val="0"/>
          <w:numId w:val="32"/>
        </w:numPr>
        <w:spacing w:line="360" w:lineRule="auto"/>
        <w:rPr>
          <w:rFonts w:ascii="宋体" w:hAnsi="宋体"/>
          <w:sz w:val="24"/>
        </w:rPr>
      </w:pPr>
      <w:r>
        <w:rPr>
          <w:rFonts w:hint="eastAsia" w:ascii="宋体" w:hAnsi="宋体"/>
          <w:sz w:val="24"/>
        </w:rPr>
        <w:t>三种时态：</w:t>
      </w:r>
    </w:p>
    <w:p w14:paraId="5787468C">
      <w:pPr>
        <w:spacing w:line="360" w:lineRule="auto"/>
        <w:ind w:left="426"/>
        <w:rPr>
          <w:rFonts w:ascii="宋体" w:hAnsi="宋体"/>
          <w:sz w:val="24"/>
        </w:rPr>
      </w:pPr>
      <w:r>
        <w:rPr>
          <w:rFonts w:hint="eastAsia" w:ascii="宋体" w:hAnsi="宋体"/>
          <w:sz w:val="24"/>
        </w:rPr>
        <w:t>过去（例如：已发生过的伤害事故）；</w:t>
      </w:r>
    </w:p>
    <w:p w14:paraId="0D3A275B">
      <w:pPr>
        <w:spacing w:line="360" w:lineRule="auto"/>
        <w:ind w:left="426"/>
        <w:rPr>
          <w:rFonts w:ascii="宋体" w:hAnsi="宋体"/>
          <w:sz w:val="24"/>
        </w:rPr>
      </w:pPr>
      <w:r>
        <w:rPr>
          <w:rFonts w:hint="eastAsia" w:ascii="宋体" w:hAnsi="宋体"/>
          <w:sz w:val="24"/>
        </w:rPr>
        <w:t>现在（例如：作业活动、设备等现在的安全控制状态）；</w:t>
      </w:r>
    </w:p>
    <w:p w14:paraId="03168CE6">
      <w:pPr>
        <w:spacing w:line="360" w:lineRule="auto"/>
        <w:ind w:left="426"/>
        <w:rPr>
          <w:rFonts w:ascii="宋体" w:hAnsi="宋体"/>
          <w:sz w:val="24"/>
        </w:rPr>
      </w:pPr>
      <w:r>
        <w:rPr>
          <w:rFonts w:hint="eastAsia" w:ascii="宋体" w:hAnsi="宋体"/>
          <w:sz w:val="24"/>
        </w:rPr>
        <w:t>将来（例如：作业活动将发生变化，设备设施改进、报废、新购活动时的安全控制状态）。</w:t>
      </w:r>
    </w:p>
    <w:p w14:paraId="08C13C35">
      <w:pPr>
        <w:numPr>
          <w:ilvl w:val="0"/>
          <w:numId w:val="32"/>
        </w:numPr>
        <w:spacing w:line="360" w:lineRule="auto"/>
        <w:rPr>
          <w:rFonts w:ascii="宋体" w:hAnsi="宋体"/>
          <w:sz w:val="24"/>
        </w:rPr>
      </w:pPr>
      <w:r>
        <w:rPr>
          <w:rFonts w:hint="eastAsia" w:ascii="宋体" w:hAnsi="宋体"/>
          <w:sz w:val="24"/>
        </w:rPr>
        <w:t>从七种风险因素类型进行辨识：考虑由于</w:t>
      </w:r>
      <w:r>
        <w:rPr>
          <w:rFonts w:hint="eastAsia" w:ascii="宋体" w:hAnsi="宋体"/>
          <w:sz w:val="24"/>
          <w:lang w:eastAsia="zh-CN"/>
        </w:rPr>
        <w:t>电子</w:t>
      </w:r>
      <w:r>
        <w:rPr>
          <w:rFonts w:hint="eastAsia" w:ascii="宋体" w:hAnsi="宋体"/>
          <w:sz w:val="24"/>
        </w:rPr>
        <w:t>能、电能、热能、化学能、放射能、生物因素、人机产品因素（生理、心理）可能对人造成的伤害。如</w:t>
      </w:r>
      <w:r>
        <w:rPr>
          <w:rFonts w:hint="eastAsia" w:ascii="宋体" w:hAnsi="宋体"/>
          <w:sz w:val="24"/>
          <w:lang w:eastAsia="zh-CN"/>
        </w:rPr>
        <w:t>电子</w:t>
      </w:r>
      <w:r>
        <w:rPr>
          <w:rFonts w:hint="eastAsia" w:ascii="宋体" w:hAnsi="宋体"/>
          <w:sz w:val="24"/>
        </w:rPr>
        <w:t>设备伤人，漏电伤人，化学品对人的毒害，射线对人的辐射、伤害，人员的误操作、不遵守规程等。</w:t>
      </w:r>
    </w:p>
    <w:p w14:paraId="49C537A8">
      <w:pPr>
        <w:spacing w:line="360" w:lineRule="auto"/>
        <w:rPr>
          <w:rFonts w:ascii="宋体" w:hAnsi="宋体"/>
          <w:sz w:val="24"/>
        </w:rPr>
      </w:pPr>
      <w:r>
        <w:rPr>
          <w:rFonts w:hint="eastAsia" w:ascii="宋体" w:hAnsi="宋体"/>
          <w:sz w:val="24"/>
        </w:rPr>
        <w:t>4.2.4  辨识危险根源或状态辨识，可按以下过程或业务分类进行：</w:t>
      </w:r>
    </w:p>
    <w:p w14:paraId="78EEA69D">
      <w:pPr>
        <w:numPr>
          <w:ilvl w:val="0"/>
          <w:numId w:val="33"/>
        </w:numPr>
        <w:spacing w:line="360" w:lineRule="auto"/>
        <w:rPr>
          <w:rFonts w:ascii="宋体" w:hAnsi="宋体"/>
          <w:sz w:val="24"/>
        </w:rPr>
      </w:pPr>
      <w:r>
        <w:rPr>
          <w:rFonts w:hint="eastAsia" w:ascii="宋体" w:hAnsi="宋体"/>
          <w:sz w:val="24"/>
        </w:rPr>
        <w:t>安装准备阶段（人、机、料进场）的各项活动；</w:t>
      </w:r>
    </w:p>
    <w:p w14:paraId="19E9AE96">
      <w:pPr>
        <w:numPr>
          <w:ilvl w:val="0"/>
          <w:numId w:val="33"/>
        </w:numPr>
        <w:spacing w:line="360" w:lineRule="auto"/>
        <w:rPr>
          <w:rFonts w:ascii="宋体" w:hAnsi="宋体"/>
          <w:sz w:val="24"/>
        </w:rPr>
      </w:pPr>
      <w:r>
        <w:rPr>
          <w:rFonts w:hint="eastAsia" w:ascii="宋体" w:hAnsi="宋体"/>
          <w:sz w:val="24"/>
        </w:rPr>
        <w:t>产品采购过程中的各项活动（油品以及其它物资的采购、运输、储存、使用、废弃活动，包括相关方使用的物资）；</w:t>
      </w:r>
    </w:p>
    <w:p w14:paraId="743D6909">
      <w:pPr>
        <w:numPr>
          <w:ilvl w:val="0"/>
          <w:numId w:val="33"/>
        </w:numPr>
        <w:spacing w:line="360" w:lineRule="auto"/>
        <w:rPr>
          <w:rFonts w:ascii="宋体" w:hAnsi="宋体"/>
          <w:sz w:val="24"/>
        </w:rPr>
      </w:pPr>
      <w:r>
        <w:rPr>
          <w:rFonts w:hint="eastAsia" w:ascii="宋体" w:hAnsi="宋体"/>
          <w:sz w:val="24"/>
        </w:rPr>
        <w:t>生活区域的各项活动（公司机关和相关作业场所的人员活动，包括进入作业现场的相关方人员的活动）；</w:t>
      </w:r>
    </w:p>
    <w:p w14:paraId="0BDFC17F">
      <w:pPr>
        <w:numPr>
          <w:ilvl w:val="0"/>
          <w:numId w:val="33"/>
        </w:numPr>
        <w:spacing w:line="360" w:lineRule="auto"/>
        <w:rPr>
          <w:rFonts w:ascii="宋体" w:hAnsi="宋体"/>
          <w:sz w:val="24"/>
        </w:rPr>
      </w:pPr>
      <w:r>
        <w:rPr>
          <w:rFonts w:hint="eastAsia" w:ascii="宋体" w:hAnsi="宋体"/>
          <w:sz w:val="24"/>
        </w:rPr>
        <w:t>生产过程或所提供服务的阶段的各项活动（宜按作业流程或工序进行辨识）；</w:t>
      </w:r>
    </w:p>
    <w:p w14:paraId="0B9DBEA3">
      <w:pPr>
        <w:numPr>
          <w:ilvl w:val="0"/>
          <w:numId w:val="33"/>
        </w:numPr>
        <w:spacing w:line="360" w:lineRule="auto"/>
        <w:rPr>
          <w:rFonts w:ascii="宋体" w:hAnsi="宋体"/>
          <w:sz w:val="24"/>
        </w:rPr>
      </w:pPr>
      <w:r>
        <w:rPr>
          <w:rFonts w:hint="eastAsia" w:ascii="宋体" w:hAnsi="宋体"/>
          <w:sz w:val="24"/>
        </w:rPr>
        <w:t>设备、设施的采购、安装、使用、维护、报废等所有运行活动（包括相关方使用的设备、设施）；</w:t>
      </w:r>
    </w:p>
    <w:p w14:paraId="243BD372">
      <w:pPr>
        <w:numPr>
          <w:ilvl w:val="0"/>
          <w:numId w:val="33"/>
        </w:numPr>
        <w:spacing w:line="360" w:lineRule="auto"/>
        <w:rPr>
          <w:rFonts w:ascii="宋体" w:hAnsi="宋体"/>
          <w:sz w:val="24"/>
        </w:rPr>
      </w:pPr>
      <w:r>
        <w:rPr>
          <w:rFonts w:hint="eastAsia" w:ascii="宋体" w:hAnsi="宋体"/>
          <w:sz w:val="24"/>
        </w:rPr>
        <w:t>不同工种和岗位操作过程中的各项活动；</w:t>
      </w:r>
    </w:p>
    <w:p w14:paraId="796B8E8E">
      <w:pPr>
        <w:numPr>
          <w:ilvl w:val="0"/>
          <w:numId w:val="33"/>
        </w:numPr>
        <w:spacing w:line="360" w:lineRule="auto"/>
        <w:rPr>
          <w:rFonts w:ascii="宋体" w:hAnsi="宋体"/>
          <w:sz w:val="24"/>
        </w:rPr>
      </w:pPr>
      <w:r>
        <w:rPr>
          <w:rFonts w:hint="eastAsia" w:ascii="宋体" w:hAnsi="宋体"/>
          <w:sz w:val="24"/>
        </w:rPr>
        <w:t>确定的其他计划外的任务。</w:t>
      </w:r>
    </w:p>
    <w:p w14:paraId="36F548C5">
      <w:pPr>
        <w:spacing w:line="360" w:lineRule="auto"/>
        <w:ind w:left="864" w:hanging="864" w:hangingChars="360"/>
        <w:rPr>
          <w:sz w:val="24"/>
        </w:rPr>
      </w:pPr>
      <w:r>
        <w:rPr>
          <w:rFonts w:hint="eastAsia" w:ascii="宋体" w:hAnsi="宋体"/>
          <w:sz w:val="24"/>
        </w:rPr>
        <w:t xml:space="preserve">4.2.5 </w:t>
      </w:r>
      <w:r>
        <w:rPr>
          <w:rFonts w:hint="eastAsia"/>
          <w:sz w:val="24"/>
        </w:rPr>
        <w:t xml:space="preserve"> 危险源辨识可根据法律法规要求，采用查阅有关伤亡和隐患处置记录、安全检查表统计、询问与交流(班组安全活动)、现场观察、工作任务分析、作业条件的危险性评价、外部信息获取等方法。</w:t>
      </w:r>
    </w:p>
    <w:p w14:paraId="02CE81FE">
      <w:pPr>
        <w:spacing w:line="360" w:lineRule="auto"/>
        <w:rPr>
          <w:rFonts w:ascii="宋体" w:hAnsi="宋体"/>
          <w:sz w:val="24"/>
        </w:rPr>
      </w:pPr>
      <w:r>
        <w:rPr>
          <w:rFonts w:hint="eastAsia" w:ascii="宋体" w:hAnsi="宋体"/>
          <w:sz w:val="24"/>
        </w:rPr>
        <w:t>4.3  确认相应法律法规及地方规定的要求</w:t>
      </w:r>
    </w:p>
    <w:p w14:paraId="4743EBF2">
      <w:pPr>
        <w:spacing w:line="360" w:lineRule="auto"/>
        <w:ind w:firstLine="480" w:firstLineChars="200"/>
        <w:rPr>
          <w:rFonts w:ascii="宋体" w:hAnsi="宋体"/>
          <w:sz w:val="24"/>
        </w:rPr>
      </w:pPr>
      <w:r>
        <w:rPr>
          <w:rFonts w:hint="eastAsia" w:ascii="宋体" w:hAnsi="宋体"/>
          <w:sz w:val="24"/>
        </w:rPr>
        <w:t>各部门从已辨识的法律法规和其他地方规定中，确认相关区域、活动或产品形成过程中相应的法律法规规定等方面的要求，按要求对各相关活动和设施进行控制，确保各项活动满足其要求。</w:t>
      </w:r>
    </w:p>
    <w:p w14:paraId="59862AD3">
      <w:pPr>
        <w:spacing w:line="360" w:lineRule="auto"/>
        <w:rPr>
          <w:rFonts w:ascii="宋体" w:hAnsi="宋体"/>
          <w:sz w:val="24"/>
        </w:rPr>
      </w:pPr>
      <w:r>
        <w:rPr>
          <w:rFonts w:ascii="宋体" w:hAnsi="宋体"/>
          <w:sz w:val="24"/>
        </w:rPr>
        <w:t>4.</w:t>
      </w:r>
      <w:r>
        <w:rPr>
          <w:rFonts w:hint="eastAsia" w:ascii="宋体" w:hAnsi="宋体"/>
          <w:sz w:val="24"/>
        </w:rPr>
        <w:t>4  风险评价</w:t>
      </w:r>
    </w:p>
    <w:p w14:paraId="0689B62E">
      <w:pPr>
        <w:tabs>
          <w:tab w:val="left" w:pos="0"/>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w:t>
      </w:r>
      <w:r>
        <w:rPr>
          <w:rFonts w:hint="eastAsia" w:ascii="宋体" w:hAnsi="宋体"/>
          <w:sz w:val="24"/>
        </w:rPr>
        <w:t xml:space="preserve"> 风险评价的方法</w:t>
      </w:r>
    </w:p>
    <w:p w14:paraId="6BB52C84">
      <w:pPr>
        <w:tabs>
          <w:tab w:val="left" w:pos="0"/>
        </w:tabs>
        <w:spacing w:line="360" w:lineRule="auto"/>
        <w:ind w:firstLine="480" w:firstLineChars="200"/>
        <w:rPr>
          <w:rFonts w:ascii="宋体" w:hAnsi="宋体"/>
          <w:sz w:val="24"/>
        </w:rPr>
      </w:pPr>
      <w:r>
        <w:rPr>
          <w:rFonts w:hint="eastAsia" w:ascii="宋体" w:hAnsi="宋体"/>
          <w:sz w:val="24"/>
        </w:rPr>
        <w:t>本公司根据作业条件的危险性、环境作业时危害的程度，采用D=LEC半定量评价法，简化评价过程，用系统风险率有关的L、E、C三种因素指标值之积，来评价作业人员的伤亡风险大小。即L-发生事故的可能性大小，E-人体暴露在危险环境中频繁程度，C-发生事故后造成的损失后果，D即LEC三方的积，值越大表明该系统危险性越大，相反D值越小表明该系统危险性越小。确定当危险性分值D为三级（含三级）以上时为重大危害因素。</w:t>
      </w:r>
    </w:p>
    <w:p w14:paraId="552B6F3C">
      <w:pPr>
        <w:tabs>
          <w:tab w:val="left" w:pos="922"/>
        </w:tabs>
        <w:spacing w:line="360" w:lineRule="auto"/>
        <w:ind w:left="936" w:hanging="936" w:hangingChars="390"/>
        <w:rPr>
          <w:rFonts w:ascii="宋体" w:hAnsi="宋体"/>
          <w:sz w:val="24"/>
        </w:rPr>
      </w:pPr>
      <w:r>
        <w:rPr>
          <w:rFonts w:ascii="宋体" w:hAnsi="宋体"/>
          <w:sz w:val="24"/>
        </w:rPr>
        <w:t>4.</w:t>
      </w:r>
      <w:r>
        <w:rPr>
          <w:rFonts w:hint="eastAsia" w:ascii="宋体" w:hAnsi="宋体"/>
          <w:sz w:val="24"/>
        </w:rPr>
        <w:t>4</w:t>
      </w:r>
      <w:r>
        <w:rPr>
          <w:rFonts w:ascii="宋体" w:hAnsi="宋体"/>
          <w:sz w:val="24"/>
        </w:rPr>
        <w:t>.1.</w:t>
      </w:r>
      <w:r>
        <w:rPr>
          <w:rFonts w:hint="eastAsia" w:ascii="宋体" w:hAnsi="宋体"/>
          <w:sz w:val="24"/>
        </w:rPr>
        <w:t>1 事故或危险事件发生的可能性大小：当用概率来表示时，绝对不可能发生的事故为零，必然发生的事故为1。然而，在作为系统安全考虑时，绝不发生事故是不可能的。所以人为地将发生事故可能性极小分数定为0.1，将必然要发生事件的分数定为10，介于这两种情况之间的情况指定了若干个值。</w:t>
      </w:r>
    </w:p>
    <w:p w14:paraId="754EAAB1">
      <w:pPr>
        <w:tabs>
          <w:tab w:val="left" w:pos="0"/>
        </w:tabs>
        <w:spacing w:line="360" w:lineRule="auto"/>
        <w:ind w:firstLine="696" w:firstLineChars="290"/>
        <w:rPr>
          <w:rFonts w:ascii="宋体" w:hAnsi="宋体"/>
          <w:sz w:val="24"/>
        </w:rPr>
      </w:pPr>
      <w:r>
        <w:rPr>
          <w:rFonts w:hint="eastAsia" w:ascii="宋体" w:hAnsi="宋体"/>
          <w:sz w:val="24"/>
        </w:rPr>
        <w:t>如下表：L</w:t>
      </w:r>
      <w:r>
        <w:rPr>
          <w:rFonts w:hint="eastAsia"/>
          <w:sz w:val="24"/>
        </w:rPr>
        <w:t>－</w:t>
      </w:r>
      <w:r>
        <w:rPr>
          <w:rFonts w:hint="eastAsia" w:ascii="宋体" w:hAnsi="宋体"/>
          <w:sz w:val="24"/>
        </w:rPr>
        <w:t>发生事故的可能性大小</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204"/>
        <w:gridCol w:w="4806"/>
      </w:tblGrid>
      <w:tr w14:paraId="3B661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6B25E9D7">
            <w:pPr>
              <w:tabs>
                <w:tab w:val="left" w:pos="0"/>
              </w:tabs>
              <w:jc w:val="center"/>
              <w:rPr>
                <w:rFonts w:ascii="宋体" w:hAnsi="宋体"/>
                <w:sz w:val="24"/>
              </w:rPr>
            </w:pPr>
            <w:r>
              <w:rPr>
                <w:rFonts w:hint="eastAsia" w:ascii="宋体" w:hAnsi="宋体"/>
                <w:sz w:val="24"/>
              </w:rPr>
              <w:t>等级</w:t>
            </w:r>
          </w:p>
        </w:tc>
        <w:tc>
          <w:tcPr>
            <w:tcW w:w="3204" w:type="dxa"/>
            <w:vAlign w:val="center"/>
          </w:tcPr>
          <w:p w14:paraId="22617432">
            <w:pPr>
              <w:tabs>
                <w:tab w:val="left" w:pos="0"/>
              </w:tabs>
              <w:ind w:firstLine="658"/>
              <w:jc w:val="center"/>
              <w:rPr>
                <w:rFonts w:ascii="宋体" w:hAnsi="宋体"/>
                <w:sz w:val="24"/>
              </w:rPr>
            </w:pPr>
            <w:r>
              <w:rPr>
                <w:rFonts w:hint="eastAsia" w:ascii="宋体" w:hAnsi="宋体"/>
                <w:sz w:val="24"/>
              </w:rPr>
              <w:t>分数值</w:t>
            </w:r>
          </w:p>
        </w:tc>
        <w:tc>
          <w:tcPr>
            <w:tcW w:w="4806" w:type="dxa"/>
            <w:vAlign w:val="center"/>
          </w:tcPr>
          <w:p w14:paraId="1C50208F">
            <w:pPr>
              <w:tabs>
                <w:tab w:val="left" w:pos="0"/>
              </w:tabs>
              <w:jc w:val="center"/>
              <w:rPr>
                <w:rFonts w:ascii="宋体" w:hAnsi="宋体"/>
                <w:sz w:val="24"/>
              </w:rPr>
            </w:pPr>
            <w:r>
              <w:rPr>
                <w:rFonts w:hint="eastAsia" w:ascii="宋体" w:hAnsi="宋体"/>
                <w:sz w:val="24"/>
              </w:rPr>
              <w:t>事故发生的可能性</w:t>
            </w:r>
          </w:p>
        </w:tc>
      </w:tr>
      <w:tr w14:paraId="51127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16BC3724">
            <w:pPr>
              <w:tabs>
                <w:tab w:val="left" w:pos="0"/>
              </w:tabs>
              <w:jc w:val="center"/>
              <w:rPr>
                <w:rFonts w:ascii="宋体" w:hAnsi="宋体"/>
                <w:sz w:val="24"/>
              </w:rPr>
            </w:pPr>
            <w:r>
              <w:rPr>
                <w:rFonts w:hint="eastAsia" w:ascii="宋体" w:hAnsi="宋体"/>
                <w:sz w:val="24"/>
              </w:rPr>
              <w:t>七级</w:t>
            </w:r>
          </w:p>
        </w:tc>
        <w:tc>
          <w:tcPr>
            <w:tcW w:w="3204" w:type="dxa"/>
            <w:vAlign w:val="center"/>
          </w:tcPr>
          <w:p w14:paraId="083ADF92">
            <w:pPr>
              <w:tabs>
                <w:tab w:val="left" w:pos="0"/>
              </w:tabs>
              <w:jc w:val="center"/>
              <w:rPr>
                <w:rFonts w:ascii="宋体" w:hAnsi="宋体"/>
                <w:sz w:val="24"/>
              </w:rPr>
            </w:pPr>
            <w:r>
              <w:rPr>
                <w:rFonts w:hint="eastAsia" w:ascii="宋体" w:hAnsi="宋体"/>
                <w:sz w:val="24"/>
              </w:rPr>
              <w:t>10</w:t>
            </w:r>
          </w:p>
        </w:tc>
        <w:tc>
          <w:tcPr>
            <w:tcW w:w="4806" w:type="dxa"/>
            <w:vAlign w:val="center"/>
          </w:tcPr>
          <w:p w14:paraId="5DDDD846">
            <w:pPr>
              <w:tabs>
                <w:tab w:val="left" w:pos="0"/>
              </w:tabs>
              <w:jc w:val="center"/>
              <w:rPr>
                <w:rFonts w:ascii="宋体" w:hAnsi="宋体"/>
                <w:sz w:val="24"/>
              </w:rPr>
            </w:pPr>
            <w:r>
              <w:rPr>
                <w:rFonts w:hint="eastAsia" w:ascii="宋体" w:hAnsi="宋体"/>
                <w:sz w:val="24"/>
              </w:rPr>
              <w:t>安全可能预料</w:t>
            </w:r>
          </w:p>
        </w:tc>
      </w:tr>
      <w:tr w14:paraId="61D13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14A5F099">
            <w:pPr>
              <w:tabs>
                <w:tab w:val="left" w:pos="0"/>
              </w:tabs>
              <w:jc w:val="center"/>
              <w:rPr>
                <w:rFonts w:ascii="宋体" w:hAnsi="宋体"/>
                <w:sz w:val="24"/>
              </w:rPr>
            </w:pPr>
            <w:r>
              <w:rPr>
                <w:rFonts w:hint="eastAsia" w:ascii="宋体" w:hAnsi="宋体"/>
                <w:sz w:val="24"/>
              </w:rPr>
              <w:t>六级</w:t>
            </w:r>
          </w:p>
        </w:tc>
        <w:tc>
          <w:tcPr>
            <w:tcW w:w="3204" w:type="dxa"/>
            <w:vAlign w:val="center"/>
          </w:tcPr>
          <w:p w14:paraId="036CEE3B">
            <w:pPr>
              <w:tabs>
                <w:tab w:val="left" w:pos="0"/>
              </w:tabs>
              <w:jc w:val="center"/>
              <w:rPr>
                <w:rFonts w:ascii="宋体" w:hAnsi="宋体"/>
                <w:sz w:val="24"/>
              </w:rPr>
            </w:pPr>
            <w:r>
              <w:rPr>
                <w:rFonts w:hint="eastAsia" w:ascii="宋体" w:hAnsi="宋体"/>
                <w:sz w:val="24"/>
              </w:rPr>
              <w:t>6</w:t>
            </w:r>
          </w:p>
        </w:tc>
        <w:tc>
          <w:tcPr>
            <w:tcW w:w="4806" w:type="dxa"/>
            <w:vAlign w:val="center"/>
          </w:tcPr>
          <w:p w14:paraId="32826554">
            <w:pPr>
              <w:tabs>
                <w:tab w:val="left" w:pos="0"/>
              </w:tabs>
              <w:jc w:val="center"/>
              <w:rPr>
                <w:rFonts w:ascii="宋体" w:hAnsi="宋体"/>
                <w:sz w:val="24"/>
              </w:rPr>
            </w:pPr>
            <w:r>
              <w:rPr>
                <w:rFonts w:hint="eastAsia" w:ascii="宋体" w:hAnsi="宋体"/>
                <w:sz w:val="24"/>
              </w:rPr>
              <w:t>相当可能</w:t>
            </w:r>
          </w:p>
        </w:tc>
      </w:tr>
      <w:tr w14:paraId="7DC59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32D40043">
            <w:pPr>
              <w:tabs>
                <w:tab w:val="left" w:pos="0"/>
              </w:tabs>
              <w:jc w:val="center"/>
              <w:rPr>
                <w:rFonts w:ascii="宋体" w:hAnsi="宋体"/>
                <w:sz w:val="24"/>
              </w:rPr>
            </w:pPr>
            <w:r>
              <w:rPr>
                <w:rFonts w:hint="eastAsia" w:ascii="宋体" w:hAnsi="宋体"/>
                <w:sz w:val="24"/>
              </w:rPr>
              <w:t>五级</w:t>
            </w:r>
          </w:p>
        </w:tc>
        <w:tc>
          <w:tcPr>
            <w:tcW w:w="3204" w:type="dxa"/>
            <w:vAlign w:val="center"/>
          </w:tcPr>
          <w:p w14:paraId="4D5374F2">
            <w:pPr>
              <w:tabs>
                <w:tab w:val="left" w:pos="0"/>
              </w:tabs>
              <w:jc w:val="center"/>
              <w:rPr>
                <w:rFonts w:ascii="宋体" w:hAnsi="宋体"/>
                <w:sz w:val="24"/>
              </w:rPr>
            </w:pPr>
            <w:r>
              <w:rPr>
                <w:rFonts w:hint="eastAsia" w:ascii="宋体" w:hAnsi="宋体"/>
                <w:sz w:val="24"/>
              </w:rPr>
              <w:t>3</w:t>
            </w:r>
          </w:p>
        </w:tc>
        <w:tc>
          <w:tcPr>
            <w:tcW w:w="4806" w:type="dxa"/>
            <w:vAlign w:val="center"/>
          </w:tcPr>
          <w:p w14:paraId="31536031">
            <w:pPr>
              <w:tabs>
                <w:tab w:val="left" w:pos="0"/>
              </w:tabs>
              <w:jc w:val="center"/>
              <w:rPr>
                <w:rFonts w:ascii="宋体" w:hAnsi="宋体"/>
                <w:sz w:val="24"/>
              </w:rPr>
            </w:pPr>
            <w:r>
              <w:rPr>
                <w:rFonts w:hint="eastAsia" w:ascii="宋体" w:hAnsi="宋体"/>
                <w:sz w:val="24"/>
              </w:rPr>
              <w:t>可能，但不经常</w:t>
            </w:r>
          </w:p>
        </w:tc>
      </w:tr>
      <w:tr w14:paraId="65356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7B3C8133">
            <w:pPr>
              <w:tabs>
                <w:tab w:val="left" w:pos="0"/>
              </w:tabs>
              <w:jc w:val="center"/>
              <w:rPr>
                <w:rFonts w:ascii="宋体" w:hAnsi="宋体"/>
                <w:sz w:val="24"/>
              </w:rPr>
            </w:pPr>
            <w:r>
              <w:rPr>
                <w:rFonts w:hint="eastAsia" w:ascii="宋体" w:hAnsi="宋体"/>
                <w:sz w:val="24"/>
              </w:rPr>
              <w:t>四级</w:t>
            </w:r>
          </w:p>
        </w:tc>
        <w:tc>
          <w:tcPr>
            <w:tcW w:w="3204" w:type="dxa"/>
            <w:vAlign w:val="center"/>
          </w:tcPr>
          <w:p w14:paraId="7D1F35CD">
            <w:pPr>
              <w:tabs>
                <w:tab w:val="left" w:pos="0"/>
              </w:tabs>
              <w:jc w:val="center"/>
              <w:rPr>
                <w:rFonts w:ascii="宋体" w:hAnsi="宋体"/>
                <w:sz w:val="24"/>
              </w:rPr>
            </w:pPr>
            <w:r>
              <w:rPr>
                <w:rFonts w:hint="eastAsia" w:ascii="宋体" w:hAnsi="宋体"/>
                <w:sz w:val="24"/>
              </w:rPr>
              <w:t>1</w:t>
            </w:r>
          </w:p>
        </w:tc>
        <w:tc>
          <w:tcPr>
            <w:tcW w:w="4806" w:type="dxa"/>
            <w:vAlign w:val="center"/>
          </w:tcPr>
          <w:p w14:paraId="524705A7">
            <w:pPr>
              <w:tabs>
                <w:tab w:val="left" w:pos="0"/>
              </w:tabs>
              <w:jc w:val="center"/>
              <w:rPr>
                <w:rFonts w:ascii="宋体" w:hAnsi="宋体"/>
                <w:sz w:val="24"/>
              </w:rPr>
            </w:pPr>
            <w:r>
              <w:rPr>
                <w:rFonts w:hint="eastAsia" w:ascii="宋体" w:hAnsi="宋体"/>
                <w:sz w:val="24"/>
              </w:rPr>
              <w:t>可能性小，完全意外</w:t>
            </w:r>
          </w:p>
        </w:tc>
      </w:tr>
      <w:tr w14:paraId="580B9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57A26266">
            <w:pPr>
              <w:tabs>
                <w:tab w:val="left" w:pos="0"/>
              </w:tabs>
              <w:jc w:val="center"/>
              <w:rPr>
                <w:rFonts w:ascii="宋体" w:hAnsi="宋体"/>
                <w:sz w:val="24"/>
              </w:rPr>
            </w:pPr>
            <w:r>
              <w:rPr>
                <w:rFonts w:hint="eastAsia" w:ascii="宋体" w:hAnsi="宋体"/>
                <w:sz w:val="24"/>
              </w:rPr>
              <w:t>三级</w:t>
            </w:r>
          </w:p>
        </w:tc>
        <w:tc>
          <w:tcPr>
            <w:tcW w:w="3204" w:type="dxa"/>
            <w:vAlign w:val="center"/>
          </w:tcPr>
          <w:p w14:paraId="09D62B5A">
            <w:pPr>
              <w:tabs>
                <w:tab w:val="left" w:pos="0"/>
              </w:tabs>
              <w:jc w:val="center"/>
              <w:rPr>
                <w:rFonts w:ascii="宋体" w:hAnsi="宋体"/>
                <w:sz w:val="24"/>
              </w:rPr>
            </w:pPr>
            <w:r>
              <w:rPr>
                <w:rFonts w:ascii="宋体" w:hAnsi="宋体"/>
                <w:sz w:val="24"/>
              </w:rPr>
              <w:t>0.5</w:t>
            </w:r>
          </w:p>
        </w:tc>
        <w:tc>
          <w:tcPr>
            <w:tcW w:w="4806" w:type="dxa"/>
            <w:vAlign w:val="center"/>
          </w:tcPr>
          <w:p w14:paraId="6E82B1EF">
            <w:pPr>
              <w:tabs>
                <w:tab w:val="left" w:pos="0"/>
              </w:tabs>
              <w:jc w:val="center"/>
              <w:rPr>
                <w:rFonts w:ascii="宋体" w:hAnsi="宋体"/>
                <w:sz w:val="24"/>
              </w:rPr>
            </w:pPr>
            <w:r>
              <w:rPr>
                <w:rFonts w:hint="eastAsia" w:ascii="宋体" w:hAnsi="宋体"/>
                <w:sz w:val="24"/>
              </w:rPr>
              <w:t>很不可能，可以设想</w:t>
            </w:r>
          </w:p>
        </w:tc>
      </w:tr>
      <w:tr w14:paraId="3D18A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6DCAD748">
            <w:pPr>
              <w:tabs>
                <w:tab w:val="left" w:pos="0"/>
              </w:tabs>
              <w:jc w:val="center"/>
              <w:rPr>
                <w:rFonts w:ascii="宋体" w:hAnsi="宋体"/>
                <w:sz w:val="24"/>
              </w:rPr>
            </w:pPr>
            <w:r>
              <w:rPr>
                <w:rFonts w:hint="eastAsia" w:ascii="宋体" w:hAnsi="宋体"/>
                <w:sz w:val="24"/>
              </w:rPr>
              <w:t>二级</w:t>
            </w:r>
          </w:p>
        </w:tc>
        <w:tc>
          <w:tcPr>
            <w:tcW w:w="3204" w:type="dxa"/>
            <w:vAlign w:val="center"/>
          </w:tcPr>
          <w:p w14:paraId="2CB06AD1">
            <w:pPr>
              <w:tabs>
                <w:tab w:val="left" w:pos="0"/>
              </w:tabs>
              <w:jc w:val="center"/>
              <w:rPr>
                <w:rFonts w:ascii="宋体" w:hAnsi="宋体"/>
                <w:sz w:val="24"/>
              </w:rPr>
            </w:pPr>
            <w:r>
              <w:rPr>
                <w:rFonts w:ascii="宋体" w:hAnsi="宋体"/>
                <w:sz w:val="24"/>
              </w:rPr>
              <w:t>0.2</w:t>
            </w:r>
          </w:p>
        </w:tc>
        <w:tc>
          <w:tcPr>
            <w:tcW w:w="4806" w:type="dxa"/>
            <w:vAlign w:val="center"/>
          </w:tcPr>
          <w:p w14:paraId="1CC5D7EF">
            <w:pPr>
              <w:tabs>
                <w:tab w:val="left" w:pos="0"/>
              </w:tabs>
              <w:jc w:val="center"/>
              <w:rPr>
                <w:rFonts w:ascii="宋体" w:hAnsi="宋体"/>
                <w:sz w:val="24"/>
              </w:rPr>
            </w:pPr>
            <w:r>
              <w:rPr>
                <w:rFonts w:hint="eastAsia" w:ascii="宋体" w:hAnsi="宋体"/>
                <w:sz w:val="24"/>
              </w:rPr>
              <w:t>极不可能</w:t>
            </w:r>
          </w:p>
        </w:tc>
      </w:tr>
      <w:tr w14:paraId="209ED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14:paraId="6472279D">
            <w:pPr>
              <w:tabs>
                <w:tab w:val="left" w:pos="0"/>
              </w:tabs>
              <w:jc w:val="center"/>
              <w:rPr>
                <w:rFonts w:ascii="宋体" w:hAnsi="宋体"/>
                <w:sz w:val="24"/>
              </w:rPr>
            </w:pPr>
            <w:r>
              <w:rPr>
                <w:rFonts w:hint="eastAsia" w:ascii="宋体" w:hAnsi="宋体"/>
                <w:sz w:val="24"/>
              </w:rPr>
              <w:t>一级</w:t>
            </w:r>
          </w:p>
        </w:tc>
        <w:tc>
          <w:tcPr>
            <w:tcW w:w="3204" w:type="dxa"/>
            <w:vAlign w:val="center"/>
          </w:tcPr>
          <w:p w14:paraId="2EA5DC11">
            <w:pPr>
              <w:tabs>
                <w:tab w:val="left" w:pos="0"/>
              </w:tabs>
              <w:jc w:val="center"/>
              <w:rPr>
                <w:rFonts w:ascii="宋体" w:hAnsi="宋体"/>
                <w:sz w:val="24"/>
              </w:rPr>
            </w:pPr>
            <w:r>
              <w:rPr>
                <w:rFonts w:ascii="宋体" w:hAnsi="宋体"/>
                <w:sz w:val="24"/>
              </w:rPr>
              <w:t>0.1</w:t>
            </w:r>
          </w:p>
        </w:tc>
        <w:tc>
          <w:tcPr>
            <w:tcW w:w="4806" w:type="dxa"/>
            <w:vAlign w:val="center"/>
          </w:tcPr>
          <w:p w14:paraId="39F1224B">
            <w:pPr>
              <w:tabs>
                <w:tab w:val="left" w:pos="0"/>
              </w:tabs>
              <w:jc w:val="center"/>
              <w:rPr>
                <w:rFonts w:ascii="宋体" w:hAnsi="宋体"/>
                <w:sz w:val="24"/>
              </w:rPr>
            </w:pPr>
            <w:r>
              <w:rPr>
                <w:rFonts w:hint="eastAsia" w:ascii="宋体" w:hAnsi="宋体"/>
                <w:sz w:val="24"/>
              </w:rPr>
              <w:t>实际不可能</w:t>
            </w:r>
          </w:p>
        </w:tc>
      </w:tr>
    </w:tbl>
    <w:p w14:paraId="0528A4AE">
      <w:pPr>
        <w:tabs>
          <w:tab w:val="left" w:pos="922"/>
        </w:tabs>
        <w:spacing w:line="360" w:lineRule="auto"/>
        <w:rPr>
          <w:rFonts w:ascii="宋体" w:hAnsi="宋体"/>
          <w:sz w:val="24"/>
        </w:rPr>
      </w:pPr>
      <w:r>
        <w:rPr>
          <w:rFonts w:hint="eastAsia" w:ascii="宋体" w:hAnsi="宋体"/>
          <w:sz w:val="24"/>
        </w:rPr>
        <w:t>4.4.1.2 暴露于危险环境的频繁程度：人员出现在危害环境中的时间越多，则危险性越大，连续出现在危害环境的情况定为10非常罕见的出现在危害环境中定为0</w:t>
      </w:r>
      <w:r>
        <w:rPr>
          <w:rFonts w:ascii="宋体" w:hAnsi="宋体"/>
          <w:sz w:val="24"/>
        </w:rPr>
        <w:t>.5</w:t>
      </w:r>
      <w:r>
        <w:rPr>
          <w:rFonts w:hint="eastAsia" w:ascii="宋体" w:hAnsi="宋体"/>
          <w:sz w:val="24"/>
        </w:rPr>
        <w:t>，同样将介于两者之间的情况定为若干个中间值。</w:t>
      </w:r>
    </w:p>
    <w:p w14:paraId="2D89F1DA">
      <w:pPr>
        <w:tabs>
          <w:tab w:val="left" w:pos="8"/>
        </w:tabs>
        <w:spacing w:line="360" w:lineRule="auto"/>
        <w:ind w:firstLine="667" w:firstLineChars="278"/>
        <w:rPr>
          <w:rFonts w:ascii="宋体" w:hAnsi="宋体"/>
          <w:sz w:val="24"/>
        </w:rPr>
      </w:pPr>
      <w:r>
        <w:rPr>
          <w:rFonts w:hint="eastAsia" w:ascii="宋体" w:hAnsi="宋体"/>
          <w:sz w:val="24"/>
        </w:rPr>
        <w:t>如下表：E</w:t>
      </w:r>
      <w:r>
        <w:rPr>
          <w:rFonts w:hint="eastAsia"/>
          <w:sz w:val="24"/>
        </w:rPr>
        <w:t>－</w:t>
      </w:r>
      <w:r>
        <w:rPr>
          <w:rFonts w:hint="eastAsia" w:ascii="宋体" w:hAnsi="宋体"/>
          <w:sz w:val="24"/>
        </w:rPr>
        <w:t>暴露于危险环境的频繁程度</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196"/>
        <w:gridCol w:w="4681"/>
      </w:tblGrid>
      <w:tr w14:paraId="1E0FD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65157942">
            <w:pPr>
              <w:tabs>
                <w:tab w:val="left" w:pos="0"/>
              </w:tabs>
              <w:jc w:val="center"/>
              <w:rPr>
                <w:rFonts w:ascii="宋体" w:hAnsi="宋体"/>
                <w:sz w:val="24"/>
              </w:rPr>
            </w:pPr>
            <w:r>
              <w:rPr>
                <w:rFonts w:hint="eastAsia" w:ascii="宋体" w:hAnsi="宋体"/>
                <w:sz w:val="24"/>
              </w:rPr>
              <w:t>等级</w:t>
            </w:r>
          </w:p>
        </w:tc>
        <w:tc>
          <w:tcPr>
            <w:tcW w:w="3196" w:type="dxa"/>
            <w:vAlign w:val="center"/>
          </w:tcPr>
          <w:p w14:paraId="5AB126A0">
            <w:pPr>
              <w:tabs>
                <w:tab w:val="left" w:pos="0"/>
              </w:tabs>
              <w:ind w:firstLine="658"/>
              <w:jc w:val="center"/>
              <w:rPr>
                <w:rFonts w:ascii="宋体" w:hAnsi="宋体"/>
                <w:sz w:val="24"/>
              </w:rPr>
            </w:pPr>
            <w:r>
              <w:rPr>
                <w:rFonts w:hint="eastAsia" w:ascii="宋体" w:hAnsi="宋体"/>
                <w:sz w:val="24"/>
              </w:rPr>
              <w:t>分数值</w:t>
            </w:r>
          </w:p>
        </w:tc>
        <w:tc>
          <w:tcPr>
            <w:tcW w:w="4681" w:type="dxa"/>
            <w:vAlign w:val="center"/>
          </w:tcPr>
          <w:p w14:paraId="430C1460">
            <w:pPr>
              <w:tabs>
                <w:tab w:val="left" w:pos="0"/>
              </w:tabs>
              <w:jc w:val="center"/>
              <w:rPr>
                <w:rFonts w:ascii="宋体" w:hAnsi="宋体"/>
                <w:sz w:val="24"/>
              </w:rPr>
            </w:pPr>
            <w:r>
              <w:rPr>
                <w:rFonts w:hint="eastAsia" w:ascii="宋体" w:hAnsi="宋体"/>
                <w:sz w:val="24"/>
              </w:rPr>
              <w:t>暴露于危险环境的频繁程度</w:t>
            </w:r>
          </w:p>
        </w:tc>
      </w:tr>
      <w:tr w14:paraId="738C3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114D83DA">
            <w:pPr>
              <w:tabs>
                <w:tab w:val="left" w:pos="0"/>
              </w:tabs>
              <w:jc w:val="center"/>
              <w:rPr>
                <w:rFonts w:ascii="宋体" w:hAnsi="宋体"/>
                <w:sz w:val="24"/>
              </w:rPr>
            </w:pPr>
            <w:r>
              <w:rPr>
                <w:rFonts w:hint="eastAsia" w:ascii="宋体" w:hAnsi="宋体"/>
                <w:sz w:val="24"/>
              </w:rPr>
              <w:t>六级</w:t>
            </w:r>
          </w:p>
        </w:tc>
        <w:tc>
          <w:tcPr>
            <w:tcW w:w="3196" w:type="dxa"/>
            <w:vAlign w:val="center"/>
          </w:tcPr>
          <w:p w14:paraId="7A76DB7F">
            <w:pPr>
              <w:tabs>
                <w:tab w:val="left" w:pos="0"/>
              </w:tabs>
              <w:jc w:val="center"/>
              <w:rPr>
                <w:rFonts w:ascii="宋体" w:hAnsi="宋体"/>
                <w:sz w:val="24"/>
              </w:rPr>
            </w:pPr>
            <w:r>
              <w:rPr>
                <w:rFonts w:ascii="宋体" w:hAnsi="宋体"/>
                <w:sz w:val="24"/>
              </w:rPr>
              <w:t>10</w:t>
            </w:r>
          </w:p>
        </w:tc>
        <w:tc>
          <w:tcPr>
            <w:tcW w:w="4681" w:type="dxa"/>
            <w:vAlign w:val="center"/>
          </w:tcPr>
          <w:p w14:paraId="437B1AFD">
            <w:pPr>
              <w:tabs>
                <w:tab w:val="left" w:pos="0"/>
              </w:tabs>
              <w:jc w:val="center"/>
              <w:rPr>
                <w:rFonts w:ascii="宋体" w:hAnsi="宋体"/>
                <w:sz w:val="24"/>
              </w:rPr>
            </w:pPr>
            <w:r>
              <w:rPr>
                <w:rFonts w:hint="eastAsia" w:ascii="宋体" w:hAnsi="宋体"/>
                <w:sz w:val="24"/>
              </w:rPr>
              <w:t>连续暴露</w:t>
            </w:r>
          </w:p>
        </w:tc>
      </w:tr>
      <w:tr w14:paraId="5D705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7E748D78">
            <w:pPr>
              <w:tabs>
                <w:tab w:val="left" w:pos="0"/>
              </w:tabs>
              <w:jc w:val="center"/>
              <w:rPr>
                <w:rFonts w:ascii="宋体" w:hAnsi="宋体"/>
                <w:sz w:val="24"/>
              </w:rPr>
            </w:pPr>
            <w:r>
              <w:rPr>
                <w:rFonts w:hint="eastAsia" w:ascii="宋体" w:hAnsi="宋体"/>
                <w:sz w:val="24"/>
              </w:rPr>
              <w:t>五级</w:t>
            </w:r>
          </w:p>
        </w:tc>
        <w:tc>
          <w:tcPr>
            <w:tcW w:w="3196" w:type="dxa"/>
            <w:vAlign w:val="center"/>
          </w:tcPr>
          <w:p w14:paraId="71F942B3">
            <w:pPr>
              <w:tabs>
                <w:tab w:val="left" w:pos="0"/>
              </w:tabs>
              <w:jc w:val="center"/>
              <w:rPr>
                <w:rFonts w:ascii="宋体" w:hAnsi="宋体"/>
                <w:sz w:val="24"/>
              </w:rPr>
            </w:pPr>
            <w:r>
              <w:rPr>
                <w:rFonts w:ascii="宋体" w:hAnsi="宋体"/>
                <w:sz w:val="24"/>
              </w:rPr>
              <w:t>6</w:t>
            </w:r>
          </w:p>
        </w:tc>
        <w:tc>
          <w:tcPr>
            <w:tcW w:w="4681" w:type="dxa"/>
            <w:vAlign w:val="center"/>
          </w:tcPr>
          <w:p w14:paraId="363A621A">
            <w:pPr>
              <w:tabs>
                <w:tab w:val="left" w:pos="0"/>
              </w:tabs>
              <w:jc w:val="center"/>
              <w:rPr>
                <w:rFonts w:ascii="宋体" w:hAnsi="宋体"/>
                <w:sz w:val="24"/>
              </w:rPr>
            </w:pPr>
            <w:r>
              <w:rPr>
                <w:rFonts w:hint="eastAsia" w:ascii="宋体" w:hAnsi="宋体"/>
                <w:sz w:val="24"/>
              </w:rPr>
              <w:t>每天工作时间暴露</w:t>
            </w:r>
          </w:p>
        </w:tc>
      </w:tr>
      <w:tr w14:paraId="54B0D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6FD512BC">
            <w:pPr>
              <w:tabs>
                <w:tab w:val="left" w:pos="0"/>
              </w:tabs>
              <w:jc w:val="center"/>
              <w:rPr>
                <w:rFonts w:ascii="宋体" w:hAnsi="宋体"/>
                <w:sz w:val="24"/>
              </w:rPr>
            </w:pPr>
            <w:r>
              <w:rPr>
                <w:rFonts w:hint="eastAsia" w:ascii="宋体" w:hAnsi="宋体"/>
                <w:sz w:val="24"/>
              </w:rPr>
              <w:t>四级</w:t>
            </w:r>
          </w:p>
        </w:tc>
        <w:tc>
          <w:tcPr>
            <w:tcW w:w="3196" w:type="dxa"/>
            <w:vAlign w:val="center"/>
          </w:tcPr>
          <w:p w14:paraId="401D7A34">
            <w:pPr>
              <w:tabs>
                <w:tab w:val="left" w:pos="0"/>
              </w:tabs>
              <w:jc w:val="center"/>
              <w:rPr>
                <w:rFonts w:ascii="宋体" w:hAnsi="宋体"/>
                <w:sz w:val="24"/>
              </w:rPr>
            </w:pPr>
            <w:r>
              <w:rPr>
                <w:rFonts w:ascii="宋体" w:hAnsi="宋体"/>
                <w:sz w:val="24"/>
              </w:rPr>
              <w:t>3</w:t>
            </w:r>
          </w:p>
        </w:tc>
        <w:tc>
          <w:tcPr>
            <w:tcW w:w="4681" w:type="dxa"/>
            <w:vAlign w:val="center"/>
          </w:tcPr>
          <w:p w14:paraId="7EF2F58E">
            <w:pPr>
              <w:tabs>
                <w:tab w:val="left" w:pos="0"/>
              </w:tabs>
              <w:jc w:val="center"/>
              <w:rPr>
                <w:rFonts w:ascii="宋体" w:hAnsi="宋体"/>
                <w:sz w:val="24"/>
              </w:rPr>
            </w:pPr>
            <w:r>
              <w:rPr>
                <w:rFonts w:hint="eastAsia" w:ascii="宋体" w:hAnsi="宋体"/>
                <w:sz w:val="24"/>
              </w:rPr>
              <w:t>每周1次暴露</w:t>
            </w:r>
          </w:p>
        </w:tc>
      </w:tr>
      <w:tr w14:paraId="51D6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00E9140E">
            <w:pPr>
              <w:tabs>
                <w:tab w:val="left" w:pos="0"/>
              </w:tabs>
              <w:jc w:val="center"/>
              <w:rPr>
                <w:rFonts w:ascii="宋体" w:hAnsi="宋体"/>
                <w:sz w:val="24"/>
              </w:rPr>
            </w:pPr>
            <w:r>
              <w:rPr>
                <w:rFonts w:hint="eastAsia" w:ascii="宋体" w:hAnsi="宋体"/>
                <w:sz w:val="24"/>
              </w:rPr>
              <w:t>三级</w:t>
            </w:r>
          </w:p>
        </w:tc>
        <w:tc>
          <w:tcPr>
            <w:tcW w:w="3196" w:type="dxa"/>
            <w:vAlign w:val="center"/>
          </w:tcPr>
          <w:p w14:paraId="05958C09">
            <w:pPr>
              <w:tabs>
                <w:tab w:val="left" w:pos="0"/>
              </w:tabs>
              <w:jc w:val="center"/>
              <w:rPr>
                <w:rFonts w:ascii="宋体" w:hAnsi="宋体"/>
                <w:sz w:val="24"/>
              </w:rPr>
            </w:pPr>
            <w:r>
              <w:rPr>
                <w:rFonts w:ascii="宋体" w:hAnsi="宋体"/>
                <w:sz w:val="24"/>
              </w:rPr>
              <w:t>2</w:t>
            </w:r>
          </w:p>
        </w:tc>
        <w:tc>
          <w:tcPr>
            <w:tcW w:w="4681" w:type="dxa"/>
            <w:vAlign w:val="center"/>
          </w:tcPr>
          <w:p w14:paraId="7DE64972">
            <w:pPr>
              <w:tabs>
                <w:tab w:val="left" w:pos="0"/>
              </w:tabs>
              <w:jc w:val="center"/>
              <w:rPr>
                <w:rFonts w:ascii="宋体" w:hAnsi="宋体"/>
                <w:sz w:val="24"/>
              </w:rPr>
            </w:pPr>
            <w:r>
              <w:rPr>
                <w:rFonts w:hint="eastAsia" w:ascii="宋体" w:hAnsi="宋体"/>
                <w:sz w:val="24"/>
              </w:rPr>
              <w:t>每月1次暴露</w:t>
            </w:r>
          </w:p>
        </w:tc>
      </w:tr>
      <w:tr w14:paraId="26984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40AA5480">
            <w:pPr>
              <w:tabs>
                <w:tab w:val="left" w:pos="0"/>
              </w:tabs>
              <w:jc w:val="center"/>
              <w:rPr>
                <w:rFonts w:ascii="宋体" w:hAnsi="宋体"/>
                <w:sz w:val="24"/>
              </w:rPr>
            </w:pPr>
            <w:r>
              <w:rPr>
                <w:rFonts w:hint="eastAsia" w:ascii="宋体" w:hAnsi="宋体"/>
                <w:sz w:val="24"/>
              </w:rPr>
              <w:t>二级</w:t>
            </w:r>
          </w:p>
        </w:tc>
        <w:tc>
          <w:tcPr>
            <w:tcW w:w="3196" w:type="dxa"/>
            <w:vAlign w:val="center"/>
          </w:tcPr>
          <w:p w14:paraId="07D83CA2">
            <w:pPr>
              <w:tabs>
                <w:tab w:val="left" w:pos="0"/>
              </w:tabs>
              <w:jc w:val="center"/>
              <w:rPr>
                <w:rFonts w:ascii="宋体" w:hAnsi="宋体"/>
                <w:sz w:val="24"/>
              </w:rPr>
            </w:pPr>
            <w:r>
              <w:rPr>
                <w:rFonts w:ascii="宋体" w:hAnsi="宋体"/>
                <w:sz w:val="24"/>
              </w:rPr>
              <w:t>1</w:t>
            </w:r>
          </w:p>
        </w:tc>
        <w:tc>
          <w:tcPr>
            <w:tcW w:w="4681" w:type="dxa"/>
            <w:vAlign w:val="center"/>
          </w:tcPr>
          <w:p w14:paraId="4CE31CAA">
            <w:pPr>
              <w:tabs>
                <w:tab w:val="left" w:pos="0"/>
              </w:tabs>
              <w:jc w:val="center"/>
              <w:rPr>
                <w:rFonts w:ascii="宋体" w:hAnsi="宋体"/>
                <w:sz w:val="24"/>
              </w:rPr>
            </w:pPr>
            <w:r>
              <w:rPr>
                <w:rFonts w:hint="eastAsia" w:ascii="宋体" w:hAnsi="宋体"/>
                <w:sz w:val="24"/>
              </w:rPr>
              <w:t>每年几次暴露</w:t>
            </w:r>
          </w:p>
        </w:tc>
      </w:tr>
      <w:tr w14:paraId="6CD3D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14:paraId="0A6F006E">
            <w:pPr>
              <w:tabs>
                <w:tab w:val="left" w:pos="0"/>
              </w:tabs>
              <w:jc w:val="center"/>
              <w:rPr>
                <w:rFonts w:ascii="宋体" w:hAnsi="宋体"/>
                <w:sz w:val="24"/>
              </w:rPr>
            </w:pPr>
            <w:r>
              <w:rPr>
                <w:rFonts w:hint="eastAsia" w:ascii="宋体" w:hAnsi="宋体"/>
                <w:sz w:val="24"/>
              </w:rPr>
              <w:t>一级</w:t>
            </w:r>
          </w:p>
        </w:tc>
        <w:tc>
          <w:tcPr>
            <w:tcW w:w="3196" w:type="dxa"/>
            <w:vAlign w:val="center"/>
          </w:tcPr>
          <w:p w14:paraId="096FD4D2">
            <w:pPr>
              <w:tabs>
                <w:tab w:val="left" w:pos="0"/>
              </w:tabs>
              <w:jc w:val="center"/>
              <w:rPr>
                <w:rFonts w:ascii="宋体" w:hAnsi="宋体"/>
                <w:sz w:val="24"/>
              </w:rPr>
            </w:pPr>
            <w:r>
              <w:rPr>
                <w:rFonts w:ascii="宋体" w:hAnsi="宋体"/>
                <w:sz w:val="24"/>
              </w:rPr>
              <w:t>0.5</w:t>
            </w:r>
          </w:p>
        </w:tc>
        <w:tc>
          <w:tcPr>
            <w:tcW w:w="4681" w:type="dxa"/>
            <w:vAlign w:val="center"/>
          </w:tcPr>
          <w:p w14:paraId="397CEBC0">
            <w:pPr>
              <w:tabs>
                <w:tab w:val="left" w:pos="0"/>
              </w:tabs>
              <w:jc w:val="center"/>
              <w:rPr>
                <w:rFonts w:ascii="宋体" w:hAnsi="宋体"/>
                <w:sz w:val="24"/>
              </w:rPr>
            </w:pPr>
            <w:r>
              <w:rPr>
                <w:rFonts w:hint="eastAsia" w:ascii="宋体" w:hAnsi="宋体"/>
                <w:sz w:val="24"/>
              </w:rPr>
              <w:t>非常罕见地暴露</w:t>
            </w:r>
          </w:p>
        </w:tc>
      </w:tr>
    </w:tbl>
    <w:p w14:paraId="5D0711A6">
      <w:pPr>
        <w:tabs>
          <w:tab w:val="left" w:pos="922"/>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.1.3</w:t>
      </w:r>
      <w:r>
        <w:rPr>
          <w:rFonts w:hint="eastAsia" w:ascii="宋体" w:hAnsi="宋体"/>
          <w:sz w:val="24"/>
        </w:rPr>
        <w:t xml:space="preserve"> 发生事故产生的后果：指发生安全事故轻伤至伤亡的严重情况，由于范围广阔，规定分数值为1-100，需救护的轻微伤害定为分数为1，多人以上死亡事故为分数值为100，同样将介于两者之间情况规定为若干个数值。</w:t>
      </w:r>
    </w:p>
    <w:p w14:paraId="2E896797">
      <w:pPr>
        <w:tabs>
          <w:tab w:val="left" w:pos="0"/>
        </w:tabs>
        <w:spacing w:line="360" w:lineRule="auto"/>
        <w:ind w:firstLine="696" w:firstLineChars="290"/>
        <w:rPr>
          <w:rFonts w:ascii="宋体" w:hAnsi="宋体"/>
          <w:sz w:val="24"/>
        </w:rPr>
      </w:pPr>
      <w:r>
        <w:rPr>
          <w:rFonts w:hint="eastAsia" w:ascii="宋体" w:hAnsi="宋体"/>
          <w:sz w:val="24"/>
        </w:rPr>
        <w:t>如下表：C-发生事故产生的后果</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3191"/>
        <w:gridCol w:w="4671"/>
      </w:tblGrid>
      <w:tr w14:paraId="04802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2DDA432C">
            <w:pPr>
              <w:tabs>
                <w:tab w:val="left" w:pos="0"/>
              </w:tabs>
              <w:jc w:val="center"/>
              <w:rPr>
                <w:rFonts w:ascii="宋体" w:hAnsi="宋体"/>
                <w:sz w:val="24"/>
              </w:rPr>
            </w:pPr>
            <w:r>
              <w:rPr>
                <w:rFonts w:hint="eastAsia" w:ascii="宋体" w:hAnsi="宋体"/>
                <w:sz w:val="24"/>
              </w:rPr>
              <w:t>等级</w:t>
            </w:r>
          </w:p>
        </w:tc>
        <w:tc>
          <w:tcPr>
            <w:tcW w:w="3191" w:type="dxa"/>
            <w:vAlign w:val="center"/>
          </w:tcPr>
          <w:p w14:paraId="5B61FBDD">
            <w:pPr>
              <w:tabs>
                <w:tab w:val="left" w:pos="0"/>
              </w:tabs>
              <w:ind w:firstLine="658"/>
              <w:jc w:val="center"/>
              <w:rPr>
                <w:rFonts w:ascii="宋体" w:hAnsi="宋体"/>
                <w:sz w:val="24"/>
              </w:rPr>
            </w:pPr>
            <w:r>
              <w:rPr>
                <w:rFonts w:hint="eastAsia" w:ascii="宋体" w:hAnsi="宋体"/>
                <w:sz w:val="24"/>
              </w:rPr>
              <w:t>分数值</w:t>
            </w:r>
          </w:p>
        </w:tc>
        <w:tc>
          <w:tcPr>
            <w:tcW w:w="4671" w:type="dxa"/>
            <w:vAlign w:val="center"/>
          </w:tcPr>
          <w:p w14:paraId="3122C81F">
            <w:pPr>
              <w:tabs>
                <w:tab w:val="left" w:pos="0"/>
              </w:tabs>
              <w:jc w:val="center"/>
              <w:rPr>
                <w:rFonts w:ascii="宋体" w:hAnsi="宋体"/>
                <w:sz w:val="24"/>
              </w:rPr>
            </w:pPr>
            <w:r>
              <w:rPr>
                <w:rFonts w:hint="eastAsia" w:ascii="宋体" w:hAnsi="宋体"/>
                <w:sz w:val="24"/>
              </w:rPr>
              <w:t>发生事故产生的后果</w:t>
            </w:r>
          </w:p>
        </w:tc>
      </w:tr>
      <w:tr w14:paraId="5FF56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3E9A6989">
            <w:pPr>
              <w:tabs>
                <w:tab w:val="left" w:pos="0"/>
              </w:tabs>
              <w:jc w:val="center"/>
              <w:rPr>
                <w:rFonts w:ascii="宋体" w:hAnsi="宋体"/>
                <w:sz w:val="24"/>
              </w:rPr>
            </w:pPr>
            <w:r>
              <w:rPr>
                <w:rFonts w:hint="eastAsia" w:ascii="宋体" w:hAnsi="宋体"/>
                <w:sz w:val="24"/>
              </w:rPr>
              <w:t>六级</w:t>
            </w:r>
          </w:p>
        </w:tc>
        <w:tc>
          <w:tcPr>
            <w:tcW w:w="3191" w:type="dxa"/>
            <w:vAlign w:val="center"/>
          </w:tcPr>
          <w:p w14:paraId="4E9BC3E1">
            <w:pPr>
              <w:tabs>
                <w:tab w:val="left" w:pos="0"/>
              </w:tabs>
              <w:jc w:val="center"/>
              <w:rPr>
                <w:rFonts w:ascii="宋体" w:hAnsi="宋体"/>
                <w:sz w:val="24"/>
              </w:rPr>
            </w:pPr>
            <w:r>
              <w:rPr>
                <w:rFonts w:hint="eastAsia" w:ascii="宋体" w:hAnsi="宋体"/>
                <w:sz w:val="24"/>
              </w:rPr>
              <w:t>100</w:t>
            </w:r>
          </w:p>
        </w:tc>
        <w:tc>
          <w:tcPr>
            <w:tcW w:w="4671" w:type="dxa"/>
            <w:vAlign w:val="center"/>
          </w:tcPr>
          <w:p w14:paraId="0BE8532F">
            <w:pPr>
              <w:tabs>
                <w:tab w:val="left" w:pos="0"/>
              </w:tabs>
              <w:jc w:val="center"/>
              <w:rPr>
                <w:rFonts w:ascii="宋体" w:hAnsi="宋体"/>
                <w:sz w:val="24"/>
              </w:rPr>
            </w:pPr>
            <w:r>
              <w:rPr>
                <w:rFonts w:hint="eastAsia" w:ascii="宋体" w:hAnsi="宋体"/>
                <w:sz w:val="24"/>
              </w:rPr>
              <w:t>大灾难，许多人死亡</w:t>
            </w:r>
          </w:p>
        </w:tc>
      </w:tr>
      <w:tr w14:paraId="514A3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62B0F3A9">
            <w:pPr>
              <w:tabs>
                <w:tab w:val="left" w:pos="0"/>
              </w:tabs>
              <w:jc w:val="center"/>
              <w:rPr>
                <w:rFonts w:ascii="宋体" w:hAnsi="宋体"/>
                <w:sz w:val="24"/>
              </w:rPr>
            </w:pPr>
            <w:r>
              <w:rPr>
                <w:rFonts w:hint="eastAsia" w:ascii="宋体" w:hAnsi="宋体"/>
                <w:sz w:val="24"/>
              </w:rPr>
              <w:t>五级</w:t>
            </w:r>
          </w:p>
        </w:tc>
        <w:tc>
          <w:tcPr>
            <w:tcW w:w="3191" w:type="dxa"/>
            <w:vAlign w:val="center"/>
          </w:tcPr>
          <w:p w14:paraId="1EAB299A">
            <w:pPr>
              <w:tabs>
                <w:tab w:val="left" w:pos="0"/>
              </w:tabs>
              <w:jc w:val="center"/>
              <w:rPr>
                <w:rFonts w:ascii="宋体" w:hAnsi="宋体"/>
                <w:sz w:val="24"/>
              </w:rPr>
            </w:pPr>
            <w:r>
              <w:rPr>
                <w:rFonts w:hint="eastAsia" w:ascii="宋体" w:hAnsi="宋体"/>
                <w:sz w:val="24"/>
              </w:rPr>
              <w:t>40</w:t>
            </w:r>
          </w:p>
        </w:tc>
        <w:tc>
          <w:tcPr>
            <w:tcW w:w="4671" w:type="dxa"/>
            <w:vAlign w:val="center"/>
          </w:tcPr>
          <w:p w14:paraId="79E17E25">
            <w:pPr>
              <w:tabs>
                <w:tab w:val="left" w:pos="0"/>
              </w:tabs>
              <w:jc w:val="center"/>
              <w:rPr>
                <w:rFonts w:ascii="宋体" w:hAnsi="宋体"/>
                <w:sz w:val="24"/>
              </w:rPr>
            </w:pPr>
            <w:r>
              <w:rPr>
                <w:rFonts w:hint="eastAsia" w:ascii="宋体" w:hAnsi="宋体"/>
                <w:sz w:val="24"/>
              </w:rPr>
              <w:t>灾难，数人死亡</w:t>
            </w:r>
          </w:p>
        </w:tc>
      </w:tr>
      <w:tr w14:paraId="6074F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0076BD06">
            <w:pPr>
              <w:tabs>
                <w:tab w:val="left" w:pos="0"/>
              </w:tabs>
              <w:jc w:val="center"/>
              <w:rPr>
                <w:rFonts w:ascii="宋体" w:hAnsi="宋体"/>
                <w:sz w:val="24"/>
              </w:rPr>
            </w:pPr>
            <w:r>
              <w:rPr>
                <w:rFonts w:hint="eastAsia" w:ascii="宋体" w:hAnsi="宋体"/>
                <w:sz w:val="24"/>
              </w:rPr>
              <w:t>四级</w:t>
            </w:r>
          </w:p>
        </w:tc>
        <w:tc>
          <w:tcPr>
            <w:tcW w:w="3191" w:type="dxa"/>
            <w:vAlign w:val="center"/>
          </w:tcPr>
          <w:p w14:paraId="1E6EFAAC">
            <w:pPr>
              <w:tabs>
                <w:tab w:val="left" w:pos="0"/>
              </w:tabs>
              <w:jc w:val="center"/>
              <w:rPr>
                <w:rFonts w:ascii="宋体" w:hAnsi="宋体"/>
                <w:sz w:val="24"/>
              </w:rPr>
            </w:pPr>
            <w:r>
              <w:rPr>
                <w:rFonts w:hint="eastAsia" w:ascii="宋体" w:hAnsi="宋体"/>
                <w:sz w:val="24"/>
              </w:rPr>
              <w:t>15</w:t>
            </w:r>
          </w:p>
        </w:tc>
        <w:tc>
          <w:tcPr>
            <w:tcW w:w="4671" w:type="dxa"/>
            <w:vAlign w:val="center"/>
          </w:tcPr>
          <w:p w14:paraId="6ABBF598">
            <w:pPr>
              <w:tabs>
                <w:tab w:val="left" w:pos="0"/>
              </w:tabs>
              <w:jc w:val="center"/>
              <w:rPr>
                <w:rFonts w:ascii="宋体" w:hAnsi="宋体"/>
                <w:sz w:val="24"/>
              </w:rPr>
            </w:pPr>
            <w:r>
              <w:rPr>
                <w:rFonts w:hint="eastAsia" w:ascii="宋体" w:hAnsi="宋体"/>
                <w:sz w:val="24"/>
              </w:rPr>
              <w:t>非常严重，一人死亡</w:t>
            </w:r>
          </w:p>
        </w:tc>
      </w:tr>
      <w:tr w14:paraId="70168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169EB4EC">
            <w:pPr>
              <w:tabs>
                <w:tab w:val="left" w:pos="0"/>
              </w:tabs>
              <w:jc w:val="center"/>
              <w:rPr>
                <w:rFonts w:ascii="宋体" w:hAnsi="宋体"/>
                <w:sz w:val="24"/>
              </w:rPr>
            </w:pPr>
            <w:r>
              <w:rPr>
                <w:rFonts w:hint="eastAsia" w:ascii="宋体" w:hAnsi="宋体"/>
                <w:sz w:val="24"/>
              </w:rPr>
              <w:t>三级</w:t>
            </w:r>
          </w:p>
        </w:tc>
        <w:tc>
          <w:tcPr>
            <w:tcW w:w="3191" w:type="dxa"/>
            <w:vAlign w:val="center"/>
          </w:tcPr>
          <w:p w14:paraId="59F6E602">
            <w:pPr>
              <w:tabs>
                <w:tab w:val="left" w:pos="0"/>
              </w:tabs>
              <w:jc w:val="center"/>
              <w:rPr>
                <w:rFonts w:ascii="宋体" w:hAnsi="宋体"/>
                <w:sz w:val="24"/>
              </w:rPr>
            </w:pPr>
            <w:r>
              <w:rPr>
                <w:rFonts w:hint="eastAsia" w:ascii="宋体" w:hAnsi="宋体"/>
                <w:sz w:val="24"/>
              </w:rPr>
              <w:t>7</w:t>
            </w:r>
          </w:p>
        </w:tc>
        <w:tc>
          <w:tcPr>
            <w:tcW w:w="4671" w:type="dxa"/>
            <w:vAlign w:val="center"/>
          </w:tcPr>
          <w:p w14:paraId="32D24BBD">
            <w:pPr>
              <w:tabs>
                <w:tab w:val="left" w:pos="0"/>
              </w:tabs>
              <w:jc w:val="center"/>
              <w:rPr>
                <w:rFonts w:ascii="宋体" w:hAnsi="宋体"/>
                <w:sz w:val="24"/>
              </w:rPr>
            </w:pPr>
            <w:r>
              <w:rPr>
                <w:rFonts w:hint="eastAsia" w:ascii="宋体" w:hAnsi="宋体"/>
                <w:sz w:val="24"/>
              </w:rPr>
              <w:t>严重，重伤</w:t>
            </w:r>
          </w:p>
        </w:tc>
      </w:tr>
      <w:tr w14:paraId="5ECAC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564190F8">
            <w:pPr>
              <w:tabs>
                <w:tab w:val="left" w:pos="0"/>
              </w:tabs>
              <w:jc w:val="center"/>
              <w:rPr>
                <w:rFonts w:ascii="宋体" w:hAnsi="宋体"/>
                <w:sz w:val="24"/>
              </w:rPr>
            </w:pPr>
            <w:r>
              <w:rPr>
                <w:rFonts w:hint="eastAsia" w:ascii="宋体" w:hAnsi="宋体"/>
                <w:sz w:val="24"/>
              </w:rPr>
              <w:t>二级</w:t>
            </w:r>
          </w:p>
        </w:tc>
        <w:tc>
          <w:tcPr>
            <w:tcW w:w="3191" w:type="dxa"/>
            <w:vAlign w:val="center"/>
          </w:tcPr>
          <w:p w14:paraId="3FBA44C5">
            <w:pPr>
              <w:tabs>
                <w:tab w:val="left" w:pos="0"/>
              </w:tabs>
              <w:jc w:val="center"/>
              <w:rPr>
                <w:rFonts w:ascii="宋体" w:hAnsi="宋体"/>
                <w:sz w:val="24"/>
              </w:rPr>
            </w:pPr>
            <w:r>
              <w:rPr>
                <w:rFonts w:ascii="宋体" w:hAnsi="宋体"/>
                <w:sz w:val="24"/>
              </w:rPr>
              <w:t>3</w:t>
            </w:r>
          </w:p>
        </w:tc>
        <w:tc>
          <w:tcPr>
            <w:tcW w:w="4671" w:type="dxa"/>
            <w:vAlign w:val="center"/>
          </w:tcPr>
          <w:p w14:paraId="3FDF9E39">
            <w:pPr>
              <w:tabs>
                <w:tab w:val="left" w:pos="0"/>
              </w:tabs>
              <w:jc w:val="center"/>
              <w:rPr>
                <w:rFonts w:ascii="宋体" w:hAnsi="宋体"/>
                <w:sz w:val="24"/>
              </w:rPr>
            </w:pPr>
            <w:r>
              <w:rPr>
                <w:rFonts w:hint="eastAsia" w:ascii="宋体" w:hAnsi="宋体"/>
                <w:sz w:val="24"/>
              </w:rPr>
              <w:t>重大，致残</w:t>
            </w:r>
          </w:p>
        </w:tc>
      </w:tr>
      <w:tr w14:paraId="0BBEC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14:paraId="6E1FF468">
            <w:pPr>
              <w:tabs>
                <w:tab w:val="left" w:pos="0"/>
              </w:tabs>
              <w:jc w:val="center"/>
              <w:rPr>
                <w:rFonts w:ascii="宋体" w:hAnsi="宋体"/>
                <w:sz w:val="24"/>
              </w:rPr>
            </w:pPr>
            <w:r>
              <w:rPr>
                <w:rFonts w:hint="eastAsia" w:ascii="宋体" w:hAnsi="宋体"/>
                <w:sz w:val="24"/>
              </w:rPr>
              <w:t>一级</w:t>
            </w:r>
          </w:p>
        </w:tc>
        <w:tc>
          <w:tcPr>
            <w:tcW w:w="3191" w:type="dxa"/>
            <w:vAlign w:val="center"/>
          </w:tcPr>
          <w:p w14:paraId="268769A5">
            <w:pPr>
              <w:tabs>
                <w:tab w:val="left" w:pos="0"/>
              </w:tabs>
              <w:jc w:val="center"/>
              <w:rPr>
                <w:rFonts w:ascii="宋体" w:hAnsi="宋体"/>
                <w:sz w:val="24"/>
              </w:rPr>
            </w:pPr>
            <w:r>
              <w:rPr>
                <w:rFonts w:ascii="宋体" w:hAnsi="宋体"/>
                <w:sz w:val="24"/>
              </w:rPr>
              <w:t>1</w:t>
            </w:r>
          </w:p>
        </w:tc>
        <w:tc>
          <w:tcPr>
            <w:tcW w:w="4671" w:type="dxa"/>
            <w:vAlign w:val="center"/>
          </w:tcPr>
          <w:p w14:paraId="7F5B3ED5">
            <w:pPr>
              <w:tabs>
                <w:tab w:val="left" w:pos="0"/>
              </w:tabs>
              <w:jc w:val="center"/>
              <w:rPr>
                <w:rFonts w:ascii="宋体" w:hAnsi="宋体"/>
                <w:sz w:val="24"/>
              </w:rPr>
            </w:pPr>
            <w:r>
              <w:rPr>
                <w:rFonts w:hint="eastAsia" w:ascii="宋体" w:hAnsi="宋体"/>
                <w:sz w:val="24"/>
              </w:rPr>
              <w:t>引人注目，需要救护</w:t>
            </w:r>
          </w:p>
        </w:tc>
      </w:tr>
    </w:tbl>
    <w:p w14:paraId="5BCA49A0">
      <w:pPr>
        <w:tabs>
          <w:tab w:val="left" w:pos="908"/>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.1.4</w:t>
      </w:r>
      <w:r>
        <w:rPr>
          <w:rFonts w:hint="eastAsia" w:ascii="宋体" w:hAnsi="宋体"/>
          <w:sz w:val="24"/>
        </w:rPr>
        <w:t xml:space="preserve"> 危险性分值：根据经验总分在20分以下为低危险，320分以上为环境非常危险，其它介于两者之间定为不同危险等级，危险等级的划分是凭经验判断，难免带有局限性，应用时需根据实际情况予以修正，危险等级及控制方法。</w:t>
      </w:r>
    </w:p>
    <w:p w14:paraId="7ECF32D1">
      <w:pPr>
        <w:tabs>
          <w:tab w:val="left" w:pos="8"/>
        </w:tabs>
        <w:spacing w:line="360" w:lineRule="auto"/>
        <w:ind w:firstLine="667" w:firstLineChars="278"/>
        <w:rPr>
          <w:rFonts w:ascii="宋体" w:hAnsi="宋体"/>
          <w:sz w:val="24"/>
        </w:rPr>
      </w:pPr>
      <w:r>
        <w:rPr>
          <w:rFonts w:hint="eastAsia" w:ascii="宋体" w:hAnsi="宋体"/>
          <w:sz w:val="24"/>
        </w:rPr>
        <w:t>如下表：D-危险性分值</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197"/>
        <w:gridCol w:w="1768"/>
        <w:gridCol w:w="5419"/>
      </w:tblGrid>
      <w:tr w14:paraId="6B07F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12EA6F3A">
            <w:pPr>
              <w:tabs>
                <w:tab w:val="left" w:pos="0"/>
              </w:tabs>
              <w:spacing w:line="400" w:lineRule="exact"/>
              <w:jc w:val="center"/>
              <w:rPr>
                <w:rFonts w:ascii="宋体" w:hAnsi="宋体"/>
                <w:sz w:val="24"/>
              </w:rPr>
            </w:pPr>
            <w:r>
              <w:rPr>
                <w:rFonts w:hint="eastAsia" w:ascii="宋体" w:hAnsi="宋体"/>
                <w:sz w:val="24"/>
              </w:rPr>
              <w:t>等级</w:t>
            </w:r>
          </w:p>
        </w:tc>
        <w:tc>
          <w:tcPr>
            <w:tcW w:w="1197" w:type="dxa"/>
            <w:vAlign w:val="center"/>
          </w:tcPr>
          <w:p w14:paraId="60947E5E">
            <w:pPr>
              <w:tabs>
                <w:tab w:val="left" w:pos="0"/>
              </w:tabs>
              <w:spacing w:line="400" w:lineRule="exact"/>
              <w:jc w:val="center"/>
              <w:rPr>
                <w:rFonts w:ascii="宋体" w:hAnsi="宋体"/>
                <w:sz w:val="24"/>
              </w:rPr>
            </w:pPr>
            <w:r>
              <w:rPr>
                <w:rFonts w:hint="eastAsia" w:ascii="宋体" w:hAnsi="宋体"/>
                <w:sz w:val="24"/>
              </w:rPr>
              <w:t>分数值</w:t>
            </w:r>
          </w:p>
        </w:tc>
        <w:tc>
          <w:tcPr>
            <w:tcW w:w="1768" w:type="dxa"/>
            <w:vAlign w:val="center"/>
          </w:tcPr>
          <w:p w14:paraId="369BB475">
            <w:pPr>
              <w:tabs>
                <w:tab w:val="left" w:pos="0"/>
              </w:tabs>
              <w:spacing w:line="400" w:lineRule="exact"/>
              <w:jc w:val="center"/>
              <w:rPr>
                <w:rFonts w:ascii="宋体" w:hAnsi="宋体"/>
                <w:sz w:val="24"/>
              </w:rPr>
            </w:pPr>
            <w:r>
              <w:rPr>
                <w:rFonts w:hint="eastAsia" w:ascii="宋体" w:hAnsi="宋体"/>
                <w:sz w:val="24"/>
              </w:rPr>
              <w:t>危险程度</w:t>
            </w:r>
          </w:p>
        </w:tc>
        <w:tc>
          <w:tcPr>
            <w:tcW w:w="5419" w:type="dxa"/>
            <w:vAlign w:val="center"/>
          </w:tcPr>
          <w:p w14:paraId="140CA338">
            <w:pPr>
              <w:tabs>
                <w:tab w:val="left" w:pos="0"/>
              </w:tabs>
              <w:spacing w:line="400" w:lineRule="exact"/>
              <w:jc w:val="center"/>
              <w:rPr>
                <w:rFonts w:ascii="宋体" w:hAnsi="宋体"/>
                <w:sz w:val="24"/>
              </w:rPr>
            </w:pPr>
            <w:r>
              <w:rPr>
                <w:rFonts w:hint="eastAsia" w:ascii="宋体" w:hAnsi="宋体"/>
                <w:sz w:val="24"/>
              </w:rPr>
              <w:t>控制方法</w:t>
            </w:r>
          </w:p>
        </w:tc>
      </w:tr>
      <w:tr w14:paraId="74513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3EE5A653">
            <w:pPr>
              <w:tabs>
                <w:tab w:val="left" w:pos="0"/>
              </w:tabs>
              <w:spacing w:line="400" w:lineRule="exact"/>
              <w:jc w:val="center"/>
              <w:rPr>
                <w:rFonts w:ascii="宋体" w:hAnsi="宋体"/>
                <w:sz w:val="24"/>
              </w:rPr>
            </w:pPr>
            <w:r>
              <w:rPr>
                <w:rFonts w:hint="eastAsia" w:ascii="宋体" w:hAnsi="宋体"/>
                <w:sz w:val="24"/>
              </w:rPr>
              <w:t>五级</w:t>
            </w:r>
          </w:p>
        </w:tc>
        <w:tc>
          <w:tcPr>
            <w:tcW w:w="1197" w:type="dxa"/>
            <w:vAlign w:val="center"/>
          </w:tcPr>
          <w:p w14:paraId="70BDA1D2">
            <w:pPr>
              <w:tabs>
                <w:tab w:val="left" w:pos="0"/>
              </w:tabs>
              <w:spacing w:line="400" w:lineRule="exact"/>
              <w:jc w:val="center"/>
              <w:rPr>
                <w:rFonts w:ascii="宋体" w:hAnsi="宋体"/>
                <w:sz w:val="24"/>
              </w:rPr>
            </w:pPr>
            <w:r>
              <w:rPr>
                <w:rFonts w:hint="eastAsia" w:ascii="宋体" w:hAnsi="宋体"/>
                <w:sz w:val="24"/>
              </w:rPr>
              <w:t>&gt;320</w:t>
            </w:r>
          </w:p>
        </w:tc>
        <w:tc>
          <w:tcPr>
            <w:tcW w:w="1768" w:type="dxa"/>
            <w:vAlign w:val="center"/>
          </w:tcPr>
          <w:p w14:paraId="3B6952C8">
            <w:pPr>
              <w:tabs>
                <w:tab w:val="left" w:pos="0"/>
              </w:tabs>
              <w:spacing w:line="400" w:lineRule="exact"/>
              <w:jc w:val="center"/>
              <w:rPr>
                <w:rFonts w:ascii="宋体" w:hAnsi="宋体"/>
                <w:sz w:val="24"/>
              </w:rPr>
            </w:pPr>
            <w:r>
              <w:rPr>
                <w:rFonts w:hint="eastAsia" w:ascii="宋体" w:hAnsi="宋体"/>
                <w:sz w:val="24"/>
              </w:rPr>
              <w:t>极其危险</w:t>
            </w:r>
          </w:p>
          <w:p w14:paraId="798DEE50">
            <w:pPr>
              <w:tabs>
                <w:tab w:val="left" w:pos="0"/>
              </w:tabs>
              <w:spacing w:line="400" w:lineRule="exact"/>
              <w:jc w:val="center"/>
              <w:rPr>
                <w:rFonts w:ascii="宋体" w:hAnsi="宋体"/>
                <w:sz w:val="24"/>
              </w:rPr>
            </w:pPr>
            <w:r>
              <w:rPr>
                <w:rFonts w:hint="eastAsia" w:ascii="宋体" w:hAnsi="宋体"/>
                <w:sz w:val="24"/>
              </w:rPr>
              <w:t>不能继续作业</w:t>
            </w:r>
          </w:p>
        </w:tc>
        <w:tc>
          <w:tcPr>
            <w:tcW w:w="5419" w:type="dxa"/>
            <w:vAlign w:val="center"/>
          </w:tcPr>
          <w:p w14:paraId="02C0A42E">
            <w:pPr>
              <w:tabs>
                <w:tab w:val="left" w:pos="0"/>
              </w:tabs>
              <w:spacing w:line="400" w:lineRule="exact"/>
              <w:ind w:left="117"/>
              <w:rPr>
                <w:rFonts w:ascii="宋体" w:hAnsi="宋体"/>
                <w:sz w:val="24"/>
              </w:rPr>
            </w:pPr>
            <w:r>
              <w:rPr>
                <w:rFonts w:hint="eastAsia" w:ascii="宋体" w:hAnsi="宋体"/>
                <w:sz w:val="24"/>
              </w:rPr>
              <w:t>进行评审，只有当风险降低时，才能开始或继续工作；为降低风险不限成本，若即使以无限资源投入也不能降低风险，必须禁止工作。</w:t>
            </w:r>
          </w:p>
        </w:tc>
      </w:tr>
      <w:tr w14:paraId="6850E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0AABDC96">
            <w:pPr>
              <w:tabs>
                <w:tab w:val="left" w:pos="0"/>
              </w:tabs>
              <w:spacing w:line="400" w:lineRule="exact"/>
              <w:jc w:val="center"/>
              <w:rPr>
                <w:rFonts w:ascii="宋体" w:hAnsi="宋体"/>
                <w:sz w:val="24"/>
              </w:rPr>
            </w:pPr>
            <w:r>
              <w:rPr>
                <w:rFonts w:hint="eastAsia" w:ascii="宋体" w:hAnsi="宋体"/>
                <w:sz w:val="24"/>
              </w:rPr>
              <w:t>四级</w:t>
            </w:r>
          </w:p>
        </w:tc>
        <w:tc>
          <w:tcPr>
            <w:tcW w:w="1197" w:type="dxa"/>
            <w:vAlign w:val="center"/>
          </w:tcPr>
          <w:p w14:paraId="6E24B22A">
            <w:pPr>
              <w:tabs>
                <w:tab w:val="left" w:pos="0"/>
              </w:tabs>
              <w:spacing w:line="400" w:lineRule="exact"/>
              <w:jc w:val="center"/>
              <w:rPr>
                <w:rFonts w:ascii="宋体" w:hAnsi="宋体"/>
                <w:sz w:val="24"/>
              </w:rPr>
            </w:pPr>
            <w:r>
              <w:rPr>
                <w:rFonts w:hint="eastAsia" w:ascii="宋体" w:hAnsi="宋体"/>
                <w:sz w:val="24"/>
              </w:rPr>
              <w:t>160-320</w:t>
            </w:r>
          </w:p>
        </w:tc>
        <w:tc>
          <w:tcPr>
            <w:tcW w:w="1768" w:type="dxa"/>
            <w:vAlign w:val="center"/>
          </w:tcPr>
          <w:p w14:paraId="3B7A9B32">
            <w:pPr>
              <w:tabs>
                <w:tab w:val="left" w:pos="0"/>
              </w:tabs>
              <w:spacing w:line="400" w:lineRule="exact"/>
              <w:jc w:val="center"/>
              <w:rPr>
                <w:rFonts w:ascii="宋体" w:hAnsi="宋体"/>
                <w:sz w:val="24"/>
              </w:rPr>
            </w:pPr>
            <w:r>
              <w:rPr>
                <w:rFonts w:hint="eastAsia" w:ascii="宋体" w:hAnsi="宋体"/>
                <w:sz w:val="24"/>
              </w:rPr>
              <w:t>高度危险</w:t>
            </w:r>
          </w:p>
          <w:p w14:paraId="3289732A">
            <w:pPr>
              <w:tabs>
                <w:tab w:val="left" w:pos="0"/>
              </w:tabs>
              <w:spacing w:line="400" w:lineRule="exact"/>
              <w:jc w:val="center"/>
              <w:rPr>
                <w:rFonts w:ascii="宋体" w:hAnsi="宋体"/>
                <w:sz w:val="24"/>
              </w:rPr>
            </w:pPr>
            <w:r>
              <w:rPr>
                <w:rFonts w:hint="eastAsia" w:ascii="宋体" w:hAnsi="宋体"/>
                <w:sz w:val="24"/>
              </w:rPr>
              <w:t>需立即整改</w:t>
            </w:r>
          </w:p>
        </w:tc>
        <w:tc>
          <w:tcPr>
            <w:tcW w:w="5419" w:type="dxa"/>
            <w:vAlign w:val="center"/>
          </w:tcPr>
          <w:p w14:paraId="5E72FB67">
            <w:pPr>
              <w:tabs>
                <w:tab w:val="left" w:pos="0"/>
              </w:tabs>
              <w:spacing w:line="400" w:lineRule="exact"/>
              <w:jc w:val="center"/>
              <w:rPr>
                <w:rFonts w:ascii="宋体" w:hAnsi="宋体"/>
                <w:sz w:val="24"/>
              </w:rPr>
            </w:pPr>
            <w:r>
              <w:rPr>
                <w:rFonts w:hint="eastAsia" w:ascii="宋体" w:hAnsi="宋体"/>
                <w:sz w:val="24"/>
              </w:rPr>
              <w:t>制定目标及管理方案；制定控制程序，培训与教育，制定作业文件，加强现场检查监督。</w:t>
            </w:r>
          </w:p>
        </w:tc>
      </w:tr>
      <w:tr w14:paraId="6136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54177DF5">
            <w:pPr>
              <w:tabs>
                <w:tab w:val="left" w:pos="0"/>
              </w:tabs>
              <w:spacing w:line="400" w:lineRule="exact"/>
              <w:jc w:val="center"/>
              <w:rPr>
                <w:rFonts w:ascii="宋体" w:hAnsi="宋体"/>
                <w:sz w:val="24"/>
              </w:rPr>
            </w:pPr>
            <w:r>
              <w:rPr>
                <w:rFonts w:hint="eastAsia" w:ascii="宋体" w:hAnsi="宋体"/>
                <w:sz w:val="24"/>
              </w:rPr>
              <w:t>三级</w:t>
            </w:r>
          </w:p>
        </w:tc>
        <w:tc>
          <w:tcPr>
            <w:tcW w:w="1197" w:type="dxa"/>
            <w:vAlign w:val="center"/>
          </w:tcPr>
          <w:p w14:paraId="0F343798">
            <w:pPr>
              <w:tabs>
                <w:tab w:val="left" w:pos="0"/>
              </w:tabs>
              <w:spacing w:line="400" w:lineRule="exact"/>
              <w:jc w:val="center"/>
              <w:rPr>
                <w:rFonts w:ascii="宋体" w:hAnsi="宋体"/>
                <w:sz w:val="24"/>
              </w:rPr>
            </w:pPr>
            <w:r>
              <w:rPr>
                <w:rFonts w:hint="eastAsia" w:ascii="宋体" w:hAnsi="宋体"/>
                <w:sz w:val="24"/>
              </w:rPr>
              <w:t>70-160</w:t>
            </w:r>
          </w:p>
        </w:tc>
        <w:tc>
          <w:tcPr>
            <w:tcW w:w="1768" w:type="dxa"/>
            <w:vAlign w:val="center"/>
          </w:tcPr>
          <w:p w14:paraId="37B31482">
            <w:pPr>
              <w:tabs>
                <w:tab w:val="left" w:pos="0"/>
              </w:tabs>
              <w:spacing w:line="400" w:lineRule="exact"/>
              <w:jc w:val="center"/>
              <w:rPr>
                <w:rFonts w:ascii="宋体" w:hAnsi="宋体"/>
                <w:sz w:val="24"/>
              </w:rPr>
            </w:pPr>
            <w:r>
              <w:rPr>
                <w:rFonts w:hint="eastAsia" w:ascii="宋体" w:hAnsi="宋体"/>
                <w:sz w:val="24"/>
              </w:rPr>
              <w:t>需要整改</w:t>
            </w:r>
          </w:p>
        </w:tc>
        <w:tc>
          <w:tcPr>
            <w:tcW w:w="5419" w:type="dxa"/>
            <w:vAlign w:val="center"/>
          </w:tcPr>
          <w:p w14:paraId="33485315">
            <w:pPr>
              <w:tabs>
                <w:tab w:val="left" w:pos="0"/>
              </w:tabs>
              <w:spacing w:line="400" w:lineRule="exact"/>
              <w:jc w:val="center"/>
              <w:rPr>
                <w:rFonts w:ascii="宋体" w:hAnsi="宋体"/>
                <w:sz w:val="24"/>
              </w:rPr>
            </w:pPr>
            <w:r>
              <w:rPr>
                <w:rFonts w:hint="eastAsia" w:ascii="宋体" w:hAnsi="宋体"/>
                <w:sz w:val="24"/>
              </w:rPr>
              <w:t>制定目标及管理方案；制定控制程序，培训与教育，制定作业文件，加强现场检查监督。</w:t>
            </w:r>
          </w:p>
        </w:tc>
      </w:tr>
      <w:tr w14:paraId="42712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4C0073F6">
            <w:pPr>
              <w:tabs>
                <w:tab w:val="left" w:pos="0"/>
              </w:tabs>
              <w:spacing w:line="400" w:lineRule="exact"/>
              <w:jc w:val="center"/>
              <w:rPr>
                <w:rFonts w:ascii="宋体" w:hAnsi="宋体"/>
                <w:sz w:val="24"/>
              </w:rPr>
            </w:pPr>
            <w:r>
              <w:rPr>
                <w:rFonts w:hint="eastAsia" w:ascii="宋体" w:hAnsi="宋体"/>
                <w:sz w:val="24"/>
              </w:rPr>
              <w:t>二级</w:t>
            </w:r>
          </w:p>
        </w:tc>
        <w:tc>
          <w:tcPr>
            <w:tcW w:w="1197" w:type="dxa"/>
            <w:vAlign w:val="center"/>
          </w:tcPr>
          <w:p w14:paraId="565CE426">
            <w:pPr>
              <w:tabs>
                <w:tab w:val="left" w:pos="0"/>
              </w:tabs>
              <w:spacing w:line="400" w:lineRule="exact"/>
              <w:jc w:val="center"/>
              <w:rPr>
                <w:rFonts w:ascii="宋体" w:hAnsi="宋体"/>
                <w:sz w:val="24"/>
              </w:rPr>
            </w:pPr>
            <w:r>
              <w:rPr>
                <w:rFonts w:hint="eastAsia" w:ascii="宋体" w:hAnsi="宋体"/>
                <w:sz w:val="24"/>
              </w:rPr>
              <w:t>20-70</w:t>
            </w:r>
          </w:p>
        </w:tc>
        <w:tc>
          <w:tcPr>
            <w:tcW w:w="1768" w:type="dxa"/>
            <w:vAlign w:val="center"/>
          </w:tcPr>
          <w:p w14:paraId="18DB7F38">
            <w:pPr>
              <w:tabs>
                <w:tab w:val="left" w:pos="0"/>
              </w:tabs>
              <w:spacing w:line="400" w:lineRule="exact"/>
              <w:jc w:val="center"/>
              <w:rPr>
                <w:rFonts w:ascii="宋体" w:hAnsi="宋体"/>
                <w:sz w:val="24"/>
              </w:rPr>
            </w:pPr>
            <w:r>
              <w:rPr>
                <w:rFonts w:hint="eastAsia" w:ascii="宋体" w:hAnsi="宋体"/>
                <w:sz w:val="24"/>
              </w:rPr>
              <w:t>一般危险</w:t>
            </w:r>
          </w:p>
          <w:p w14:paraId="2930741C">
            <w:pPr>
              <w:tabs>
                <w:tab w:val="left" w:pos="0"/>
              </w:tabs>
              <w:spacing w:line="400" w:lineRule="exact"/>
              <w:jc w:val="center"/>
              <w:rPr>
                <w:rFonts w:ascii="宋体" w:hAnsi="宋体"/>
                <w:sz w:val="24"/>
              </w:rPr>
            </w:pPr>
            <w:r>
              <w:rPr>
                <w:rFonts w:hint="eastAsia" w:ascii="宋体" w:hAnsi="宋体"/>
                <w:sz w:val="24"/>
              </w:rPr>
              <w:t>需要注意</w:t>
            </w:r>
          </w:p>
        </w:tc>
        <w:tc>
          <w:tcPr>
            <w:tcW w:w="5419" w:type="dxa"/>
            <w:vAlign w:val="center"/>
          </w:tcPr>
          <w:p w14:paraId="44BD28A0">
            <w:pPr>
              <w:tabs>
                <w:tab w:val="left" w:pos="0"/>
              </w:tabs>
              <w:spacing w:line="400" w:lineRule="exact"/>
              <w:jc w:val="center"/>
              <w:rPr>
                <w:rFonts w:ascii="宋体" w:hAnsi="宋体"/>
                <w:sz w:val="24"/>
              </w:rPr>
            </w:pPr>
            <w:r>
              <w:rPr>
                <w:rFonts w:hint="eastAsia" w:ascii="宋体" w:hAnsi="宋体"/>
                <w:sz w:val="24"/>
              </w:rPr>
              <w:t>运行控制、培训教育；监视和测量。</w:t>
            </w:r>
          </w:p>
        </w:tc>
      </w:tr>
      <w:tr w14:paraId="4B965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14:paraId="6541509B">
            <w:pPr>
              <w:tabs>
                <w:tab w:val="left" w:pos="0"/>
              </w:tabs>
              <w:spacing w:line="400" w:lineRule="exact"/>
              <w:jc w:val="center"/>
              <w:rPr>
                <w:rFonts w:ascii="宋体" w:hAnsi="宋体"/>
                <w:sz w:val="24"/>
              </w:rPr>
            </w:pPr>
            <w:r>
              <w:rPr>
                <w:rFonts w:hint="eastAsia" w:ascii="宋体" w:hAnsi="宋体"/>
                <w:sz w:val="24"/>
              </w:rPr>
              <w:t>一级</w:t>
            </w:r>
          </w:p>
        </w:tc>
        <w:tc>
          <w:tcPr>
            <w:tcW w:w="1197" w:type="dxa"/>
            <w:vAlign w:val="center"/>
          </w:tcPr>
          <w:p w14:paraId="582DE14B">
            <w:pPr>
              <w:tabs>
                <w:tab w:val="left" w:pos="0"/>
              </w:tabs>
              <w:spacing w:line="400" w:lineRule="exact"/>
              <w:jc w:val="center"/>
              <w:rPr>
                <w:rFonts w:ascii="宋体" w:hAnsi="宋体"/>
                <w:sz w:val="24"/>
              </w:rPr>
            </w:pPr>
            <w:r>
              <w:rPr>
                <w:rFonts w:hint="eastAsia" w:ascii="宋体" w:hAnsi="宋体"/>
                <w:sz w:val="24"/>
              </w:rPr>
              <w:t>&lt;20</w:t>
            </w:r>
          </w:p>
        </w:tc>
        <w:tc>
          <w:tcPr>
            <w:tcW w:w="1768" w:type="dxa"/>
            <w:vAlign w:val="center"/>
          </w:tcPr>
          <w:p w14:paraId="257506EB">
            <w:pPr>
              <w:tabs>
                <w:tab w:val="left" w:pos="0"/>
              </w:tabs>
              <w:spacing w:line="400" w:lineRule="exact"/>
              <w:jc w:val="center"/>
              <w:rPr>
                <w:rFonts w:ascii="宋体" w:hAnsi="宋体"/>
                <w:sz w:val="24"/>
              </w:rPr>
            </w:pPr>
            <w:r>
              <w:rPr>
                <w:rFonts w:hint="eastAsia" w:ascii="宋体" w:hAnsi="宋体"/>
                <w:sz w:val="24"/>
              </w:rPr>
              <w:t>稍有危险</w:t>
            </w:r>
          </w:p>
          <w:p w14:paraId="5EC14E2E">
            <w:pPr>
              <w:tabs>
                <w:tab w:val="left" w:pos="0"/>
              </w:tabs>
              <w:spacing w:line="400" w:lineRule="exact"/>
              <w:jc w:val="center"/>
              <w:rPr>
                <w:rFonts w:ascii="宋体" w:hAnsi="宋体"/>
                <w:sz w:val="24"/>
              </w:rPr>
            </w:pPr>
            <w:r>
              <w:rPr>
                <w:rFonts w:hint="eastAsia" w:ascii="宋体" w:hAnsi="宋体"/>
                <w:sz w:val="24"/>
              </w:rPr>
              <w:t>可以接受</w:t>
            </w:r>
          </w:p>
        </w:tc>
        <w:tc>
          <w:tcPr>
            <w:tcW w:w="5419" w:type="dxa"/>
            <w:vAlign w:val="center"/>
          </w:tcPr>
          <w:p w14:paraId="0B4BA7FF">
            <w:pPr>
              <w:tabs>
                <w:tab w:val="left" w:pos="0"/>
              </w:tabs>
              <w:spacing w:line="400" w:lineRule="exact"/>
              <w:jc w:val="center"/>
              <w:rPr>
                <w:rFonts w:ascii="宋体" w:hAnsi="宋体"/>
                <w:sz w:val="24"/>
              </w:rPr>
            </w:pPr>
            <w:r>
              <w:rPr>
                <w:rFonts w:hint="eastAsia" w:ascii="宋体" w:hAnsi="宋体"/>
                <w:sz w:val="24"/>
              </w:rPr>
              <w:t>保持现有措施，加强现场监督检查。</w:t>
            </w:r>
          </w:p>
        </w:tc>
      </w:tr>
    </w:tbl>
    <w:p w14:paraId="0C9607C9">
      <w:pPr>
        <w:tabs>
          <w:tab w:val="left" w:pos="728"/>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.2</w:t>
      </w:r>
      <w:r>
        <w:rPr>
          <w:rFonts w:hint="eastAsia" w:ascii="宋体" w:hAnsi="宋体"/>
          <w:sz w:val="24"/>
        </w:rPr>
        <w:t xml:space="preserve"> 风险评价要联系实际,参照以往的经验运行,既要分析可能发生的后果,更要实事求是地分析事故发生的可能性,还要考虑与需要采取措施的能力相适应，风险级别是综合分析评价的结果。以下方面可直接判为重大危害因素：</w:t>
      </w:r>
    </w:p>
    <w:p w14:paraId="3F3C0804">
      <w:pPr>
        <w:numPr>
          <w:ilvl w:val="0"/>
          <w:numId w:val="34"/>
        </w:numPr>
        <w:spacing w:line="360" w:lineRule="auto"/>
        <w:rPr>
          <w:rFonts w:ascii="宋体" w:hAnsi="宋体"/>
          <w:sz w:val="24"/>
        </w:rPr>
      </w:pPr>
      <w:r>
        <w:rPr>
          <w:rFonts w:hint="eastAsia" w:ascii="宋体" w:hAnsi="宋体"/>
          <w:sz w:val="24"/>
        </w:rPr>
        <w:t>不符合职业安全健康法律、法规和标准的；</w:t>
      </w:r>
    </w:p>
    <w:p w14:paraId="507FA663">
      <w:pPr>
        <w:numPr>
          <w:ilvl w:val="0"/>
          <w:numId w:val="34"/>
        </w:numPr>
        <w:spacing w:line="360" w:lineRule="auto"/>
        <w:rPr>
          <w:rFonts w:ascii="宋体" w:hAnsi="宋体"/>
          <w:sz w:val="24"/>
        </w:rPr>
      </w:pPr>
      <w:r>
        <w:rPr>
          <w:rFonts w:hint="eastAsia" w:ascii="宋体" w:hAnsi="宋体"/>
          <w:sz w:val="24"/>
        </w:rPr>
        <w:t>相关方有合理抱怨或要求的；</w:t>
      </w:r>
    </w:p>
    <w:p w14:paraId="4F257151">
      <w:pPr>
        <w:numPr>
          <w:ilvl w:val="0"/>
          <w:numId w:val="34"/>
        </w:numPr>
        <w:spacing w:line="360" w:lineRule="auto"/>
        <w:rPr>
          <w:rFonts w:ascii="宋体" w:hAnsi="宋体"/>
          <w:sz w:val="24"/>
        </w:rPr>
      </w:pPr>
      <w:r>
        <w:rPr>
          <w:rFonts w:hint="eastAsia" w:ascii="宋体" w:hAnsi="宋体"/>
          <w:sz w:val="24"/>
        </w:rPr>
        <w:t>曾经发生过事故，现今未采取防范、控制措施的；</w:t>
      </w:r>
    </w:p>
    <w:p w14:paraId="0CE51276">
      <w:pPr>
        <w:numPr>
          <w:ilvl w:val="0"/>
          <w:numId w:val="34"/>
        </w:numPr>
        <w:spacing w:line="360" w:lineRule="auto"/>
        <w:rPr>
          <w:rFonts w:ascii="宋体" w:hAnsi="宋体"/>
          <w:sz w:val="24"/>
        </w:rPr>
      </w:pPr>
      <w:r>
        <w:rPr>
          <w:rFonts w:hint="eastAsia" w:ascii="宋体" w:hAnsi="宋体"/>
          <w:sz w:val="24"/>
        </w:rPr>
        <w:t>直接观察到可能导致危险的错误、且无适当控制措施的。</w:t>
      </w:r>
    </w:p>
    <w:p w14:paraId="5E79D1EF">
      <w:pPr>
        <w:spacing w:line="360" w:lineRule="auto"/>
        <w:ind w:left="696" w:hanging="696" w:hangingChars="290"/>
        <w:rPr>
          <w:rFonts w:ascii="宋体" w:hAnsi="宋体"/>
          <w:sz w:val="24"/>
        </w:rPr>
      </w:pPr>
      <w:r>
        <w:rPr>
          <w:rFonts w:ascii="宋体" w:hAnsi="宋体"/>
          <w:sz w:val="24"/>
        </w:rPr>
        <w:t>4.</w:t>
      </w:r>
      <w:r>
        <w:rPr>
          <w:rFonts w:hint="eastAsia" w:ascii="宋体" w:hAnsi="宋体"/>
          <w:sz w:val="24"/>
        </w:rPr>
        <w:t>4</w:t>
      </w:r>
      <w:r>
        <w:rPr>
          <w:rFonts w:ascii="宋体" w:hAnsi="宋体"/>
          <w:sz w:val="24"/>
        </w:rPr>
        <w:t>.3</w:t>
      </w:r>
      <w:r>
        <w:rPr>
          <w:rFonts w:hint="eastAsia" w:ascii="宋体" w:hAnsi="宋体"/>
          <w:sz w:val="24"/>
        </w:rPr>
        <w:t xml:space="preserve"> 公司由</w:t>
      </w:r>
      <w:r>
        <w:rPr>
          <w:rFonts w:hint="eastAsia" w:ascii="宋体" w:hAnsi="宋体"/>
          <w:sz w:val="24"/>
          <w:lang w:eastAsia="zh-CN"/>
        </w:rPr>
        <w:t>综合部</w:t>
      </w:r>
      <w:r>
        <w:rPr>
          <w:rFonts w:hint="eastAsia" w:ascii="宋体" w:hAnsi="宋体"/>
          <w:sz w:val="24"/>
        </w:rPr>
        <w:t>组织有关部门或人员按上述标准和方法进行危险源辨识和风险评价，进行整理、汇总，形成全公司的《危险源辨识评价表》。</w:t>
      </w:r>
    </w:p>
    <w:p w14:paraId="1508A695">
      <w:pPr>
        <w:spacing w:line="360" w:lineRule="auto"/>
        <w:ind w:left="696" w:hanging="696" w:hangingChars="290"/>
        <w:rPr>
          <w:rFonts w:ascii="宋体" w:hAnsi="宋体"/>
          <w:sz w:val="24"/>
        </w:rPr>
      </w:pPr>
      <w:r>
        <w:rPr>
          <w:rFonts w:ascii="宋体" w:hAnsi="宋体"/>
          <w:sz w:val="24"/>
        </w:rPr>
        <w:t>4.</w:t>
      </w:r>
      <w:r>
        <w:rPr>
          <w:rFonts w:hint="eastAsia" w:ascii="宋体" w:hAnsi="宋体"/>
          <w:sz w:val="24"/>
        </w:rPr>
        <w:t>4</w:t>
      </w:r>
      <w:r>
        <w:rPr>
          <w:rFonts w:ascii="宋体" w:hAnsi="宋体"/>
          <w:sz w:val="24"/>
        </w:rPr>
        <w:t>.4</w:t>
      </w:r>
      <w:r>
        <w:rPr>
          <w:rFonts w:hint="eastAsia" w:ascii="宋体" w:hAnsi="宋体"/>
          <w:sz w:val="24"/>
        </w:rPr>
        <w:t xml:space="preserve"> </w:t>
      </w:r>
      <w:r>
        <w:rPr>
          <w:rFonts w:hint="eastAsia" w:ascii="宋体" w:hAnsi="宋体"/>
          <w:sz w:val="24"/>
          <w:lang w:eastAsia="zh-CN"/>
        </w:rPr>
        <w:t>综合部</w:t>
      </w:r>
      <w:r>
        <w:rPr>
          <w:rFonts w:hint="eastAsia" w:ascii="宋体" w:hAnsi="宋体"/>
          <w:sz w:val="24"/>
        </w:rPr>
        <w:t>对应风险评价的结果，根据经汇总的全公司的《危险源辨识评价表》及本程序的有关要求，编制《重大危险源清单》，作为安全管理及制定方针、目标的重要依据。</w:t>
      </w:r>
    </w:p>
    <w:p w14:paraId="24925734">
      <w:pPr>
        <w:spacing w:line="360" w:lineRule="auto"/>
        <w:rPr>
          <w:rFonts w:ascii="宋体" w:hAnsi="宋体"/>
          <w:sz w:val="24"/>
        </w:rPr>
      </w:pPr>
      <w:r>
        <w:rPr>
          <w:rFonts w:ascii="宋体" w:hAnsi="宋体"/>
          <w:sz w:val="24"/>
        </w:rPr>
        <w:t>4.</w:t>
      </w:r>
      <w:r>
        <w:rPr>
          <w:rFonts w:hint="eastAsia" w:ascii="宋体" w:hAnsi="宋体"/>
          <w:sz w:val="24"/>
        </w:rPr>
        <w:t>5  风险控制的策划</w:t>
      </w:r>
    </w:p>
    <w:p w14:paraId="222E0E9F">
      <w:pPr>
        <w:tabs>
          <w:tab w:val="left" w:pos="3780"/>
        </w:tabs>
        <w:spacing w:line="360" w:lineRule="auto"/>
        <w:ind w:left="667" w:hanging="667" w:hangingChars="278"/>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1 对于所有职业安全健康风险，各责任部门都要对其进行有效控制，对所评估出的不可接受风险，责任部门必须采取适当的方法和措施降低其风险等级，最终使其变成可接受风险。对于潜在的、事故发生后后果极为严重的风险要制定目标、管理方案、实施运行控制程序或应急准备和响应管理程序或相应的作业性文件。</w:t>
      </w:r>
    </w:p>
    <w:p w14:paraId="27C4C401">
      <w:pPr>
        <w:tabs>
          <w:tab w:val="left" w:pos="3780"/>
        </w:tabs>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2 风险控制措施包括：</w:t>
      </w:r>
    </w:p>
    <w:p w14:paraId="048104AA">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制定目标和管理方案；</w:t>
      </w:r>
    </w:p>
    <w:p w14:paraId="45E0C358">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编制程序文件；</w:t>
      </w:r>
    </w:p>
    <w:p w14:paraId="678361C7">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制定应急程序和预案；</w:t>
      </w:r>
    </w:p>
    <w:p w14:paraId="37C41940">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管理控制，如制定作业指导书，操作规程、安全守则、工作许可、教育培训、日常监督检查等；</w:t>
      </w:r>
    </w:p>
    <w:p w14:paraId="20764F45">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产品技术控制：如采取通风、</w:t>
      </w:r>
      <w:r>
        <w:rPr>
          <w:rFonts w:hint="eastAsia" w:ascii="宋体" w:hAnsi="宋体"/>
          <w:sz w:val="24"/>
          <w:lang w:eastAsia="zh-CN"/>
        </w:rPr>
        <w:t>电子</w:t>
      </w:r>
      <w:r>
        <w:rPr>
          <w:rFonts w:hint="eastAsia" w:ascii="宋体" w:hAnsi="宋体"/>
          <w:sz w:val="24"/>
        </w:rPr>
        <w:t>安全防护、隔音等技术措施；</w:t>
      </w:r>
    </w:p>
    <w:p w14:paraId="164AC90B">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配备劳保防护用品：购买并配备给相关人员个人防护用品。</w:t>
      </w:r>
    </w:p>
    <w:p w14:paraId="6494D5B3">
      <w:pPr>
        <w:spacing w:line="360" w:lineRule="auto"/>
        <w:ind w:left="607" w:hanging="607" w:hangingChars="253"/>
        <w:rPr>
          <w:rFonts w:ascii="宋体" w:hAnsi="宋体"/>
          <w:sz w:val="24"/>
        </w:rPr>
      </w:pPr>
      <w:r>
        <w:rPr>
          <w:rFonts w:ascii="宋体" w:hAnsi="宋体"/>
          <w:sz w:val="24"/>
        </w:rPr>
        <w:t>4.</w:t>
      </w:r>
      <w:r>
        <w:rPr>
          <w:rFonts w:hint="eastAsia" w:ascii="宋体" w:hAnsi="宋体"/>
          <w:sz w:val="24"/>
        </w:rPr>
        <w:t>6</w:t>
      </w:r>
      <w:r>
        <w:rPr>
          <w:rFonts w:ascii="宋体" w:hAnsi="宋体"/>
          <w:sz w:val="24"/>
        </w:rPr>
        <w:t xml:space="preserve"> </w:t>
      </w:r>
      <w:r>
        <w:rPr>
          <w:rFonts w:hint="eastAsia" w:ascii="宋体" w:hAnsi="宋体"/>
          <w:sz w:val="24"/>
        </w:rPr>
        <w:t xml:space="preserve"> 各部门在设备、法规、产品等发生变化时要进行相应的危险源辨识、风险评价的风险控制策划工作。当公司生产、经营发生变化是，应随时识别新形势下的生产现场可能产生的新的危害因素及风险，确认出其中的重要危害因素，并制定相应控制措施，实施有效控制。</w:t>
      </w:r>
    </w:p>
    <w:p w14:paraId="7F367347">
      <w:pPr>
        <w:spacing w:line="360" w:lineRule="auto"/>
        <w:ind w:left="590" w:hanging="590" w:hangingChars="246"/>
        <w:rPr>
          <w:rFonts w:ascii="宋体" w:hAnsi="宋体"/>
          <w:sz w:val="24"/>
        </w:rPr>
      </w:pPr>
      <w:r>
        <w:rPr>
          <w:rFonts w:ascii="宋体" w:hAnsi="宋体"/>
          <w:sz w:val="24"/>
        </w:rPr>
        <w:t>4.</w:t>
      </w:r>
      <w:r>
        <w:rPr>
          <w:rFonts w:hint="eastAsia" w:ascii="宋体" w:hAnsi="宋体"/>
          <w:sz w:val="24"/>
        </w:rPr>
        <w:t>7</w:t>
      </w:r>
      <w:r>
        <w:rPr>
          <w:rFonts w:ascii="宋体" w:hAnsi="宋体"/>
          <w:sz w:val="24"/>
        </w:rPr>
        <w:t xml:space="preserve"> </w:t>
      </w:r>
      <w:r>
        <w:rPr>
          <w:rFonts w:hint="eastAsia" w:ascii="宋体" w:hAnsi="宋体"/>
          <w:sz w:val="24"/>
        </w:rPr>
        <w:t xml:space="preserve"> 正常情况下，</w:t>
      </w:r>
      <w:r>
        <w:rPr>
          <w:rFonts w:hint="eastAsia" w:ascii="宋体" w:hAnsi="宋体"/>
          <w:sz w:val="24"/>
          <w:lang w:eastAsia="zh-CN"/>
        </w:rPr>
        <w:t>综合部</w:t>
      </w:r>
      <w:r>
        <w:rPr>
          <w:rFonts w:hint="eastAsia" w:ascii="宋体" w:hAnsi="宋体"/>
          <w:sz w:val="24"/>
        </w:rPr>
        <w:t>每年末组织各部门对危险源辨识和风险评价的应用效果进行一次检查和评审，必要时及时更新相关信息。</w:t>
      </w:r>
    </w:p>
    <w:p w14:paraId="770E3F78">
      <w:pPr>
        <w:spacing w:line="360" w:lineRule="auto"/>
        <w:ind w:left="590" w:hanging="590" w:hangingChars="246"/>
        <w:rPr>
          <w:rFonts w:ascii="宋体" w:hAnsi="宋体"/>
          <w:sz w:val="24"/>
        </w:rPr>
      </w:pPr>
      <w:r>
        <w:rPr>
          <w:rFonts w:hint="eastAsia" w:ascii="宋体" w:hAnsi="宋体"/>
          <w:sz w:val="24"/>
        </w:rPr>
        <w:t>4.8  所有与危险源辨识、风险评价和风险控制的策划有关的记录由</w:t>
      </w:r>
      <w:r>
        <w:rPr>
          <w:rFonts w:hint="eastAsia" w:ascii="宋体" w:hAnsi="宋体"/>
          <w:sz w:val="24"/>
          <w:lang w:eastAsia="zh-CN"/>
        </w:rPr>
        <w:t>综合部</w:t>
      </w:r>
      <w:r>
        <w:rPr>
          <w:rFonts w:hint="eastAsia" w:ascii="宋体" w:hAnsi="宋体"/>
          <w:sz w:val="24"/>
        </w:rPr>
        <w:t>及其他相关部门负责保持，并执行《记录控制程序》。</w:t>
      </w:r>
    </w:p>
    <w:p w14:paraId="47A88F5E">
      <w:pPr>
        <w:spacing w:line="360" w:lineRule="auto"/>
        <w:rPr>
          <w:rFonts w:ascii="宋体" w:hAnsi="宋体"/>
          <w:sz w:val="24"/>
        </w:rPr>
      </w:pPr>
      <w:r>
        <w:rPr>
          <w:rFonts w:hint="eastAsia" w:ascii="宋体" w:hAnsi="宋体"/>
          <w:sz w:val="24"/>
        </w:rPr>
        <w:t>5  相关文件</w:t>
      </w:r>
    </w:p>
    <w:p w14:paraId="1C5F9CA7">
      <w:pPr>
        <w:spacing w:line="360" w:lineRule="auto"/>
        <w:rPr>
          <w:rFonts w:ascii="宋体" w:hAnsi="宋体"/>
          <w:sz w:val="24"/>
        </w:rPr>
      </w:pPr>
      <w:r>
        <w:rPr>
          <w:rFonts w:hint="eastAsia" w:ascii="宋体" w:hAnsi="宋体"/>
          <w:sz w:val="24"/>
        </w:rPr>
        <w:t xml:space="preserve">5.1  《记录控制程序》      </w:t>
      </w:r>
    </w:p>
    <w:p w14:paraId="29460857">
      <w:pPr>
        <w:spacing w:line="360" w:lineRule="auto"/>
        <w:rPr>
          <w:rFonts w:ascii="宋体" w:hAnsi="宋体"/>
          <w:sz w:val="24"/>
        </w:rPr>
      </w:pPr>
      <w:r>
        <w:rPr>
          <w:rFonts w:ascii="宋体" w:hAnsi="宋体"/>
          <w:sz w:val="24"/>
        </w:rPr>
        <w:t>5.2</w:t>
      </w:r>
      <w:r>
        <w:rPr>
          <w:rFonts w:hint="eastAsia" w:ascii="宋体" w:hAnsi="宋体"/>
          <w:sz w:val="24"/>
        </w:rPr>
        <w:t xml:space="preserve">  《文件控制程序》</w:t>
      </w:r>
    </w:p>
    <w:p w14:paraId="3CFF19DF">
      <w:pPr>
        <w:spacing w:line="360" w:lineRule="auto"/>
        <w:rPr>
          <w:rFonts w:ascii="宋体" w:hAnsi="宋体"/>
          <w:sz w:val="24"/>
        </w:rPr>
      </w:pPr>
      <w:r>
        <w:rPr>
          <w:rFonts w:hint="eastAsia" w:ascii="宋体" w:hAnsi="宋体"/>
          <w:sz w:val="24"/>
        </w:rPr>
        <w:t>6  记录</w:t>
      </w:r>
    </w:p>
    <w:p w14:paraId="2B350F20">
      <w:pPr>
        <w:spacing w:line="360" w:lineRule="auto"/>
        <w:rPr>
          <w:rFonts w:ascii="宋体" w:hAnsi="宋体"/>
          <w:sz w:val="24"/>
        </w:rPr>
      </w:pPr>
      <w:r>
        <w:rPr>
          <w:rFonts w:hint="eastAsia" w:ascii="宋体" w:hAnsi="宋体"/>
          <w:sz w:val="24"/>
        </w:rPr>
        <w:t>6.1《危险源辨识评价表》</w:t>
      </w:r>
    </w:p>
    <w:p w14:paraId="650CDA9E">
      <w:pPr>
        <w:spacing w:line="360" w:lineRule="auto"/>
        <w:rPr>
          <w:rFonts w:ascii="宋体" w:hAnsi="宋体"/>
          <w:sz w:val="24"/>
        </w:rPr>
      </w:pPr>
      <w:r>
        <w:rPr>
          <w:rFonts w:hint="eastAsia" w:ascii="宋体" w:hAnsi="宋体"/>
          <w:sz w:val="24"/>
        </w:rPr>
        <w:t>6.2 《重大危险源清单》</w:t>
      </w:r>
    </w:p>
    <w:p w14:paraId="67E92E1A">
      <w:pPr>
        <w:widowControl/>
        <w:jc w:val="left"/>
        <w:rPr>
          <w:rFonts w:ascii="宋体" w:hAnsi="宋体"/>
          <w:sz w:val="24"/>
        </w:rPr>
      </w:pPr>
      <w:r>
        <w:rPr>
          <w:rFonts w:ascii="宋体" w:hAnsi="宋体"/>
          <w:sz w:val="24"/>
        </w:rPr>
        <w:br w:type="page"/>
      </w:r>
    </w:p>
    <w:p w14:paraId="1CAD59B2">
      <w:pPr>
        <w:pStyle w:val="2"/>
        <w:spacing w:before="156" w:beforeLines="50" w:after="156" w:afterLines="50" w:line="720" w:lineRule="auto"/>
        <w:jc w:val="left"/>
        <w:rPr>
          <w:sz w:val="28"/>
          <w:szCs w:val="28"/>
        </w:rPr>
      </w:pPr>
      <w:bookmarkStart w:id="12" w:name="_Toc144785385"/>
      <w:bookmarkStart w:id="13" w:name="_Toc144781448"/>
      <w:bookmarkStart w:id="14" w:name="_Toc144789315"/>
      <w:bookmarkStart w:id="15" w:name="_Toc144722622"/>
      <w:r>
        <w:rPr>
          <w:rFonts w:hint="eastAsia"/>
          <w:sz w:val="28"/>
          <w:szCs w:val="28"/>
        </w:rPr>
        <w:t>十二、</w:t>
      </w:r>
      <w:bookmarkEnd w:id="12"/>
      <w:bookmarkEnd w:id="13"/>
      <w:bookmarkEnd w:id="14"/>
      <w:bookmarkEnd w:id="15"/>
      <w:r>
        <w:rPr>
          <w:rFonts w:hint="eastAsia"/>
          <w:sz w:val="28"/>
          <w:szCs w:val="28"/>
        </w:rPr>
        <w:t xml:space="preserve">合规性义务和评价控制程序 </w:t>
      </w:r>
      <w:r>
        <w:rPr>
          <w:sz w:val="28"/>
          <w:szCs w:val="28"/>
        </w:rPr>
        <w:t xml:space="preserve">    </w:t>
      </w:r>
      <w:r>
        <w:rPr>
          <w:rFonts w:hint="eastAsia"/>
          <w:sz w:val="28"/>
          <w:szCs w:val="28"/>
        </w:rPr>
        <w:t>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-012</w:t>
      </w:r>
    </w:p>
    <w:p w14:paraId="755B95F9">
      <w:pPr>
        <w:spacing w:line="360" w:lineRule="auto"/>
        <w:rPr>
          <w:bCs/>
          <w:sz w:val="24"/>
          <w:szCs w:val="28"/>
        </w:rPr>
      </w:pPr>
      <w:r>
        <w:rPr>
          <w:bCs/>
          <w:sz w:val="24"/>
          <w:szCs w:val="28"/>
        </w:rPr>
        <w:t>1</w:t>
      </w:r>
      <w:r>
        <w:rPr>
          <w:rFonts w:hint="eastAsia"/>
          <w:bCs/>
          <w:sz w:val="24"/>
          <w:szCs w:val="28"/>
        </w:rPr>
        <w:t>．目的</w:t>
      </w:r>
    </w:p>
    <w:p w14:paraId="1D24446E">
      <w:pPr>
        <w:spacing w:line="360" w:lineRule="auto"/>
        <w:rPr>
          <w:bCs/>
          <w:sz w:val="24"/>
          <w:szCs w:val="28"/>
        </w:rPr>
      </w:pPr>
      <w:r>
        <w:rPr>
          <w:bCs/>
          <w:sz w:val="24"/>
          <w:szCs w:val="28"/>
        </w:rPr>
        <w:t xml:space="preserve">    </w:t>
      </w:r>
      <w:r>
        <w:rPr>
          <w:rFonts w:hint="eastAsia"/>
          <w:bCs/>
          <w:sz w:val="24"/>
          <w:szCs w:val="28"/>
        </w:rPr>
        <w:t>评价适用环境、职业健康安全法律法规和其他要求的遵守情况，履行对合规性的承诺。</w:t>
      </w:r>
    </w:p>
    <w:p w14:paraId="1BBF6E46">
      <w:pPr>
        <w:spacing w:line="360" w:lineRule="auto"/>
        <w:rPr>
          <w:bCs/>
          <w:sz w:val="24"/>
          <w:szCs w:val="28"/>
        </w:rPr>
      </w:pPr>
      <w:r>
        <w:rPr>
          <w:bCs/>
          <w:sz w:val="24"/>
          <w:szCs w:val="28"/>
        </w:rPr>
        <w:t>2</w:t>
      </w:r>
      <w:r>
        <w:rPr>
          <w:rFonts w:hint="eastAsia"/>
          <w:bCs/>
          <w:sz w:val="24"/>
          <w:szCs w:val="28"/>
        </w:rPr>
        <w:t>．范围</w:t>
      </w:r>
    </w:p>
    <w:p w14:paraId="63E02FF1">
      <w:pPr>
        <w:spacing w:line="360" w:lineRule="auto"/>
        <w:rPr>
          <w:bCs/>
          <w:sz w:val="24"/>
          <w:szCs w:val="28"/>
        </w:rPr>
      </w:pPr>
      <w:r>
        <w:rPr>
          <w:bCs/>
          <w:sz w:val="24"/>
          <w:szCs w:val="28"/>
        </w:rPr>
        <w:t xml:space="preserve">    </w:t>
      </w:r>
      <w:r>
        <w:rPr>
          <w:rFonts w:hint="eastAsia"/>
          <w:bCs/>
          <w:sz w:val="24"/>
          <w:szCs w:val="28"/>
        </w:rPr>
        <w:t>适用于公司整合管理体系运行过程中所适用的环境以及职业健康安全法律法规和其他要求的遵守情况。</w:t>
      </w:r>
    </w:p>
    <w:p w14:paraId="6FEB80EA">
      <w:pPr>
        <w:spacing w:line="360" w:lineRule="auto"/>
        <w:rPr>
          <w:bCs/>
          <w:sz w:val="24"/>
          <w:szCs w:val="28"/>
        </w:rPr>
      </w:pPr>
      <w:r>
        <w:rPr>
          <w:bCs/>
          <w:sz w:val="24"/>
          <w:szCs w:val="28"/>
        </w:rPr>
        <w:t>3</w:t>
      </w:r>
      <w:r>
        <w:rPr>
          <w:rFonts w:hint="eastAsia"/>
          <w:bCs/>
          <w:sz w:val="24"/>
          <w:szCs w:val="28"/>
        </w:rPr>
        <w:t>．职责</w:t>
      </w:r>
    </w:p>
    <w:p w14:paraId="5DBF45C9">
      <w:pPr>
        <w:spacing w:line="360" w:lineRule="auto"/>
        <w:rPr>
          <w:bCs/>
          <w:sz w:val="24"/>
          <w:szCs w:val="28"/>
        </w:rPr>
      </w:pPr>
      <w:r>
        <w:rPr>
          <w:bCs/>
          <w:sz w:val="24"/>
          <w:szCs w:val="28"/>
        </w:rPr>
        <w:t>3.1</w:t>
      </w:r>
      <w:r>
        <w:rPr>
          <w:rFonts w:hint="eastAsia"/>
          <w:bCs/>
          <w:sz w:val="24"/>
          <w:szCs w:val="28"/>
          <w:lang w:eastAsia="zh-CN"/>
        </w:rPr>
        <w:t>综合部</w:t>
      </w:r>
      <w:r>
        <w:rPr>
          <w:rFonts w:hint="eastAsia"/>
          <w:bCs/>
          <w:sz w:val="24"/>
          <w:szCs w:val="28"/>
        </w:rPr>
        <w:t>负责定期对适用的法律法规和其他要求遵守情况进行评价，并将评价结果予以汇报。对不符合项采取纠正措施，并跟踪验证；建立法律法规和其他要求台帐。</w:t>
      </w:r>
    </w:p>
    <w:p w14:paraId="71186A40">
      <w:pPr>
        <w:spacing w:line="360" w:lineRule="auto"/>
        <w:rPr>
          <w:bCs/>
          <w:sz w:val="24"/>
          <w:szCs w:val="28"/>
        </w:rPr>
      </w:pPr>
      <w:r>
        <w:rPr>
          <w:bCs/>
          <w:sz w:val="24"/>
          <w:szCs w:val="28"/>
        </w:rPr>
        <w:t>3.2</w:t>
      </w:r>
      <w:r>
        <w:rPr>
          <w:rFonts w:hint="eastAsia"/>
          <w:bCs/>
          <w:sz w:val="24"/>
          <w:szCs w:val="28"/>
        </w:rPr>
        <w:t>各部门对评价结果中不符合项进行调查分析，采取纠正与预防措施。</w:t>
      </w:r>
    </w:p>
    <w:p w14:paraId="56A45653">
      <w:pPr>
        <w:spacing w:line="360" w:lineRule="auto"/>
        <w:rPr>
          <w:bCs/>
          <w:sz w:val="24"/>
          <w:szCs w:val="28"/>
        </w:rPr>
      </w:pPr>
      <w:r>
        <w:rPr>
          <w:bCs/>
          <w:sz w:val="24"/>
          <w:szCs w:val="28"/>
        </w:rPr>
        <w:t>4</w:t>
      </w:r>
      <w:r>
        <w:rPr>
          <w:rFonts w:hint="eastAsia"/>
          <w:bCs/>
          <w:sz w:val="24"/>
          <w:szCs w:val="28"/>
        </w:rPr>
        <w:t>．工作程序</w:t>
      </w:r>
    </w:p>
    <w:p w14:paraId="3B09757B">
      <w:pPr>
        <w:spacing w:line="360" w:lineRule="auto"/>
        <w:rPr>
          <w:bCs/>
          <w:sz w:val="24"/>
          <w:szCs w:val="28"/>
        </w:rPr>
      </w:pPr>
      <w:r>
        <w:rPr>
          <w:bCs/>
          <w:sz w:val="24"/>
          <w:szCs w:val="28"/>
        </w:rPr>
        <w:t>4.1</w:t>
      </w:r>
      <w:r>
        <w:rPr>
          <w:rFonts w:hint="eastAsia"/>
          <w:bCs/>
          <w:sz w:val="24"/>
          <w:szCs w:val="28"/>
        </w:rPr>
        <w:t>法律法规和其他要求识别对于法律法规和其他要求的识别，执行《法律法规和其他要求控制程序》。为了履行公司对遵守环境和职业健康安全法律法规和其他要求的承诺，应对遵守法律法规和其他要求的情况进行合规性评价。</w:t>
      </w:r>
    </w:p>
    <w:p w14:paraId="414C77D8">
      <w:pPr>
        <w:spacing w:line="360" w:lineRule="auto"/>
        <w:rPr>
          <w:bCs/>
          <w:sz w:val="24"/>
          <w:szCs w:val="28"/>
        </w:rPr>
      </w:pPr>
      <w:r>
        <w:rPr>
          <w:bCs/>
          <w:sz w:val="24"/>
          <w:szCs w:val="28"/>
        </w:rPr>
        <w:t>4.2</w:t>
      </w:r>
      <w:r>
        <w:rPr>
          <w:rFonts w:hint="eastAsia"/>
          <w:bCs/>
          <w:sz w:val="24"/>
          <w:szCs w:val="28"/>
        </w:rPr>
        <w:t>对遵守情况的评价控制</w:t>
      </w:r>
    </w:p>
    <w:p w14:paraId="1A755791">
      <w:pPr>
        <w:spacing w:line="360" w:lineRule="auto"/>
        <w:rPr>
          <w:bCs/>
          <w:sz w:val="24"/>
          <w:szCs w:val="28"/>
        </w:rPr>
      </w:pPr>
      <w:r>
        <w:rPr>
          <w:bCs/>
          <w:sz w:val="24"/>
          <w:szCs w:val="28"/>
        </w:rPr>
        <w:t>4.2.1</w:t>
      </w:r>
      <w:r>
        <w:rPr>
          <w:rFonts w:hint="eastAsia"/>
          <w:bCs/>
          <w:sz w:val="24"/>
          <w:szCs w:val="28"/>
        </w:rPr>
        <w:t>例行评价：</w:t>
      </w:r>
      <w:r>
        <w:rPr>
          <w:rFonts w:hint="eastAsia"/>
          <w:bCs/>
          <w:sz w:val="24"/>
          <w:szCs w:val="28"/>
          <w:lang w:eastAsia="zh-CN"/>
        </w:rPr>
        <w:t>综合部</w:t>
      </w:r>
      <w:r>
        <w:rPr>
          <w:rFonts w:hint="eastAsia"/>
          <w:bCs/>
          <w:sz w:val="24"/>
          <w:szCs w:val="28"/>
        </w:rPr>
        <w:t>每年至少一次对适用环境和职业健康安全法律、法规和其他要求的执行情况进行全面评价，填写《法律法规和其他要求合规性评价表》。</w:t>
      </w:r>
    </w:p>
    <w:p w14:paraId="6E9D330B">
      <w:pPr>
        <w:spacing w:line="360" w:lineRule="auto"/>
        <w:rPr>
          <w:bCs/>
          <w:sz w:val="24"/>
          <w:szCs w:val="28"/>
        </w:rPr>
      </w:pPr>
      <w:r>
        <w:rPr>
          <w:bCs/>
          <w:sz w:val="24"/>
          <w:szCs w:val="28"/>
        </w:rPr>
        <w:t>4.2.2</w:t>
      </w:r>
      <w:r>
        <w:rPr>
          <w:rFonts w:hint="eastAsia"/>
          <w:bCs/>
          <w:sz w:val="24"/>
          <w:szCs w:val="28"/>
        </w:rPr>
        <w:t>不定期评价：环境管理体系和职业健康安全管理体系运行过程中，在下述情况下，</w:t>
      </w:r>
      <w:r>
        <w:rPr>
          <w:rFonts w:hint="eastAsia"/>
          <w:bCs/>
          <w:sz w:val="24"/>
          <w:szCs w:val="28"/>
          <w:lang w:eastAsia="zh-CN"/>
        </w:rPr>
        <w:t>综合部</w:t>
      </w:r>
      <w:r>
        <w:rPr>
          <w:rFonts w:hint="eastAsia"/>
          <w:bCs/>
          <w:sz w:val="24"/>
          <w:szCs w:val="28"/>
        </w:rPr>
        <w:t>应及时对变化后执行情况进行评价。</w:t>
      </w:r>
    </w:p>
    <w:p w14:paraId="7FF7B951">
      <w:pPr>
        <w:numPr>
          <w:ilvl w:val="0"/>
          <w:numId w:val="35"/>
        </w:numPr>
        <w:spacing w:line="360" w:lineRule="auto"/>
        <w:rPr>
          <w:bCs/>
          <w:sz w:val="24"/>
          <w:szCs w:val="28"/>
        </w:rPr>
      </w:pPr>
      <w:r>
        <w:rPr>
          <w:rFonts w:hint="eastAsia"/>
          <w:bCs/>
          <w:sz w:val="24"/>
          <w:szCs w:val="28"/>
        </w:rPr>
        <w:t>新产品项目的引进；</w:t>
      </w:r>
      <w:r>
        <w:rPr>
          <w:bCs/>
          <w:sz w:val="24"/>
          <w:szCs w:val="28"/>
        </w:rPr>
        <w:t xml:space="preserve"> </w:t>
      </w:r>
    </w:p>
    <w:p w14:paraId="2635EDFE">
      <w:pPr>
        <w:numPr>
          <w:ilvl w:val="0"/>
          <w:numId w:val="35"/>
        </w:numPr>
        <w:spacing w:line="360" w:lineRule="auto"/>
        <w:rPr>
          <w:bCs/>
          <w:sz w:val="24"/>
          <w:szCs w:val="28"/>
        </w:rPr>
      </w:pPr>
      <w:r>
        <w:rPr>
          <w:rFonts w:hint="eastAsia"/>
          <w:bCs/>
          <w:sz w:val="24"/>
          <w:szCs w:val="28"/>
        </w:rPr>
        <w:t>环境因素、危险源发生变化</w:t>
      </w:r>
      <w:r>
        <w:rPr>
          <w:bCs/>
          <w:sz w:val="24"/>
          <w:szCs w:val="28"/>
        </w:rPr>
        <w:t xml:space="preserve"> </w:t>
      </w:r>
      <w:r>
        <w:rPr>
          <w:rFonts w:hint="eastAsia"/>
          <w:bCs/>
          <w:sz w:val="24"/>
          <w:szCs w:val="28"/>
        </w:rPr>
        <w:t>；</w:t>
      </w:r>
    </w:p>
    <w:p w14:paraId="5FE9941E">
      <w:pPr>
        <w:numPr>
          <w:ilvl w:val="0"/>
          <w:numId w:val="35"/>
        </w:numPr>
        <w:spacing w:line="360" w:lineRule="auto"/>
        <w:rPr>
          <w:bCs/>
          <w:sz w:val="24"/>
          <w:szCs w:val="28"/>
        </w:rPr>
      </w:pPr>
      <w:r>
        <w:rPr>
          <w:rFonts w:hint="eastAsia"/>
          <w:bCs/>
          <w:sz w:val="24"/>
          <w:szCs w:val="28"/>
        </w:rPr>
        <w:t>相关的环境法律法规和其他要求发生变更；</w:t>
      </w:r>
      <w:r>
        <w:rPr>
          <w:bCs/>
          <w:sz w:val="24"/>
          <w:szCs w:val="28"/>
        </w:rPr>
        <w:t xml:space="preserve"> </w:t>
      </w:r>
    </w:p>
    <w:p w14:paraId="25B58A41">
      <w:pPr>
        <w:numPr>
          <w:ilvl w:val="0"/>
          <w:numId w:val="35"/>
        </w:numPr>
        <w:spacing w:line="360" w:lineRule="auto"/>
        <w:rPr>
          <w:bCs/>
          <w:sz w:val="24"/>
          <w:szCs w:val="28"/>
        </w:rPr>
      </w:pPr>
      <w:r>
        <w:rPr>
          <w:rFonts w:hint="eastAsia"/>
          <w:bCs/>
          <w:sz w:val="24"/>
          <w:szCs w:val="28"/>
        </w:rPr>
        <w:t>组织机构调整，部门职责发生变化；</w:t>
      </w:r>
    </w:p>
    <w:p w14:paraId="35ED3138">
      <w:pPr>
        <w:numPr>
          <w:ilvl w:val="0"/>
          <w:numId w:val="35"/>
        </w:numPr>
        <w:spacing w:line="360" w:lineRule="auto"/>
        <w:rPr>
          <w:bCs/>
          <w:sz w:val="24"/>
          <w:szCs w:val="28"/>
        </w:rPr>
      </w:pPr>
      <w:r>
        <w:rPr>
          <w:rFonts w:hint="eastAsia"/>
          <w:bCs/>
          <w:sz w:val="24"/>
          <w:szCs w:val="28"/>
        </w:rPr>
        <w:t>其他需重新评价的情况。</w:t>
      </w:r>
    </w:p>
    <w:p w14:paraId="171DCD42">
      <w:pPr>
        <w:spacing w:line="360" w:lineRule="auto"/>
        <w:rPr>
          <w:bCs/>
          <w:sz w:val="24"/>
          <w:szCs w:val="28"/>
        </w:rPr>
      </w:pPr>
      <w:r>
        <w:rPr>
          <w:bCs/>
          <w:sz w:val="24"/>
          <w:szCs w:val="28"/>
        </w:rPr>
        <w:t>4.2.3</w:t>
      </w:r>
      <w:r>
        <w:rPr>
          <w:rFonts w:hint="eastAsia"/>
          <w:bCs/>
          <w:sz w:val="24"/>
          <w:szCs w:val="28"/>
        </w:rPr>
        <w:t>评价内容</w:t>
      </w:r>
    </w:p>
    <w:p w14:paraId="1CF0141D">
      <w:pPr>
        <w:spacing w:line="360" w:lineRule="auto"/>
        <w:ind w:firstLine="480"/>
        <w:rPr>
          <w:bCs/>
          <w:sz w:val="24"/>
          <w:szCs w:val="28"/>
        </w:rPr>
      </w:pPr>
      <w:r>
        <w:rPr>
          <w:rFonts w:hint="eastAsia"/>
          <w:bCs/>
          <w:sz w:val="24"/>
          <w:szCs w:val="28"/>
        </w:rPr>
        <w:t>可包含适用环境、职业健康安全法律法规和其他要求的相关内容。重点评价以下内容：</w:t>
      </w:r>
      <w:r>
        <w:rPr>
          <w:bCs/>
          <w:sz w:val="24"/>
          <w:szCs w:val="28"/>
        </w:rPr>
        <w:t xml:space="preserve">    </w:t>
      </w:r>
    </w:p>
    <w:p w14:paraId="71D4D975">
      <w:pPr>
        <w:spacing w:line="360" w:lineRule="auto"/>
        <w:rPr>
          <w:bCs/>
          <w:sz w:val="24"/>
          <w:szCs w:val="28"/>
        </w:rPr>
      </w:pPr>
      <w:r>
        <w:rPr>
          <w:bCs/>
          <w:sz w:val="24"/>
          <w:szCs w:val="28"/>
        </w:rPr>
        <w:t>a</w:t>
      </w:r>
      <w:r>
        <w:rPr>
          <w:rFonts w:hint="eastAsia"/>
          <w:bCs/>
          <w:sz w:val="24"/>
          <w:szCs w:val="28"/>
        </w:rPr>
        <w:t>．重要环境因素、重大危险源相关的法律法规；</w:t>
      </w:r>
      <w:r>
        <w:rPr>
          <w:bCs/>
          <w:sz w:val="24"/>
          <w:szCs w:val="28"/>
        </w:rPr>
        <w:t xml:space="preserve"> </w:t>
      </w:r>
    </w:p>
    <w:p w14:paraId="00AA06E3">
      <w:pPr>
        <w:spacing w:line="360" w:lineRule="auto"/>
        <w:ind w:left="720" w:hanging="720" w:hangingChars="300"/>
        <w:rPr>
          <w:bCs/>
          <w:sz w:val="24"/>
          <w:szCs w:val="28"/>
        </w:rPr>
      </w:pPr>
      <w:r>
        <w:rPr>
          <w:bCs/>
          <w:sz w:val="24"/>
          <w:szCs w:val="28"/>
        </w:rPr>
        <w:t>b</w:t>
      </w:r>
      <w:r>
        <w:rPr>
          <w:rFonts w:hint="eastAsia"/>
          <w:bCs/>
          <w:sz w:val="24"/>
          <w:szCs w:val="28"/>
        </w:rPr>
        <w:t>．污染物排放标准执行情况（废水、废气、噪声、固体废弃物、危险废弃物排放合规情况）；</w:t>
      </w:r>
      <w:r>
        <w:rPr>
          <w:bCs/>
          <w:sz w:val="24"/>
          <w:szCs w:val="28"/>
        </w:rPr>
        <w:t xml:space="preserve">  </w:t>
      </w:r>
    </w:p>
    <w:p w14:paraId="6DA2AB1F">
      <w:pPr>
        <w:spacing w:line="360" w:lineRule="auto"/>
        <w:rPr>
          <w:bCs/>
          <w:sz w:val="24"/>
          <w:szCs w:val="28"/>
        </w:rPr>
      </w:pPr>
      <w:r>
        <w:rPr>
          <w:bCs/>
          <w:sz w:val="24"/>
          <w:szCs w:val="28"/>
        </w:rPr>
        <w:t>c</w:t>
      </w:r>
      <w:r>
        <w:rPr>
          <w:rFonts w:hint="eastAsia"/>
          <w:bCs/>
          <w:sz w:val="24"/>
          <w:szCs w:val="28"/>
        </w:rPr>
        <w:t>．客户对产品中环境因子要求；</w:t>
      </w:r>
      <w:r>
        <w:rPr>
          <w:bCs/>
          <w:sz w:val="24"/>
          <w:szCs w:val="28"/>
        </w:rPr>
        <w:t xml:space="preserve">  </w:t>
      </w:r>
    </w:p>
    <w:p w14:paraId="6E391847">
      <w:pPr>
        <w:spacing w:line="360" w:lineRule="auto"/>
        <w:rPr>
          <w:bCs/>
          <w:sz w:val="24"/>
          <w:szCs w:val="28"/>
        </w:rPr>
      </w:pPr>
      <w:r>
        <w:rPr>
          <w:bCs/>
          <w:sz w:val="24"/>
          <w:szCs w:val="28"/>
        </w:rPr>
        <w:t>d</w:t>
      </w:r>
      <w:r>
        <w:rPr>
          <w:rFonts w:hint="eastAsia"/>
          <w:bCs/>
          <w:sz w:val="24"/>
          <w:szCs w:val="28"/>
        </w:rPr>
        <w:t>．环境影响评价法的落实以及环保“三同时”制度的执行情况；</w:t>
      </w:r>
      <w:r>
        <w:rPr>
          <w:bCs/>
          <w:sz w:val="24"/>
          <w:szCs w:val="28"/>
        </w:rPr>
        <w:t xml:space="preserve">  </w:t>
      </w:r>
    </w:p>
    <w:p w14:paraId="7149B58A">
      <w:pPr>
        <w:spacing w:line="360" w:lineRule="auto"/>
        <w:rPr>
          <w:bCs/>
          <w:sz w:val="24"/>
          <w:szCs w:val="28"/>
        </w:rPr>
      </w:pPr>
      <w:r>
        <w:rPr>
          <w:bCs/>
          <w:sz w:val="24"/>
          <w:szCs w:val="28"/>
        </w:rPr>
        <w:t>e</w:t>
      </w:r>
      <w:r>
        <w:rPr>
          <w:rFonts w:hint="eastAsia"/>
          <w:bCs/>
          <w:sz w:val="24"/>
          <w:szCs w:val="28"/>
        </w:rPr>
        <w:t>．员工的职业健康安全防护情况；</w:t>
      </w:r>
      <w:r>
        <w:rPr>
          <w:bCs/>
          <w:sz w:val="24"/>
          <w:szCs w:val="28"/>
        </w:rPr>
        <w:t xml:space="preserve">  </w:t>
      </w:r>
    </w:p>
    <w:p w14:paraId="09488E06">
      <w:pPr>
        <w:spacing w:line="360" w:lineRule="auto"/>
        <w:rPr>
          <w:bCs/>
          <w:sz w:val="24"/>
          <w:szCs w:val="28"/>
        </w:rPr>
      </w:pPr>
      <w:r>
        <w:rPr>
          <w:bCs/>
          <w:sz w:val="24"/>
          <w:szCs w:val="28"/>
        </w:rPr>
        <w:t>f</w:t>
      </w:r>
      <w:r>
        <w:rPr>
          <w:rFonts w:hint="eastAsia"/>
          <w:bCs/>
          <w:sz w:val="24"/>
          <w:szCs w:val="28"/>
        </w:rPr>
        <w:t>．相关方的环境和职业健康安全要求；</w:t>
      </w:r>
      <w:r>
        <w:rPr>
          <w:bCs/>
          <w:sz w:val="24"/>
          <w:szCs w:val="28"/>
        </w:rPr>
        <w:t xml:space="preserve">  </w:t>
      </w:r>
    </w:p>
    <w:p w14:paraId="13059167">
      <w:pPr>
        <w:spacing w:line="360" w:lineRule="auto"/>
        <w:rPr>
          <w:bCs/>
          <w:sz w:val="24"/>
          <w:szCs w:val="28"/>
        </w:rPr>
      </w:pPr>
      <w:r>
        <w:rPr>
          <w:bCs/>
          <w:sz w:val="24"/>
          <w:szCs w:val="28"/>
        </w:rPr>
        <w:t>g</w:t>
      </w:r>
      <w:r>
        <w:rPr>
          <w:rFonts w:hint="eastAsia"/>
          <w:bCs/>
          <w:sz w:val="24"/>
          <w:szCs w:val="28"/>
        </w:rPr>
        <w:t>．资源和能源的使用及公司整体环境保护的要求。</w:t>
      </w:r>
      <w:r>
        <w:rPr>
          <w:bCs/>
          <w:sz w:val="24"/>
          <w:szCs w:val="28"/>
        </w:rPr>
        <w:t xml:space="preserve">  </w:t>
      </w:r>
    </w:p>
    <w:p w14:paraId="29598D4C">
      <w:pPr>
        <w:spacing w:line="360" w:lineRule="auto"/>
        <w:rPr>
          <w:bCs/>
          <w:sz w:val="24"/>
          <w:szCs w:val="28"/>
        </w:rPr>
      </w:pPr>
      <w:r>
        <w:rPr>
          <w:bCs/>
          <w:sz w:val="24"/>
          <w:szCs w:val="28"/>
        </w:rPr>
        <w:t>h</w:t>
      </w:r>
      <w:r>
        <w:rPr>
          <w:rFonts w:hint="eastAsia"/>
          <w:bCs/>
          <w:sz w:val="24"/>
          <w:szCs w:val="28"/>
        </w:rPr>
        <w:t>．对与重要环境因素和重大危险源相关的法律法规符合性逐一对比，现状与实际对比，对有差距的条款制定相应改进措施，列入年度管理方案。</w:t>
      </w:r>
    </w:p>
    <w:p w14:paraId="165D75E9">
      <w:pPr>
        <w:spacing w:line="360" w:lineRule="auto"/>
        <w:rPr>
          <w:bCs/>
          <w:sz w:val="24"/>
          <w:szCs w:val="28"/>
        </w:rPr>
      </w:pPr>
      <w:r>
        <w:rPr>
          <w:bCs/>
          <w:sz w:val="24"/>
          <w:szCs w:val="28"/>
        </w:rPr>
        <w:t>4.3</w:t>
      </w:r>
      <w:r>
        <w:rPr>
          <w:rFonts w:hint="eastAsia"/>
          <w:bCs/>
          <w:sz w:val="24"/>
          <w:szCs w:val="28"/>
        </w:rPr>
        <w:t>评价后的处理：评价发现的不符合项，执行《不合格控制程序》</w:t>
      </w:r>
    </w:p>
    <w:p w14:paraId="1A48B65C">
      <w:pPr>
        <w:spacing w:line="360" w:lineRule="auto"/>
        <w:rPr>
          <w:bCs/>
          <w:sz w:val="24"/>
          <w:szCs w:val="28"/>
        </w:rPr>
      </w:pPr>
      <w:r>
        <w:rPr>
          <w:bCs/>
          <w:sz w:val="24"/>
          <w:szCs w:val="28"/>
        </w:rPr>
        <w:t>5</w:t>
      </w:r>
      <w:r>
        <w:rPr>
          <w:rFonts w:hint="eastAsia"/>
          <w:bCs/>
          <w:sz w:val="24"/>
          <w:szCs w:val="28"/>
        </w:rPr>
        <w:t>．相关文件：《不合格控制程序》</w:t>
      </w:r>
    </w:p>
    <w:p w14:paraId="5F6806C9">
      <w:pPr>
        <w:spacing w:line="360" w:lineRule="auto"/>
        <w:rPr>
          <w:bCs/>
          <w:sz w:val="24"/>
          <w:szCs w:val="28"/>
        </w:rPr>
      </w:pPr>
      <w:r>
        <w:rPr>
          <w:bCs/>
          <w:sz w:val="24"/>
          <w:szCs w:val="28"/>
        </w:rPr>
        <w:t>6</w:t>
      </w:r>
      <w:r>
        <w:rPr>
          <w:rFonts w:hint="eastAsia"/>
          <w:bCs/>
          <w:sz w:val="24"/>
          <w:szCs w:val="28"/>
        </w:rPr>
        <w:t>．记录：《法律法规和其他要求识别及合规性评价表》</w:t>
      </w:r>
    </w:p>
    <w:p w14:paraId="1A5C0954">
      <w:pPr>
        <w:spacing w:line="360" w:lineRule="auto"/>
        <w:rPr>
          <w:bCs/>
          <w:sz w:val="24"/>
          <w:szCs w:val="28"/>
        </w:rPr>
      </w:pPr>
    </w:p>
    <w:p w14:paraId="6D4FC4A2">
      <w:pPr>
        <w:widowControl/>
        <w:jc w:val="left"/>
        <w:rPr>
          <w:bCs/>
          <w:sz w:val="24"/>
          <w:szCs w:val="28"/>
        </w:rPr>
      </w:pPr>
      <w:r>
        <w:rPr>
          <w:bCs/>
          <w:sz w:val="24"/>
          <w:szCs w:val="28"/>
        </w:rPr>
        <w:br w:type="page"/>
      </w:r>
    </w:p>
    <w:p w14:paraId="1B44552D">
      <w:pPr>
        <w:pStyle w:val="2"/>
        <w:spacing w:before="156" w:beforeLines="50" w:after="156" w:afterLines="50" w:line="720" w:lineRule="auto"/>
        <w:jc w:val="left"/>
        <w:rPr>
          <w:sz w:val="28"/>
          <w:szCs w:val="28"/>
        </w:rPr>
      </w:pPr>
      <w:r>
        <w:rPr>
          <w:rFonts w:hint="eastAsia"/>
          <w:sz w:val="28"/>
          <w:szCs w:val="28"/>
        </w:rPr>
        <w:t>十三、应急准备和响应控制程序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-13</w:t>
      </w:r>
    </w:p>
    <w:p w14:paraId="1CAE591B">
      <w:pPr>
        <w:spacing w:line="360" w:lineRule="auto"/>
        <w:rPr>
          <w:rFonts w:ascii="宋体" w:hAnsi="宋体"/>
          <w:bCs/>
          <w:sz w:val="24"/>
        </w:rPr>
      </w:pPr>
      <w:r>
        <w:rPr>
          <w:rFonts w:hint="eastAsia" w:ascii="宋体" w:hAnsi="宋体"/>
          <w:bCs/>
          <w:sz w:val="24"/>
        </w:rPr>
        <w:t>1.  目的</w:t>
      </w:r>
    </w:p>
    <w:p w14:paraId="01F3C80B">
      <w:pPr>
        <w:spacing w:line="360" w:lineRule="auto"/>
        <w:ind w:firstLine="480" w:firstLineChars="200"/>
        <w:rPr>
          <w:rFonts w:ascii="宋体" w:hAnsi="宋体"/>
          <w:bCs/>
          <w:sz w:val="24"/>
        </w:rPr>
      </w:pPr>
      <w:r>
        <w:rPr>
          <w:rFonts w:hint="eastAsia" w:ascii="宋体" w:hAnsi="宋体"/>
          <w:sz w:val="24"/>
        </w:rPr>
        <w:t>针对公司潜在的环境和职业健康安全紧急事件,规范应对紧急事件的应急准备和响应办法。旨在有效控制紧急事件事态的发展，最大限度地减少事故或降低可能伴随产生的环境影响和对人体的伤害程度，特制定本程序。</w:t>
      </w:r>
    </w:p>
    <w:p w14:paraId="0D51733C">
      <w:pPr>
        <w:spacing w:line="360" w:lineRule="auto"/>
        <w:rPr>
          <w:rFonts w:ascii="宋体" w:hAnsi="宋体"/>
          <w:bCs/>
          <w:sz w:val="24"/>
        </w:rPr>
      </w:pPr>
      <w:r>
        <w:rPr>
          <w:rFonts w:hint="eastAsia" w:ascii="宋体" w:hAnsi="宋体"/>
          <w:bCs/>
          <w:sz w:val="24"/>
        </w:rPr>
        <w:t>2.  适用范围</w:t>
      </w:r>
    </w:p>
    <w:p w14:paraId="43305CE4">
      <w:pPr>
        <w:spacing w:line="360" w:lineRule="auto"/>
        <w:ind w:firstLine="480" w:firstLineChars="200"/>
        <w:rPr>
          <w:rFonts w:ascii="宋体" w:hAnsi="宋体"/>
          <w:bCs/>
          <w:sz w:val="24"/>
        </w:rPr>
      </w:pPr>
      <w:r>
        <w:rPr>
          <w:rFonts w:hint="eastAsia" w:ascii="宋体" w:hAnsi="宋体"/>
          <w:sz w:val="24"/>
        </w:rPr>
        <w:t>本程序适用于本公司现场及生活区、办公区可能出现的环境和职业健康安全事故的预防和处理。</w:t>
      </w:r>
    </w:p>
    <w:p w14:paraId="31ECBA0D">
      <w:pPr>
        <w:spacing w:line="360" w:lineRule="auto"/>
        <w:rPr>
          <w:rFonts w:ascii="宋体" w:hAnsi="宋体"/>
          <w:bCs/>
          <w:sz w:val="24"/>
        </w:rPr>
      </w:pPr>
      <w:r>
        <w:rPr>
          <w:rFonts w:hint="eastAsia" w:ascii="宋体" w:hAnsi="宋体"/>
          <w:bCs/>
          <w:sz w:val="24"/>
        </w:rPr>
        <w:t>3.  职责</w:t>
      </w:r>
    </w:p>
    <w:p w14:paraId="0E6CDB2A">
      <w:pPr>
        <w:spacing w:line="360" w:lineRule="auto"/>
        <w:ind w:left="579" w:leftChars="-14" w:hanging="608"/>
        <w:rPr>
          <w:rFonts w:ascii="宋体" w:hAnsi="宋体"/>
          <w:bCs/>
          <w:sz w:val="24"/>
        </w:rPr>
      </w:pPr>
      <w:r>
        <w:rPr>
          <w:rFonts w:hint="eastAsia" w:ascii="宋体" w:hAnsi="宋体"/>
          <w:bCs/>
          <w:sz w:val="24"/>
        </w:rPr>
        <w:t xml:space="preserve">3.1  </w:t>
      </w:r>
      <w:r>
        <w:rPr>
          <w:rFonts w:hint="eastAsia" w:ascii="宋体" w:hAnsi="宋体"/>
          <w:bCs/>
          <w:sz w:val="24"/>
          <w:lang w:eastAsia="zh-CN"/>
        </w:rPr>
        <w:t>综合部</w:t>
      </w:r>
      <w:r>
        <w:rPr>
          <w:rFonts w:hint="eastAsia" w:ascii="宋体" w:hAnsi="宋体"/>
          <w:sz w:val="24"/>
        </w:rPr>
        <w:t>负责公司环境和职业健康安全事件的应急预案的编制，并对实施情况进行监督检查和修正完善；组织消防演练；</w:t>
      </w:r>
    </w:p>
    <w:p w14:paraId="2E8FE0E6">
      <w:pPr>
        <w:spacing w:line="360" w:lineRule="auto"/>
        <w:ind w:left="579" w:leftChars="-14" w:hanging="608"/>
        <w:rPr>
          <w:rFonts w:ascii="宋体" w:hAnsi="宋体"/>
          <w:bCs/>
          <w:sz w:val="24"/>
        </w:rPr>
      </w:pPr>
      <w:r>
        <w:rPr>
          <w:rFonts w:hint="eastAsia" w:ascii="宋体" w:hAnsi="宋体"/>
          <w:bCs/>
          <w:sz w:val="24"/>
        </w:rPr>
        <w:t xml:space="preserve">3.2  </w:t>
      </w:r>
      <w:r>
        <w:rPr>
          <w:rFonts w:hint="eastAsia" w:ascii="宋体" w:hAnsi="宋体"/>
          <w:bCs/>
          <w:sz w:val="24"/>
          <w:lang w:eastAsia="zh-CN"/>
        </w:rPr>
        <w:t>生产技术部</w:t>
      </w:r>
      <w:r>
        <w:rPr>
          <w:rFonts w:hint="eastAsia" w:ascii="宋体" w:hAnsi="宋体"/>
          <w:bCs/>
          <w:sz w:val="24"/>
        </w:rPr>
        <w:t>负责对</w:t>
      </w:r>
      <w:r>
        <w:rPr>
          <w:rFonts w:hint="eastAsia" w:ascii="宋体" w:hAnsi="宋体"/>
          <w:sz w:val="24"/>
        </w:rPr>
        <w:t>用电设施、安全防护设施消防器材进行定期检查，</w:t>
      </w:r>
    </w:p>
    <w:p w14:paraId="74805378">
      <w:pPr>
        <w:spacing w:line="360" w:lineRule="auto"/>
        <w:ind w:left="607" w:hanging="607" w:hangingChars="253"/>
        <w:rPr>
          <w:rFonts w:ascii="宋体" w:hAnsi="宋体"/>
          <w:bCs/>
          <w:sz w:val="24"/>
        </w:rPr>
      </w:pPr>
      <w:r>
        <w:rPr>
          <w:rFonts w:hint="eastAsia" w:ascii="宋体" w:hAnsi="宋体"/>
          <w:bCs/>
          <w:sz w:val="24"/>
        </w:rPr>
        <w:t>3.3  其他部门各自</w:t>
      </w:r>
      <w:r>
        <w:rPr>
          <w:rFonts w:hint="eastAsia" w:ascii="宋体" w:hAnsi="宋体"/>
          <w:sz w:val="24"/>
        </w:rPr>
        <w:t>负责职责范围内的环境、职业健康安全应急预案的实施。</w:t>
      </w:r>
    </w:p>
    <w:p w14:paraId="15A7ABCF">
      <w:pPr>
        <w:spacing w:line="360" w:lineRule="auto"/>
        <w:rPr>
          <w:rFonts w:ascii="宋体" w:hAnsi="宋体"/>
          <w:bCs/>
          <w:sz w:val="24"/>
        </w:rPr>
      </w:pPr>
      <w:r>
        <w:rPr>
          <w:rFonts w:hint="eastAsia" w:ascii="宋体" w:hAnsi="宋体"/>
          <w:bCs/>
          <w:sz w:val="24"/>
        </w:rPr>
        <w:t>4.  程序</w:t>
      </w:r>
    </w:p>
    <w:p w14:paraId="5D3631D4">
      <w:pPr>
        <w:spacing w:line="360" w:lineRule="auto"/>
        <w:rPr>
          <w:rFonts w:ascii="宋体" w:hAnsi="宋体"/>
          <w:sz w:val="24"/>
        </w:rPr>
      </w:pPr>
      <w:r>
        <w:rPr>
          <w:rFonts w:hint="eastAsia" w:ascii="宋体" w:hAnsi="宋体"/>
          <w:bCs/>
          <w:sz w:val="24"/>
        </w:rPr>
        <w:t xml:space="preserve">4.1  </w:t>
      </w:r>
      <w:r>
        <w:rPr>
          <w:rFonts w:hint="eastAsia" w:ascii="宋体" w:hAnsi="宋体"/>
          <w:sz w:val="24"/>
        </w:rPr>
        <w:t>潜在的事件/事故或紧急情况的范围</w:t>
      </w:r>
    </w:p>
    <w:p w14:paraId="4F4EDF4A">
      <w:pPr>
        <w:spacing w:line="360" w:lineRule="auto"/>
        <w:ind w:firstLine="480" w:firstLineChars="200"/>
        <w:rPr>
          <w:rFonts w:ascii="宋体" w:hAnsi="宋体"/>
          <w:sz w:val="24"/>
        </w:rPr>
      </w:pPr>
      <w:r>
        <w:rPr>
          <w:rFonts w:hint="eastAsia" w:ascii="宋体" w:hAnsi="宋体"/>
          <w:sz w:val="24"/>
        </w:rPr>
        <w:t>根据公司重要环境因素及职业健康安全风险所能造成的环境影响和伤害，确定可能发生的紧急情况如下：</w:t>
      </w:r>
    </w:p>
    <w:p w14:paraId="5ED45C5D">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生产过程中的夹伤、砸伤、</w:t>
      </w:r>
      <w:r>
        <w:rPr>
          <w:rFonts w:hint="eastAsia" w:ascii="宋体" w:hAnsi="宋体"/>
          <w:sz w:val="24"/>
          <w:lang w:eastAsia="zh-CN"/>
        </w:rPr>
        <w:t>电子</w:t>
      </w:r>
      <w:r>
        <w:rPr>
          <w:rFonts w:hint="eastAsia" w:ascii="宋体" w:hAnsi="宋体"/>
          <w:sz w:val="24"/>
        </w:rPr>
        <w:t>伤害等安全事故；</w:t>
      </w:r>
    </w:p>
    <w:p w14:paraId="14071636">
      <w:pPr>
        <w:numPr>
          <w:ilvl w:val="0"/>
          <w:numId w:val="36"/>
        </w:numPr>
        <w:tabs>
          <w:tab w:val="left" w:pos="724"/>
          <w:tab w:val="clear" w:pos="840"/>
        </w:tabs>
        <w:spacing w:line="360" w:lineRule="auto"/>
        <w:ind w:left="724"/>
        <w:rPr>
          <w:rFonts w:ascii="宋体" w:hAnsi="宋体"/>
          <w:sz w:val="24"/>
        </w:rPr>
      </w:pPr>
      <w:r>
        <w:rPr>
          <w:rFonts w:hint="eastAsia" w:ascii="宋体" w:hAnsi="宋体"/>
          <w:sz w:val="24"/>
          <w:lang w:eastAsia="zh-CN"/>
        </w:rPr>
        <w:t>电子</w:t>
      </w:r>
      <w:r>
        <w:rPr>
          <w:rFonts w:hint="eastAsia" w:ascii="宋体" w:hAnsi="宋体"/>
          <w:sz w:val="24"/>
        </w:rPr>
        <w:t>设备的重大事故；</w:t>
      </w:r>
    </w:p>
    <w:p w14:paraId="1FCD22EF">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产品交付及上下班途中的交通事故；</w:t>
      </w:r>
    </w:p>
    <w:p w14:paraId="3B91F52D">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火灾、爆炸等事故；</w:t>
      </w:r>
    </w:p>
    <w:p w14:paraId="7CAB0916">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暴雨、雷击等自然灾害；</w:t>
      </w:r>
    </w:p>
    <w:p w14:paraId="38273D3E">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触电事故及重大生产和防护设施安全事故；</w:t>
      </w:r>
    </w:p>
    <w:p w14:paraId="30D1CE9D">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环境污染事件；</w:t>
      </w:r>
    </w:p>
    <w:p w14:paraId="56B269BA">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现场突然停水、停电，挖断水、电、通讯管线等事故；</w:t>
      </w:r>
    </w:p>
    <w:p w14:paraId="78F8D0BE">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食物中毒、疾病传染事件；</w:t>
      </w:r>
    </w:p>
    <w:p w14:paraId="357C3198">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其它未可预测的突发事件。</w:t>
      </w:r>
    </w:p>
    <w:p w14:paraId="70CF472D">
      <w:pPr>
        <w:spacing w:line="360" w:lineRule="auto"/>
        <w:rPr>
          <w:rFonts w:ascii="宋体" w:hAnsi="宋体"/>
          <w:sz w:val="24"/>
        </w:rPr>
      </w:pPr>
      <w:r>
        <w:rPr>
          <w:rFonts w:hint="eastAsia" w:ascii="宋体" w:hAnsi="宋体"/>
          <w:sz w:val="24"/>
        </w:rPr>
        <w:t>4.2  应急准备</w:t>
      </w:r>
    </w:p>
    <w:p w14:paraId="3B65E3A2">
      <w:pPr>
        <w:spacing w:line="360" w:lineRule="auto"/>
        <w:ind w:left="682" w:hanging="681" w:hangingChars="284"/>
        <w:rPr>
          <w:rFonts w:ascii="宋体" w:hAnsi="宋体"/>
          <w:sz w:val="24"/>
        </w:rPr>
      </w:pPr>
      <w:r>
        <w:rPr>
          <w:rFonts w:hint="eastAsia" w:ascii="宋体" w:hAnsi="宋体"/>
          <w:sz w:val="24"/>
        </w:rPr>
        <w:t>4.2.1 根据公司潜在的重大环境因素、重大职业健康安全风险，确定危险区域或潜在紧急状态发生点，在这些地方做出醒目标识并配上必要的警示语，如“安全出口”“防止明火”、“轻拿轻放”、“小心触电”“防止摔倒”“小心碰头”等，同时,</w:t>
      </w:r>
      <w:r>
        <w:rPr>
          <w:rFonts w:hint="eastAsia" w:ascii="宋体" w:hAnsi="宋体"/>
          <w:sz w:val="24"/>
          <w:lang w:eastAsia="zh-CN"/>
        </w:rPr>
        <w:t>综合部</w:t>
      </w:r>
      <w:r>
        <w:rPr>
          <w:rFonts w:hint="eastAsia" w:ascii="宋体" w:hAnsi="宋体"/>
          <w:sz w:val="24"/>
        </w:rPr>
        <w:t>应在这些地点安装必要的应急设备，如除尘设备、报警器、灭火器、消防面罩等消防、防护设备；</w:t>
      </w:r>
    </w:p>
    <w:p w14:paraId="00082543">
      <w:pPr>
        <w:spacing w:line="360" w:lineRule="auto"/>
        <w:ind w:left="667" w:hanging="667" w:hangingChars="278"/>
        <w:rPr>
          <w:rFonts w:ascii="宋体" w:hAnsi="宋体"/>
          <w:sz w:val="24"/>
        </w:rPr>
      </w:pPr>
      <w:r>
        <w:rPr>
          <w:rFonts w:hint="eastAsia" w:ascii="宋体" w:hAnsi="宋体"/>
          <w:sz w:val="24"/>
        </w:rPr>
        <w:t>4.2.2为相关岗位员工配备完善的个人防护用品，如手套、口罩、防护眼镜等,并训练员工熟练使用；</w:t>
      </w:r>
    </w:p>
    <w:p w14:paraId="02BF48A9">
      <w:pPr>
        <w:spacing w:line="360" w:lineRule="auto"/>
        <w:rPr>
          <w:rFonts w:ascii="宋体" w:hAnsi="宋体"/>
          <w:sz w:val="24"/>
        </w:rPr>
      </w:pPr>
      <w:r>
        <w:rPr>
          <w:rFonts w:hint="eastAsia" w:ascii="宋体" w:hAnsi="宋体"/>
          <w:sz w:val="24"/>
        </w:rPr>
        <w:t>4.2.3</w:t>
      </w:r>
      <w:r>
        <w:rPr>
          <w:rFonts w:hint="eastAsia" w:ascii="宋体" w:hAnsi="宋体"/>
          <w:sz w:val="24"/>
          <w:lang w:eastAsia="zh-CN"/>
        </w:rPr>
        <w:t>综合部</w:t>
      </w:r>
      <w:r>
        <w:rPr>
          <w:rFonts w:hint="eastAsia" w:ascii="宋体" w:hAnsi="宋体"/>
          <w:sz w:val="24"/>
        </w:rPr>
        <w:t>应准备急救箱，并从各部门选送若干人员进行急救培训；</w:t>
      </w:r>
    </w:p>
    <w:p w14:paraId="37357DC4">
      <w:pPr>
        <w:spacing w:line="360" w:lineRule="auto"/>
        <w:ind w:left="682" w:hanging="681" w:hangingChars="284"/>
        <w:rPr>
          <w:rFonts w:ascii="宋体" w:hAnsi="宋体"/>
          <w:sz w:val="24"/>
        </w:rPr>
      </w:pPr>
      <w:r>
        <w:rPr>
          <w:rFonts w:hint="eastAsia" w:ascii="宋体" w:hAnsi="宋体"/>
          <w:sz w:val="24"/>
        </w:rPr>
        <w:t>4.2.4就本公司可能发生的各种紧急状态，</w:t>
      </w:r>
      <w:r>
        <w:rPr>
          <w:rFonts w:hint="eastAsia" w:ascii="宋体" w:hAnsi="宋体"/>
          <w:sz w:val="24"/>
          <w:lang w:eastAsia="zh-CN"/>
        </w:rPr>
        <w:t>综合部</w:t>
      </w:r>
      <w:r>
        <w:rPr>
          <w:rFonts w:hint="eastAsia" w:ascii="宋体" w:hAnsi="宋体"/>
          <w:sz w:val="24"/>
        </w:rPr>
        <w:t>负责组织各相关部门编制《应急预案》，该方案应发放到有关部门和岗位，必要时进行演练；</w:t>
      </w:r>
    </w:p>
    <w:p w14:paraId="53A3013D">
      <w:pPr>
        <w:spacing w:line="360" w:lineRule="auto"/>
        <w:ind w:left="696" w:hanging="696" w:hangingChars="290"/>
        <w:rPr>
          <w:rFonts w:ascii="宋体" w:hAnsi="宋体"/>
          <w:sz w:val="24"/>
        </w:rPr>
      </w:pPr>
      <w:r>
        <w:rPr>
          <w:rFonts w:hint="eastAsia" w:ascii="宋体" w:hAnsi="宋体"/>
          <w:sz w:val="24"/>
        </w:rPr>
        <w:t>4.2.5</w:t>
      </w:r>
      <w:r>
        <w:rPr>
          <w:rFonts w:hint="eastAsia" w:ascii="宋体" w:hAnsi="宋体"/>
          <w:sz w:val="24"/>
          <w:lang w:eastAsia="zh-CN"/>
        </w:rPr>
        <w:t>综合部</w:t>
      </w:r>
      <w:r>
        <w:rPr>
          <w:rFonts w:hint="eastAsia" w:ascii="宋体" w:hAnsi="宋体"/>
          <w:sz w:val="24"/>
        </w:rPr>
        <w:t>对消防器材和设施进行定点标识，每季度定期检查一次数量及完好性，并合理的维护与保养，对于超过保质期或使用效果不好的消防设备，要及时更换；</w:t>
      </w:r>
    </w:p>
    <w:p w14:paraId="5AFDB8A7">
      <w:pPr>
        <w:spacing w:line="360" w:lineRule="auto"/>
        <w:ind w:left="650" w:hanging="650" w:hangingChars="271"/>
        <w:rPr>
          <w:rFonts w:ascii="宋体" w:hAnsi="宋体"/>
          <w:sz w:val="24"/>
        </w:rPr>
      </w:pPr>
      <w:r>
        <w:rPr>
          <w:rFonts w:hint="eastAsia" w:ascii="宋体" w:hAnsi="宋体"/>
          <w:sz w:val="24"/>
        </w:rPr>
        <w:t>4.2.6</w:t>
      </w:r>
      <w:r>
        <w:rPr>
          <w:rFonts w:hint="eastAsia" w:ascii="宋体" w:hAnsi="宋体"/>
          <w:sz w:val="24"/>
          <w:lang w:eastAsia="zh-CN"/>
        </w:rPr>
        <w:t>综合部</w:t>
      </w:r>
      <w:r>
        <w:rPr>
          <w:rFonts w:hint="eastAsia" w:ascii="宋体" w:hAnsi="宋体"/>
          <w:sz w:val="24"/>
        </w:rPr>
        <w:t>组织有关科室每月进行一次安全、环境专业性大检查，以减少事故隐患，检查的重点是特种作业、特种设备、特殊场所，如电气焊、压力容器、易燃易爆场所等；</w:t>
      </w:r>
    </w:p>
    <w:p w14:paraId="3C59F221">
      <w:pPr>
        <w:spacing w:line="360" w:lineRule="auto"/>
        <w:ind w:left="696" w:hanging="696" w:hangingChars="290"/>
        <w:rPr>
          <w:rFonts w:ascii="宋体" w:hAnsi="宋体"/>
          <w:sz w:val="24"/>
        </w:rPr>
      </w:pPr>
      <w:r>
        <w:rPr>
          <w:rFonts w:hint="eastAsia" w:ascii="宋体" w:hAnsi="宋体"/>
          <w:sz w:val="24"/>
        </w:rPr>
        <w:t>4.2.7公司从各主要部门抽调、并参加过专业培训的人员，组成义务消防队，</w:t>
      </w:r>
      <w:r>
        <w:rPr>
          <w:rFonts w:hint="eastAsia" w:ascii="宋体" w:hAnsi="宋体"/>
          <w:sz w:val="24"/>
          <w:lang w:eastAsia="zh-CN"/>
        </w:rPr>
        <w:t>综合部</w:t>
      </w:r>
      <w:r>
        <w:rPr>
          <w:rFonts w:hint="eastAsia" w:ascii="宋体" w:hAnsi="宋体"/>
          <w:sz w:val="24"/>
        </w:rPr>
        <w:t>负责组织</w:t>
      </w:r>
      <w:r>
        <w:rPr>
          <w:rFonts w:hint="eastAsia" w:ascii="宋体" w:hAnsi="宋体"/>
          <w:sz w:val="24"/>
          <w:lang w:eastAsia="zh-CN"/>
        </w:rPr>
        <w:t>研发部</w:t>
      </w:r>
      <w:r>
        <w:rPr>
          <w:rFonts w:hint="eastAsia" w:ascii="宋体" w:hAnsi="宋体"/>
          <w:sz w:val="24"/>
        </w:rPr>
        <w:t>、</w:t>
      </w:r>
      <w:r>
        <w:rPr>
          <w:rFonts w:hint="eastAsia" w:ascii="宋体" w:hAnsi="宋体"/>
          <w:sz w:val="24"/>
          <w:lang w:eastAsia="zh-CN"/>
        </w:rPr>
        <w:t>生产技术部</w:t>
      </w:r>
      <w:r>
        <w:rPr>
          <w:rFonts w:hint="eastAsia" w:ascii="宋体" w:hAnsi="宋体"/>
          <w:sz w:val="24"/>
        </w:rPr>
        <w:t>、</w:t>
      </w:r>
      <w:r>
        <w:rPr>
          <w:rFonts w:hint="eastAsia" w:ascii="宋体" w:hAnsi="宋体"/>
          <w:sz w:val="24"/>
          <w:lang w:eastAsia="zh-CN"/>
        </w:rPr>
        <w:t>市场部</w:t>
      </w:r>
      <w:r>
        <w:rPr>
          <w:rFonts w:hint="eastAsia" w:ascii="宋体" w:hAnsi="宋体"/>
          <w:sz w:val="24"/>
        </w:rPr>
        <w:t>等部门的义务消防员进行安全防火技能培训，并且每年组织一次安全防火演习，演习后要总结经验教训，并将这些经验教训记录在《</w:t>
      </w:r>
      <w:r>
        <w:rPr>
          <w:rFonts w:hint="eastAsia" w:ascii="宋体" w:hAnsi="宋体"/>
          <w:bCs/>
          <w:sz w:val="24"/>
        </w:rPr>
        <w:t>应急预案演习记录</w:t>
      </w:r>
      <w:r>
        <w:rPr>
          <w:rFonts w:hint="eastAsia" w:ascii="宋体" w:hAnsi="宋体"/>
          <w:sz w:val="24"/>
        </w:rPr>
        <w:t>》中，根据演习中发现的问题，对《应急预案》等相关文件适当修改调整；</w:t>
      </w:r>
    </w:p>
    <w:p w14:paraId="42B5355C">
      <w:pPr>
        <w:spacing w:line="360" w:lineRule="auto"/>
        <w:ind w:left="667" w:hanging="667" w:hangingChars="278"/>
        <w:rPr>
          <w:rFonts w:ascii="宋体" w:hAnsi="宋体"/>
          <w:sz w:val="24"/>
        </w:rPr>
      </w:pPr>
      <w:r>
        <w:rPr>
          <w:rFonts w:hint="eastAsia" w:ascii="宋体" w:hAnsi="宋体"/>
          <w:sz w:val="24"/>
        </w:rPr>
        <w:t>4.2.8</w:t>
      </w:r>
      <w:r>
        <w:rPr>
          <w:rFonts w:hint="eastAsia" w:ascii="宋体" w:hAnsi="宋体"/>
          <w:sz w:val="24"/>
          <w:lang w:eastAsia="zh-CN"/>
        </w:rPr>
        <w:t>综合部</w:t>
      </w:r>
      <w:r>
        <w:rPr>
          <w:rFonts w:hint="eastAsia" w:ascii="宋体" w:hAnsi="宋体"/>
          <w:sz w:val="24"/>
        </w:rPr>
        <w:t>负责将火灾的疏散路线图和集合地点张贴在现场的显要位置，各部门都有责任保持消防通道的畅通；</w:t>
      </w:r>
    </w:p>
    <w:p w14:paraId="6797B66C">
      <w:pPr>
        <w:spacing w:line="360" w:lineRule="auto"/>
        <w:ind w:left="696" w:hanging="696" w:hangingChars="290"/>
        <w:rPr>
          <w:rFonts w:ascii="宋体" w:hAnsi="宋体"/>
          <w:sz w:val="24"/>
        </w:rPr>
      </w:pPr>
      <w:r>
        <w:rPr>
          <w:rFonts w:hint="eastAsia" w:ascii="宋体" w:hAnsi="宋体"/>
          <w:sz w:val="24"/>
        </w:rPr>
        <w:t>4.2.9</w:t>
      </w:r>
      <w:r>
        <w:rPr>
          <w:rFonts w:hint="eastAsia" w:ascii="宋体" w:hAnsi="宋体"/>
          <w:sz w:val="24"/>
          <w:lang w:eastAsia="zh-CN"/>
        </w:rPr>
        <w:t>综合部</w:t>
      </w:r>
      <w:r>
        <w:rPr>
          <w:rFonts w:hint="eastAsia" w:ascii="宋体" w:hAnsi="宋体"/>
          <w:sz w:val="24"/>
        </w:rPr>
        <w:t>负责健全包括有消防队、医院、环保局、应急管理局等单位以及公司各有关领导的电话联络表，并同政府消防队、环保局、应急管理等保持联络，以获取环境、职业健康安全方面的相关资讯。</w:t>
      </w:r>
    </w:p>
    <w:p w14:paraId="6F3FD473">
      <w:pPr>
        <w:tabs>
          <w:tab w:val="left" w:pos="2265"/>
        </w:tabs>
        <w:spacing w:line="360" w:lineRule="auto"/>
        <w:rPr>
          <w:rFonts w:ascii="宋体" w:hAnsi="宋体"/>
          <w:sz w:val="24"/>
        </w:rPr>
      </w:pPr>
      <w:r>
        <w:rPr>
          <w:rFonts w:hint="eastAsia" w:ascii="宋体" w:hAnsi="宋体"/>
          <w:sz w:val="24"/>
        </w:rPr>
        <w:t>4</w:t>
      </w:r>
      <w:r>
        <w:rPr>
          <w:rFonts w:ascii="宋体" w:hAnsi="宋体"/>
          <w:sz w:val="24"/>
        </w:rPr>
        <w:t xml:space="preserve">.3 </w:t>
      </w:r>
      <w:r>
        <w:rPr>
          <w:rFonts w:hint="eastAsia" w:ascii="宋体" w:hAnsi="宋体"/>
          <w:sz w:val="24"/>
        </w:rPr>
        <w:t>应急响应</w:t>
      </w:r>
    </w:p>
    <w:p w14:paraId="1A7BF986">
      <w:pPr>
        <w:tabs>
          <w:tab w:val="left" w:pos="2265"/>
        </w:tabs>
        <w:spacing w:line="360" w:lineRule="auto"/>
        <w:rPr>
          <w:rFonts w:ascii="宋体" w:hAnsi="宋体"/>
          <w:sz w:val="24"/>
        </w:rPr>
      </w:pPr>
      <w:r>
        <w:rPr>
          <w:rFonts w:hint="eastAsia" w:ascii="宋体" w:hAnsi="宋体"/>
          <w:sz w:val="24"/>
        </w:rPr>
        <w:t>4</w:t>
      </w:r>
      <w:r>
        <w:rPr>
          <w:rFonts w:ascii="宋体" w:hAnsi="宋体"/>
          <w:sz w:val="24"/>
        </w:rPr>
        <w:t xml:space="preserve">.3.1 </w:t>
      </w:r>
      <w:r>
        <w:rPr>
          <w:rFonts w:hint="eastAsia" w:ascii="宋体" w:hAnsi="宋体"/>
          <w:sz w:val="24"/>
        </w:rPr>
        <w:t>报警</w:t>
      </w:r>
    </w:p>
    <w:p w14:paraId="5465E091">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紧急事故发生后，发现人应立即报警；</w:t>
      </w:r>
    </w:p>
    <w:p w14:paraId="4A02734B">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内部报警；紧急事件发生时，事件发生的部门应立即报告给综合办，同时采取紧急处理措施，如：暂停生产、切断电源、关闭设备等等，简述出事地点、情况、报警人姓名，要求快速进行信息传递；</w:t>
      </w:r>
    </w:p>
    <w:p w14:paraId="22AC9F32">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外部报警：向上级或主管部门等必要部门，详细准确报告出事地点、单位、电话、事态现状及报告人姓名。如是火警立即打火警电话报警，报警时应讲明起火地点、火势大小、起火物资、公司电话号码等详细情况。</w:t>
      </w:r>
    </w:p>
    <w:p w14:paraId="2BD7F1B5">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.3.2</w:t>
      </w:r>
      <w:r>
        <w:rPr>
          <w:rFonts w:hint="eastAsia" w:ascii="宋体" w:hAnsi="宋体"/>
          <w:sz w:val="24"/>
        </w:rPr>
        <w:t>公司在发现或接到报警后，应立即组织应急队，按事先制定的《紧急情况应急方案》具体要求应对事故，首先进行自救。若事态状况严重或重大事故难以控制和处理，应立即疏散人员并在自救的同时向专业救援队求救；</w:t>
      </w:r>
    </w:p>
    <w:p w14:paraId="73A2AF8D">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3设临时紧急事务联络员一名，负责紧急事务的联络工作，明确联络地址和电话，确保信息通畅；</w:t>
      </w:r>
    </w:p>
    <w:p w14:paraId="0F35FF36">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4在急救过程中，具有威胁人身安全情况时，应首先确保人身安全，迅速组织脱离危险区域或场所后，方可采取紧急措施；</w:t>
      </w:r>
    </w:p>
    <w:p w14:paraId="114D505C">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5当发生紧急事故，要切断电源，隔离可燃气体（液体），防止事态扩大；</w:t>
      </w:r>
    </w:p>
    <w:p w14:paraId="19452BC4">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6疏通事发现场道路，保证救援工作顺利进行。</w:t>
      </w:r>
    </w:p>
    <w:p w14:paraId="4A53215D">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7疏散人群至安全地带，以减少必要的伤亡，并为救援人员提供更大的急救场地</w:t>
      </w:r>
    </w:p>
    <w:p w14:paraId="65F13554">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8配合专业救援队伍进行急救工作。</w:t>
      </w:r>
    </w:p>
    <w:p w14:paraId="3AD7F099">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9事故发生调整处理后，应及时对现场进行清理，减少对环境或职业健康安全的影响。</w:t>
      </w:r>
    </w:p>
    <w:p w14:paraId="4F49F910">
      <w:pPr>
        <w:spacing w:line="360" w:lineRule="auto"/>
        <w:rPr>
          <w:rFonts w:ascii="宋体" w:hAnsi="宋体"/>
          <w:sz w:val="24"/>
        </w:rPr>
      </w:pPr>
      <w:r>
        <w:rPr>
          <w:rFonts w:hint="eastAsia" w:ascii="宋体" w:hAnsi="宋体"/>
          <w:sz w:val="24"/>
        </w:rPr>
        <w:t>4.4  纠正和完善</w:t>
      </w:r>
    </w:p>
    <w:p w14:paraId="5807857A">
      <w:pPr>
        <w:spacing w:line="360" w:lineRule="auto"/>
        <w:ind w:left="682" w:hanging="681" w:hangingChars="284"/>
        <w:rPr>
          <w:rFonts w:ascii="宋体" w:hAnsi="宋体"/>
          <w:sz w:val="24"/>
        </w:rPr>
      </w:pPr>
      <w:r>
        <w:rPr>
          <w:rFonts w:hint="eastAsia" w:ascii="宋体" w:hAnsi="宋体"/>
          <w:sz w:val="24"/>
        </w:rPr>
        <w:t>4.4.1事故发生后，管理者代表组织有关部门和人员进行调查（重伤、死亡事故，应由总经理组织调查），查明事故的原因、性质、经过、污染、伤亡、经济损失等情况，调查的结论填入《事故调查与处理报告》中；</w:t>
      </w:r>
    </w:p>
    <w:p w14:paraId="4E453C39">
      <w:pPr>
        <w:spacing w:line="360" w:lineRule="auto"/>
        <w:ind w:left="682" w:hanging="681" w:hangingChars="284"/>
        <w:rPr>
          <w:rFonts w:ascii="宋体" w:hAnsi="宋体"/>
          <w:sz w:val="24"/>
        </w:rPr>
      </w:pPr>
      <w:r>
        <w:rPr>
          <w:rFonts w:hint="eastAsia" w:ascii="宋体" w:hAnsi="宋体"/>
          <w:sz w:val="24"/>
        </w:rPr>
        <w:t>4.4.2在事故调查的基础上，提出处理意见和防范措施建议，对事故责任人要做出行政或经济的处罚决定，必要时依法追究其刑事责任；</w:t>
      </w:r>
    </w:p>
    <w:p w14:paraId="44EC7426">
      <w:pPr>
        <w:spacing w:line="360" w:lineRule="auto"/>
        <w:ind w:left="682" w:hanging="681" w:hangingChars="284"/>
        <w:rPr>
          <w:rFonts w:ascii="宋体" w:hAnsi="宋体"/>
          <w:sz w:val="24"/>
        </w:rPr>
      </w:pPr>
      <w:r>
        <w:rPr>
          <w:rFonts w:hint="eastAsia" w:ascii="宋体" w:hAnsi="宋体"/>
          <w:sz w:val="24"/>
        </w:rPr>
        <w:t>4.4.3事故处理必须遵守“四不放过”的原则，即事故原因分析不清不放过、事故责任者未收到处罚不放过、全体员工未受到教育不放过、没有制定防范措施不放过；</w:t>
      </w:r>
    </w:p>
    <w:p w14:paraId="5FA761BC">
      <w:pPr>
        <w:spacing w:line="360" w:lineRule="auto"/>
        <w:ind w:left="667" w:hanging="667" w:hangingChars="278"/>
        <w:rPr>
          <w:rFonts w:ascii="宋体" w:hAnsi="宋体"/>
          <w:sz w:val="24"/>
        </w:rPr>
      </w:pPr>
      <w:r>
        <w:rPr>
          <w:rFonts w:hint="eastAsia" w:ascii="宋体" w:hAnsi="宋体"/>
          <w:sz w:val="24"/>
        </w:rPr>
        <w:t>4.4.4管理者代表依据《事故调查与处理报告》，向有关部门发出纠正和预防措施处理单，并按要求，对纠正和预防措施的实施效果进行监督验证；</w:t>
      </w:r>
    </w:p>
    <w:p w14:paraId="2D6E787F">
      <w:pPr>
        <w:spacing w:line="360" w:lineRule="auto"/>
        <w:ind w:left="682" w:hanging="681" w:hangingChars="284"/>
        <w:rPr>
          <w:rFonts w:ascii="宋体" w:hAnsi="宋体"/>
          <w:sz w:val="24"/>
        </w:rPr>
      </w:pPr>
      <w:r>
        <w:rPr>
          <w:rFonts w:hint="eastAsia" w:ascii="宋体" w:hAnsi="宋体"/>
          <w:sz w:val="24"/>
        </w:rPr>
        <w:t>4.4.5在事故调查处理的同时，管理者代表组织对本程序进行评审，根据评审结果，发现本程序内容不适宜时，应做必要的修订，使其不断完善。</w:t>
      </w:r>
    </w:p>
    <w:p w14:paraId="2C02FA86">
      <w:pPr>
        <w:spacing w:line="360" w:lineRule="auto"/>
        <w:rPr>
          <w:rFonts w:ascii="宋体" w:hAnsi="宋体"/>
          <w:bCs/>
          <w:sz w:val="24"/>
        </w:rPr>
      </w:pPr>
      <w:r>
        <w:rPr>
          <w:rFonts w:hint="eastAsia" w:ascii="宋体" w:hAnsi="宋体"/>
          <w:bCs/>
          <w:sz w:val="24"/>
        </w:rPr>
        <w:t>5.  相关文件</w:t>
      </w:r>
    </w:p>
    <w:p w14:paraId="4070E808">
      <w:pPr>
        <w:spacing w:line="360" w:lineRule="auto"/>
        <w:rPr>
          <w:rFonts w:ascii="宋体" w:hAnsi="宋体"/>
          <w:bCs/>
          <w:sz w:val="24"/>
        </w:rPr>
      </w:pPr>
      <w:r>
        <w:rPr>
          <w:rFonts w:hint="eastAsia" w:ascii="宋体" w:hAnsi="宋体"/>
          <w:bCs/>
          <w:sz w:val="24"/>
        </w:rPr>
        <w:t>5.1  《应急预案》</w:t>
      </w:r>
    </w:p>
    <w:p w14:paraId="407D1AD4">
      <w:pPr>
        <w:spacing w:line="360" w:lineRule="auto"/>
        <w:rPr>
          <w:rFonts w:ascii="宋体" w:hAnsi="宋体"/>
          <w:bCs/>
          <w:sz w:val="24"/>
        </w:rPr>
      </w:pPr>
      <w:r>
        <w:rPr>
          <w:rFonts w:hint="eastAsia" w:ascii="宋体" w:hAnsi="宋体"/>
          <w:bCs/>
          <w:sz w:val="24"/>
        </w:rPr>
        <w:t>6.  记录</w:t>
      </w:r>
    </w:p>
    <w:p w14:paraId="33383A25">
      <w:pPr>
        <w:tabs>
          <w:tab w:val="left" w:pos="2360"/>
        </w:tabs>
        <w:spacing w:line="360" w:lineRule="auto"/>
        <w:rPr>
          <w:rFonts w:ascii="宋体" w:hAnsi="宋体"/>
          <w:sz w:val="24"/>
        </w:rPr>
      </w:pPr>
      <w:r>
        <w:rPr>
          <w:rFonts w:hint="eastAsia" w:ascii="宋体" w:hAnsi="宋体"/>
          <w:sz w:val="24"/>
        </w:rPr>
        <w:t>6.1  《</w:t>
      </w:r>
      <w:r>
        <w:rPr>
          <w:rFonts w:hint="eastAsia"/>
          <w:sz w:val="24"/>
        </w:rPr>
        <w:t>应急预案演练评价报告</w:t>
      </w:r>
      <w:r>
        <w:rPr>
          <w:rFonts w:hint="eastAsia" w:ascii="宋体" w:hAnsi="宋体"/>
          <w:sz w:val="24"/>
        </w:rPr>
        <w:t>》</w:t>
      </w:r>
    </w:p>
    <w:p w14:paraId="4680196F">
      <w:pPr>
        <w:tabs>
          <w:tab w:val="left" w:pos="2360"/>
        </w:tabs>
        <w:spacing w:line="360" w:lineRule="auto"/>
        <w:rPr>
          <w:sz w:val="24"/>
          <w:szCs w:val="28"/>
        </w:rPr>
      </w:pPr>
      <w:r>
        <w:rPr>
          <w:rFonts w:hint="eastAsia" w:ascii="宋体" w:hAnsi="宋体"/>
          <w:sz w:val="24"/>
        </w:rPr>
        <w:t>6.2  《紧急情况应急预案》</w:t>
      </w:r>
      <w:r>
        <w:rPr>
          <w:sz w:val="24"/>
          <w:szCs w:val="28"/>
        </w:rPr>
        <w:br w:type="page"/>
      </w:r>
    </w:p>
    <w:p w14:paraId="7F8EDB62">
      <w:pPr>
        <w:pStyle w:val="2"/>
        <w:spacing w:before="156" w:beforeLines="50" w:after="156" w:afterLines="50" w:line="720" w:lineRule="auto"/>
        <w:jc w:val="left"/>
        <w:rPr>
          <w:sz w:val="28"/>
          <w:szCs w:val="28"/>
        </w:rPr>
      </w:pPr>
      <w:r>
        <w:rPr>
          <w:rFonts w:hint="eastAsia"/>
          <w:sz w:val="28"/>
          <w:szCs w:val="28"/>
        </w:rPr>
        <w:t>十四、改进控制程序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-014</w:t>
      </w:r>
    </w:p>
    <w:p w14:paraId="43617D41">
      <w:pPr>
        <w:spacing w:line="360" w:lineRule="auto"/>
        <w:rPr>
          <w:bCs/>
          <w:sz w:val="24"/>
        </w:rPr>
      </w:pPr>
      <w:r>
        <w:rPr>
          <w:bCs/>
          <w:sz w:val="24"/>
        </w:rPr>
        <w:t>l</w:t>
      </w:r>
      <w:r>
        <w:rPr>
          <w:rFonts w:hint="eastAsia"/>
          <w:bCs/>
          <w:sz w:val="24"/>
        </w:rPr>
        <w:t>、目的</w:t>
      </w:r>
      <w:r>
        <w:rPr>
          <w:bCs/>
          <w:sz w:val="24"/>
        </w:rPr>
        <w:t>:</w:t>
      </w:r>
      <w:r>
        <w:rPr>
          <w:rFonts w:hint="eastAsia"/>
          <w:bCs/>
          <w:sz w:val="24"/>
        </w:rPr>
        <w:t>采取有效的改进措施，持续改进质量、环境、职业健康安全管理体系。</w:t>
      </w:r>
    </w:p>
    <w:p w14:paraId="33258C6A">
      <w:pPr>
        <w:spacing w:line="360" w:lineRule="auto"/>
        <w:rPr>
          <w:bCs/>
          <w:sz w:val="24"/>
        </w:rPr>
      </w:pPr>
      <w:r>
        <w:rPr>
          <w:bCs/>
          <w:sz w:val="24"/>
        </w:rPr>
        <w:t>2</w:t>
      </w:r>
      <w:r>
        <w:rPr>
          <w:rFonts w:hint="eastAsia"/>
          <w:bCs/>
          <w:sz w:val="24"/>
        </w:rPr>
        <w:t>、范围</w:t>
      </w:r>
      <w:r>
        <w:rPr>
          <w:bCs/>
          <w:sz w:val="24"/>
        </w:rPr>
        <w:t>:</w:t>
      </w:r>
      <w:r>
        <w:rPr>
          <w:rFonts w:hint="eastAsia"/>
          <w:bCs/>
          <w:sz w:val="24"/>
        </w:rPr>
        <w:t>适用于改进措施的制定、实施与验证。</w:t>
      </w:r>
    </w:p>
    <w:p w14:paraId="5F617BE2">
      <w:pPr>
        <w:spacing w:line="360" w:lineRule="auto"/>
        <w:rPr>
          <w:bCs/>
          <w:sz w:val="24"/>
        </w:rPr>
      </w:pPr>
      <w:r>
        <w:rPr>
          <w:bCs/>
          <w:sz w:val="24"/>
        </w:rPr>
        <w:t>3</w:t>
      </w:r>
      <w:r>
        <w:rPr>
          <w:rFonts w:hint="eastAsia"/>
          <w:bCs/>
          <w:sz w:val="24"/>
        </w:rPr>
        <w:t>、职责</w:t>
      </w:r>
      <w:r>
        <w:rPr>
          <w:bCs/>
          <w:sz w:val="24"/>
        </w:rPr>
        <w:t>:</w:t>
      </w:r>
    </w:p>
    <w:p w14:paraId="40529E3E">
      <w:pPr>
        <w:spacing w:line="360" w:lineRule="auto"/>
        <w:rPr>
          <w:bCs/>
          <w:sz w:val="24"/>
        </w:rPr>
      </w:pPr>
      <w:r>
        <w:rPr>
          <w:bCs/>
          <w:sz w:val="24"/>
        </w:rPr>
        <w:t>3</w:t>
      </w:r>
      <w:r>
        <w:rPr>
          <w:rFonts w:hint="eastAsia"/>
          <w:bCs/>
          <w:sz w:val="24"/>
        </w:rPr>
        <w:t>.1管理者代表负责质量、环境、职业健康安全体系持续改进的策划，当出现存在和潜在问题时，发出相应的《改进、纠正</w:t>
      </w:r>
      <w:r>
        <w:rPr>
          <w:bCs/>
          <w:sz w:val="24"/>
        </w:rPr>
        <w:t>/</w:t>
      </w:r>
      <w:r>
        <w:rPr>
          <w:rFonts w:hint="eastAsia"/>
          <w:bCs/>
          <w:sz w:val="24"/>
        </w:rPr>
        <w:t>预防措施表》，并跟踪验证实施效果。</w:t>
      </w:r>
    </w:p>
    <w:p w14:paraId="16F988FF">
      <w:pPr>
        <w:spacing w:line="360" w:lineRule="auto"/>
        <w:rPr>
          <w:bCs/>
          <w:sz w:val="24"/>
        </w:rPr>
      </w:pPr>
      <w:r>
        <w:rPr>
          <w:bCs/>
          <w:sz w:val="24"/>
        </w:rPr>
        <w:t>3</w:t>
      </w:r>
      <w:r>
        <w:rPr>
          <w:rFonts w:hint="eastAsia"/>
          <w:bCs/>
          <w:sz w:val="24"/>
        </w:rPr>
        <w:t>.2</w:t>
      </w:r>
      <w:r>
        <w:rPr>
          <w:rFonts w:hint="eastAsia"/>
          <w:bCs/>
          <w:sz w:val="24"/>
          <w:lang w:eastAsia="zh-CN"/>
        </w:rPr>
        <w:t>综合部</w:t>
      </w:r>
      <w:r>
        <w:rPr>
          <w:rFonts w:hint="eastAsia"/>
          <w:bCs/>
          <w:sz w:val="24"/>
        </w:rPr>
        <w:t>负责过程中产品持续改进的策划，根据反馈及检查的各类质量环境安全信息制定和发出《改进、纠正</w:t>
      </w:r>
      <w:r>
        <w:rPr>
          <w:bCs/>
          <w:sz w:val="24"/>
        </w:rPr>
        <w:t>/</w:t>
      </w:r>
      <w:r>
        <w:rPr>
          <w:rFonts w:hint="eastAsia"/>
          <w:bCs/>
          <w:sz w:val="24"/>
        </w:rPr>
        <w:t>预防措施表》，并跟踪验证实施效果。</w:t>
      </w:r>
    </w:p>
    <w:p w14:paraId="5732E37F">
      <w:pPr>
        <w:spacing w:line="360" w:lineRule="auto"/>
        <w:rPr>
          <w:bCs/>
          <w:sz w:val="24"/>
        </w:rPr>
      </w:pPr>
      <w:r>
        <w:rPr>
          <w:bCs/>
          <w:sz w:val="24"/>
        </w:rPr>
        <w:t>3</w:t>
      </w:r>
      <w:r>
        <w:rPr>
          <w:rFonts w:hint="eastAsia"/>
          <w:bCs/>
          <w:sz w:val="24"/>
        </w:rPr>
        <w:t>.</w:t>
      </w:r>
      <w:r>
        <w:rPr>
          <w:bCs/>
          <w:sz w:val="24"/>
        </w:rPr>
        <w:t>3</w:t>
      </w:r>
      <w:r>
        <w:rPr>
          <w:rFonts w:hint="eastAsia"/>
          <w:bCs/>
          <w:sz w:val="24"/>
        </w:rPr>
        <w:t>各部门负责相应的改进、纠正和预防措施的实施。</w:t>
      </w:r>
    </w:p>
    <w:p w14:paraId="54D0F10C">
      <w:pPr>
        <w:spacing w:line="360" w:lineRule="auto"/>
        <w:rPr>
          <w:bCs/>
          <w:sz w:val="24"/>
        </w:rPr>
      </w:pPr>
      <w:r>
        <w:rPr>
          <w:bCs/>
          <w:sz w:val="24"/>
        </w:rPr>
        <w:t>3</w:t>
      </w:r>
      <w:r>
        <w:rPr>
          <w:rFonts w:hint="eastAsia"/>
          <w:bCs/>
          <w:sz w:val="24"/>
        </w:rPr>
        <w:t>.</w:t>
      </w:r>
      <w:r>
        <w:rPr>
          <w:bCs/>
          <w:sz w:val="24"/>
        </w:rPr>
        <w:t>4</w:t>
      </w:r>
      <w:r>
        <w:rPr>
          <w:rFonts w:hint="eastAsia"/>
          <w:bCs/>
          <w:sz w:val="24"/>
        </w:rPr>
        <w:t>管理者代表负责体系的改进、纠正和预防措施的监督与协调。</w:t>
      </w:r>
    </w:p>
    <w:p w14:paraId="78421378">
      <w:pPr>
        <w:spacing w:line="360" w:lineRule="auto"/>
        <w:rPr>
          <w:bCs/>
          <w:sz w:val="24"/>
        </w:rPr>
      </w:pPr>
      <w:r>
        <w:rPr>
          <w:bCs/>
          <w:sz w:val="24"/>
        </w:rPr>
        <w:t>4</w:t>
      </w:r>
      <w:r>
        <w:rPr>
          <w:rFonts w:hint="eastAsia"/>
          <w:bCs/>
          <w:sz w:val="24"/>
        </w:rPr>
        <w:t xml:space="preserve"> .程序</w:t>
      </w:r>
      <w:r>
        <w:rPr>
          <w:bCs/>
          <w:sz w:val="24"/>
        </w:rPr>
        <w:t>:</w:t>
      </w:r>
    </w:p>
    <w:p w14:paraId="704A04DB">
      <w:pPr>
        <w:spacing w:line="360" w:lineRule="auto"/>
        <w:rPr>
          <w:bCs/>
          <w:sz w:val="24"/>
        </w:rPr>
      </w:pPr>
      <w:r>
        <w:rPr>
          <w:bCs/>
          <w:sz w:val="24"/>
        </w:rPr>
        <w:t>4</w:t>
      </w:r>
      <w:r>
        <w:rPr>
          <w:rFonts w:hint="eastAsia"/>
          <w:bCs/>
          <w:sz w:val="24"/>
        </w:rPr>
        <w:t>.1  持续改进的策划</w:t>
      </w:r>
      <w:r>
        <w:rPr>
          <w:bCs/>
          <w:sz w:val="24"/>
        </w:rPr>
        <w:t>:</w:t>
      </w:r>
    </w:p>
    <w:p w14:paraId="19AC3012">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1</w:t>
      </w:r>
      <w:r>
        <w:rPr>
          <w:rFonts w:hint="eastAsia"/>
          <w:bCs/>
          <w:sz w:val="24"/>
        </w:rPr>
        <w:t>对质量环境管理体系各过程进行改进，不断提高质量、环境、职业健康安全管理体系的有效性，以达到持续改进的目的。</w:t>
      </w:r>
    </w:p>
    <w:p w14:paraId="29175F71">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2</w:t>
      </w:r>
      <w:r>
        <w:rPr>
          <w:rFonts w:hint="eastAsia"/>
          <w:bCs/>
          <w:sz w:val="24"/>
        </w:rPr>
        <w:t>日常的改进活动的策划参照</w:t>
      </w:r>
      <w:r>
        <w:rPr>
          <w:bCs/>
          <w:sz w:val="24"/>
        </w:rPr>
        <w:t>4</w:t>
      </w:r>
      <w:r>
        <w:rPr>
          <w:rFonts w:hint="eastAsia"/>
          <w:bCs/>
          <w:sz w:val="24"/>
        </w:rPr>
        <w:t>.</w:t>
      </w:r>
      <w:r>
        <w:rPr>
          <w:bCs/>
          <w:sz w:val="24"/>
        </w:rPr>
        <w:t>2</w:t>
      </w:r>
      <w:r>
        <w:rPr>
          <w:rFonts w:hint="eastAsia"/>
          <w:bCs/>
          <w:sz w:val="24"/>
        </w:rPr>
        <w:t>/4.</w:t>
      </w:r>
      <w:r>
        <w:rPr>
          <w:bCs/>
          <w:sz w:val="24"/>
        </w:rPr>
        <w:t>3</w:t>
      </w:r>
      <w:r>
        <w:rPr>
          <w:rFonts w:hint="eastAsia"/>
          <w:bCs/>
          <w:sz w:val="24"/>
        </w:rPr>
        <w:t>进行。</w:t>
      </w:r>
    </w:p>
    <w:p w14:paraId="3D00E72C">
      <w:pPr>
        <w:spacing w:line="360" w:lineRule="auto"/>
        <w:rPr>
          <w:bCs/>
          <w:sz w:val="24"/>
        </w:rPr>
      </w:pPr>
      <w:r>
        <w:rPr>
          <w:rFonts w:hint="eastAsia"/>
          <w:bCs/>
          <w:sz w:val="24"/>
        </w:rPr>
        <w:t>4.1.3 重大的改进项目</w:t>
      </w:r>
      <w:r>
        <w:rPr>
          <w:bCs/>
          <w:sz w:val="24"/>
        </w:rPr>
        <w:t>:</w:t>
      </w:r>
      <w:r>
        <w:rPr>
          <w:rFonts w:hint="eastAsia"/>
          <w:bCs/>
          <w:sz w:val="24"/>
        </w:rPr>
        <w:t>对现有过程和产品的更改及资源变化，在策划时应考虑</w:t>
      </w:r>
      <w:r>
        <w:rPr>
          <w:bCs/>
          <w:sz w:val="24"/>
        </w:rPr>
        <w:t>:</w:t>
      </w:r>
    </w:p>
    <w:p w14:paraId="454E6E33">
      <w:pPr>
        <w:spacing w:line="360" w:lineRule="auto"/>
        <w:ind w:firstLine="240" w:firstLineChars="100"/>
        <w:rPr>
          <w:bCs/>
          <w:sz w:val="24"/>
        </w:rPr>
      </w:pPr>
      <w:r>
        <w:rPr>
          <w:bCs/>
          <w:sz w:val="24"/>
        </w:rPr>
        <w:t>a.</w:t>
      </w:r>
      <w:r>
        <w:rPr>
          <w:rFonts w:hint="eastAsia"/>
          <w:bCs/>
          <w:sz w:val="24"/>
        </w:rPr>
        <w:t>改进项目的预期目标与公司目标相适宜。</w:t>
      </w:r>
    </w:p>
    <w:p w14:paraId="33F43226">
      <w:pPr>
        <w:spacing w:line="360" w:lineRule="auto"/>
        <w:ind w:firstLine="240" w:firstLineChars="100"/>
        <w:rPr>
          <w:bCs/>
          <w:sz w:val="24"/>
        </w:rPr>
      </w:pPr>
      <w:r>
        <w:rPr>
          <w:bCs/>
          <w:sz w:val="24"/>
        </w:rPr>
        <w:t>b.</w:t>
      </w:r>
      <w:r>
        <w:rPr>
          <w:rFonts w:hint="eastAsia"/>
          <w:bCs/>
          <w:sz w:val="24"/>
        </w:rPr>
        <w:t>改进项目的更改对体系完整及运行的影响。</w:t>
      </w:r>
    </w:p>
    <w:p w14:paraId="5E4EA94E">
      <w:pPr>
        <w:spacing w:line="360" w:lineRule="auto"/>
        <w:ind w:firstLine="240" w:firstLineChars="100"/>
        <w:rPr>
          <w:bCs/>
          <w:sz w:val="24"/>
        </w:rPr>
      </w:pPr>
      <w:r>
        <w:rPr>
          <w:bCs/>
          <w:sz w:val="24"/>
        </w:rPr>
        <w:t>c.</w:t>
      </w:r>
      <w:r>
        <w:rPr>
          <w:rFonts w:hint="eastAsia"/>
          <w:bCs/>
          <w:sz w:val="24"/>
        </w:rPr>
        <w:t>资源需求变化对各过程和产品的影响。</w:t>
      </w:r>
    </w:p>
    <w:p w14:paraId="30C00ED6">
      <w:pPr>
        <w:spacing w:line="360" w:lineRule="auto"/>
        <w:ind w:firstLine="240" w:firstLineChars="100"/>
        <w:rPr>
          <w:bCs/>
          <w:sz w:val="24"/>
        </w:rPr>
      </w:pPr>
      <w:r>
        <w:rPr>
          <w:bCs/>
          <w:sz w:val="24"/>
        </w:rPr>
        <w:t>d.</w:t>
      </w:r>
      <w:r>
        <w:rPr>
          <w:rFonts w:hint="eastAsia"/>
          <w:bCs/>
          <w:sz w:val="24"/>
        </w:rPr>
        <w:t>对实施的改进项目进行评价。</w:t>
      </w:r>
    </w:p>
    <w:p w14:paraId="745860FE">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4</w:t>
      </w:r>
      <w:r>
        <w:rPr>
          <w:rFonts w:hint="eastAsia"/>
          <w:bCs/>
          <w:sz w:val="24"/>
        </w:rPr>
        <w:t>、持续改进的机会</w:t>
      </w:r>
      <w:r>
        <w:rPr>
          <w:bCs/>
          <w:sz w:val="24"/>
        </w:rPr>
        <w:t>:</w:t>
      </w:r>
    </w:p>
    <w:p w14:paraId="4D9B4EE2">
      <w:pPr>
        <w:spacing w:line="360" w:lineRule="auto"/>
        <w:ind w:firstLine="240" w:firstLineChars="100"/>
        <w:rPr>
          <w:bCs/>
          <w:sz w:val="24"/>
        </w:rPr>
      </w:pPr>
      <w:r>
        <w:rPr>
          <w:bCs/>
          <w:sz w:val="24"/>
        </w:rPr>
        <w:t>a.</w:t>
      </w:r>
      <w:r>
        <w:rPr>
          <w:rFonts w:hint="eastAsia"/>
          <w:bCs/>
          <w:sz w:val="24"/>
          <w:lang w:eastAsia="zh-CN"/>
        </w:rPr>
        <w:t>综合部</w:t>
      </w:r>
      <w:r>
        <w:rPr>
          <w:rFonts w:hint="eastAsia"/>
          <w:bCs/>
          <w:sz w:val="24"/>
        </w:rPr>
        <w:t>通过质量、环境、职业健康安全方针、目标的贯彻情况，数据分析、审核和管理评审的结果，积极寻找体系改进的机会。</w:t>
      </w:r>
    </w:p>
    <w:p w14:paraId="36C99829">
      <w:pPr>
        <w:spacing w:line="360" w:lineRule="auto"/>
        <w:ind w:firstLine="240" w:firstLineChars="100"/>
        <w:rPr>
          <w:bCs/>
          <w:sz w:val="24"/>
        </w:rPr>
      </w:pPr>
      <w:r>
        <w:rPr>
          <w:bCs/>
          <w:sz w:val="24"/>
        </w:rPr>
        <w:t>b.</w:t>
      </w:r>
      <w:r>
        <w:rPr>
          <w:rFonts w:hint="eastAsia"/>
          <w:bCs/>
          <w:sz w:val="24"/>
        </w:rPr>
        <w:t>各部门通过各种信息反馈及检查情况，积极寻找产品及过程持续改进的机会。</w:t>
      </w:r>
    </w:p>
    <w:p w14:paraId="6E31B3C8">
      <w:pPr>
        <w:spacing w:line="360" w:lineRule="auto"/>
        <w:ind w:firstLine="240" w:firstLineChars="100"/>
        <w:rPr>
          <w:bCs/>
          <w:sz w:val="24"/>
        </w:rPr>
      </w:pPr>
      <w:r>
        <w:rPr>
          <w:bCs/>
          <w:sz w:val="24"/>
        </w:rPr>
        <w:t>c.</w:t>
      </w:r>
      <w:r>
        <w:rPr>
          <w:rFonts w:hint="eastAsia"/>
          <w:bCs/>
          <w:sz w:val="24"/>
        </w:rPr>
        <w:t>日常改进按纠正和预防措施实施，重大的改进项目，</w:t>
      </w:r>
      <w:r>
        <w:rPr>
          <w:rFonts w:hint="eastAsia"/>
          <w:bCs/>
          <w:sz w:val="24"/>
          <w:lang w:eastAsia="zh-CN"/>
        </w:rPr>
        <w:t>综合部</w:t>
      </w:r>
      <w:r>
        <w:rPr>
          <w:rFonts w:hint="eastAsia"/>
          <w:bCs/>
          <w:sz w:val="24"/>
        </w:rPr>
        <w:t>制定《改进计划表》报管理者代表，待总经理批准后，进行策划并实施。</w:t>
      </w:r>
    </w:p>
    <w:p w14:paraId="629E3E28">
      <w:pPr>
        <w:spacing w:line="360" w:lineRule="auto"/>
        <w:rPr>
          <w:bCs/>
          <w:sz w:val="24"/>
        </w:rPr>
      </w:pPr>
      <w:r>
        <w:rPr>
          <w:bCs/>
          <w:sz w:val="24"/>
        </w:rPr>
        <w:t>4</w:t>
      </w:r>
      <w:r>
        <w:rPr>
          <w:rFonts w:hint="eastAsia"/>
          <w:bCs/>
          <w:sz w:val="24"/>
        </w:rPr>
        <w:t>.</w:t>
      </w:r>
      <w:r>
        <w:rPr>
          <w:bCs/>
          <w:sz w:val="24"/>
        </w:rPr>
        <w:t>2</w:t>
      </w:r>
      <w:r>
        <w:rPr>
          <w:rFonts w:hint="eastAsia"/>
          <w:bCs/>
          <w:sz w:val="24"/>
        </w:rPr>
        <w:t>纠正措施：</w:t>
      </w:r>
    </w:p>
    <w:p w14:paraId="3AAC5D00">
      <w:pPr>
        <w:spacing w:line="360" w:lineRule="auto"/>
        <w:rPr>
          <w:bCs/>
          <w:sz w:val="24"/>
        </w:rPr>
      </w:pPr>
      <w:r>
        <w:rPr>
          <w:rFonts w:hint="eastAsia"/>
          <w:bCs/>
          <w:sz w:val="24"/>
        </w:rPr>
        <w:t>为消除不合格的原因，防止不合格的再发生，应对已出现的不合格原因采取相应的纠正措施。</w:t>
      </w:r>
    </w:p>
    <w:p w14:paraId="35872B71">
      <w:pPr>
        <w:spacing w:line="360" w:lineRule="auto"/>
        <w:rPr>
          <w:bCs/>
          <w:sz w:val="24"/>
        </w:rPr>
      </w:pPr>
      <w:r>
        <w:rPr>
          <w:bCs/>
          <w:sz w:val="24"/>
        </w:rPr>
        <w:t>4</w:t>
      </w:r>
      <w:r>
        <w:rPr>
          <w:rFonts w:hint="eastAsia"/>
          <w:bCs/>
          <w:sz w:val="24"/>
        </w:rPr>
        <w:t>.</w:t>
      </w:r>
      <w:r>
        <w:rPr>
          <w:bCs/>
          <w:sz w:val="24"/>
        </w:rPr>
        <w:t>2</w:t>
      </w:r>
      <w:r>
        <w:rPr>
          <w:rFonts w:hint="eastAsia"/>
          <w:bCs/>
          <w:sz w:val="24"/>
        </w:rPr>
        <w:t>.</w:t>
      </w:r>
      <w:r>
        <w:rPr>
          <w:bCs/>
          <w:sz w:val="24"/>
        </w:rPr>
        <w:t>1</w:t>
      </w:r>
      <w:r>
        <w:rPr>
          <w:rFonts w:hint="eastAsia"/>
          <w:bCs/>
          <w:sz w:val="24"/>
        </w:rPr>
        <w:t xml:space="preserve"> 收集、评价和评审已发生的不合格信息。不合格信息的来源可能为：</w:t>
      </w:r>
    </w:p>
    <w:p w14:paraId="6E7513EB">
      <w:pPr>
        <w:spacing w:line="360" w:lineRule="auto"/>
        <w:rPr>
          <w:bCs/>
          <w:sz w:val="24"/>
        </w:rPr>
      </w:pPr>
      <w:r>
        <w:rPr>
          <w:rFonts w:hint="eastAsia"/>
          <w:bCs/>
          <w:sz w:val="24"/>
        </w:rPr>
        <w:t>a）不合格产品报告；</w:t>
      </w:r>
    </w:p>
    <w:p w14:paraId="1CBB21C4">
      <w:pPr>
        <w:spacing w:line="360" w:lineRule="auto"/>
        <w:rPr>
          <w:bCs/>
          <w:sz w:val="24"/>
        </w:rPr>
      </w:pPr>
      <w:r>
        <w:rPr>
          <w:rFonts w:hint="eastAsia"/>
          <w:bCs/>
          <w:sz w:val="24"/>
        </w:rPr>
        <w:t>b）顾客和相关方的投诉；</w:t>
      </w:r>
    </w:p>
    <w:p w14:paraId="29CA0DEF">
      <w:pPr>
        <w:spacing w:line="360" w:lineRule="auto"/>
        <w:rPr>
          <w:bCs/>
          <w:sz w:val="24"/>
        </w:rPr>
      </w:pPr>
      <w:r>
        <w:rPr>
          <w:rFonts w:hint="eastAsia"/>
          <w:bCs/>
          <w:sz w:val="24"/>
        </w:rPr>
        <w:t>c）内部审核、管理评审和第三方审核的结果；</w:t>
      </w:r>
    </w:p>
    <w:p w14:paraId="48F4E426">
      <w:pPr>
        <w:spacing w:line="360" w:lineRule="auto"/>
        <w:rPr>
          <w:bCs/>
          <w:sz w:val="24"/>
        </w:rPr>
      </w:pPr>
      <w:r>
        <w:rPr>
          <w:rFonts w:hint="eastAsia"/>
          <w:bCs/>
          <w:sz w:val="24"/>
        </w:rPr>
        <w:t>d）信息分析的结果；</w:t>
      </w:r>
    </w:p>
    <w:p w14:paraId="1A4B09A6">
      <w:pPr>
        <w:spacing w:line="360" w:lineRule="auto"/>
        <w:rPr>
          <w:bCs/>
          <w:sz w:val="24"/>
        </w:rPr>
      </w:pPr>
      <w:r>
        <w:rPr>
          <w:bCs/>
          <w:sz w:val="24"/>
        </w:rPr>
        <w:t>e</w:t>
      </w:r>
      <w:r>
        <w:rPr>
          <w:rFonts w:hint="eastAsia"/>
          <w:bCs/>
          <w:sz w:val="24"/>
        </w:rPr>
        <w:t>）其他方面来源的不合格信息。</w:t>
      </w:r>
    </w:p>
    <w:p w14:paraId="54CD824C">
      <w:pPr>
        <w:spacing w:line="360" w:lineRule="auto"/>
        <w:rPr>
          <w:bCs/>
          <w:sz w:val="24"/>
        </w:rPr>
      </w:pPr>
      <w:r>
        <w:rPr>
          <w:rFonts w:hint="eastAsia"/>
          <w:bCs/>
          <w:sz w:val="24"/>
        </w:rPr>
        <w:t>4.2.2当发生或发现下列类型的不合格时，应采取纠正措施：</w:t>
      </w:r>
    </w:p>
    <w:p w14:paraId="5022B0C2">
      <w:pPr>
        <w:spacing w:line="360" w:lineRule="auto"/>
        <w:rPr>
          <w:bCs/>
          <w:sz w:val="24"/>
        </w:rPr>
      </w:pPr>
      <w:r>
        <w:rPr>
          <w:rFonts w:hint="eastAsia"/>
          <w:bCs/>
          <w:sz w:val="24"/>
        </w:rPr>
        <w:t>a）频繁发生的同类型的不合格；</w:t>
      </w:r>
    </w:p>
    <w:p w14:paraId="3CFF86E9">
      <w:pPr>
        <w:spacing w:line="360" w:lineRule="auto"/>
        <w:rPr>
          <w:bCs/>
          <w:sz w:val="24"/>
        </w:rPr>
      </w:pPr>
      <w:r>
        <w:rPr>
          <w:rFonts w:hint="eastAsia"/>
          <w:bCs/>
          <w:sz w:val="24"/>
        </w:rPr>
        <w:t>b）重大的或造成严重影响的不合格；</w:t>
      </w:r>
    </w:p>
    <w:p w14:paraId="5D065693">
      <w:pPr>
        <w:spacing w:line="360" w:lineRule="auto"/>
        <w:rPr>
          <w:bCs/>
          <w:sz w:val="24"/>
        </w:rPr>
      </w:pPr>
      <w:r>
        <w:rPr>
          <w:rFonts w:hint="eastAsia"/>
          <w:bCs/>
          <w:sz w:val="24"/>
        </w:rPr>
        <w:t>c）顾客和相关方的重大投诉；</w:t>
      </w:r>
    </w:p>
    <w:p w14:paraId="575C4F02">
      <w:pPr>
        <w:spacing w:line="360" w:lineRule="auto"/>
        <w:rPr>
          <w:bCs/>
          <w:sz w:val="24"/>
        </w:rPr>
      </w:pPr>
      <w:r>
        <w:rPr>
          <w:rFonts w:hint="eastAsia"/>
          <w:bCs/>
          <w:sz w:val="24"/>
        </w:rPr>
        <w:t>d）内部审核、第三方审核时发现的应采取纠正措施的不合格项；</w:t>
      </w:r>
    </w:p>
    <w:p w14:paraId="5B2845E0">
      <w:pPr>
        <w:spacing w:line="360" w:lineRule="auto"/>
        <w:rPr>
          <w:bCs/>
          <w:sz w:val="24"/>
        </w:rPr>
      </w:pPr>
      <w:r>
        <w:rPr>
          <w:rFonts w:hint="eastAsia"/>
          <w:bCs/>
          <w:sz w:val="24"/>
        </w:rPr>
        <w:t>e）管理评审所确定的应采取纠正措施的项目；</w:t>
      </w:r>
    </w:p>
    <w:p w14:paraId="273F1C84">
      <w:pPr>
        <w:spacing w:line="360" w:lineRule="auto"/>
        <w:rPr>
          <w:bCs/>
          <w:sz w:val="24"/>
        </w:rPr>
      </w:pPr>
      <w:r>
        <w:rPr>
          <w:rFonts w:hint="eastAsia"/>
          <w:bCs/>
          <w:sz w:val="24"/>
        </w:rPr>
        <w:t>f）其他方面的应采取纠正措施的问题。</w:t>
      </w:r>
    </w:p>
    <w:p w14:paraId="69E67E7B">
      <w:pPr>
        <w:spacing w:line="360" w:lineRule="auto"/>
        <w:rPr>
          <w:bCs/>
          <w:sz w:val="24"/>
        </w:rPr>
      </w:pPr>
      <w:r>
        <w:rPr>
          <w:rFonts w:hint="eastAsia"/>
          <w:bCs/>
          <w:sz w:val="24"/>
        </w:rPr>
        <w:t>4.2.3 当发生4.2.2所规定的不合格时，由责任部门针对不合格进行调查，分析其产生的原因，若该问题涉及到多个部门时，由</w:t>
      </w:r>
      <w:r>
        <w:rPr>
          <w:rFonts w:hint="eastAsia"/>
          <w:bCs/>
          <w:sz w:val="24"/>
          <w:lang w:eastAsia="zh-CN"/>
        </w:rPr>
        <w:t>综合部</w:t>
      </w:r>
      <w:r>
        <w:rPr>
          <w:rFonts w:hint="eastAsia"/>
          <w:bCs/>
          <w:sz w:val="24"/>
        </w:rPr>
        <w:t>协调组织进行不合格原因分析。在分析原因时，可采取相应统计技术。</w:t>
      </w:r>
    </w:p>
    <w:p w14:paraId="2219FF31">
      <w:pPr>
        <w:spacing w:line="360" w:lineRule="auto"/>
        <w:rPr>
          <w:bCs/>
          <w:sz w:val="24"/>
        </w:rPr>
      </w:pPr>
      <w:r>
        <w:rPr>
          <w:rFonts w:hint="eastAsia"/>
          <w:bCs/>
          <w:sz w:val="24"/>
        </w:rPr>
        <w:t>4.2.4在分析不合格原因时，可从以下方面进行分析，应一直分析到可以针对原因制定相应的纠正措施为止。</w:t>
      </w:r>
    </w:p>
    <w:p w14:paraId="7C87F52F">
      <w:pPr>
        <w:spacing w:line="360" w:lineRule="auto"/>
        <w:rPr>
          <w:bCs/>
          <w:sz w:val="24"/>
        </w:rPr>
      </w:pPr>
      <w:r>
        <w:rPr>
          <w:rFonts w:hint="eastAsia"/>
          <w:bCs/>
          <w:sz w:val="24"/>
        </w:rPr>
        <w:t>a）信息：联系不畅，有关方面提供的信息不及时、不准确等；</w:t>
      </w:r>
    </w:p>
    <w:p w14:paraId="1A4AC509">
      <w:pPr>
        <w:spacing w:line="360" w:lineRule="auto"/>
        <w:rPr>
          <w:bCs/>
          <w:sz w:val="24"/>
        </w:rPr>
      </w:pPr>
      <w:r>
        <w:rPr>
          <w:rFonts w:hint="eastAsia"/>
          <w:bCs/>
          <w:sz w:val="24"/>
        </w:rPr>
        <w:t>b）人员：培训不符合规定要求，不按照程序或规程进行操作等；</w:t>
      </w:r>
    </w:p>
    <w:p w14:paraId="159510DE">
      <w:pPr>
        <w:spacing w:line="360" w:lineRule="auto"/>
        <w:rPr>
          <w:bCs/>
          <w:sz w:val="24"/>
        </w:rPr>
      </w:pPr>
      <w:r>
        <w:rPr>
          <w:bCs/>
          <w:sz w:val="24"/>
        </w:rPr>
        <w:t>c</w:t>
      </w:r>
      <w:r>
        <w:rPr>
          <w:rFonts w:hint="eastAsia"/>
          <w:bCs/>
          <w:sz w:val="24"/>
        </w:rPr>
        <w:t>）方法：缺少程序、规范或措施规定不当；</w:t>
      </w:r>
    </w:p>
    <w:p w14:paraId="533FFCEB">
      <w:pPr>
        <w:spacing w:line="360" w:lineRule="auto"/>
        <w:rPr>
          <w:bCs/>
          <w:sz w:val="24"/>
        </w:rPr>
      </w:pPr>
      <w:r>
        <w:rPr>
          <w:rFonts w:hint="eastAsia"/>
          <w:bCs/>
          <w:sz w:val="24"/>
        </w:rPr>
        <w:t>d）设备：设备设施的故障或其他缺陷等；</w:t>
      </w:r>
    </w:p>
    <w:p w14:paraId="353F9F1F">
      <w:pPr>
        <w:spacing w:line="360" w:lineRule="auto"/>
        <w:rPr>
          <w:bCs/>
          <w:sz w:val="24"/>
        </w:rPr>
      </w:pPr>
      <w:r>
        <w:rPr>
          <w:rFonts w:hint="eastAsia"/>
          <w:bCs/>
          <w:sz w:val="24"/>
        </w:rPr>
        <w:t>e）环境：环境的不适宜；</w:t>
      </w:r>
    </w:p>
    <w:p w14:paraId="3A142693">
      <w:pPr>
        <w:spacing w:line="360" w:lineRule="auto"/>
        <w:rPr>
          <w:bCs/>
          <w:sz w:val="24"/>
        </w:rPr>
      </w:pPr>
      <w:r>
        <w:rPr>
          <w:rFonts w:hint="eastAsia"/>
          <w:bCs/>
          <w:sz w:val="24"/>
        </w:rPr>
        <w:t>f）其他方面的原因</w:t>
      </w:r>
    </w:p>
    <w:p w14:paraId="12DA98DA">
      <w:pPr>
        <w:spacing w:line="360" w:lineRule="auto"/>
        <w:rPr>
          <w:bCs/>
          <w:sz w:val="24"/>
        </w:rPr>
      </w:pPr>
      <w:r>
        <w:rPr>
          <w:rFonts w:hint="eastAsia"/>
          <w:bCs/>
          <w:sz w:val="24"/>
        </w:rPr>
        <w:t>4.2.5 针对分析的原因，由责任人员制定并实施相应的纠正措施，要明确干什么，谁来干，如何做，何时完成，达到什么要求等。</w:t>
      </w:r>
    </w:p>
    <w:p w14:paraId="0F1F03DD">
      <w:pPr>
        <w:spacing w:line="360" w:lineRule="auto"/>
        <w:rPr>
          <w:bCs/>
          <w:sz w:val="24"/>
        </w:rPr>
      </w:pPr>
      <w:r>
        <w:rPr>
          <w:rFonts w:hint="eastAsia"/>
          <w:bCs/>
          <w:sz w:val="24"/>
        </w:rPr>
        <w:t>4.2.6 对拟采取的纠正措施的需求进行评价，确保所采取的纠正措施应与所遇到的不合格的影响程度相适应。</w:t>
      </w:r>
    </w:p>
    <w:p w14:paraId="7C7F8B47">
      <w:pPr>
        <w:spacing w:line="360" w:lineRule="auto"/>
        <w:rPr>
          <w:bCs/>
          <w:sz w:val="24"/>
        </w:rPr>
      </w:pPr>
      <w:r>
        <w:rPr>
          <w:rFonts w:hint="eastAsia"/>
          <w:bCs/>
          <w:sz w:val="24"/>
        </w:rPr>
        <w:t>4.2.7 由部门领导评价应采取的纠正措施，责任人员负责实施。</w:t>
      </w:r>
    </w:p>
    <w:p w14:paraId="2ED527D4">
      <w:pPr>
        <w:spacing w:line="360" w:lineRule="auto"/>
        <w:rPr>
          <w:bCs/>
          <w:sz w:val="24"/>
        </w:rPr>
      </w:pPr>
      <w:r>
        <w:rPr>
          <w:rFonts w:hint="eastAsia"/>
          <w:bCs/>
          <w:sz w:val="24"/>
        </w:rPr>
        <w:t>4.2.8 由</w:t>
      </w:r>
      <w:r>
        <w:rPr>
          <w:rFonts w:hint="eastAsia"/>
          <w:bCs/>
          <w:sz w:val="24"/>
          <w:lang w:eastAsia="zh-CN"/>
        </w:rPr>
        <w:t>综合部</w:t>
      </w:r>
      <w:r>
        <w:rPr>
          <w:rFonts w:hint="eastAsia"/>
          <w:bCs/>
          <w:sz w:val="24"/>
        </w:rPr>
        <w:t>组织对纠正措施的实施情况和效果是否有效进行验证。评审所采取的纠正措施，对纠正措施无效或效果不明显的进行原因分析并采取进一步措施。对有效的纠正措施，可采取可能导致修改、制定文件等进一步措施。</w:t>
      </w:r>
    </w:p>
    <w:p w14:paraId="4ED97E5B">
      <w:pPr>
        <w:spacing w:line="360" w:lineRule="auto"/>
        <w:rPr>
          <w:bCs/>
          <w:sz w:val="24"/>
        </w:rPr>
      </w:pPr>
      <w:r>
        <w:rPr>
          <w:rFonts w:hint="eastAsia"/>
          <w:bCs/>
          <w:sz w:val="24"/>
        </w:rPr>
        <w:t>4.3 预防措施</w:t>
      </w:r>
    </w:p>
    <w:p w14:paraId="4008D022">
      <w:pPr>
        <w:spacing w:line="360" w:lineRule="auto"/>
        <w:rPr>
          <w:bCs/>
          <w:sz w:val="24"/>
        </w:rPr>
      </w:pPr>
      <w:r>
        <w:rPr>
          <w:rFonts w:hint="eastAsia"/>
          <w:bCs/>
          <w:sz w:val="24"/>
        </w:rPr>
        <w:t>为消除潜在不合格的原因，防止不合格的发生，应对潜在的不合格原因采取相应的预防措施。</w:t>
      </w:r>
    </w:p>
    <w:p w14:paraId="4F8DC29E">
      <w:pPr>
        <w:spacing w:line="360" w:lineRule="auto"/>
        <w:rPr>
          <w:bCs/>
          <w:sz w:val="24"/>
        </w:rPr>
      </w:pPr>
      <w:r>
        <w:rPr>
          <w:rFonts w:hint="eastAsia"/>
          <w:bCs/>
          <w:sz w:val="24"/>
        </w:rPr>
        <w:t>4.3.1利用适当的信息来源，如影响质量的有关过程、已有不合格、不符合的评定结果、现场发现的潜在问题、审核报告、评审报告、记录、顾客意见等，确定潜在不合格。</w:t>
      </w:r>
    </w:p>
    <w:p w14:paraId="73C5284C">
      <w:pPr>
        <w:spacing w:line="360" w:lineRule="auto"/>
        <w:rPr>
          <w:bCs/>
          <w:sz w:val="24"/>
        </w:rPr>
      </w:pPr>
      <w:r>
        <w:rPr>
          <w:rFonts w:hint="eastAsia"/>
          <w:bCs/>
          <w:sz w:val="24"/>
        </w:rPr>
        <w:t>4.3.2 对潜在的不合格按照参照4.2.3，4.2.4的要求进行原因分析，应一直分析到可以制定相应预防措施为止。</w:t>
      </w:r>
    </w:p>
    <w:p w14:paraId="71792096">
      <w:pPr>
        <w:spacing w:line="360" w:lineRule="auto"/>
        <w:rPr>
          <w:bCs/>
          <w:sz w:val="24"/>
        </w:rPr>
      </w:pPr>
      <w:r>
        <w:rPr>
          <w:rFonts w:hint="eastAsia"/>
          <w:bCs/>
          <w:sz w:val="24"/>
        </w:rPr>
        <w:t>4.3.3 针对分析的原因，由责任人员制定相应的预防措施，要明确干什么，谁来干，如何做，何时完成，达到什么要求等。</w:t>
      </w:r>
    </w:p>
    <w:p w14:paraId="1FD53B51">
      <w:pPr>
        <w:spacing w:line="360" w:lineRule="auto"/>
        <w:rPr>
          <w:bCs/>
          <w:sz w:val="24"/>
        </w:rPr>
      </w:pPr>
      <w:r>
        <w:rPr>
          <w:rFonts w:hint="eastAsia"/>
          <w:bCs/>
          <w:sz w:val="24"/>
        </w:rPr>
        <w:t>4.3.4 对拟采取的预防措施的需求进行评价，确保所采取的预防措施应与所潜在的不合格的影响程度相适应。</w:t>
      </w:r>
    </w:p>
    <w:p w14:paraId="6D600081">
      <w:pPr>
        <w:spacing w:line="360" w:lineRule="auto"/>
        <w:rPr>
          <w:bCs/>
          <w:sz w:val="24"/>
        </w:rPr>
      </w:pPr>
      <w:r>
        <w:rPr>
          <w:rFonts w:hint="eastAsia"/>
          <w:bCs/>
          <w:sz w:val="24"/>
        </w:rPr>
        <w:t>4.3.5由部门主管领导评价应采取的预防措施，责任人员负责实施。</w:t>
      </w:r>
    </w:p>
    <w:p w14:paraId="51293569">
      <w:pPr>
        <w:spacing w:line="360" w:lineRule="auto"/>
        <w:rPr>
          <w:bCs/>
          <w:sz w:val="24"/>
        </w:rPr>
      </w:pPr>
      <w:r>
        <w:rPr>
          <w:rFonts w:hint="eastAsia"/>
          <w:bCs/>
          <w:sz w:val="24"/>
        </w:rPr>
        <w:t>4.3.6 由</w:t>
      </w:r>
      <w:r>
        <w:rPr>
          <w:rFonts w:hint="eastAsia"/>
          <w:bCs/>
          <w:sz w:val="24"/>
          <w:lang w:eastAsia="zh-CN"/>
        </w:rPr>
        <w:t>综合部</w:t>
      </w:r>
      <w:r>
        <w:rPr>
          <w:rFonts w:hint="eastAsia"/>
          <w:bCs/>
          <w:sz w:val="24"/>
        </w:rPr>
        <w:t>组织对预防措施的实施情况和效果是否有效进行验证。</w:t>
      </w:r>
    </w:p>
    <w:p w14:paraId="70C8F65B">
      <w:pPr>
        <w:spacing w:line="360" w:lineRule="auto"/>
        <w:rPr>
          <w:bCs/>
          <w:sz w:val="24"/>
        </w:rPr>
      </w:pPr>
      <w:r>
        <w:rPr>
          <w:rFonts w:hint="eastAsia"/>
          <w:bCs/>
          <w:sz w:val="24"/>
        </w:rPr>
        <w:t>4.3.7评审所采取的预防措施，对预防措施无效或效果不明显的进行原因分析并采取进一步措施。对有效的预防措施，可采取可能导致修改、制定文件等进一步措施。</w:t>
      </w:r>
    </w:p>
    <w:p w14:paraId="0D6D1C24">
      <w:pPr>
        <w:spacing w:line="360" w:lineRule="auto"/>
        <w:rPr>
          <w:bCs/>
          <w:sz w:val="24"/>
        </w:rPr>
      </w:pPr>
      <w:r>
        <w:rPr>
          <w:rFonts w:hint="eastAsia"/>
          <w:bCs/>
          <w:sz w:val="24"/>
        </w:rPr>
        <w:t xml:space="preserve">4.4 </w:t>
      </w:r>
      <w:r>
        <w:rPr>
          <w:rFonts w:hint="eastAsia"/>
          <w:bCs/>
          <w:sz w:val="24"/>
          <w:lang w:eastAsia="zh-CN"/>
        </w:rPr>
        <w:t>综合部</w:t>
      </w:r>
      <w:r>
        <w:rPr>
          <w:rFonts w:hint="eastAsia"/>
          <w:bCs/>
          <w:sz w:val="24"/>
        </w:rPr>
        <w:t>负责将纠正和预防措施的有关信息提交管理评审。</w:t>
      </w:r>
    </w:p>
    <w:p w14:paraId="3A8660FA">
      <w:pPr>
        <w:spacing w:line="360" w:lineRule="auto"/>
        <w:rPr>
          <w:bCs/>
          <w:sz w:val="24"/>
        </w:rPr>
      </w:pPr>
      <w:r>
        <w:rPr>
          <w:rFonts w:hint="eastAsia"/>
          <w:bCs/>
          <w:sz w:val="24"/>
        </w:rPr>
        <w:t>4.5各部门负责保存所采取的纠正和预防措施的记录。</w:t>
      </w:r>
    </w:p>
    <w:p w14:paraId="61B728E1">
      <w:pPr>
        <w:spacing w:line="360" w:lineRule="auto"/>
        <w:rPr>
          <w:bCs/>
          <w:sz w:val="24"/>
        </w:rPr>
      </w:pPr>
      <w:r>
        <w:rPr>
          <w:bCs/>
          <w:sz w:val="24"/>
        </w:rPr>
        <w:t>5</w:t>
      </w:r>
      <w:r>
        <w:rPr>
          <w:rFonts w:hint="eastAsia"/>
          <w:bCs/>
          <w:sz w:val="24"/>
        </w:rPr>
        <w:t>、相关文件</w:t>
      </w:r>
      <w:r>
        <w:rPr>
          <w:bCs/>
          <w:sz w:val="24"/>
        </w:rPr>
        <w:t>:</w:t>
      </w:r>
      <w:r>
        <w:rPr>
          <w:rFonts w:hint="eastAsia"/>
          <w:bCs/>
          <w:sz w:val="24"/>
        </w:rPr>
        <w:t>《文件控制程序》《内部审核程序》《不合格控制程序》</w:t>
      </w:r>
    </w:p>
    <w:p w14:paraId="06A6D18B">
      <w:pPr>
        <w:spacing w:line="360" w:lineRule="auto"/>
        <w:rPr>
          <w:bCs/>
          <w:sz w:val="24"/>
        </w:rPr>
      </w:pPr>
      <w:r>
        <w:rPr>
          <w:bCs/>
          <w:sz w:val="24"/>
        </w:rPr>
        <w:t>6</w:t>
      </w:r>
      <w:r>
        <w:rPr>
          <w:rFonts w:hint="eastAsia"/>
          <w:bCs/>
          <w:sz w:val="24"/>
        </w:rPr>
        <w:t>、记录</w:t>
      </w:r>
      <w:r>
        <w:rPr>
          <w:bCs/>
          <w:sz w:val="24"/>
        </w:rPr>
        <w:t>:a.</w:t>
      </w:r>
      <w:r>
        <w:rPr>
          <w:rFonts w:hint="eastAsia"/>
          <w:bCs/>
          <w:sz w:val="24"/>
        </w:rPr>
        <w:t>纠正/预防/改进措施书</w:t>
      </w:r>
      <w:r>
        <w:rPr>
          <w:bCs/>
          <w:sz w:val="24"/>
        </w:rPr>
        <w:t xml:space="preserve">   </w:t>
      </w:r>
    </w:p>
    <w:p w14:paraId="1ED12C9A">
      <w:pPr>
        <w:widowControl/>
        <w:jc w:val="left"/>
        <w:rPr>
          <w:bCs/>
          <w:sz w:val="24"/>
        </w:rPr>
      </w:pPr>
      <w:r>
        <w:rPr>
          <w:bCs/>
          <w:sz w:val="24"/>
        </w:rPr>
        <w:br w:type="page"/>
      </w:r>
    </w:p>
    <w:p w14:paraId="2BD0930E">
      <w:pPr>
        <w:pStyle w:val="2"/>
        <w:spacing w:before="156" w:beforeLines="50" w:after="156" w:afterLines="50" w:line="720" w:lineRule="auto"/>
        <w:jc w:val="left"/>
        <w:rPr>
          <w:sz w:val="28"/>
          <w:szCs w:val="28"/>
        </w:rPr>
      </w:pPr>
      <w:bookmarkStart w:id="16" w:name="_Toc5653"/>
      <w:r>
        <w:rPr>
          <w:rFonts w:hint="eastAsia"/>
          <w:sz w:val="28"/>
          <w:szCs w:val="28"/>
        </w:rPr>
        <w:t>十五、人力资源管理控制程序</w:t>
      </w:r>
      <w:bookmarkEnd w:id="16"/>
      <w:r>
        <w:rPr>
          <w:rFonts w:hint="eastAsia"/>
          <w:sz w:val="28"/>
          <w:szCs w:val="28"/>
        </w:rPr>
        <w:t xml:space="preserve"> </w:t>
      </w:r>
      <w:r>
        <w:rPr>
          <w:sz w:val="28"/>
          <w:szCs w:val="28"/>
        </w:rPr>
        <w:t xml:space="preserve">    </w:t>
      </w:r>
      <w:r>
        <w:rPr>
          <w:rFonts w:hint="eastAsia"/>
          <w:sz w:val="28"/>
          <w:szCs w:val="28"/>
        </w:rPr>
        <w:t>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-015</w:t>
      </w:r>
    </w:p>
    <w:p w14:paraId="75483CDD">
      <w:pPr>
        <w:spacing w:line="360" w:lineRule="auto"/>
        <w:rPr>
          <w:bCs/>
          <w:sz w:val="24"/>
        </w:rPr>
      </w:pPr>
      <w:r>
        <w:rPr>
          <w:bCs/>
          <w:sz w:val="24"/>
        </w:rPr>
        <w:t>1</w:t>
      </w:r>
      <w:r>
        <w:rPr>
          <w:rFonts w:hint="eastAsia"/>
          <w:bCs/>
          <w:sz w:val="24"/>
        </w:rPr>
        <w:t>．目的</w:t>
      </w:r>
    </w:p>
    <w:p w14:paraId="3BC66369">
      <w:pPr>
        <w:spacing w:line="360" w:lineRule="auto"/>
        <w:ind w:firstLine="480" w:firstLineChars="200"/>
        <w:rPr>
          <w:bCs/>
          <w:sz w:val="24"/>
        </w:rPr>
      </w:pPr>
      <w:r>
        <w:rPr>
          <w:rFonts w:hint="eastAsia"/>
          <w:bCs/>
          <w:sz w:val="24"/>
        </w:rPr>
        <w:t>制定和实施培训计划，提高全体员工的质量意识、环境保护意识、职业健康安全自我保护意识及重要质量环境安全岗位员工的操作技能，确保公司管理体系的有效运行。</w:t>
      </w:r>
      <w:r>
        <w:rPr>
          <w:bCs/>
          <w:sz w:val="24"/>
        </w:rPr>
        <w:t xml:space="preserve">  </w:t>
      </w:r>
    </w:p>
    <w:p w14:paraId="53F45D9D">
      <w:pPr>
        <w:spacing w:line="360" w:lineRule="auto"/>
        <w:rPr>
          <w:bCs/>
          <w:sz w:val="24"/>
        </w:rPr>
      </w:pPr>
      <w:r>
        <w:rPr>
          <w:bCs/>
          <w:sz w:val="24"/>
        </w:rPr>
        <w:t>2</w:t>
      </w:r>
      <w:r>
        <w:rPr>
          <w:rFonts w:hint="eastAsia"/>
          <w:bCs/>
          <w:sz w:val="24"/>
        </w:rPr>
        <w:t>．适用范围</w:t>
      </w:r>
    </w:p>
    <w:p w14:paraId="5E069BED">
      <w:pPr>
        <w:spacing w:line="360" w:lineRule="auto"/>
        <w:ind w:firstLine="360" w:firstLineChars="150"/>
        <w:rPr>
          <w:bCs/>
          <w:sz w:val="24"/>
        </w:rPr>
      </w:pPr>
      <w:r>
        <w:rPr>
          <w:rFonts w:hint="eastAsia"/>
          <w:bCs/>
          <w:sz w:val="24"/>
        </w:rPr>
        <w:t>适用于从事影响产品要求符合性和为公司或代表公司从事被确定为可能具有重大环境影响的工作的所有人员，以及在公司控制下完成对职业健康安全有影响的任务的所有人员，包括临时雇用的人员，必要时还包括相关方的人员。</w:t>
      </w:r>
    </w:p>
    <w:p w14:paraId="0F98CAC7">
      <w:pPr>
        <w:spacing w:line="360" w:lineRule="auto"/>
        <w:rPr>
          <w:bCs/>
          <w:sz w:val="24"/>
        </w:rPr>
      </w:pPr>
      <w:r>
        <w:rPr>
          <w:bCs/>
          <w:sz w:val="24"/>
        </w:rPr>
        <w:t>3</w:t>
      </w:r>
      <w:r>
        <w:rPr>
          <w:rFonts w:hint="eastAsia"/>
          <w:bCs/>
          <w:sz w:val="24"/>
        </w:rPr>
        <w:t>．职责</w:t>
      </w:r>
    </w:p>
    <w:p w14:paraId="5D011FE4">
      <w:pPr>
        <w:spacing w:line="360" w:lineRule="auto"/>
        <w:rPr>
          <w:bCs/>
          <w:sz w:val="24"/>
        </w:rPr>
      </w:pPr>
      <w:r>
        <w:rPr>
          <w:bCs/>
          <w:sz w:val="24"/>
        </w:rPr>
        <w:t>3.1</w:t>
      </w:r>
      <w:r>
        <w:rPr>
          <w:rFonts w:hint="eastAsia"/>
          <w:bCs/>
          <w:sz w:val="24"/>
        </w:rPr>
        <w:t>公司</w:t>
      </w:r>
      <w:r>
        <w:rPr>
          <w:rFonts w:hint="eastAsia"/>
          <w:bCs/>
          <w:sz w:val="24"/>
          <w:lang w:eastAsia="zh-CN"/>
        </w:rPr>
        <w:t>综合部</w:t>
      </w:r>
      <w:r>
        <w:rPr>
          <w:rFonts w:hint="eastAsia"/>
          <w:bCs/>
          <w:sz w:val="24"/>
        </w:rPr>
        <w:t>负责人力资源的管理工作，负责培训工作的组织、实施与管理。</w:t>
      </w:r>
    </w:p>
    <w:p w14:paraId="30DFB7FD">
      <w:pPr>
        <w:spacing w:line="360" w:lineRule="auto"/>
        <w:rPr>
          <w:bCs/>
          <w:sz w:val="24"/>
        </w:rPr>
      </w:pPr>
      <w:r>
        <w:rPr>
          <w:bCs/>
          <w:sz w:val="24"/>
        </w:rPr>
        <w:t>3.2</w:t>
      </w:r>
      <w:r>
        <w:rPr>
          <w:rFonts w:hint="eastAsia"/>
          <w:bCs/>
          <w:sz w:val="24"/>
        </w:rPr>
        <w:t>各部门负责提出有关人员的培训需求，并配合公司</w:t>
      </w:r>
      <w:r>
        <w:rPr>
          <w:rFonts w:hint="eastAsia"/>
          <w:bCs/>
          <w:sz w:val="24"/>
          <w:lang w:eastAsia="zh-CN"/>
        </w:rPr>
        <w:t>综合部</w:t>
      </w:r>
      <w:r>
        <w:rPr>
          <w:rFonts w:hint="eastAsia"/>
          <w:bCs/>
          <w:sz w:val="24"/>
        </w:rPr>
        <w:t>实施培训计划。</w:t>
      </w:r>
    </w:p>
    <w:p w14:paraId="08747BCA">
      <w:pPr>
        <w:spacing w:line="360" w:lineRule="auto"/>
        <w:rPr>
          <w:bCs/>
          <w:sz w:val="24"/>
        </w:rPr>
      </w:pPr>
      <w:r>
        <w:rPr>
          <w:bCs/>
          <w:sz w:val="24"/>
        </w:rPr>
        <w:t>4</w:t>
      </w:r>
      <w:r>
        <w:rPr>
          <w:rFonts w:hint="eastAsia"/>
          <w:bCs/>
          <w:sz w:val="24"/>
        </w:rPr>
        <w:t>．工作程序</w:t>
      </w:r>
    </w:p>
    <w:p w14:paraId="6513E4C6">
      <w:pPr>
        <w:spacing w:line="360" w:lineRule="auto"/>
        <w:rPr>
          <w:bCs/>
          <w:sz w:val="24"/>
        </w:rPr>
      </w:pPr>
      <w:r>
        <w:rPr>
          <w:bCs/>
          <w:sz w:val="24"/>
        </w:rPr>
        <w:t>4.1</w:t>
      </w:r>
      <w:r>
        <w:rPr>
          <w:rFonts w:hint="eastAsia"/>
          <w:bCs/>
          <w:sz w:val="24"/>
        </w:rPr>
        <w:t>人员安排</w:t>
      </w:r>
    </w:p>
    <w:p w14:paraId="65975729">
      <w:pPr>
        <w:spacing w:line="360" w:lineRule="auto"/>
        <w:rPr>
          <w:bCs/>
          <w:sz w:val="24"/>
        </w:rPr>
      </w:pPr>
      <w:r>
        <w:rPr>
          <w:rFonts w:hint="eastAsia"/>
          <w:bCs/>
          <w:sz w:val="24"/>
        </w:rPr>
        <w:t>根据质量、环境和职业健康安全管理体系对各岗位人员的能力要求选择能胜任的人员担当工作，由公司</w:t>
      </w:r>
      <w:r>
        <w:rPr>
          <w:rFonts w:hint="eastAsia"/>
          <w:bCs/>
          <w:sz w:val="24"/>
          <w:lang w:eastAsia="zh-CN"/>
        </w:rPr>
        <w:t>综合部</w:t>
      </w:r>
      <w:r>
        <w:rPr>
          <w:rFonts w:hint="eastAsia"/>
          <w:bCs/>
          <w:sz w:val="24"/>
        </w:rPr>
        <w:t>负责具体人员调配，对不能满足岗位技能要求的职工进行培训以达到工作要求。</w:t>
      </w:r>
    </w:p>
    <w:p w14:paraId="061DCF6A">
      <w:pPr>
        <w:spacing w:line="360" w:lineRule="auto"/>
        <w:rPr>
          <w:bCs/>
          <w:sz w:val="24"/>
        </w:rPr>
      </w:pPr>
      <w:r>
        <w:rPr>
          <w:bCs/>
          <w:sz w:val="24"/>
        </w:rPr>
        <w:t>4.2</w:t>
      </w:r>
      <w:r>
        <w:rPr>
          <w:rFonts w:hint="eastAsia"/>
          <w:bCs/>
          <w:sz w:val="24"/>
        </w:rPr>
        <w:t>培训和意识的需求</w:t>
      </w:r>
    </w:p>
    <w:p w14:paraId="5C2BFF45">
      <w:pPr>
        <w:spacing w:line="360" w:lineRule="auto"/>
        <w:rPr>
          <w:bCs/>
          <w:sz w:val="24"/>
        </w:rPr>
      </w:pPr>
      <w:r>
        <w:rPr>
          <w:bCs/>
          <w:sz w:val="24"/>
        </w:rPr>
        <w:t>4.2.1</w:t>
      </w:r>
      <w:r>
        <w:rPr>
          <w:rFonts w:hint="eastAsia"/>
          <w:bCs/>
          <w:sz w:val="24"/>
        </w:rPr>
        <w:t>承担管理体系规定职责的人员应是有能力的，对能力的判断应从教育、培训、技能和经历方面考虑，于此，由公司</w:t>
      </w:r>
      <w:r>
        <w:rPr>
          <w:rFonts w:hint="eastAsia"/>
          <w:bCs/>
          <w:sz w:val="24"/>
          <w:lang w:eastAsia="zh-CN"/>
        </w:rPr>
        <w:t>综合部</w:t>
      </w:r>
      <w:r>
        <w:rPr>
          <w:rFonts w:hint="eastAsia"/>
          <w:bCs/>
          <w:sz w:val="24"/>
        </w:rPr>
        <w:t>编制《岗位工作人员任职要求》，报总经理审批，作为</w:t>
      </w:r>
      <w:r>
        <w:rPr>
          <w:rFonts w:hint="eastAsia"/>
          <w:bCs/>
          <w:sz w:val="24"/>
          <w:lang w:eastAsia="zh-CN"/>
        </w:rPr>
        <w:t>综合部</w:t>
      </w:r>
      <w:r>
        <w:rPr>
          <w:rFonts w:hint="eastAsia"/>
          <w:bCs/>
          <w:sz w:val="24"/>
        </w:rPr>
        <w:t>选择、招聘、考核安排人员的主要依据。</w:t>
      </w:r>
    </w:p>
    <w:p w14:paraId="480D2D95">
      <w:pPr>
        <w:spacing w:line="360" w:lineRule="auto"/>
        <w:rPr>
          <w:bCs/>
          <w:sz w:val="24"/>
        </w:rPr>
      </w:pPr>
      <w:r>
        <w:rPr>
          <w:bCs/>
          <w:sz w:val="24"/>
        </w:rPr>
        <w:t>4.2.2</w:t>
      </w:r>
      <w:r>
        <w:rPr>
          <w:rFonts w:hint="eastAsia"/>
          <w:bCs/>
          <w:sz w:val="24"/>
        </w:rPr>
        <w:t>本公司培训情况主要分为以下几类：</w:t>
      </w:r>
    </w:p>
    <w:p w14:paraId="3DA4624E">
      <w:pPr>
        <w:numPr>
          <w:ilvl w:val="0"/>
          <w:numId w:val="38"/>
        </w:numPr>
        <w:spacing w:line="360" w:lineRule="auto"/>
        <w:rPr>
          <w:bCs/>
          <w:sz w:val="24"/>
        </w:rPr>
      </w:pPr>
      <w:r>
        <w:rPr>
          <w:rFonts w:hint="eastAsia"/>
          <w:bCs/>
          <w:sz w:val="24"/>
        </w:rPr>
        <w:t>新录用员工的上岗前培训。</w:t>
      </w:r>
      <w:r>
        <w:rPr>
          <w:bCs/>
          <w:sz w:val="24"/>
        </w:rPr>
        <w:t xml:space="preserve"> </w:t>
      </w:r>
    </w:p>
    <w:p w14:paraId="397A4AD7">
      <w:pPr>
        <w:numPr>
          <w:ilvl w:val="0"/>
          <w:numId w:val="38"/>
        </w:numPr>
        <w:spacing w:line="360" w:lineRule="auto"/>
        <w:rPr>
          <w:bCs/>
          <w:sz w:val="24"/>
        </w:rPr>
      </w:pPr>
      <w:r>
        <w:rPr>
          <w:rFonts w:hint="eastAsia"/>
          <w:bCs/>
          <w:sz w:val="24"/>
        </w:rPr>
        <w:t>在职员工的业务培训。</w:t>
      </w:r>
      <w:r>
        <w:rPr>
          <w:bCs/>
          <w:sz w:val="24"/>
        </w:rPr>
        <w:t xml:space="preserve"> </w:t>
      </w:r>
    </w:p>
    <w:p w14:paraId="27316543">
      <w:pPr>
        <w:numPr>
          <w:ilvl w:val="0"/>
          <w:numId w:val="38"/>
        </w:numPr>
        <w:spacing w:line="360" w:lineRule="auto"/>
        <w:rPr>
          <w:bCs/>
          <w:sz w:val="24"/>
        </w:rPr>
      </w:pPr>
      <w:r>
        <w:rPr>
          <w:rFonts w:hint="eastAsia"/>
          <w:bCs/>
          <w:sz w:val="24"/>
        </w:rPr>
        <w:t>在职员工的换岗培训。</w:t>
      </w:r>
      <w:r>
        <w:rPr>
          <w:bCs/>
          <w:sz w:val="24"/>
        </w:rPr>
        <w:t xml:space="preserve">   </w:t>
      </w:r>
    </w:p>
    <w:p w14:paraId="6D330BFB">
      <w:pPr>
        <w:numPr>
          <w:ilvl w:val="0"/>
          <w:numId w:val="38"/>
        </w:numPr>
        <w:spacing w:line="360" w:lineRule="auto"/>
        <w:rPr>
          <w:bCs/>
          <w:sz w:val="24"/>
        </w:rPr>
      </w:pPr>
      <w:r>
        <w:rPr>
          <w:rFonts w:hint="eastAsia"/>
          <w:bCs/>
          <w:sz w:val="24"/>
        </w:rPr>
        <w:t>特殊工作人员的培训。</w:t>
      </w:r>
    </w:p>
    <w:p w14:paraId="4D32C715">
      <w:pPr>
        <w:spacing w:line="360" w:lineRule="auto"/>
        <w:rPr>
          <w:bCs/>
          <w:sz w:val="24"/>
        </w:rPr>
      </w:pPr>
      <w:r>
        <w:rPr>
          <w:bCs/>
          <w:sz w:val="24"/>
        </w:rPr>
        <w:t>4.2.3</w:t>
      </w:r>
      <w:r>
        <w:rPr>
          <w:rFonts w:hint="eastAsia"/>
          <w:bCs/>
          <w:sz w:val="24"/>
        </w:rPr>
        <w:t>本公司通过进行培训，使员工或代表公司工作的人员意识到：</w:t>
      </w:r>
      <w:r>
        <w:rPr>
          <w:bCs/>
          <w:sz w:val="24"/>
        </w:rPr>
        <w:t xml:space="preserve"> </w:t>
      </w:r>
    </w:p>
    <w:p w14:paraId="485EBE1B">
      <w:pPr>
        <w:numPr>
          <w:ilvl w:val="0"/>
          <w:numId w:val="39"/>
        </w:numPr>
        <w:spacing w:line="360" w:lineRule="auto"/>
        <w:rPr>
          <w:bCs/>
          <w:sz w:val="24"/>
        </w:rPr>
      </w:pPr>
      <w:r>
        <w:rPr>
          <w:rFonts w:hint="eastAsia"/>
          <w:bCs/>
          <w:sz w:val="24"/>
        </w:rPr>
        <w:t>满足顾客和法律法规要求的重要性；</w:t>
      </w:r>
      <w:r>
        <w:rPr>
          <w:bCs/>
          <w:sz w:val="24"/>
        </w:rPr>
        <w:t xml:space="preserve"> </w:t>
      </w:r>
    </w:p>
    <w:p w14:paraId="1C9466EF">
      <w:pPr>
        <w:numPr>
          <w:ilvl w:val="0"/>
          <w:numId w:val="39"/>
        </w:numPr>
        <w:spacing w:line="360" w:lineRule="auto"/>
        <w:rPr>
          <w:bCs/>
          <w:sz w:val="24"/>
        </w:rPr>
      </w:pPr>
      <w:r>
        <w:rPr>
          <w:bCs/>
          <w:sz w:val="24"/>
        </w:rPr>
        <w:t xml:space="preserve"> </w:t>
      </w:r>
      <w:r>
        <w:rPr>
          <w:rFonts w:hint="eastAsia"/>
          <w:bCs/>
          <w:sz w:val="24"/>
        </w:rPr>
        <w:t>符合公司管理方针、程序和符合管理体系要求的重要性；</w:t>
      </w:r>
      <w:r>
        <w:rPr>
          <w:bCs/>
          <w:sz w:val="24"/>
        </w:rPr>
        <w:t xml:space="preserve"> </w:t>
      </w:r>
    </w:p>
    <w:p w14:paraId="36299E42">
      <w:pPr>
        <w:numPr>
          <w:ilvl w:val="0"/>
          <w:numId w:val="39"/>
        </w:numPr>
        <w:spacing w:line="360" w:lineRule="auto"/>
        <w:rPr>
          <w:bCs/>
          <w:sz w:val="24"/>
        </w:rPr>
      </w:pPr>
      <w:r>
        <w:rPr>
          <w:bCs/>
          <w:sz w:val="24"/>
        </w:rPr>
        <w:t xml:space="preserve"> </w:t>
      </w:r>
      <w:r>
        <w:rPr>
          <w:rFonts w:hint="eastAsia"/>
          <w:bCs/>
          <w:sz w:val="24"/>
        </w:rPr>
        <w:t>符合职业健康安全方针与程序和符合职业健康安全管理体系要求的重要性；</w:t>
      </w:r>
      <w:r>
        <w:rPr>
          <w:bCs/>
          <w:sz w:val="24"/>
        </w:rPr>
        <w:t xml:space="preserve"> </w:t>
      </w:r>
    </w:p>
    <w:p w14:paraId="6474C1DA">
      <w:pPr>
        <w:numPr>
          <w:ilvl w:val="0"/>
          <w:numId w:val="39"/>
        </w:numPr>
        <w:spacing w:line="360" w:lineRule="auto"/>
        <w:rPr>
          <w:bCs/>
          <w:sz w:val="24"/>
        </w:rPr>
      </w:pPr>
      <w:r>
        <w:rPr>
          <w:bCs/>
          <w:sz w:val="24"/>
        </w:rPr>
        <w:t xml:space="preserve"> </w:t>
      </w:r>
      <w:r>
        <w:rPr>
          <w:rFonts w:hint="eastAsia"/>
          <w:bCs/>
          <w:sz w:val="24"/>
        </w:rPr>
        <w:t>员工工作中的重要环境因素和实际或潜在环境影响，以及个人工作的改进所能带来的环境效益；</w:t>
      </w:r>
    </w:p>
    <w:p w14:paraId="7701604B">
      <w:pPr>
        <w:numPr>
          <w:ilvl w:val="0"/>
          <w:numId w:val="39"/>
        </w:numPr>
        <w:spacing w:line="360" w:lineRule="auto"/>
        <w:rPr>
          <w:bCs/>
          <w:sz w:val="24"/>
        </w:rPr>
      </w:pPr>
      <w:r>
        <w:rPr>
          <w:rFonts w:hint="eastAsia"/>
          <w:bCs/>
          <w:sz w:val="24"/>
        </w:rPr>
        <w:t>员工的工作活动和行为的实际或潜在的职业健康安全后果，以及改进个人表现所能带来的职业健康安全效益；</w:t>
      </w:r>
    </w:p>
    <w:p w14:paraId="0FA5ADF3">
      <w:pPr>
        <w:numPr>
          <w:ilvl w:val="0"/>
          <w:numId w:val="39"/>
        </w:numPr>
        <w:spacing w:line="360" w:lineRule="auto"/>
        <w:rPr>
          <w:bCs/>
          <w:sz w:val="24"/>
        </w:rPr>
      </w:pPr>
      <w:r>
        <w:rPr>
          <w:rFonts w:hint="eastAsia"/>
          <w:bCs/>
          <w:sz w:val="24"/>
        </w:rPr>
        <w:t>在实现与管理体系要求符合性方面，包括应急准备和响应要求方面的作用与职责；</w:t>
      </w:r>
    </w:p>
    <w:p w14:paraId="51DFED81">
      <w:pPr>
        <w:spacing w:line="360" w:lineRule="auto"/>
        <w:ind w:firstLine="240" w:firstLineChars="100"/>
        <w:rPr>
          <w:bCs/>
          <w:sz w:val="24"/>
        </w:rPr>
      </w:pPr>
      <w:r>
        <w:rPr>
          <w:rFonts w:hint="eastAsia"/>
          <w:bCs/>
          <w:sz w:val="24"/>
        </w:rPr>
        <w:t>g .所从事活动的相关性和重要性，以及如何为实现管理目标做出贡献，以及违反要求所造成的后果。</w:t>
      </w:r>
    </w:p>
    <w:p w14:paraId="5280F2A4">
      <w:pPr>
        <w:spacing w:line="360" w:lineRule="auto"/>
        <w:rPr>
          <w:bCs/>
          <w:sz w:val="24"/>
        </w:rPr>
      </w:pPr>
      <w:r>
        <w:rPr>
          <w:bCs/>
          <w:sz w:val="24"/>
        </w:rPr>
        <w:t>4.3</w:t>
      </w:r>
      <w:r>
        <w:rPr>
          <w:rFonts w:hint="eastAsia"/>
          <w:bCs/>
          <w:sz w:val="24"/>
        </w:rPr>
        <w:t>培训计划的制订</w:t>
      </w:r>
    </w:p>
    <w:p w14:paraId="75DCAF4D">
      <w:pPr>
        <w:spacing w:line="360" w:lineRule="auto"/>
        <w:rPr>
          <w:bCs/>
          <w:sz w:val="24"/>
        </w:rPr>
      </w:pPr>
      <w:r>
        <w:rPr>
          <w:bCs/>
          <w:sz w:val="24"/>
        </w:rPr>
        <w:t>4.3.1</w:t>
      </w:r>
      <w:r>
        <w:rPr>
          <w:rFonts w:hint="eastAsia"/>
          <w:bCs/>
          <w:sz w:val="24"/>
        </w:rPr>
        <w:t>每年年底以前，各部门根据部门需要明确培训需求，报公司</w:t>
      </w:r>
      <w:r>
        <w:rPr>
          <w:rFonts w:hint="eastAsia"/>
          <w:bCs/>
          <w:sz w:val="24"/>
          <w:lang w:eastAsia="zh-CN"/>
        </w:rPr>
        <w:t>综合部</w:t>
      </w:r>
      <w:r>
        <w:rPr>
          <w:rFonts w:hint="eastAsia"/>
          <w:bCs/>
          <w:sz w:val="24"/>
        </w:rPr>
        <w:t>审核。</w:t>
      </w:r>
    </w:p>
    <w:p w14:paraId="45B17C92">
      <w:pPr>
        <w:spacing w:line="360" w:lineRule="auto"/>
        <w:rPr>
          <w:bCs/>
          <w:sz w:val="24"/>
        </w:rPr>
      </w:pPr>
      <w:r>
        <w:rPr>
          <w:bCs/>
          <w:sz w:val="24"/>
        </w:rPr>
        <w:t>4.3.2</w:t>
      </w:r>
      <w:r>
        <w:rPr>
          <w:rFonts w:hint="eastAsia"/>
          <w:bCs/>
          <w:sz w:val="24"/>
        </w:rPr>
        <w:t>公司</w:t>
      </w:r>
      <w:r>
        <w:rPr>
          <w:rFonts w:hint="eastAsia"/>
          <w:bCs/>
          <w:sz w:val="24"/>
          <w:lang w:eastAsia="zh-CN"/>
        </w:rPr>
        <w:t>综合部</w:t>
      </w:r>
      <w:r>
        <w:rPr>
          <w:rFonts w:hint="eastAsia"/>
          <w:bCs/>
          <w:sz w:val="24"/>
        </w:rPr>
        <w:t>依据上级指令、相关部门及车间申报的部门年度培训需求制定公司《年度培训计划》，报管理者代表批准后组织实施。</w:t>
      </w:r>
    </w:p>
    <w:p w14:paraId="0B67883C">
      <w:pPr>
        <w:spacing w:line="360" w:lineRule="auto"/>
        <w:rPr>
          <w:bCs/>
          <w:sz w:val="24"/>
        </w:rPr>
      </w:pPr>
      <w:r>
        <w:rPr>
          <w:bCs/>
          <w:sz w:val="24"/>
        </w:rPr>
        <w:t>4.4</w:t>
      </w:r>
      <w:r>
        <w:rPr>
          <w:rFonts w:hint="eastAsia"/>
          <w:bCs/>
          <w:sz w:val="24"/>
        </w:rPr>
        <w:t>培训计划的实施</w:t>
      </w:r>
    </w:p>
    <w:p w14:paraId="38E092C6">
      <w:pPr>
        <w:spacing w:line="360" w:lineRule="auto"/>
        <w:rPr>
          <w:bCs/>
          <w:sz w:val="24"/>
        </w:rPr>
      </w:pPr>
      <w:r>
        <w:rPr>
          <w:bCs/>
          <w:sz w:val="24"/>
        </w:rPr>
        <w:t>4.4.1</w:t>
      </w:r>
      <w:r>
        <w:rPr>
          <w:rFonts w:hint="eastAsia"/>
          <w:bCs/>
          <w:sz w:val="24"/>
          <w:lang w:eastAsia="zh-CN"/>
        </w:rPr>
        <w:t>综合部</w:t>
      </w:r>
      <w:r>
        <w:rPr>
          <w:rFonts w:hint="eastAsia"/>
          <w:bCs/>
          <w:sz w:val="24"/>
        </w:rPr>
        <w:t>及</w:t>
      </w:r>
      <w:r>
        <w:rPr>
          <w:rFonts w:hint="eastAsia"/>
          <w:bCs/>
          <w:sz w:val="24"/>
          <w:lang w:eastAsia="zh-CN"/>
        </w:rPr>
        <w:t>市场部</w:t>
      </w:r>
      <w:r>
        <w:rPr>
          <w:rFonts w:hint="eastAsia"/>
          <w:bCs/>
          <w:sz w:val="24"/>
        </w:rPr>
        <w:t>、</w:t>
      </w:r>
      <w:r>
        <w:rPr>
          <w:rFonts w:hint="eastAsia"/>
          <w:bCs/>
          <w:sz w:val="24"/>
          <w:lang w:eastAsia="zh-CN"/>
        </w:rPr>
        <w:t>研发部</w:t>
      </w:r>
      <w:r>
        <w:rPr>
          <w:rFonts w:hint="eastAsia"/>
          <w:bCs/>
          <w:sz w:val="24"/>
        </w:rPr>
        <w:t>、</w:t>
      </w:r>
      <w:r>
        <w:rPr>
          <w:rFonts w:hint="eastAsia"/>
          <w:bCs/>
          <w:sz w:val="24"/>
          <w:lang w:eastAsia="zh-CN"/>
        </w:rPr>
        <w:t>生产技术部</w:t>
      </w:r>
      <w:r>
        <w:rPr>
          <w:rFonts w:hint="eastAsia"/>
          <w:bCs/>
          <w:sz w:val="24"/>
        </w:rPr>
        <w:t>根据《年度培训计划》的安排，负责组织实施，按时准备教材，落实师资和教学场地，并做好培训记录。每次培训需填写《培训记录》，包括时间、地点、老师、内容及考核成绩。培训后相关部门将培训签到表、培训记录及相应试卷（考核记录）等送交</w:t>
      </w:r>
      <w:r>
        <w:rPr>
          <w:rFonts w:hint="eastAsia"/>
          <w:bCs/>
          <w:sz w:val="24"/>
          <w:lang w:eastAsia="zh-CN"/>
        </w:rPr>
        <w:t>综合部</w:t>
      </w:r>
      <w:r>
        <w:rPr>
          <w:rFonts w:hint="eastAsia"/>
          <w:bCs/>
          <w:sz w:val="24"/>
        </w:rPr>
        <w:t>。</w:t>
      </w:r>
    </w:p>
    <w:p w14:paraId="0BC3F174">
      <w:pPr>
        <w:spacing w:line="360" w:lineRule="auto"/>
        <w:rPr>
          <w:bCs/>
          <w:sz w:val="24"/>
        </w:rPr>
      </w:pPr>
      <w:r>
        <w:rPr>
          <w:bCs/>
          <w:sz w:val="24"/>
        </w:rPr>
        <w:t>4.4.2</w:t>
      </w:r>
      <w:r>
        <w:rPr>
          <w:rFonts w:hint="eastAsia"/>
          <w:bCs/>
          <w:sz w:val="24"/>
        </w:rPr>
        <w:t>计划外培训可由相关部门以《培训申请单》形式提出，经总经理批准，由</w:t>
      </w:r>
      <w:r>
        <w:rPr>
          <w:rFonts w:hint="eastAsia"/>
          <w:bCs/>
          <w:sz w:val="24"/>
          <w:lang w:eastAsia="zh-CN"/>
        </w:rPr>
        <w:t>综合部</w:t>
      </w:r>
      <w:r>
        <w:rPr>
          <w:rFonts w:hint="eastAsia"/>
          <w:bCs/>
          <w:sz w:val="24"/>
        </w:rPr>
        <w:t>组织实施。外培结束后，培训人员将有关证件原件或复印件交</w:t>
      </w:r>
      <w:r>
        <w:rPr>
          <w:rFonts w:hint="eastAsia"/>
          <w:bCs/>
          <w:sz w:val="24"/>
          <w:lang w:eastAsia="zh-CN"/>
        </w:rPr>
        <w:t>综合部</w:t>
      </w:r>
      <w:r>
        <w:rPr>
          <w:rFonts w:hint="eastAsia"/>
          <w:bCs/>
          <w:sz w:val="24"/>
        </w:rPr>
        <w:t>备案。</w:t>
      </w:r>
    </w:p>
    <w:p w14:paraId="15F20B70">
      <w:pPr>
        <w:spacing w:line="360" w:lineRule="auto"/>
        <w:rPr>
          <w:bCs/>
          <w:sz w:val="24"/>
        </w:rPr>
      </w:pPr>
      <w:r>
        <w:rPr>
          <w:bCs/>
          <w:sz w:val="24"/>
        </w:rPr>
        <w:t>4.4.3</w:t>
      </w:r>
      <w:r>
        <w:rPr>
          <w:rFonts w:hint="eastAsia"/>
          <w:bCs/>
          <w:sz w:val="24"/>
        </w:rPr>
        <w:t>新员工培训内容包括：</w:t>
      </w:r>
    </w:p>
    <w:p w14:paraId="12A8EEB1">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．上岗基础教育：包括公司概况、厂规厂纪、管理方针和目标、安全及质量意识、相关法律、法规、产品的常识及</w:t>
      </w:r>
      <w:r>
        <w:rPr>
          <w:bCs/>
          <w:sz w:val="24"/>
        </w:rPr>
        <w:t>GB/T19001</w:t>
      </w:r>
      <w:r>
        <w:rPr>
          <w:rFonts w:hint="eastAsia"/>
          <w:bCs/>
          <w:sz w:val="24"/>
        </w:rPr>
        <w:t>、</w:t>
      </w:r>
      <w:r>
        <w:rPr>
          <w:bCs/>
          <w:sz w:val="24"/>
        </w:rPr>
        <w:t>GB/T24001</w:t>
      </w:r>
      <w:r>
        <w:rPr>
          <w:rFonts w:hint="eastAsia"/>
          <w:bCs/>
          <w:sz w:val="24"/>
        </w:rPr>
        <w:t>、ISO45</w:t>
      </w:r>
      <w:r>
        <w:rPr>
          <w:bCs/>
          <w:sz w:val="24"/>
        </w:rPr>
        <w:t>001</w:t>
      </w:r>
      <w:r>
        <w:rPr>
          <w:rFonts w:hint="eastAsia"/>
          <w:bCs/>
          <w:sz w:val="24"/>
        </w:rPr>
        <w:t>基础知识等培训内容，在进入公司一个月内，由</w:t>
      </w:r>
      <w:r>
        <w:rPr>
          <w:rFonts w:hint="eastAsia"/>
          <w:bCs/>
          <w:sz w:val="24"/>
          <w:lang w:eastAsia="zh-CN"/>
        </w:rPr>
        <w:t>综合部</w:t>
      </w:r>
      <w:r>
        <w:rPr>
          <w:rFonts w:hint="eastAsia"/>
          <w:bCs/>
          <w:sz w:val="24"/>
        </w:rPr>
        <w:t>组织进行；</w:t>
      </w:r>
    </w:p>
    <w:p w14:paraId="093E693D">
      <w:pPr>
        <w:spacing w:line="360" w:lineRule="auto"/>
        <w:ind w:firstLine="240" w:firstLineChars="100"/>
        <w:rPr>
          <w:bCs/>
          <w:sz w:val="24"/>
        </w:rPr>
      </w:pPr>
      <w:r>
        <w:rPr>
          <w:bCs/>
          <w:sz w:val="24"/>
        </w:rPr>
        <w:t xml:space="preserve"> b</w:t>
      </w:r>
      <w:r>
        <w:rPr>
          <w:rFonts w:hint="eastAsia"/>
          <w:bCs/>
          <w:sz w:val="24"/>
        </w:rPr>
        <w:t>．岗前技能培训：包括所在岗位相关作业文件、注意事项、现场实际作业及出现紧急情况时应变措施等培训内容，由所在岗位部门负责人组织进行。</w:t>
      </w:r>
    </w:p>
    <w:p w14:paraId="6537BF31">
      <w:pPr>
        <w:spacing w:line="360" w:lineRule="auto"/>
        <w:rPr>
          <w:bCs/>
          <w:sz w:val="24"/>
        </w:rPr>
      </w:pPr>
      <w:r>
        <w:rPr>
          <w:bCs/>
          <w:sz w:val="24"/>
        </w:rPr>
        <w:t>4.4.4</w:t>
      </w:r>
      <w:r>
        <w:rPr>
          <w:rFonts w:hint="eastAsia"/>
          <w:bCs/>
          <w:sz w:val="24"/>
        </w:rPr>
        <w:t>在岗员工的业务培训</w:t>
      </w:r>
    </w:p>
    <w:p w14:paraId="6B21A47E">
      <w:pPr>
        <w:spacing w:line="360" w:lineRule="auto"/>
        <w:rPr>
          <w:bCs/>
          <w:sz w:val="24"/>
        </w:rPr>
      </w:pPr>
      <w:r>
        <w:rPr>
          <w:bCs/>
          <w:sz w:val="24"/>
        </w:rPr>
        <w:t xml:space="preserve"> </w:t>
      </w:r>
      <w:r>
        <w:rPr>
          <w:rFonts w:hint="eastAsia"/>
          <w:bCs/>
          <w:sz w:val="24"/>
        </w:rPr>
        <w:t>在岗员工的业务培训由各部门实施，培训方式可根据需要而定。</w:t>
      </w:r>
    </w:p>
    <w:p w14:paraId="0E95C3D1">
      <w:pPr>
        <w:spacing w:line="360" w:lineRule="auto"/>
        <w:rPr>
          <w:bCs/>
          <w:sz w:val="24"/>
        </w:rPr>
      </w:pPr>
      <w:r>
        <w:rPr>
          <w:bCs/>
          <w:sz w:val="24"/>
        </w:rPr>
        <w:t>4.4.5</w:t>
      </w:r>
      <w:r>
        <w:rPr>
          <w:rFonts w:hint="eastAsia"/>
          <w:bCs/>
          <w:sz w:val="24"/>
        </w:rPr>
        <w:t>特殊工作人员培训</w:t>
      </w:r>
    </w:p>
    <w:p w14:paraId="223E48AC">
      <w:pPr>
        <w:numPr>
          <w:ilvl w:val="0"/>
          <w:numId w:val="40"/>
        </w:numPr>
        <w:spacing w:line="360" w:lineRule="auto"/>
        <w:ind w:firstLine="480" w:firstLineChars="200"/>
        <w:rPr>
          <w:bCs/>
          <w:sz w:val="24"/>
        </w:rPr>
      </w:pPr>
      <w:r>
        <w:rPr>
          <w:rFonts w:hint="eastAsia"/>
          <w:bCs/>
          <w:sz w:val="24"/>
        </w:rPr>
        <w:t>特殊工种如电工、司机等接受国家专业部门培训考核认可，持国家专业部门颁发的资格有效证书方可持证上岗；</w:t>
      </w:r>
    </w:p>
    <w:p w14:paraId="4A2BB22F">
      <w:pPr>
        <w:numPr>
          <w:ilvl w:val="0"/>
          <w:numId w:val="40"/>
        </w:numPr>
        <w:spacing w:line="360" w:lineRule="auto"/>
        <w:ind w:firstLine="480" w:firstLineChars="200"/>
        <w:rPr>
          <w:bCs/>
          <w:sz w:val="24"/>
        </w:rPr>
      </w:pPr>
      <w:r>
        <w:rPr>
          <w:rFonts w:hint="eastAsia"/>
          <w:bCs/>
          <w:sz w:val="24"/>
        </w:rPr>
        <w:t>环境监测人员、安全监测人员等需取得国家授权部门相应的培训合格证书；</w:t>
      </w:r>
      <w:r>
        <w:rPr>
          <w:bCs/>
          <w:sz w:val="24"/>
        </w:rPr>
        <w:t xml:space="preserve"> </w:t>
      </w:r>
    </w:p>
    <w:p w14:paraId="4891A3BA">
      <w:pPr>
        <w:numPr>
          <w:ilvl w:val="0"/>
          <w:numId w:val="40"/>
        </w:numPr>
        <w:spacing w:line="360" w:lineRule="auto"/>
        <w:ind w:firstLine="480" w:firstLineChars="200"/>
        <w:rPr>
          <w:bCs/>
          <w:sz w:val="24"/>
        </w:rPr>
      </w:pPr>
      <w:r>
        <w:rPr>
          <w:bCs/>
          <w:sz w:val="24"/>
        </w:rPr>
        <w:t xml:space="preserve"> </w:t>
      </w:r>
      <w:r>
        <w:rPr>
          <w:rFonts w:hint="eastAsia"/>
          <w:bCs/>
          <w:sz w:val="24"/>
        </w:rPr>
        <w:t>内审员的培训由公司</w:t>
      </w:r>
      <w:r>
        <w:rPr>
          <w:rFonts w:hint="eastAsia"/>
          <w:bCs/>
          <w:sz w:val="24"/>
          <w:lang w:eastAsia="zh-CN"/>
        </w:rPr>
        <w:t>综合部</w:t>
      </w:r>
      <w:r>
        <w:rPr>
          <w:rFonts w:hint="eastAsia"/>
          <w:bCs/>
          <w:sz w:val="24"/>
        </w:rPr>
        <w:t>组织，经培训合格后，公司任命，方可从事内审工作，以确保内审工作正常进行。</w:t>
      </w:r>
    </w:p>
    <w:p w14:paraId="077EB1B7">
      <w:pPr>
        <w:spacing w:line="360" w:lineRule="auto"/>
        <w:rPr>
          <w:bCs/>
          <w:sz w:val="24"/>
        </w:rPr>
      </w:pPr>
      <w:r>
        <w:rPr>
          <w:bCs/>
          <w:sz w:val="24"/>
        </w:rPr>
        <w:t>4.4.6</w:t>
      </w:r>
      <w:r>
        <w:rPr>
          <w:rFonts w:hint="eastAsia"/>
          <w:bCs/>
          <w:sz w:val="24"/>
        </w:rPr>
        <w:t>公司</w:t>
      </w:r>
      <w:r>
        <w:rPr>
          <w:rFonts w:hint="eastAsia"/>
          <w:bCs/>
          <w:sz w:val="24"/>
          <w:lang w:eastAsia="zh-CN"/>
        </w:rPr>
        <w:t>综合部</w:t>
      </w:r>
      <w:r>
        <w:rPr>
          <w:rFonts w:hint="eastAsia"/>
          <w:bCs/>
          <w:sz w:val="24"/>
        </w:rPr>
        <w:t>组织对全体员工进行管理体系文件的宣贯工作。</w:t>
      </w:r>
    </w:p>
    <w:p w14:paraId="7B7CD258">
      <w:pPr>
        <w:spacing w:line="360" w:lineRule="auto"/>
        <w:rPr>
          <w:bCs/>
          <w:sz w:val="24"/>
        </w:rPr>
      </w:pPr>
      <w:r>
        <w:rPr>
          <w:bCs/>
          <w:sz w:val="24"/>
        </w:rPr>
        <w:t>4.4.7</w:t>
      </w:r>
      <w:r>
        <w:rPr>
          <w:rFonts w:hint="eastAsia"/>
          <w:bCs/>
          <w:sz w:val="24"/>
        </w:rPr>
        <w:t>在职员工的换岗培训员工更换工作岗位时，上岗前需进行培训考核，由新岗位部门负责实施，并做好培训考核记录。</w:t>
      </w:r>
    </w:p>
    <w:p w14:paraId="569417FB">
      <w:pPr>
        <w:spacing w:line="360" w:lineRule="auto"/>
        <w:rPr>
          <w:bCs/>
          <w:sz w:val="24"/>
        </w:rPr>
      </w:pPr>
      <w:r>
        <w:rPr>
          <w:bCs/>
          <w:sz w:val="24"/>
        </w:rPr>
        <w:t>4.4.8</w:t>
      </w:r>
      <w:r>
        <w:rPr>
          <w:rFonts w:hint="eastAsia"/>
          <w:bCs/>
          <w:sz w:val="24"/>
        </w:rPr>
        <w:t>必要时，由</w:t>
      </w:r>
      <w:r>
        <w:rPr>
          <w:rFonts w:hint="eastAsia"/>
          <w:bCs/>
          <w:sz w:val="24"/>
          <w:lang w:eastAsia="zh-CN"/>
        </w:rPr>
        <w:t>综合部</w:t>
      </w:r>
      <w:r>
        <w:rPr>
          <w:rFonts w:hint="eastAsia"/>
          <w:bCs/>
          <w:sz w:val="24"/>
        </w:rPr>
        <w:t>组织对公司的相关方进行培训（如原材料供方、化学危险品运输单位、废弃物处理者等）。</w:t>
      </w:r>
    </w:p>
    <w:p w14:paraId="50BF3A0B">
      <w:pPr>
        <w:spacing w:line="360" w:lineRule="auto"/>
        <w:rPr>
          <w:bCs/>
          <w:sz w:val="24"/>
        </w:rPr>
      </w:pPr>
      <w:r>
        <w:rPr>
          <w:bCs/>
          <w:sz w:val="24"/>
        </w:rPr>
        <w:t>4.5</w:t>
      </w:r>
      <w:r>
        <w:rPr>
          <w:rFonts w:hint="eastAsia"/>
          <w:bCs/>
          <w:sz w:val="24"/>
        </w:rPr>
        <w:t>培训措施的有效性评价及改进</w:t>
      </w:r>
    </w:p>
    <w:p w14:paraId="1BBCEB43">
      <w:pPr>
        <w:spacing w:line="360" w:lineRule="auto"/>
        <w:ind w:firstLine="240" w:firstLineChars="100"/>
        <w:rPr>
          <w:bCs/>
          <w:sz w:val="24"/>
        </w:rPr>
      </w:pPr>
      <w:r>
        <w:rPr>
          <w:bCs/>
          <w:sz w:val="24"/>
        </w:rPr>
        <w:t xml:space="preserve"> a</w:t>
      </w:r>
      <w:r>
        <w:rPr>
          <w:rFonts w:hint="eastAsia"/>
          <w:bCs/>
          <w:sz w:val="24"/>
        </w:rPr>
        <w:t>．通过理论考核、操作考核、业绩评定、现场询问或观察等方法，评价培训的有效性，评价被培训人员是否具备了所需的能力，填写《员工能力考评表》；</w:t>
      </w:r>
    </w:p>
    <w:p w14:paraId="2967E3A1">
      <w:pPr>
        <w:spacing w:line="360" w:lineRule="auto"/>
        <w:ind w:firstLine="240" w:firstLineChars="100"/>
        <w:rPr>
          <w:bCs/>
          <w:sz w:val="24"/>
        </w:rPr>
      </w:pPr>
      <w:r>
        <w:rPr>
          <w:bCs/>
          <w:sz w:val="24"/>
        </w:rPr>
        <w:t>b</w:t>
      </w:r>
      <w:r>
        <w:rPr>
          <w:rFonts w:hint="eastAsia"/>
          <w:bCs/>
          <w:sz w:val="24"/>
        </w:rPr>
        <w:t>．</w:t>
      </w:r>
      <w:r>
        <w:rPr>
          <w:rFonts w:hint="eastAsia"/>
          <w:bCs/>
          <w:sz w:val="24"/>
          <w:lang w:eastAsia="zh-CN"/>
        </w:rPr>
        <w:t>综合部</w:t>
      </w:r>
      <w:r>
        <w:rPr>
          <w:rFonts w:hint="eastAsia"/>
          <w:bCs/>
          <w:sz w:val="24"/>
        </w:rPr>
        <w:t>每年年底负责组织各部门有关人员，评价培训的有效性，征求意见和建议，以便更好制定下年度的培训计划；</w:t>
      </w:r>
    </w:p>
    <w:p w14:paraId="2D39A495">
      <w:pPr>
        <w:spacing w:line="360" w:lineRule="auto"/>
        <w:ind w:firstLine="240" w:firstLineChars="100"/>
        <w:rPr>
          <w:bCs/>
          <w:sz w:val="24"/>
        </w:rPr>
      </w:pPr>
      <w:r>
        <w:rPr>
          <w:bCs/>
          <w:sz w:val="24"/>
        </w:rPr>
        <w:t>c</w:t>
      </w:r>
      <w:r>
        <w:rPr>
          <w:rFonts w:hint="eastAsia"/>
          <w:bCs/>
          <w:sz w:val="24"/>
        </w:rPr>
        <w:t>．</w:t>
      </w:r>
      <w:r>
        <w:rPr>
          <w:rFonts w:hint="eastAsia"/>
          <w:bCs/>
          <w:sz w:val="24"/>
          <w:lang w:eastAsia="zh-CN"/>
        </w:rPr>
        <w:t>综合部</w:t>
      </w:r>
      <w:r>
        <w:rPr>
          <w:rFonts w:hint="eastAsia"/>
          <w:bCs/>
          <w:sz w:val="24"/>
        </w:rPr>
        <w:t>负责建立、保存《员工档案》。</w:t>
      </w:r>
    </w:p>
    <w:p w14:paraId="69913AEC">
      <w:pPr>
        <w:spacing w:line="360" w:lineRule="auto"/>
        <w:rPr>
          <w:bCs/>
          <w:sz w:val="24"/>
        </w:rPr>
      </w:pPr>
      <w:r>
        <w:rPr>
          <w:bCs/>
          <w:sz w:val="24"/>
        </w:rPr>
        <w:t>4.6</w:t>
      </w:r>
      <w:r>
        <w:rPr>
          <w:rFonts w:hint="eastAsia"/>
          <w:bCs/>
          <w:sz w:val="24"/>
        </w:rPr>
        <w:t>保持教育、培训、技能和经验的适当记录，各种记录执行《记录控制程序》。</w:t>
      </w:r>
    </w:p>
    <w:p w14:paraId="3B72088E">
      <w:pPr>
        <w:spacing w:line="360" w:lineRule="auto"/>
        <w:rPr>
          <w:bCs/>
          <w:sz w:val="24"/>
        </w:rPr>
      </w:pPr>
      <w:r>
        <w:rPr>
          <w:bCs/>
          <w:sz w:val="24"/>
        </w:rPr>
        <w:t>5</w:t>
      </w:r>
      <w:r>
        <w:rPr>
          <w:rFonts w:hint="eastAsia"/>
          <w:bCs/>
          <w:sz w:val="24"/>
        </w:rPr>
        <w:t>．相关文件</w:t>
      </w:r>
    </w:p>
    <w:p w14:paraId="27B4CC46">
      <w:pPr>
        <w:spacing w:line="360" w:lineRule="auto"/>
        <w:rPr>
          <w:bCs/>
          <w:sz w:val="24"/>
        </w:rPr>
      </w:pPr>
      <w:r>
        <w:rPr>
          <w:bCs/>
          <w:sz w:val="24"/>
        </w:rPr>
        <w:t>5.1</w:t>
      </w:r>
      <w:r>
        <w:rPr>
          <w:rFonts w:hint="eastAsia"/>
          <w:bCs/>
          <w:sz w:val="24"/>
        </w:rPr>
        <w:t>《记录控制程序》</w:t>
      </w:r>
    </w:p>
    <w:p w14:paraId="7D2363E1">
      <w:pPr>
        <w:spacing w:line="360" w:lineRule="auto"/>
        <w:rPr>
          <w:bCs/>
          <w:sz w:val="24"/>
        </w:rPr>
      </w:pPr>
      <w:r>
        <w:rPr>
          <w:bCs/>
          <w:sz w:val="24"/>
        </w:rPr>
        <w:t>5.2</w:t>
      </w:r>
      <w:r>
        <w:rPr>
          <w:rFonts w:hint="eastAsia"/>
          <w:bCs/>
          <w:sz w:val="24"/>
        </w:rPr>
        <w:t>《岗位工作人员任职要求》</w:t>
      </w:r>
    </w:p>
    <w:p w14:paraId="5AEA2A9B">
      <w:pPr>
        <w:spacing w:line="360" w:lineRule="auto"/>
        <w:rPr>
          <w:bCs/>
          <w:sz w:val="24"/>
        </w:rPr>
      </w:pPr>
      <w:r>
        <w:rPr>
          <w:bCs/>
          <w:sz w:val="24"/>
        </w:rPr>
        <w:t>6</w:t>
      </w:r>
      <w:r>
        <w:rPr>
          <w:rFonts w:hint="eastAsia"/>
          <w:bCs/>
          <w:sz w:val="24"/>
        </w:rPr>
        <w:t>．相关记录</w:t>
      </w:r>
    </w:p>
    <w:p w14:paraId="1D09879D">
      <w:pPr>
        <w:spacing w:line="360" w:lineRule="auto"/>
        <w:rPr>
          <w:bCs/>
          <w:sz w:val="24"/>
        </w:rPr>
      </w:pPr>
      <w:r>
        <w:rPr>
          <w:bCs/>
          <w:sz w:val="24"/>
        </w:rPr>
        <w:t>6.1</w:t>
      </w:r>
      <w:r>
        <w:rPr>
          <w:rFonts w:hint="eastAsia"/>
          <w:bCs/>
          <w:sz w:val="24"/>
        </w:rPr>
        <w:t>《年度培训计划》</w:t>
      </w:r>
    </w:p>
    <w:p w14:paraId="3C1756E9">
      <w:pPr>
        <w:spacing w:line="360" w:lineRule="auto"/>
        <w:rPr>
          <w:bCs/>
          <w:sz w:val="24"/>
        </w:rPr>
      </w:pPr>
      <w:r>
        <w:rPr>
          <w:bCs/>
          <w:sz w:val="24"/>
        </w:rPr>
        <w:t>6.2</w:t>
      </w:r>
      <w:r>
        <w:rPr>
          <w:rFonts w:hint="eastAsia"/>
          <w:bCs/>
          <w:sz w:val="24"/>
        </w:rPr>
        <w:t>《培训记录》</w:t>
      </w:r>
    </w:p>
    <w:p w14:paraId="59C1ED7E">
      <w:pPr>
        <w:spacing w:line="360" w:lineRule="auto"/>
        <w:rPr>
          <w:bCs/>
          <w:sz w:val="24"/>
        </w:rPr>
      </w:pPr>
      <w:r>
        <w:rPr>
          <w:bCs/>
          <w:sz w:val="24"/>
        </w:rPr>
        <w:t>6.3</w:t>
      </w:r>
      <w:r>
        <w:rPr>
          <w:rFonts w:hint="eastAsia"/>
          <w:bCs/>
          <w:sz w:val="24"/>
        </w:rPr>
        <w:t>《培训申请单》</w:t>
      </w:r>
      <w:r>
        <w:rPr>
          <w:bCs/>
          <w:sz w:val="24"/>
        </w:rPr>
        <w:t xml:space="preserve">      </w:t>
      </w:r>
    </w:p>
    <w:p w14:paraId="40C4C3C8">
      <w:pPr>
        <w:rPr>
          <w:bCs/>
          <w:sz w:val="24"/>
        </w:rPr>
      </w:pPr>
      <w:bookmarkStart w:id="17" w:name="_Toc10851"/>
    </w:p>
    <w:p w14:paraId="1B89E0ED">
      <w:pPr>
        <w:widowControl/>
        <w:jc w:val="left"/>
        <w:rPr>
          <w:bCs/>
          <w:sz w:val="24"/>
        </w:rPr>
      </w:pPr>
      <w:r>
        <w:rPr>
          <w:bCs/>
          <w:sz w:val="24"/>
        </w:rPr>
        <w:br w:type="page"/>
      </w:r>
    </w:p>
    <w:p w14:paraId="7D18F678">
      <w:pPr>
        <w:pStyle w:val="2"/>
        <w:spacing w:before="156" w:beforeLines="50" w:after="156" w:afterLines="50" w:line="720" w:lineRule="auto"/>
        <w:jc w:val="left"/>
        <w:rPr>
          <w:sz w:val="28"/>
          <w:szCs w:val="28"/>
        </w:rPr>
      </w:pPr>
      <w:r>
        <w:rPr>
          <w:rFonts w:hint="eastAsia"/>
          <w:sz w:val="28"/>
          <w:szCs w:val="28"/>
        </w:rPr>
        <w:t>十六、基础设施管理控制程序</w:t>
      </w:r>
      <w:bookmarkEnd w:id="17"/>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-016</w:t>
      </w:r>
    </w:p>
    <w:p w14:paraId="4FC0094C">
      <w:pPr>
        <w:spacing w:line="360" w:lineRule="auto"/>
        <w:rPr>
          <w:bCs/>
          <w:sz w:val="24"/>
        </w:rPr>
      </w:pPr>
      <w:r>
        <w:rPr>
          <w:bCs/>
          <w:sz w:val="24"/>
        </w:rPr>
        <w:t>1</w:t>
      </w:r>
      <w:r>
        <w:rPr>
          <w:rFonts w:hint="eastAsia"/>
          <w:bCs/>
          <w:sz w:val="24"/>
        </w:rPr>
        <w:t>．目的</w:t>
      </w:r>
    </w:p>
    <w:p w14:paraId="214B4433">
      <w:pPr>
        <w:spacing w:line="360" w:lineRule="auto"/>
        <w:ind w:firstLine="480" w:firstLineChars="200"/>
        <w:rPr>
          <w:bCs/>
          <w:sz w:val="24"/>
        </w:rPr>
      </w:pPr>
      <w:r>
        <w:rPr>
          <w:rFonts w:hint="eastAsia"/>
          <w:bCs/>
          <w:sz w:val="24"/>
        </w:rPr>
        <w:t>确定、提供并维护为达到产品符合要求、环境保护和职业健康安全保护的目的所需要的基础设施。</w:t>
      </w:r>
    </w:p>
    <w:p w14:paraId="7E959C03">
      <w:pPr>
        <w:spacing w:line="360" w:lineRule="auto"/>
        <w:rPr>
          <w:bCs/>
          <w:sz w:val="24"/>
        </w:rPr>
      </w:pPr>
      <w:r>
        <w:rPr>
          <w:bCs/>
          <w:sz w:val="24"/>
        </w:rPr>
        <w:t>2</w:t>
      </w:r>
      <w:r>
        <w:rPr>
          <w:rFonts w:hint="eastAsia"/>
          <w:bCs/>
          <w:sz w:val="24"/>
        </w:rPr>
        <w:t>．适用范围</w:t>
      </w:r>
    </w:p>
    <w:p w14:paraId="5E5DEE75">
      <w:pPr>
        <w:spacing w:line="360" w:lineRule="auto"/>
        <w:rPr>
          <w:bCs/>
          <w:sz w:val="24"/>
        </w:rPr>
      </w:pPr>
      <w:r>
        <w:rPr>
          <w:rFonts w:hint="eastAsia"/>
          <w:bCs/>
          <w:sz w:val="24"/>
        </w:rPr>
        <w:t>适用于对为实现产品符合性及环境保护、职业健康安全保护所需的基础设施的控制，包括生产设备设施、环保设施和安全设施等。</w:t>
      </w:r>
    </w:p>
    <w:p w14:paraId="25655759">
      <w:pPr>
        <w:spacing w:line="360" w:lineRule="auto"/>
        <w:rPr>
          <w:bCs/>
          <w:sz w:val="24"/>
        </w:rPr>
      </w:pPr>
      <w:r>
        <w:rPr>
          <w:bCs/>
          <w:sz w:val="24"/>
        </w:rPr>
        <w:t>3</w:t>
      </w:r>
      <w:r>
        <w:rPr>
          <w:rFonts w:hint="eastAsia"/>
          <w:bCs/>
          <w:sz w:val="24"/>
        </w:rPr>
        <w:t>．职责</w:t>
      </w:r>
    </w:p>
    <w:p w14:paraId="0434400D">
      <w:pPr>
        <w:spacing w:line="360" w:lineRule="auto"/>
        <w:rPr>
          <w:bCs/>
          <w:sz w:val="24"/>
        </w:rPr>
      </w:pPr>
      <w:r>
        <w:rPr>
          <w:bCs/>
          <w:sz w:val="24"/>
        </w:rPr>
        <w:t>3.1</w:t>
      </w:r>
      <w:r>
        <w:rPr>
          <w:rFonts w:hint="eastAsia"/>
          <w:bCs/>
          <w:sz w:val="24"/>
          <w:lang w:eastAsia="zh-CN"/>
        </w:rPr>
        <w:t>生产技术部</w:t>
      </w:r>
      <w:r>
        <w:rPr>
          <w:rFonts w:hint="eastAsia"/>
          <w:bCs/>
          <w:sz w:val="24"/>
        </w:rPr>
        <w:t>为设备管理归口部门，负责对生产设备的选型、购置的审核，组织调试和验收；负责设备状态标识和日常保养、维护、提出设备检修计划。</w:t>
      </w:r>
    </w:p>
    <w:p w14:paraId="62BA9D0F">
      <w:pPr>
        <w:spacing w:line="360" w:lineRule="auto"/>
        <w:rPr>
          <w:bCs/>
          <w:sz w:val="24"/>
        </w:rPr>
      </w:pPr>
      <w:r>
        <w:rPr>
          <w:bCs/>
          <w:sz w:val="24"/>
        </w:rPr>
        <w:t>3.2</w:t>
      </w:r>
      <w:r>
        <w:rPr>
          <w:rFonts w:hint="eastAsia"/>
          <w:bCs/>
          <w:sz w:val="24"/>
        </w:rPr>
        <w:t>各生产车间及设备的使用部门负责设备的保养、维护及一般的日常维修。</w:t>
      </w:r>
    </w:p>
    <w:p w14:paraId="2140CA17">
      <w:pPr>
        <w:spacing w:line="360" w:lineRule="auto"/>
        <w:rPr>
          <w:bCs/>
          <w:sz w:val="24"/>
        </w:rPr>
      </w:pPr>
      <w:r>
        <w:rPr>
          <w:rFonts w:hint="eastAsia"/>
          <w:bCs/>
          <w:sz w:val="24"/>
        </w:rPr>
        <w:t>3.3</w:t>
      </w:r>
      <w:r>
        <w:rPr>
          <w:rFonts w:hint="eastAsia"/>
          <w:bCs/>
          <w:sz w:val="24"/>
          <w:lang w:eastAsia="zh-CN"/>
        </w:rPr>
        <w:t>综合部</w:t>
      </w:r>
      <w:r>
        <w:rPr>
          <w:rFonts w:hint="eastAsia"/>
          <w:bCs/>
          <w:sz w:val="24"/>
        </w:rPr>
        <w:t>为公司办公场所和办公设施、交通设备的归口管理部门。</w:t>
      </w:r>
    </w:p>
    <w:p w14:paraId="1EE6C227">
      <w:pPr>
        <w:spacing w:line="360" w:lineRule="auto"/>
        <w:rPr>
          <w:bCs/>
          <w:sz w:val="24"/>
        </w:rPr>
      </w:pPr>
      <w:r>
        <w:rPr>
          <w:bCs/>
          <w:sz w:val="24"/>
        </w:rPr>
        <w:t>4</w:t>
      </w:r>
      <w:r>
        <w:rPr>
          <w:rFonts w:hint="eastAsia"/>
          <w:bCs/>
          <w:sz w:val="24"/>
        </w:rPr>
        <w:t>．工作程序</w:t>
      </w:r>
    </w:p>
    <w:p w14:paraId="2F38D947">
      <w:pPr>
        <w:spacing w:line="360" w:lineRule="auto"/>
        <w:rPr>
          <w:bCs/>
          <w:sz w:val="24"/>
        </w:rPr>
      </w:pPr>
      <w:r>
        <w:rPr>
          <w:bCs/>
          <w:sz w:val="24"/>
        </w:rPr>
        <w:t>4.1</w:t>
      </w:r>
      <w:r>
        <w:rPr>
          <w:rFonts w:hint="eastAsia"/>
          <w:bCs/>
          <w:sz w:val="24"/>
        </w:rPr>
        <w:t>基础设施的识别、购置、验收</w:t>
      </w:r>
    </w:p>
    <w:p w14:paraId="33189043">
      <w:pPr>
        <w:spacing w:line="360" w:lineRule="auto"/>
        <w:rPr>
          <w:bCs/>
          <w:sz w:val="24"/>
        </w:rPr>
      </w:pPr>
      <w:r>
        <w:rPr>
          <w:bCs/>
          <w:sz w:val="24"/>
        </w:rPr>
        <w:t>4.1.1</w:t>
      </w:r>
      <w:r>
        <w:rPr>
          <w:rFonts w:hint="eastAsia"/>
          <w:bCs/>
          <w:sz w:val="24"/>
        </w:rPr>
        <w:t>设施的识别公司为达到产品符合要求和环境及安全保护所需的基础设施包括：</w:t>
      </w:r>
    </w:p>
    <w:p w14:paraId="7CA157D7">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．建筑物、工作场所（如办公和生产场所）和相关设施（如供应水、汽、电的设施）；</w:t>
      </w:r>
    </w:p>
    <w:p w14:paraId="67B36487">
      <w:pPr>
        <w:spacing w:line="360" w:lineRule="auto"/>
        <w:ind w:firstLine="240" w:firstLineChars="100"/>
        <w:rPr>
          <w:bCs/>
          <w:sz w:val="24"/>
        </w:rPr>
      </w:pPr>
      <w:r>
        <w:rPr>
          <w:bCs/>
          <w:sz w:val="24"/>
        </w:rPr>
        <w:t>b</w:t>
      </w:r>
      <w:r>
        <w:rPr>
          <w:rFonts w:hint="eastAsia"/>
          <w:bCs/>
          <w:sz w:val="24"/>
        </w:rPr>
        <w:t>．过程设备（如生产设备、环保设备、安全设施、各类控制和测试设备及各种工具、辅具等）；</w:t>
      </w:r>
      <w:r>
        <w:rPr>
          <w:bCs/>
          <w:sz w:val="24"/>
        </w:rPr>
        <w:t xml:space="preserve"> </w:t>
      </w:r>
    </w:p>
    <w:p w14:paraId="1D8F28E7">
      <w:pPr>
        <w:spacing w:line="360" w:lineRule="auto"/>
        <w:ind w:firstLine="240" w:firstLineChars="100"/>
        <w:rPr>
          <w:bCs/>
          <w:sz w:val="24"/>
        </w:rPr>
      </w:pPr>
      <w:r>
        <w:rPr>
          <w:bCs/>
          <w:sz w:val="24"/>
        </w:rPr>
        <w:t>c</w:t>
      </w:r>
      <w:r>
        <w:rPr>
          <w:rFonts w:hint="eastAsia"/>
          <w:bCs/>
          <w:sz w:val="24"/>
        </w:rPr>
        <w:t>．支持性服务（如交付后活动的维护网点、配套用的运输、通讯或信息系统等）。</w:t>
      </w:r>
    </w:p>
    <w:p w14:paraId="15ACF3EA">
      <w:pPr>
        <w:spacing w:line="360" w:lineRule="auto"/>
        <w:rPr>
          <w:bCs/>
          <w:sz w:val="24"/>
        </w:rPr>
      </w:pPr>
      <w:r>
        <w:rPr>
          <w:bCs/>
          <w:sz w:val="24"/>
        </w:rPr>
        <w:t>4.1.2</w:t>
      </w:r>
      <w:r>
        <w:rPr>
          <w:rFonts w:hint="eastAsia"/>
          <w:bCs/>
          <w:sz w:val="24"/>
        </w:rPr>
        <w:t>设施的提供</w:t>
      </w:r>
    </w:p>
    <w:p w14:paraId="67697342">
      <w:pPr>
        <w:spacing w:line="360" w:lineRule="auto"/>
        <w:ind w:firstLine="240" w:firstLineChars="100"/>
        <w:rPr>
          <w:bCs/>
          <w:sz w:val="24"/>
        </w:rPr>
      </w:pPr>
      <w:r>
        <w:rPr>
          <w:bCs/>
          <w:sz w:val="24"/>
        </w:rPr>
        <w:t>a</w:t>
      </w:r>
      <w:r>
        <w:rPr>
          <w:rFonts w:hint="eastAsia"/>
          <w:bCs/>
          <w:sz w:val="24"/>
        </w:rPr>
        <w:t>．</w:t>
      </w:r>
      <w:r>
        <w:rPr>
          <w:rFonts w:hint="eastAsia"/>
          <w:bCs/>
          <w:sz w:val="24"/>
          <w:lang w:eastAsia="zh-CN"/>
        </w:rPr>
        <w:t>生产技术部</w:t>
      </w:r>
      <w:r>
        <w:rPr>
          <w:rFonts w:hint="eastAsia"/>
          <w:bCs/>
          <w:sz w:val="24"/>
        </w:rPr>
        <w:t>根据使用部门和本公司发展的需要填写《生产设施配置申请单》，上面应注明设备名称，用途、型号规格、单价、数量等，报总经理批准后，由</w:t>
      </w:r>
      <w:r>
        <w:rPr>
          <w:rFonts w:hint="eastAsia"/>
          <w:bCs/>
          <w:sz w:val="24"/>
          <w:lang w:eastAsia="zh-CN"/>
        </w:rPr>
        <w:t>市场部</w:t>
      </w:r>
      <w:r>
        <w:rPr>
          <w:rFonts w:hint="eastAsia"/>
          <w:bCs/>
          <w:sz w:val="24"/>
        </w:rPr>
        <w:t>负责组织安排采购有关事宜，并实施采购。</w:t>
      </w:r>
    </w:p>
    <w:p w14:paraId="44D0843E">
      <w:pPr>
        <w:spacing w:line="360" w:lineRule="auto"/>
        <w:ind w:firstLine="240" w:firstLineChars="100"/>
        <w:rPr>
          <w:bCs/>
          <w:sz w:val="24"/>
        </w:rPr>
      </w:pPr>
      <w:r>
        <w:rPr>
          <w:bCs/>
          <w:sz w:val="24"/>
        </w:rPr>
        <w:t>b</w:t>
      </w:r>
      <w:r>
        <w:rPr>
          <w:rFonts w:hint="eastAsia"/>
          <w:bCs/>
          <w:sz w:val="24"/>
        </w:rPr>
        <w:t>．需自制的设施，经总经理批准后，由</w:t>
      </w:r>
      <w:r>
        <w:rPr>
          <w:rFonts w:hint="eastAsia"/>
          <w:bCs/>
          <w:sz w:val="24"/>
          <w:lang w:eastAsia="zh-CN"/>
        </w:rPr>
        <w:t>生产技术部</w:t>
      </w:r>
      <w:r>
        <w:rPr>
          <w:rFonts w:hint="eastAsia"/>
          <w:bCs/>
          <w:sz w:val="24"/>
        </w:rPr>
        <w:t>会同有关部门和车间予以设计和加工制作。如需外加工，由</w:t>
      </w:r>
      <w:r>
        <w:rPr>
          <w:rFonts w:hint="eastAsia"/>
          <w:bCs/>
          <w:sz w:val="24"/>
          <w:lang w:eastAsia="zh-CN"/>
        </w:rPr>
        <w:t>生产技术部</w:t>
      </w:r>
      <w:r>
        <w:rPr>
          <w:rFonts w:hint="eastAsia"/>
          <w:bCs/>
          <w:sz w:val="24"/>
        </w:rPr>
        <w:t>联系外协加工厂家进行加工。</w:t>
      </w:r>
    </w:p>
    <w:p w14:paraId="11CEB680">
      <w:pPr>
        <w:spacing w:line="360" w:lineRule="auto"/>
        <w:rPr>
          <w:bCs/>
          <w:sz w:val="24"/>
        </w:rPr>
      </w:pPr>
      <w:r>
        <w:rPr>
          <w:bCs/>
          <w:sz w:val="24"/>
        </w:rPr>
        <w:t>4.1.3</w:t>
      </w:r>
      <w:r>
        <w:rPr>
          <w:rFonts w:hint="eastAsia"/>
          <w:bCs/>
          <w:sz w:val="24"/>
        </w:rPr>
        <w:t>设备的验收</w:t>
      </w:r>
    </w:p>
    <w:p w14:paraId="3CBFAC7A">
      <w:pPr>
        <w:spacing w:line="360" w:lineRule="auto"/>
        <w:ind w:firstLine="240" w:firstLineChars="100"/>
        <w:rPr>
          <w:bCs/>
          <w:sz w:val="24"/>
        </w:rPr>
      </w:pPr>
      <w:r>
        <w:rPr>
          <w:bCs/>
          <w:sz w:val="24"/>
        </w:rPr>
        <w:t>a</w:t>
      </w:r>
      <w:r>
        <w:rPr>
          <w:rFonts w:hint="eastAsia"/>
          <w:bCs/>
          <w:sz w:val="24"/>
        </w:rPr>
        <w:t>．采购和自制的设施，</w:t>
      </w:r>
      <w:r>
        <w:rPr>
          <w:rFonts w:hint="eastAsia"/>
          <w:bCs/>
          <w:sz w:val="24"/>
          <w:lang w:eastAsia="zh-CN"/>
        </w:rPr>
        <w:t>生产技术部</w:t>
      </w:r>
      <w:r>
        <w:rPr>
          <w:rFonts w:hint="eastAsia"/>
          <w:bCs/>
          <w:sz w:val="24"/>
        </w:rPr>
        <w:t>组织使用部门进行安装调试，确认满足要求后，由</w:t>
      </w:r>
      <w:r>
        <w:rPr>
          <w:rFonts w:hint="eastAsia"/>
          <w:bCs/>
          <w:sz w:val="24"/>
          <w:lang w:eastAsia="zh-CN"/>
        </w:rPr>
        <w:t>生产技术部</w:t>
      </w:r>
      <w:r>
        <w:rPr>
          <w:rFonts w:hint="eastAsia"/>
          <w:bCs/>
          <w:sz w:val="24"/>
        </w:rPr>
        <w:t>记录设备名称、型号规格、单价、数量、随机附件及资料等内容。</w:t>
      </w:r>
    </w:p>
    <w:p w14:paraId="7CC2F305">
      <w:pPr>
        <w:spacing w:line="360" w:lineRule="auto"/>
        <w:ind w:firstLine="240" w:firstLineChars="100"/>
        <w:rPr>
          <w:bCs/>
          <w:sz w:val="24"/>
        </w:rPr>
      </w:pPr>
      <w:r>
        <w:rPr>
          <w:bCs/>
          <w:sz w:val="24"/>
        </w:rPr>
        <w:t>b</w:t>
      </w:r>
      <w:r>
        <w:rPr>
          <w:rFonts w:hint="eastAsia"/>
          <w:bCs/>
          <w:sz w:val="24"/>
        </w:rPr>
        <w:t>．验收不合格的设备，</w:t>
      </w:r>
      <w:r>
        <w:rPr>
          <w:rFonts w:hint="eastAsia"/>
          <w:bCs/>
          <w:sz w:val="24"/>
          <w:lang w:eastAsia="zh-CN"/>
        </w:rPr>
        <w:t>市场部</w:t>
      </w:r>
      <w:r>
        <w:rPr>
          <w:rFonts w:hint="eastAsia"/>
          <w:bCs/>
          <w:sz w:val="24"/>
        </w:rPr>
        <w:t>与供方协商解决。</w:t>
      </w:r>
    </w:p>
    <w:p w14:paraId="1857273E">
      <w:pPr>
        <w:spacing w:line="360" w:lineRule="auto"/>
        <w:rPr>
          <w:bCs/>
          <w:sz w:val="24"/>
        </w:rPr>
      </w:pPr>
    </w:p>
    <w:p w14:paraId="1D4C3A05">
      <w:pPr>
        <w:spacing w:line="360" w:lineRule="auto"/>
        <w:ind w:firstLine="240" w:firstLineChars="100"/>
        <w:rPr>
          <w:bCs/>
          <w:sz w:val="24"/>
        </w:rPr>
      </w:pPr>
      <w:r>
        <w:rPr>
          <w:bCs/>
          <w:sz w:val="24"/>
        </w:rPr>
        <w:t>c</w:t>
      </w:r>
      <w:r>
        <w:rPr>
          <w:rFonts w:hint="eastAsia"/>
          <w:bCs/>
          <w:sz w:val="24"/>
        </w:rPr>
        <w:t>．</w:t>
      </w:r>
      <w:r>
        <w:rPr>
          <w:rFonts w:hint="eastAsia"/>
          <w:bCs/>
          <w:sz w:val="24"/>
          <w:lang w:eastAsia="zh-CN"/>
        </w:rPr>
        <w:t>生产技术部</w:t>
      </w:r>
      <w:r>
        <w:rPr>
          <w:rFonts w:hint="eastAsia"/>
          <w:bCs/>
          <w:sz w:val="24"/>
        </w:rPr>
        <w:t>对验收合格的设备进行编号，建立设备档案，并在《设备管理台帐》上登记。</w:t>
      </w:r>
    </w:p>
    <w:p w14:paraId="4FEFAC23">
      <w:pPr>
        <w:spacing w:line="360" w:lineRule="auto"/>
        <w:rPr>
          <w:bCs/>
          <w:sz w:val="24"/>
        </w:rPr>
      </w:pPr>
      <w:r>
        <w:rPr>
          <w:bCs/>
          <w:sz w:val="24"/>
        </w:rPr>
        <w:t>4.2</w:t>
      </w:r>
      <w:r>
        <w:rPr>
          <w:rFonts w:hint="eastAsia"/>
          <w:bCs/>
          <w:sz w:val="24"/>
        </w:rPr>
        <w:t>设备的使用、维护和保养</w:t>
      </w:r>
    </w:p>
    <w:p w14:paraId="17E72CE6">
      <w:pPr>
        <w:spacing w:line="360" w:lineRule="auto"/>
        <w:ind w:firstLine="240" w:firstLineChars="100"/>
        <w:rPr>
          <w:bCs/>
          <w:sz w:val="24"/>
        </w:rPr>
      </w:pPr>
      <w:r>
        <w:rPr>
          <w:bCs/>
          <w:sz w:val="24"/>
        </w:rPr>
        <w:t>a</w:t>
      </w:r>
      <w:r>
        <w:rPr>
          <w:rFonts w:hint="eastAsia"/>
          <w:bCs/>
          <w:sz w:val="24"/>
        </w:rPr>
        <w:t>．各岗位人员都应按照《设备管理制度》，正确合理的使用各种设备，并进行适当的保养和维护，日常生产中所发现的设备故障及排除情况，应填写在本部门生产记录中，并将设备维护和保养记录上报</w:t>
      </w:r>
      <w:r>
        <w:rPr>
          <w:rFonts w:hint="eastAsia"/>
          <w:bCs/>
          <w:sz w:val="24"/>
          <w:lang w:eastAsia="zh-CN"/>
        </w:rPr>
        <w:t>生产技术部</w:t>
      </w:r>
      <w:r>
        <w:rPr>
          <w:rFonts w:hint="eastAsia"/>
          <w:bCs/>
          <w:sz w:val="24"/>
        </w:rPr>
        <w:t>。</w:t>
      </w:r>
    </w:p>
    <w:p w14:paraId="508DC74C">
      <w:pPr>
        <w:spacing w:line="360" w:lineRule="auto"/>
        <w:rPr>
          <w:bCs/>
          <w:sz w:val="24"/>
        </w:rPr>
      </w:pPr>
      <w:r>
        <w:rPr>
          <w:bCs/>
          <w:sz w:val="24"/>
        </w:rPr>
        <w:t xml:space="preserve"> b</w:t>
      </w:r>
      <w:r>
        <w:rPr>
          <w:rFonts w:hint="eastAsia"/>
          <w:bCs/>
          <w:sz w:val="24"/>
        </w:rPr>
        <w:t>．需要时，由</w:t>
      </w:r>
      <w:r>
        <w:rPr>
          <w:rFonts w:hint="eastAsia"/>
          <w:bCs/>
          <w:sz w:val="24"/>
          <w:lang w:eastAsia="zh-CN"/>
        </w:rPr>
        <w:t>生产技术部</w:t>
      </w:r>
      <w:r>
        <w:rPr>
          <w:rFonts w:hint="eastAsia"/>
          <w:bCs/>
          <w:sz w:val="24"/>
        </w:rPr>
        <w:t>编制设施的操作规程，操作人员应经过培训，考核合格者，方可上岗；</w:t>
      </w:r>
      <w:r>
        <w:rPr>
          <w:bCs/>
          <w:sz w:val="24"/>
        </w:rPr>
        <w:t xml:space="preserve"> </w:t>
      </w:r>
    </w:p>
    <w:p w14:paraId="18C9A02F">
      <w:pPr>
        <w:spacing w:line="360" w:lineRule="auto"/>
        <w:rPr>
          <w:bCs/>
          <w:sz w:val="24"/>
        </w:rPr>
      </w:pPr>
      <w:r>
        <w:rPr>
          <w:bCs/>
          <w:sz w:val="24"/>
        </w:rPr>
        <w:t>c</w:t>
      </w:r>
      <w:r>
        <w:rPr>
          <w:rFonts w:hint="eastAsia"/>
          <w:bCs/>
          <w:sz w:val="24"/>
        </w:rPr>
        <w:t>．</w:t>
      </w:r>
      <w:r>
        <w:rPr>
          <w:rFonts w:hint="eastAsia"/>
          <w:bCs/>
          <w:sz w:val="24"/>
          <w:lang w:eastAsia="zh-CN"/>
        </w:rPr>
        <w:t>生产技术部</w:t>
      </w:r>
      <w:r>
        <w:rPr>
          <w:rFonts w:hint="eastAsia"/>
          <w:bCs/>
          <w:sz w:val="24"/>
        </w:rPr>
        <w:t>根据设备的使用情况，每年制定设备检修计划，发至各相关部门执行。</w:t>
      </w:r>
    </w:p>
    <w:p w14:paraId="66C94791">
      <w:pPr>
        <w:spacing w:line="360" w:lineRule="auto"/>
        <w:rPr>
          <w:bCs/>
          <w:sz w:val="24"/>
        </w:rPr>
      </w:pPr>
      <w:r>
        <w:rPr>
          <w:rFonts w:hint="eastAsia"/>
          <w:bCs/>
          <w:sz w:val="24"/>
        </w:rPr>
        <w:t>设备检修完后，设备检修人员报</w:t>
      </w:r>
      <w:r>
        <w:rPr>
          <w:rFonts w:hint="eastAsia"/>
          <w:bCs/>
          <w:sz w:val="24"/>
          <w:lang w:eastAsia="zh-CN"/>
        </w:rPr>
        <w:t>生产技术部</w:t>
      </w:r>
      <w:r>
        <w:rPr>
          <w:rFonts w:hint="eastAsia"/>
          <w:bCs/>
          <w:sz w:val="24"/>
        </w:rPr>
        <w:t>留存。</w:t>
      </w:r>
    </w:p>
    <w:p w14:paraId="47E43DC5">
      <w:pPr>
        <w:spacing w:line="360" w:lineRule="auto"/>
        <w:rPr>
          <w:bCs/>
          <w:sz w:val="24"/>
        </w:rPr>
      </w:pPr>
      <w:r>
        <w:rPr>
          <w:bCs/>
          <w:sz w:val="24"/>
        </w:rPr>
        <w:t>d</w:t>
      </w:r>
      <w:r>
        <w:rPr>
          <w:rFonts w:hint="eastAsia"/>
          <w:bCs/>
          <w:sz w:val="24"/>
        </w:rPr>
        <w:t>．设备使用人员要做好日常维护和保养，并填写《设备维护保养记录》。</w:t>
      </w:r>
    </w:p>
    <w:p w14:paraId="598671CC">
      <w:pPr>
        <w:spacing w:line="360" w:lineRule="auto"/>
        <w:rPr>
          <w:bCs/>
          <w:sz w:val="24"/>
        </w:rPr>
      </w:pPr>
      <w:r>
        <w:rPr>
          <w:bCs/>
          <w:sz w:val="24"/>
        </w:rPr>
        <w:t>4.3</w:t>
      </w:r>
      <w:r>
        <w:rPr>
          <w:rFonts w:hint="eastAsia"/>
          <w:bCs/>
          <w:sz w:val="24"/>
        </w:rPr>
        <w:t>设备的报废</w:t>
      </w:r>
    </w:p>
    <w:p w14:paraId="6DFFCE92">
      <w:pPr>
        <w:spacing w:line="360" w:lineRule="auto"/>
        <w:rPr>
          <w:bCs/>
          <w:sz w:val="24"/>
        </w:rPr>
      </w:pPr>
      <w:r>
        <w:rPr>
          <w:bCs/>
          <w:sz w:val="24"/>
        </w:rPr>
        <w:t xml:space="preserve"> </w:t>
      </w:r>
      <w:r>
        <w:rPr>
          <w:rFonts w:hint="eastAsia"/>
          <w:bCs/>
          <w:sz w:val="24"/>
        </w:rPr>
        <w:t>对无法修复或无使用价值的设施，由</w:t>
      </w:r>
      <w:r>
        <w:rPr>
          <w:rFonts w:hint="eastAsia"/>
          <w:bCs/>
          <w:sz w:val="24"/>
          <w:lang w:eastAsia="zh-CN"/>
        </w:rPr>
        <w:t>生产技术部</w:t>
      </w:r>
      <w:r>
        <w:rPr>
          <w:rFonts w:hint="eastAsia"/>
          <w:bCs/>
          <w:sz w:val="24"/>
        </w:rPr>
        <w:t>组织报废。</w:t>
      </w:r>
    </w:p>
    <w:p w14:paraId="67ED0FFF">
      <w:pPr>
        <w:spacing w:line="360" w:lineRule="auto"/>
        <w:rPr>
          <w:bCs/>
          <w:sz w:val="24"/>
        </w:rPr>
      </w:pPr>
      <w:r>
        <w:rPr>
          <w:bCs/>
          <w:sz w:val="24"/>
        </w:rPr>
        <w:t>4.4</w:t>
      </w:r>
      <w:r>
        <w:rPr>
          <w:rFonts w:hint="eastAsia"/>
          <w:bCs/>
          <w:sz w:val="24"/>
        </w:rPr>
        <w:t>设备技术档案管理</w:t>
      </w:r>
    </w:p>
    <w:p w14:paraId="469397BD">
      <w:pPr>
        <w:spacing w:line="360" w:lineRule="auto"/>
        <w:rPr>
          <w:bCs/>
          <w:sz w:val="24"/>
        </w:rPr>
      </w:pPr>
      <w:r>
        <w:rPr>
          <w:rFonts w:hint="eastAsia"/>
          <w:bCs/>
          <w:sz w:val="24"/>
          <w:lang w:eastAsia="zh-CN"/>
        </w:rPr>
        <w:t>生产技术部</w:t>
      </w:r>
      <w:r>
        <w:rPr>
          <w:rFonts w:hint="eastAsia"/>
          <w:bCs/>
          <w:sz w:val="24"/>
        </w:rPr>
        <w:t>应建立《设备管理台帐》，对全公司的设备档案进行记录、归档和保管。</w:t>
      </w:r>
    </w:p>
    <w:p w14:paraId="3A2A15DE">
      <w:pPr>
        <w:spacing w:line="360" w:lineRule="auto"/>
        <w:rPr>
          <w:bCs/>
          <w:sz w:val="24"/>
        </w:rPr>
      </w:pPr>
      <w:r>
        <w:rPr>
          <w:bCs/>
          <w:sz w:val="24"/>
        </w:rPr>
        <w:t>5</w:t>
      </w:r>
      <w:r>
        <w:rPr>
          <w:rFonts w:hint="eastAsia"/>
          <w:bCs/>
          <w:sz w:val="24"/>
        </w:rPr>
        <w:t>．相关文件</w:t>
      </w:r>
    </w:p>
    <w:p w14:paraId="36461B2E">
      <w:pPr>
        <w:spacing w:line="360" w:lineRule="auto"/>
        <w:rPr>
          <w:bCs/>
          <w:sz w:val="24"/>
        </w:rPr>
      </w:pPr>
      <w:r>
        <w:rPr>
          <w:bCs/>
          <w:sz w:val="24"/>
        </w:rPr>
        <w:t xml:space="preserve">  </w:t>
      </w:r>
      <w:r>
        <w:rPr>
          <w:rFonts w:hint="eastAsia"/>
          <w:bCs/>
          <w:sz w:val="24"/>
        </w:rPr>
        <w:t>《设备管理制度》</w:t>
      </w:r>
    </w:p>
    <w:p w14:paraId="11D93607">
      <w:pPr>
        <w:spacing w:line="360" w:lineRule="auto"/>
        <w:rPr>
          <w:bCs/>
          <w:sz w:val="24"/>
        </w:rPr>
      </w:pPr>
      <w:r>
        <w:rPr>
          <w:bCs/>
          <w:sz w:val="24"/>
        </w:rPr>
        <w:t>6</w:t>
      </w:r>
      <w:r>
        <w:rPr>
          <w:rFonts w:hint="eastAsia"/>
          <w:bCs/>
          <w:sz w:val="24"/>
        </w:rPr>
        <w:t>．相关记录</w:t>
      </w:r>
    </w:p>
    <w:p w14:paraId="0492F764">
      <w:pPr>
        <w:spacing w:line="360" w:lineRule="auto"/>
        <w:rPr>
          <w:bCs/>
          <w:sz w:val="24"/>
        </w:rPr>
      </w:pPr>
      <w:r>
        <w:rPr>
          <w:bCs/>
          <w:sz w:val="24"/>
        </w:rPr>
        <w:t>6.1</w:t>
      </w:r>
      <w:r>
        <w:rPr>
          <w:rFonts w:hint="eastAsia"/>
          <w:bCs/>
          <w:sz w:val="24"/>
        </w:rPr>
        <w:t>《设备管理台帐》</w:t>
      </w:r>
    </w:p>
    <w:p w14:paraId="729402FD">
      <w:pPr>
        <w:spacing w:line="360" w:lineRule="auto"/>
        <w:rPr>
          <w:bCs/>
          <w:sz w:val="24"/>
        </w:rPr>
      </w:pPr>
      <w:r>
        <w:rPr>
          <w:bCs/>
          <w:sz w:val="24"/>
        </w:rPr>
        <w:t>6.2</w:t>
      </w:r>
      <w:r>
        <w:rPr>
          <w:rFonts w:hint="eastAsia"/>
          <w:bCs/>
          <w:sz w:val="24"/>
        </w:rPr>
        <w:t>《设备维护保养记录》</w:t>
      </w:r>
    </w:p>
    <w:p w14:paraId="27D1ABA3">
      <w:pPr>
        <w:rPr>
          <w:bCs/>
          <w:sz w:val="24"/>
        </w:rPr>
      </w:pPr>
      <w:bookmarkStart w:id="18" w:name="_Toc27670"/>
    </w:p>
    <w:p w14:paraId="716B6FBD">
      <w:pPr>
        <w:widowControl/>
        <w:jc w:val="left"/>
        <w:rPr>
          <w:bCs/>
          <w:sz w:val="24"/>
        </w:rPr>
      </w:pPr>
      <w:r>
        <w:rPr>
          <w:bCs/>
          <w:sz w:val="24"/>
        </w:rPr>
        <w:br w:type="page"/>
      </w:r>
    </w:p>
    <w:p w14:paraId="516457AE">
      <w:pPr>
        <w:pStyle w:val="2"/>
        <w:spacing w:before="156" w:beforeLines="50" w:after="156" w:afterLines="50" w:line="720" w:lineRule="auto"/>
        <w:jc w:val="left"/>
        <w:rPr>
          <w:sz w:val="28"/>
          <w:szCs w:val="28"/>
        </w:rPr>
      </w:pPr>
      <w:r>
        <w:rPr>
          <w:rFonts w:hint="eastAsia"/>
          <w:sz w:val="28"/>
          <w:szCs w:val="28"/>
        </w:rPr>
        <w:t>十七、产品实现的策划控制程序</w:t>
      </w:r>
      <w:bookmarkEnd w:id="18"/>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-017</w:t>
      </w:r>
    </w:p>
    <w:p w14:paraId="2B60BB22">
      <w:pPr>
        <w:spacing w:line="360" w:lineRule="auto"/>
        <w:rPr>
          <w:bCs/>
          <w:sz w:val="24"/>
        </w:rPr>
      </w:pPr>
      <w:r>
        <w:rPr>
          <w:bCs/>
          <w:sz w:val="24"/>
        </w:rPr>
        <w:t>1</w:t>
      </w:r>
      <w:r>
        <w:rPr>
          <w:rFonts w:hint="eastAsia"/>
          <w:bCs/>
          <w:sz w:val="24"/>
        </w:rPr>
        <w:t>．目的</w:t>
      </w:r>
    </w:p>
    <w:p w14:paraId="769AE9E8">
      <w:pPr>
        <w:spacing w:line="360" w:lineRule="auto"/>
        <w:rPr>
          <w:bCs/>
          <w:sz w:val="24"/>
        </w:rPr>
      </w:pPr>
      <w:r>
        <w:rPr>
          <w:rFonts w:hint="eastAsia"/>
          <w:bCs/>
          <w:sz w:val="24"/>
        </w:rPr>
        <w:t>对特定产品、项目或合同规定专门的质量措施、资源和活动，以确保满足规定要求。</w:t>
      </w:r>
    </w:p>
    <w:p w14:paraId="1C6E880F">
      <w:pPr>
        <w:spacing w:line="360" w:lineRule="auto"/>
        <w:rPr>
          <w:bCs/>
          <w:sz w:val="24"/>
        </w:rPr>
      </w:pPr>
      <w:r>
        <w:rPr>
          <w:bCs/>
          <w:sz w:val="24"/>
        </w:rPr>
        <w:t>2</w:t>
      </w:r>
      <w:r>
        <w:rPr>
          <w:rFonts w:hint="eastAsia"/>
          <w:bCs/>
          <w:sz w:val="24"/>
        </w:rPr>
        <w:t>．范围</w:t>
      </w:r>
    </w:p>
    <w:p w14:paraId="492E374B">
      <w:pPr>
        <w:spacing w:line="360" w:lineRule="auto"/>
        <w:rPr>
          <w:bCs/>
          <w:sz w:val="24"/>
        </w:rPr>
      </w:pPr>
      <w:r>
        <w:rPr>
          <w:rFonts w:hint="eastAsia"/>
          <w:bCs/>
          <w:sz w:val="24"/>
        </w:rPr>
        <w:t>适用于本公司产品实现过程的策划及针对特定产品、项目及合同有关的质量策划的控制及相应的质量计划的编制、实施和控制。</w:t>
      </w:r>
    </w:p>
    <w:p w14:paraId="49380094">
      <w:pPr>
        <w:spacing w:line="360" w:lineRule="auto"/>
        <w:rPr>
          <w:bCs/>
          <w:sz w:val="24"/>
        </w:rPr>
      </w:pPr>
      <w:r>
        <w:rPr>
          <w:bCs/>
          <w:sz w:val="24"/>
        </w:rPr>
        <w:t>3</w:t>
      </w:r>
      <w:r>
        <w:rPr>
          <w:rFonts w:hint="eastAsia"/>
          <w:bCs/>
          <w:sz w:val="24"/>
        </w:rPr>
        <w:t>．职责</w:t>
      </w:r>
    </w:p>
    <w:p w14:paraId="3B2B0EEB">
      <w:pPr>
        <w:spacing w:line="360" w:lineRule="auto"/>
        <w:rPr>
          <w:bCs/>
          <w:sz w:val="24"/>
        </w:rPr>
      </w:pPr>
      <w:r>
        <w:rPr>
          <w:bCs/>
          <w:sz w:val="24"/>
        </w:rPr>
        <w:t>3.1</w:t>
      </w:r>
      <w:r>
        <w:rPr>
          <w:rFonts w:hint="eastAsia"/>
          <w:bCs/>
          <w:sz w:val="24"/>
        </w:rPr>
        <w:t>总经理负责批准质量计划。</w:t>
      </w:r>
    </w:p>
    <w:p w14:paraId="1E41964A">
      <w:pPr>
        <w:spacing w:line="360" w:lineRule="auto"/>
        <w:rPr>
          <w:bCs/>
          <w:sz w:val="24"/>
        </w:rPr>
      </w:pPr>
      <w:r>
        <w:rPr>
          <w:bCs/>
          <w:sz w:val="24"/>
        </w:rPr>
        <w:t>3.2</w:t>
      </w:r>
      <w:r>
        <w:rPr>
          <w:rFonts w:hint="eastAsia"/>
          <w:bCs/>
          <w:sz w:val="24"/>
          <w:lang w:eastAsia="zh-CN"/>
        </w:rPr>
        <w:t>研发部</w:t>
      </w:r>
      <w:r>
        <w:rPr>
          <w:rFonts w:hint="eastAsia"/>
          <w:bCs/>
          <w:sz w:val="24"/>
        </w:rPr>
        <w:t>负责产品实现策划的归口管理，并对策划结果的实施情况进行监督检查。</w:t>
      </w:r>
    </w:p>
    <w:p w14:paraId="64EB9553">
      <w:pPr>
        <w:spacing w:line="360" w:lineRule="auto"/>
        <w:rPr>
          <w:bCs/>
          <w:sz w:val="24"/>
        </w:rPr>
      </w:pPr>
      <w:r>
        <w:rPr>
          <w:bCs/>
          <w:sz w:val="24"/>
        </w:rPr>
        <w:t>3.3</w:t>
      </w:r>
      <w:r>
        <w:rPr>
          <w:rFonts w:hint="eastAsia"/>
          <w:bCs/>
          <w:sz w:val="24"/>
        </w:rPr>
        <w:t>各部门负责人负责实施相应的质量计划。</w:t>
      </w:r>
    </w:p>
    <w:p w14:paraId="7AFF2930">
      <w:pPr>
        <w:spacing w:line="360" w:lineRule="auto"/>
        <w:rPr>
          <w:bCs/>
          <w:sz w:val="24"/>
        </w:rPr>
      </w:pPr>
      <w:r>
        <w:rPr>
          <w:bCs/>
          <w:sz w:val="24"/>
        </w:rPr>
        <w:t>4</w:t>
      </w:r>
      <w:r>
        <w:rPr>
          <w:rFonts w:hint="eastAsia"/>
          <w:bCs/>
          <w:sz w:val="24"/>
        </w:rPr>
        <w:t>．程序</w:t>
      </w:r>
    </w:p>
    <w:p w14:paraId="7ACE9495">
      <w:pPr>
        <w:spacing w:line="360" w:lineRule="auto"/>
        <w:rPr>
          <w:bCs/>
          <w:sz w:val="24"/>
        </w:rPr>
      </w:pPr>
      <w:r>
        <w:rPr>
          <w:bCs/>
          <w:sz w:val="24"/>
        </w:rPr>
        <w:t>4.1</w:t>
      </w:r>
      <w:r>
        <w:rPr>
          <w:rFonts w:hint="eastAsia"/>
          <w:bCs/>
          <w:sz w:val="24"/>
        </w:rPr>
        <w:t>对于组织的产品实现所需的过程都应进行策划。</w:t>
      </w:r>
    </w:p>
    <w:p w14:paraId="39B96A10">
      <w:pPr>
        <w:spacing w:line="360" w:lineRule="auto"/>
        <w:rPr>
          <w:bCs/>
          <w:sz w:val="24"/>
        </w:rPr>
      </w:pPr>
      <w:r>
        <w:rPr>
          <w:bCs/>
          <w:sz w:val="24"/>
        </w:rPr>
        <w:t>4.2</w:t>
      </w:r>
      <w:r>
        <w:rPr>
          <w:rFonts w:hint="eastAsia"/>
          <w:bCs/>
          <w:sz w:val="24"/>
        </w:rPr>
        <w:t>进行产品实现策划的时机</w:t>
      </w:r>
    </w:p>
    <w:p w14:paraId="3F573177">
      <w:pPr>
        <w:spacing w:line="360" w:lineRule="auto"/>
        <w:rPr>
          <w:bCs/>
          <w:sz w:val="24"/>
        </w:rPr>
      </w:pPr>
      <w:r>
        <w:rPr>
          <w:bCs/>
          <w:sz w:val="24"/>
        </w:rPr>
        <w:t>a</w:t>
      </w:r>
      <w:r>
        <w:rPr>
          <w:rFonts w:hint="eastAsia"/>
          <w:bCs/>
          <w:sz w:val="24"/>
        </w:rPr>
        <w:t>．对有特殊要求的常规产品、项目、合同或活动；</w:t>
      </w:r>
      <w:r>
        <w:rPr>
          <w:bCs/>
          <w:sz w:val="24"/>
        </w:rPr>
        <w:t xml:space="preserve">  </w:t>
      </w:r>
    </w:p>
    <w:p w14:paraId="23141453">
      <w:pPr>
        <w:spacing w:line="360" w:lineRule="auto"/>
        <w:rPr>
          <w:bCs/>
          <w:sz w:val="24"/>
        </w:rPr>
      </w:pPr>
      <w:r>
        <w:rPr>
          <w:bCs/>
          <w:sz w:val="24"/>
        </w:rPr>
        <w:t>b</w:t>
      </w:r>
      <w:r>
        <w:rPr>
          <w:rFonts w:hint="eastAsia"/>
          <w:bCs/>
          <w:sz w:val="24"/>
        </w:rPr>
        <w:t>．现有体系文件未能涵盖的特殊事项；</w:t>
      </w:r>
      <w:r>
        <w:rPr>
          <w:bCs/>
          <w:sz w:val="24"/>
        </w:rPr>
        <w:t xml:space="preserve">  </w:t>
      </w:r>
    </w:p>
    <w:p w14:paraId="48664032">
      <w:pPr>
        <w:spacing w:line="360" w:lineRule="auto"/>
        <w:rPr>
          <w:bCs/>
          <w:sz w:val="24"/>
        </w:rPr>
      </w:pPr>
      <w:r>
        <w:rPr>
          <w:bCs/>
          <w:sz w:val="24"/>
        </w:rPr>
        <w:t>c</w:t>
      </w:r>
      <w:r>
        <w:rPr>
          <w:rFonts w:hint="eastAsia"/>
          <w:bCs/>
          <w:sz w:val="24"/>
        </w:rPr>
        <w:t>．采用新工艺或新材料，技术革新或技术改造的策划；</w:t>
      </w:r>
      <w:r>
        <w:rPr>
          <w:bCs/>
          <w:sz w:val="24"/>
        </w:rPr>
        <w:t xml:space="preserve">  </w:t>
      </w:r>
    </w:p>
    <w:p w14:paraId="030A9DC1">
      <w:pPr>
        <w:spacing w:line="360" w:lineRule="auto"/>
        <w:rPr>
          <w:bCs/>
          <w:sz w:val="24"/>
        </w:rPr>
      </w:pPr>
      <w:r>
        <w:rPr>
          <w:bCs/>
          <w:sz w:val="24"/>
        </w:rPr>
        <w:t>d</w:t>
      </w:r>
      <w:r>
        <w:rPr>
          <w:rFonts w:hint="eastAsia"/>
          <w:bCs/>
          <w:sz w:val="24"/>
        </w:rPr>
        <w:t>．构成新产品的设计和开发。</w:t>
      </w:r>
    </w:p>
    <w:p w14:paraId="387CAD6B">
      <w:pPr>
        <w:spacing w:line="360" w:lineRule="auto"/>
        <w:rPr>
          <w:bCs/>
          <w:sz w:val="24"/>
        </w:rPr>
      </w:pPr>
      <w:r>
        <w:rPr>
          <w:bCs/>
          <w:sz w:val="24"/>
        </w:rPr>
        <w:t>4.3</w:t>
      </w:r>
      <w:r>
        <w:rPr>
          <w:rFonts w:hint="eastAsia"/>
          <w:bCs/>
          <w:sz w:val="24"/>
        </w:rPr>
        <w:t>产品实现策划的内容</w:t>
      </w:r>
    </w:p>
    <w:p w14:paraId="4D7CD5D5">
      <w:pPr>
        <w:spacing w:line="360" w:lineRule="auto"/>
        <w:rPr>
          <w:bCs/>
          <w:sz w:val="24"/>
        </w:rPr>
      </w:pPr>
      <w:r>
        <w:rPr>
          <w:bCs/>
          <w:sz w:val="24"/>
        </w:rPr>
        <w:t>a</w:t>
      </w:r>
      <w:r>
        <w:rPr>
          <w:rFonts w:hint="eastAsia"/>
          <w:bCs/>
          <w:sz w:val="24"/>
        </w:rPr>
        <w:t>．针对产品、项目或合同确定的质量目标、环境目标和要求；</w:t>
      </w:r>
      <w:r>
        <w:rPr>
          <w:bCs/>
          <w:sz w:val="24"/>
        </w:rPr>
        <w:t xml:space="preserve">  </w:t>
      </w:r>
    </w:p>
    <w:p w14:paraId="514F3193">
      <w:pPr>
        <w:spacing w:line="360" w:lineRule="auto"/>
        <w:rPr>
          <w:bCs/>
          <w:sz w:val="24"/>
        </w:rPr>
      </w:pPr>
      <w:r>
        <w:rPr>
          <w:bCs/>
          <w:sz w:val="24"/>
        </w:rPr>
        <w:t>b</w:t>
      </w:r>
      <w:r>
        <w:rPr>
          <w:rFonts w:hint="eastAsia"/>
          <w:bCs/>
          <w:sz w:val="24"/>
        </w:rPr>
        <w:t>．针对产品、项目或合同所需建立的过程、文件和资源要求。应确认主要过程和支持性过程，应识别关键的过程和活动；过程或涉及的活动规定途径，并对这些过程形成文件；应识别所涉及的环境因素并评价重要环境因素；确认所需资源，包括人力、物力、财力和信息等；</w:t>
      </w:r>
      <w:r>
        <w:rPr>
          <w:bCs/>
          <w:sz w:val="24"/>
        </w:rPr>
        <w:t xml:space="preserve"> </w:t>
      </w:r>
    </w:p>
    <w:p w14:paraId="12EB7D83">
      <w:pPr>
        <w:spacing w:line="360" w:lineRule="auto"/>
        <w:rPr>
          <w:bCs/>
          <w:sz w:val="24"/>
        </w:rPr>
      </w:pPr>
      <w:r>
        <w:rPr>
          <w:bCs/>
          <w:sz w:val="24"/>
        </w:rPr>
        <w:t>c</w:t>
      </w:r>
      <w:r>
        <w:rPr>
          <w:rFonts w:hint="eastAsia"/>
          <w:bCs/>
          <w:sz w:val="24"/>
        </w:rPr>
        <w:t>．各阶段的划分、人员的职责权限和相互关系；</w:t>
      </w:r>
      <w:r>
        <w:rPr>
          <w:bCs/>
          <w:sz w:val="24"/>
        </w:rPr>
        <w:t xml:space="preserve">  </w:t>
      </w:r>
    </w:p>
    <w:p w14:paraId="3AC75909">
      <w:pPr>
        <w:spacing w:line="360" w:lineRule="auto"/>
        <w:rPr>
          <w:bCs/>
          <w:sz w:val="24"/>
        </w:rPr>
      </w:pPr>
      <w:r>
        <w:rPr>
          <w:bCs/>
          <w:sz w:val="24"/>
        </w:rPr>
        <w:t>d</w:t>
      </w:r>
      <w:r>
        <w:rPr>
          <w:rFonts w:hint="eastAsia"/>
          <w:bCs/>
          <w:sz w:val="24"/>
        </w:rPr>
        <w:t>．确定过程涉及的验证、确认、监视</w:t>
      </w:r>
      <w:r>
        <w:rPr>
          <w:bCs/>
          <w:sz w:val="24"/>
        </w:rPr>
        <w:t xml:space="preserve"> </w:t>
      </w:r>
      <w:r>
        <w:rPr>
          <w:rFonts w:hint="eastAsia"/>
          <w:bCs/>
          <w:sz w:val="24"/>
        </w:rPr>
        <w:t>、测量、检验和试验活动及产品验收准则；</w:t>
      </w:r>
      <w:r>
        <w:rPr>
          <w:bCs/>
          <w:sz w:val="24"/>
        </w:rPr>
        <w:t xml:space="preserve">  e</w:t>
      </w:r>
      <w:r>
        <w:rPr>
          <w:rFonts w:hint="eastAsia"/>
          <w:bCs/>
          <w:sz w:val="24"/>
        </w:rPr>
        <w:t>．确定为实现过程及其产品满足要求提供证据所需的记录。</w:t>
      </w:r>
    </w:p>
    <w:p w14:paraId="1E0AB4F4">
      <w:pPr>
        <w:spacing w:line="360" w:lineRule="auto"/>
        <w:rPr>
          <w:bCs/>
          <w:sz w:val="24"/>
        </w:rPr>
      </w:pPr>
      <w:r>
        <w:rPr>
          <w:bCs/>
          <w:sz w:val="24"/>
        </w:rPr>
        <w:t>4.4</w:t>
      </w:r>
      <w:r>
        <w:rPr>
          <w:rFonts w:hint="eastAsia"/>
          <w:bCs/>
          <w:sz w:val="24"/>
        </w:rPr>
        <w:t>对现有常规产品生产的策划工艺流程图、作业指导书、工序质量控制点的设置、检验规范等可以视为是策划结果，不需再编制质量计划，其内容见本手册第</w:t>
      </w:r>
      <w:r>
        <w:rPr>
          <w:bCs/>
          <w:sz w:val="24"/>
        </w:rPr>
        <w:t>7.5</w:t>
      </w:r>
      <w:r>
        <w:rPr>
          <w:rFonts w:hint="eastAsia"/>
          <w:bCs/>
          <w:sz w:val="24"/>
        </w:rPr>
        <w:t>章《生产和服务提供控制程序》。我公司生产常规产品的产品实现流程图如下：</w:t>
      </w:r>
    </w:p>
    <w:p w14:paraId="34175FB6">
      <w:pPr>
        <w:rPr>
          <w:bCs/>
          <w:sz w:val="28"/>
        </w:rPr>
      </w:pPr>
      <w:r>
        <w:rPr>
          <w:bCs/>
          <w:sz w:val="28"/>
        </w:rPr>
        <mc:AlternateContent>
          <mc:Choice Requires="wps">
            <w:drawing>
              <wp:anchor distT="0" distB="0" distL="114300" distR="114300" simplePos="0" relativeHeight="251666432" behindDoc="0" locked="0" layoutInCell="1" allowOverlap="1">
                <wp:simplePos x="0" y="0"/>
                <wp:positionH relativeFrom="column">
                  <wp:posOffset>4333875</wp:posOffset>
                </wp:positionH>
                <wp:positionV relativeFrom="paragraph">
                  <wp:posOffset>210820</wp:posOffset>
                </wp:positionV>
                <wp:extent cx="237490" cy="635"/>
                <wp:effectExtent l="9525" t="71120" r="19685" b="80645"/>
                <wp:wrapNone/>
                <wp:docPr id="58" name="自选图形 2234"/>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4" o:spid="_x0000_s1026" o:spt="32" type="#_x0000_t32" style="position:absolute;left:0pt;margin-left:341.25pt;margin-top:16.6pt;height:0.05pt;width:18.7pt;z-index:251666432;mso-width-relative:page;mso-height-relative:page;" filled="f" stroked="t" coordsize="21600,21600" o:gfxdata="UEsDBAoAAAAAAIdO4kAAAAAAAAAAAAAAAAAEAAAAZHJzL1BLAwQUAAAACACHTuJA0hkd8tkAAAAJ&#10;AQAADwAAAGRycy9kb3ducmV2LnhtbE2Py07DMBBF95X4B2uQ2CDqPCA0aZyKh1CBHaUf4MbTJI09&#10;jmL39fe4K7qcmaM755aLk9HsgKPrLAmIpxEwpNqqjhoB69+Phxkw5yUpqS2hgDM6WFQ3k1IWyh7p&#10;Bw8r37AQQq6QAlrvh4JzV7dopJvaASnctnY00odxbLga5TGEG82TKMq4kR2FD60c8K3Ful/tjYDt&#10;7it7fax330t3Nvef+Utv33UvxN1tHM2BeTz5fxgu+kEdquC0sXtSjmkB2Sx5CqiANE2ABeA5znNg&#10;m8siBV6V/LpB9QdQSwMEFAAAAAgAh07iQBczPAoTAgAA/QMAAA4AAABkcnMvZTJvRG9jLnhtbK1T&#10;S24UMRDdI3EHy3vS80lCaE1PFjOETYCREg5Q43Z3W9guy/ZMz+zYIc7AjmXuALeJBLeg7PlAwiYL&#10;etHyp+rVe6/Kk8uN0WwtfVBoKz48GXAmrcBa2bbiH26vXlxwFiLYGjRaWfGtDPxy+vzZpHelHGGH&#10;upaeEYgNZe8q3sXoyqIIopMGwgk6aemyQW8g0ta3Re2hJ3Sji9FgcF706GvnUcgQ6HS+u+R7RP8U&#10;QGwaJeQcxcpIG3eoXmqIJCl0ygU+zWybRor4vmmCjExXnJTG/KcitF6mfzGdQNl6cJ0SewrwFAqP&#10;NBlQlooeoeYQga28+gfKKOExYBNPBJpiJyQ7QiqGg0fe3HTgZNZCVgd3ND38P1jxbr3wTNUVP6O+&#10;WzDU8Z+f7359+nL/9cf9929sNBqfJpd6F0oKntmFTzrFxt64axQfA7M468C2MrO93TpCGKaM4kFK&#10;2gRHtZb9W6wpBlYRs2WbxpsESWawTe7M9tgZuYlM0OFo/PL0FfVM0NX5+CzDQ3nIdD7ENxINS4uK&#10;h+hBtV2cobU0AOiHuQ6sr0NMvKA8JKSyFq+U1nkOtGV9xk+VjCNTgm1zbkCt6hSXMoJvlzPt2RrS&#10;UOVvT+hBmFGRHopWpuIXxyAoIyj92tYsZqfAe+x5KmtkzZmW9CbTasdT272NybldD5ZYbxf+YC9N&#10;RRa0n+A0dn/vc/afVzv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ZHfLZAAAACQEAAA8AAAAA&#10;AAAAAQAgAAAAIgAAAGRycy9kb3ducmV2LnhtbFBLAQIUABQAAAAIAIdO4kAXMzwKEwIAAP0DAAAO&#10;AAAAAAAAAAEAIAAAACgBAABkcnMvZTJvRG9jLnhtbFBLBQYAAAAABgAGAFkBAACtBQ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3360" behindDoc="0" locked="0" layoutInCell="1" allowOverlap="1">
                <wp:simplePos x="0" y="0"/>
                <wp:positionH relativeFrom="column">
                  <wp:posOffset>3667125</wp:posOffset>
                </wp:positionH>
                <wp:positionV relativeFrom="paragraph">
                  <wp:posOffset>210820</wp:posOffset>
                </wp:positionV>
                <wp:extent cx="237490" cy="635"/>
                <wp:effectExtent l="9525" t="71120" r="19685" b="80645"/>
                <wp:wrapNone/>
                <wp:docPr id="57" name="自选图形 2231"/>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1" o:spid="_x0000_s1026" o:spt="32" type="#_x0000_t32" style="position:absolute;left:0pt;margin-left:288.75pt;margin-top:16.6pt;height:0.05pt;width:18.7pt;z-index:251663360;mso-width-relative:page;mso-height-relative:page;" filled="f" stroked="t" coordsize="21600,21600" o:gfxdata="UEsDBAoAAAAAAIdO4kAAAAAAAAAAAAAAAAAEAAAAZHJzL1BLAwQUAAAACACHTuJA6ZHF09kAAAAJ&#10;AQAADwAAAGRycy9kb3ducmV2LnhtbE2Py27CMBBF95X6D9ZU6qYCJwQChDioD1XQ7qD9ABMPSYg9&#10;jmLz+vuaFV3OzNGdc/PlxWh2wt41lgTEwwgYUmlVQ5WA35/PwQyY85KU1JZQwBUdLIvHh1xmyp5p&#10;g6etr1gIIZdJAbX3Xca5K2s00g1thxRue9sb6cPYV1z18hzCjeajKEq5kQ2FD7Xs8L3Gst0ejYD9&#10;4St9G5eH75W7mpf1/LW1H7oV4vkpjhbAPF78HYabflCHIjjt7JGUY1rAZDqdBFRAkoyABSCNx3Ng&#10;u9siAV7k/H+D4g9QSwMEFAAAAAgAh07iQGtiQOYTAgAA/QMAAA4AAABkcnMvZTJvRG9jLnhtbK1T&#10;S44TMRDdI3EHy3um82E+tNKZRcKwGSDSDAdw3O5uC9tluZx0smOHOAM7lnMHuM1IcAvKzgdm2MwC&#10;LyzbVfWq3qvy5HJjDVurgBpcxYcnA86Uk1Br11b8w+3ViwvOMApXCwNOVXyrkF9Onz+b9L5UI+jA&#10;1CowAnFY9r7iXYy+LAqUnbICT8ArR8YGghWRrqEt6iB6QremGA0GZ0UPofYBpEKk1/nOyPeI4SmA&#10;0DRaqjnIlVUu7lCDMiISJey0Rz7N1TaNkvF906CKzFScmMa8UxI6L9NeTCeibIPwnZb7EsRTSnjE&#10;yQrtKOkRai6iYKug/4GyWgZAaOKJBFvsiGRFiMVw8Eibm054lbmQ1OiPouP/g5Xv1ovAdF3x03PO&#10;nLDU8Z+f7359+nL/9cf9929sNBoPk0q9x5KcZ24REk+5cTf+GuRHZA5mnXCtytXebj0h5IjiQUi6&#10;oKdcy/4t1OQjVhGyZJsm2ARJYrBN7sz22Bm1iUzS42h8/vIV9UyS6Wx8mgoqRHmI9AHjGwWWpUPF&#10;MQah2y7OwDkaAAjDnEesrzHuAg8BKa2DK21MngPjWJ/xUybrSRR0bY5FMLpOfikCQ7ucmcDWIg1V&#10;XvuCHrhZHemjGG0rfnF0EmUU2rx2NYtZKREC9DyltarmzCj6k+m0q9M44nlQbteDJdTbRUjm9E5T&#10;kZXYT3Aau7/v2evPr5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RxdPZAAAACQEAAA8AAAAA&#10;AAAAAQAgAAAAIgAAAGRycy9kb3ducmV2LnhtbFBLAQIUABQAAAAIAIdO4kBrYkDmEwIAAP0DAAAO&#10;AAAAAAAAAAEAIAAAACgBAABkcnMvZTJvRG9jLnhtbFBLBQYAAAAABgAGAFkBAACtBQ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210820</wp:posOffset>
                </wp:positionV>
                <wp:extent cx="237490" cy="635"/>
                <wp:effectExtent l="9525" t="71120" r="19685" b="80645"/>
                <wp:wrapNone/>
                <wp:docPr id="56" name="自选图形 2230"/>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0" o:spid="_x0000_s1026" o:spt="32" type="#_x0000_t32" style="position:absolute;left:0pt;margin-left:199.5pt;margin-top:16.6pt;height:0.05pt;width:18.7pt;z-index:251662336;mso-width-relative:page;mso-height-relative:page;" filled="f" stroked="t" coordsize="21600,21600" o:gfxdata="UEsDBAoAAAAAAIdO4kAAAAAAAAAAAAAAAAAEAAAAZHJzL1BLAwQUAAAACACHTuJATH7afdgAAAAJ&#10;AQAADwAAAGRycy9kb3ducmV2LnhtbE2PzU7DMBCE70i8g7VIXBB12kQRCXEqfoSg3Cg8gBtvkzT2&#10;Oordv7dne4Lb7s5o9ptqeXJWHHAKvScF81kCAqnxpqdWwc/32/0DiBA1GW09oYIzBljW11eVLo0/&#10;0hce1rEVHEKh1Aq6GMdSytB06HSY+RGJta2fnI68Tq00kz5yuLNykSS5dLon/tDpEV86bIb13inY&#10;7lb5c9bsPt/D2d19FE+Df7WDUrc38+QRRMRT/DPDBZ/RoWamjd+TCcIqSIuCu0Qe0gUINmRpnoHY&#10;XA4pyLqS/xvUv1BLAwQUAAAACACHTuJAvNP1vBMCAAD9AwAADgAAAGRycy9lMm9Eb2MueG1srVNL&#10;jhMxEN0jcQfLe9L5MGFopTOLhGEzwEgzHMBxu7stbJflctLJjh3iDOxYcge4zUhwC8rOB2bYzIJe&#10;tPypeq/eq/LsYmsN26iAGlzFR4MhZ8pJqLVrK/7+9vLZOWcYhauFAacqvlPIL+ZPn8x6X6oxdGBq&#10;FRiBOCx7X/EuRl8WBcpOWYED8MrRZQPBikjb0BZ1ED2hW1OMh8Np0UOofQCpEOl0ub/kB8TwGEBo&#10;Gi3VEuTaKhf3qEEZEUkSdtojn+dqm0bJ+K5pUEVmKk5KY/4TCa1X6V/MZ6Jsg/CdlocSxGNKeKDJ&#10;Cu2I9AS1FFGwddD/QFktAyA0cSDBFnsh2RFSMRo+8OamE15lLWQ1+pPp+P9g5dvNdWC6rvjZlDMn&#10;LHX856dvvz5+vvvy4+77VzYeT7JLvceSghfuOiSdcutu/BXID8gcLDrhWpWrvd15QhglX4t7KWmD&#10;nrhW/RuoKUasI2TLtk2wCZLMYNvcmd2pM2obmaTD8eTF85fUM0lX08lZhhflMdMHjK8VWJYWFccY&#10;hG67uADnaAAgjDKP2FxhTHWJ8piQaB1camPyHBjH+oyfmKwnU9C1ORfB6DrFpQwM7WphAtuINFT5&#10;OxR0L8zqSA/FaFvx81OQKKPQ5pWrWcxOiRCg54nWqpozo+hNptW+TuMONibn0kxjuYJ6dx2O9tJU&#10;ZEGHCU5j9/c+Z/95t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H7afdgAAAAJAQAADwAAAAAA&#10;AAABACAAAAAiAAAAZHJzL2Rvd25yZXYueG1sUEsBAhQAFAAAAAgAh07iQLzT9bwTAgAA/QMAAA4A&#10;AAAAAAAAAQAgAAAAJwEAAGRycy9lMm9Eb2MueG1sUEsFBgAAAAAGAAYAWQEAAKwFA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210820</wp:posOffset>
                </wp:positionV>
                <wp:extent cx="237490" cy="635"/>
                <wp:effectExtent l="9525" t="71120" r="19685" b="80645"/>
                <wp:wrapNone/>
                <wp:docPr id="55" name="自选图形 2228"/>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28" o:spid="_x0000_s1026" o:spt="32" type="#_x0000_t32" style="position:absolute;left:0pt;margin-left:84pt;margin-top:16.6pt;height:0.05pt;width:18.7pt;z-index:251660288;mso-width-relative:page;mso-height-relative:page;" filled="f" stroked="t" coordsize="21600,21600" o:gfxdata="UEsDBAoAAAAAAIdO4kAAAAAAAAAAAAAAAAAEAAAAZHJzL1BLAwQUAAAACACHTuJAE3KJztgAAAAJ&#10;AQAADwAAAGRycy9kb3ducmV2LnhtbE2PzU7DMBCE70i8g7VIXBC1m5SohDgVP0IFbhQewI23SZp4&#10;HcXu39t3e4LjzI5mvykWR9eLPY6h9aRhOlEgkCpvW6o1/P68389BhGjImt4TajhhgEV5fVWY3PoD&#10;feN+FWvBJRRyo6GJccilDFWDzoSJH5D4tvGjM5HlWEs7mgOXu14mSmXSmZb4Q2MGfG2w6lY7p2Gz&#10;/cxeZtX2axlO7u7j8bnzb32n9e3NVD2BiHiMf2G44DM6lMy09juyQfSsszlviRrSNAHBgUQ9zECs&#10;L0YKsizk/wXlGVBLAwQUAAAACACHTuJAzA2THhMCAAD9AwAADgAAAGRycy9lMm9Eb2MueG1srVNL&#10;jhMxEN0jcQfLe9JJhgyhlc4sEobNACPNcICK291tYbss20knO3aIM7BjyR3gNiPBLSg7H5hhMwt6&#10;0fKn6r16r8qzi63RbCN9UGgrPhoMOZNWYK1sW/H3t5fPppyFCLYGjVZWfCcDv5g/fTLrXSnH2KGu&#10;pWcEYkPZu4p3MbqyKILopIEwQCctXTboDUTa+raoPfSEbnQxHg7Pix597TwKGQKdLveX/IDoHwOI&#10;TaOEXKJYG2njHtVLDZEkhU65wOe52qaRIr5rmiAj0xUnpTH/iYTWq/Qv5jMoWw+uU+JQAjymhAea&#10;DChLpCeoJURga6/+gTJKeAzYxIFAU+yFZEdIxWj4wJubDpzMWsjq4E6mh/8HK95urj1TdcUnE84s&#10;GOr4z0/ffn38fPflx933r2w8Hk+TS70LJQUv7LVPOsXW3rgrFB8Cs7jowLYyV3u7c4QwShnFvZS0&#10;CY64Vv0brCkG1hGzZdvGmwRJZrBt7szu1Bm5jUzQ4fjsxfOX1DNBV+dnkwwP5THT+RBfSzQsLSoe&#10;ogfVdnGB1tIAoB9lHthchZjqgvKYkGgtXiqt8xxoy/qMn5iMI1OCbXNuQK3qFJcygm9XC+3ZBtJQ&#10;5e9Q0L0woyI9FK1MxaenICgjKP3K1ixmp8B77HmiNbLmTEt6k2m1r1Pbg43JuX0PVljvrv3RXpqK&#10;LOgwwWns/t7n7D+vd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3KJztgAAAAJAQAADwAAAAAA&#10;AAABACAAAAAiAAAAZHJzL2Rvd25yZXYueG1sUEsBAhQAFAAAAAgAh07iQMwNkx4TAgAA/QMAAA4A&#10;AAAAAAAAAQAgAAAAJwEAAGRycy9lMm9Eb2MueG1sUEsFBgAAAAAGAAYAWQEAAKwFA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111760</wp:posOffset>
                </wp:positionV>
                <wp:extent cx="777240" cy="260350"/>
                <wp:effectExtent l="9525" t="10160" r="13335" b="5715"/>
                <wp:wrapNone/>
                <wp:docPr id="54" name="文本框 2227"/>
                <wp:cNvGraphicFramePr/>
                <a:graphic xmlns:a="http://schemas.openxmlformats.org/drawingml/2006/main">
                  <a:graphicData uri="http://schemas.microsoft.com/office/word/2010/wordprocessingShape">
                    <wps:wsp>
                      <wps:cNvSpPr txBox="1">
                        <a:spLocks noChangeArrowheads="1"/>
                      </wps:cNvSpPr>
                      <wps:spPr bwMode="auto">
                        <a:xfrm>
                          <a:off x="0" y="0"/>
                          <a:ext cx="777240" cy="260350"/>
                        </a:xfrm>
                        <a:prstGeom prst="rect">
                          <a:avLst/>
                        </a:prstGeom>
                        <a:solidFill>
                          <a:srgbClr val="FFFFFF"/>
                        </a:solidFill>
                        <a:ln w="6350" cmpd="sng">
                          <a:solidFill>
                            <a:srgbClr val="000000"/>
                          </a:solidFill>
                          <a:round/>
                        </a:ln>
                      </wps:spPr>
                      <wps:txbx>
                        <w:txbxContent>
                          <w:p w14:paraId="2F9683C0">
                            <w:r>
                              <w:rPr>
                                <w:rFonts w:hint="eastAsia"/>
                              </w:rPr>
                              <w:t>顾客需求</w:t>
                            </w:r>
                          </w:p>
                        </w:txbxContent>
                      </wps:txbx>
                      <wps:bodyPr rot="0" vert="horz" wrap="square" lIns="91440" tIns="45720" rIns="91440" bIns="45720" anchor="t" anchorCtr="0" upright="1">
                        <a:noAutofit/>
                      </wps:bodyPr>
                    </wps:wsp>
                  </a:graphicData>
                </a:graphic>
              </wp:anchor>
            </w:drawing>
          </mc:Choice>
          <mc:Fallback>
            <w:pict>
              <v:shape id="文本框 2227" o:spid="_x0000_s1026" o:spt="202" type="#_x0000_t202" style="position:absolute;left:0pt;margin-left:21pt;margin-top:8.8pt;height:20.5pt;width:61.2pt;z-index:251659264;mso-width-relative:page;mso-height-relative:page;" fillcolor="#FFFFFF" filled="t" stroked="t" coordsize="21600,21600" o:gfxdata="UEsDBAoAAAAAAIdO4kAAAAAAAAAAAAAAAAAEAAAAZHJzL1BLAwQUAAAACACHTuJAYOlI5NUAAAAI&#10;AQAADwAAAGRycy9kb3ducmV2LnhtbE2PwW7CMBBE75X4B2uReisOIXVRGgcJpEqot0IuvZl4SaLa&#10;68g2BP6+5tQeZ2c186ba3KxhV/RhcCRhuciAIbVOD9RJaI4fL2tgISrSyjhCCXcMsKlnT5UqtZvo&#10;C6+H2LEUQqFUEvoYx5Lz0PZoVVi4ESl5Z+etikn6jmuvphRuDc+zTHCrBkoNvRpx12P7c7hYCXux&#10;jd/Y6E+9ylduanjrzyZI+TxfZu/AIt7i3zM88BM61Inp5C6kAzMSijxNien+JoA9fFEUwE4SXtcC&#10;eF3x/wPqX1BLAwQUAAAACACHTuJANnrR4EICAACIBAAADgAAAGRycy9lMm9Eb2MueG1srVTNbtQw&#10;EL4j8Q6W72x2w/5A1GxVWi1CKj9S4QG8jpNYOB4z9m5SHgDegBMX7jxXn4Oxsy2rAlIP5GB5PONv&#10;vvlmnJPToTNsr9BrsCWfTaacKSuh0rYp+Yf3myfPOPNB2EoYsKrk18rz0/XjRye9K1QOLZhKISMQ&#10;64velbwNwRVZ5mWrOuEn4JQlZw3YiUAmNlmFoif0zmT5dLrMesDKIUjlPZ1ejE5+QMSHAEJda6ku&#10;QO46ZcOIisqIQCX5VjvP14ltXSsZ3ta1V4GZklOlIa2UhPbbuGbrE1E0KFyr5YGCeAiFezV1QltK&#10;egd1IYJgO9R/QHVaIniow0RCl42FJEWoitn0njZXrXAq1UJSe3cnuv9/sPLN/h0yXZV8MefMio46&#10;fvPt6833nzc/vrA8z1dRot75giKvHMWG4QUMNDipXO8uQX70zMJ5K2yjzhChb5WoiOIs3syOro44&#10;PoJs+9dQUSqxC5CAhhq7qB8pwgid2nN91x41BCbpcLVa5XPySHLly+nTRWpfJorbyw59eKmgY3FT&#10;cqTuJ3Cxv/QhkhHFbUjM5cHoaqONSQY223ODbC9oUjbpS/zvhRnL+pIvY24mO0e6eduMUvwTbZq+&#10;v6Eh7Gw1EjP2IFbUZ1QqDNvhIP4WqmuSDWEcYHq+tGkBP3PW0/ASi087gYoz88qS9M9n8yhUSMZ8&#10;scrJwGPP9tgjrCSokgfOxu15GF/IzqFuWso0NtvCGbWr1knK2NeR1YE3DWhS+PCY4gs4tlPU7x/I&#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6Ujk1QAAAAgBAAAPAAAAAAAAAAEAIAAAACIAAABk&#10;cnMvZG93bnJldi54bWxQSwECFAAUAAAACACHTuJANnrR4EICAACIBAAADgAAAAAAAAABACAAAAAk&#10;AQAAZHJzL2Uyb0RvYy54bWxQSwUGAAAAAAYABgBZAQAA2AUAAAAA&#10;">
                <v:fill on="t" focussize="0,0"/>
                <v:stroke weight="0.5pt" color="#000000" joinstyle="round"/>
                <v:imagedata o:title=""/>
                <o:lock v:ext="edit" aspectratio="f"/>
                <v:textbox>
                  <w:txbxContent>
                    <w:p w14:paraId="2F9683C0">
                      <w:r>
                        <w:rPr>
                          <w:rFonts w:hint="eastAsia"/>
                        </w:rPr>
                        <w:t>顾客需求</w:t>
                      </w:r>
                    </w:p>
                  </w:txbxContent>
                </v:textbox>
              </v:shape>
            </w:pict>
          </mc:Fallback>
        </mc:AlternateContent>
      </w:r>
      <w:r>
        <w:rPr>
          <w:bCs/>
          <w:sz w:val="28"/>
        </w:rPr>
        <mc:AlternateContent>
          <mc:Choice Requires="wps">
            <w:drawing>
              <wp:anchor distT="0" distB="0" distL="114300" distR="114300" simplePos="0" relativeHeight="251667456" behindDoc="0" locked="0" layoutInCell="1" allowOverlap="1">
                <wp:simplePos x="0" y="0"/>
                <wp:positionH relativeFrom="column">
                  <wp:posOffset>4639310</wp:posOffset>
                </wp:positionH>
                <wp:positionV relativeFrom="paragraph">
                  <wp:posOffset>58420</wp:posOffset>
                </wp:positionV>
                <wp:extent cx="509270" cy="260350"/>
                <wp:effectExtent l="10160" t="13970" r="13970" b="11430"/>
                <wp:wrapNone/>
                <wp:docPr id="53" name="文本框 2235"/>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14:paraId="4E969B9D">
                            <w:r>
                              <w:rPr>
                                <w:rFonts w:hint="eastAsia"/>
                              </w:rPr>
                              <w:t>检验</w:t>
                            </w:r>
                          </w:p>
                        </w:txbxContent>
                      </wps:txbx>
                      <wps:bodyPr rot="0" vert="horz" wrap="square" lIns="91440" tIns="45720" rIns="91440" bIns="45720" anchor="t" anchorCtr="0" upright="1">
                        <a:noAutofit/>
                      </wps:bodyPr>
                    </wps:wsp>
                  </a:graphicData>
                </a:graphic>
              </wp:anchor>
            </w:drawing>
          </mc:Choice>
          <mc:Fallback>
            <w:pict>
              <v:shape id="文本框 2235" o:spid="_x0000_s1026" o:spt="202" type="#_x0000_t202" style="position:absolute;left:0pt;margin-left:365.3pt;margin-top:4.6pt;height:20.5pt;width:40.1pt;z-index:251667456;mso-width-relative:page;mso-height-relative:page;" fillcolor="#FFFFFF" filled="t" stroked="t" coordsize="21600,21600" o:gfxdata="UEsDBAoAAAAAAIdO4kAAAAAAAAAAAAAAAAAEAAAAZHJzL1BLAwQUAAAACACHTuJAnZcK6NUAAAAI&#10;AQAADwAAAGRycy9kb3ducmV2LnhtbE2PwU7DMBBE70j8g7WVuFE7iQglxKkEEhLiRpsLNzfeJlHt&#10;dRS7Tfl7lhMcRzOaeVNvr96JC85xDKQhWysQSF2wI/Ua2v3b/QZETIascYFQwzdG2Da3N7WpbFjo&#10;Ey+71AsuoVgZDUNKUyVl7Ab0Jq7DhMTeMczeJJZzL+1sFi73TuZKldKbkXhhMBO+Dtiddmev4b18&#10;SV/Y2g9b5EVYWtnNRxe1vltl6hlEwmv6C8MvPqNDw0yHcCYbhdPwWKiSoxqechDsbzLFVw4aHlQO&#10;sqnl/wPND1BLAwQUAAAACACHTuJAuxC8n0QCAACIBAAADgAAAGRycy9lMm9Eb2MueG1srVTNjtMw&#10;EL4j8Q6W7zRp2u6yUdPVsqsipOVHWngA13ESC8djxm6T5QHgDThx4c5z7XMwcbpLVUDaAzlYHs/4&#10;m2++GWd53reG7RR6Dbbg00nKmbISSm3rgn94v372nDMfhC2FAasKfqs8P189fbLsXK4yaMCUChmB&#10;WJ93ruBNCC5PEi8b1Qo/AacsOSvAVgQysU5KFB2htybJ0vQk6QBLhyCV93R6NTr5HhEfAwhVpaW6&#10;ArltlQ0jKiojApXkG+08X0W2VaVkeFtVXgVmCk6VhrhSEtpvhjVZLUVeo3CNlnsK4jEUjmpqhbaU&#10;9AHqSgTBtqj/gGq1RPBQhYmENhkLiYpQFdP0SJubRjgVayGpvXsQ3f8/WPlm9w6ZLgu+mHFmRUsd&#10;v/v29e77z7sfX1iWzRaDRJ3zOUXeOIoN/QvoaXBiud5dg/zomYXLRthaXSBC1yhREsXpcDM5uDri&#10;+AFk072GklKJbYAI1FfYDvqRIozQqT23D+1RfWCSDhfpWXZKHkmu7CSdLWL7EpHfX3bow0sFLRs2&#10;BUfqfgQXu2sfBjIivw8ZcnkwulxrY6KB9ebSINsJmpR1/CL/ozBjWVfwkyE3k60j3bytRyn+iZbG&#10;729oCFtbjsSM3Ys16DMqFfpNvxd/A+UtyYYwDjA9X9o0gJ8562h4icWnrUDFmXllSfqz6XxOBEM0&#10;5ovTjAw89GwOPcJKgip44GzcXobxhWwd6rqhTGOzLVxQuyodpRz6OrLa86YBjQrvH9PwAg7tGPX7&#10;B7L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2XCujVAAAACAEAAA8AAAAAAAAAAQAgAAAAIgAA&#10;AGRycy9kb3ducmV2LnhtbFBLAQIUABQAAAAIAIdO4kC7ELyfRAIAAIgEAAAOAAAAAAAAAAEAIAAA&#10;ACQBAABkcnMvZTJvRG9jLnhtbFBLBQYAAAAABgAGAFkBAADaBQAAAAA=&#10;">
                <v:fill on="t" focussize="0,0"/>
                <v:stroke weight="0.5pt" color="#000000" joinstyle="round"/>
                <v:imagedata o:title=""/>
                <o:lock v:ext="edit" aspectratio="f"/>
                <v:textbox>
                  <w:txbxContent>
                    <w:p w14:paraId="4E969B9D">
                      <w:r>
                        <w:rPr>
                          <w:rFonts w:hint="eastAsia"/>
                        </w:rPr>
                        <w:t>检验</w:t>
                      </w:r>
                    </w:p>
                  </w:txbxContent>
                </v:textbox>
              </v:shape>
            </w:pict>
          </mc:Fallback>
        </mc:AlternateContent>
      </w:r>
      <w:r>
        <w:rPr>
          <w:bCs/>
          <w:sz w:val="28"/>
        </w:rPr>
        <mc:AlternateContent>
          <mc:Choice Requires="wps">
            <w:drawing>
              <wp:anchor distT="0" distB="0" distL="114300" distR="114300" simplePos="0" relativeHeight="251665408" behindDoc="0" locked="0" layoutInCell="1" allowOverlap="1">
                <wp:simplePos x="0" y="0"/>
                <wp:positionH relativeFrom="column">
                  <wp:posOffset>3880485</wp:posOffset>
                </wp:positionH>
                <wp:positionV relativeFrom="paragraph">
                  <wp:posOffset>64135</wp:posOffset>
                </wp:positionV>
                <wp:extent cx="509270" cy="260350"/>
                <wp:effectExtent l="13335" t="10160" r="10795" b="5715"/>
                <wp:wrapNone/>
                <wp:docPr id="52" name="文本框 2233"/>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14:paraId="2CBC8A43">
                            <w:r>
                              <w:rPr>
                                <w:rFonts w:hint="eastAsia"/>
                              </w:rPr>
                              <w:t>生产</w:t>
                            </w:r>
                          </w:p>
                        </w:txbxContent>
                      </wps:txbx>
                      <wps:bodyPr rot="0" vert="horz" wrap="square" lIns="91440" tIns="45720" rIns="91440" bIns="45720" anchor="t" anchorCtr="0" upright="1">
                        <a:noAutofit/>
                      </wps:bodyPr>
                    </wps:wsp>
                  </a:graphicData>
                </a:graphic>
              </wp:anchor>
            </w:drawing>
          </mc:Choice>
          <mc:Fallback>
            <w:pict>
              <v:shape id="文本框 2233" o:spid="_x0000_s1026" o:spt="202" type="#_x0000_t202" style="position:absolute;left:0pt;margin-left:305.55pt;margin-top:5.05pt;height:20.5pt;width:40.1pt;z-index:251665408;mso-width-relative:page;mso-height-relative:page;" fillcolor="#FFFFFF" filled="t" stroked="t" coordsize="21600,21600" o:gfxdata="UEsDBAoAAAAAAIdO4kAAAAAAAAAAAAAAAAAEAAAAZHJzL1BLAwQUAAAACACHTuJA6733UtQAAAAJ&#10;AQAADwAAAGRycy9kb3ducmV2LnhtbE2PwU7DMAyG70h7h8iTuLEkq6igNJ0EEhLixuhlt6zx2orE&#10;qZpsHW+POcHJsr5fvz/Xu2vw4oJzGiMZ0BsFAqmLbqTeQPv5evcAImVLzvpIaOAbE+ya1U1tKxcX&#10;+sDLPveCSyhV1sCQ81RJmboBg02bOCExO8U52Mzr3Es324XLg5dbpUoZ7Eh8YbATvgzYfe3PwcBb&#10;+ZwP2Lp3V2yLuLSym08+GXO71uoJRMZr/gvDrz6rQ8NOx3gml4Q3UGqtOcpA8eRA+agLEEcD9wxk&#10;U8v/HzQ/UEsDBBQAAAAIAIdO4kD704MfRAIAAIgEAAAOAAAAZHJzL2Uyb0RvYy54bWytVM2O0zAQ&#10;viPxDpbvNGna7rJR09WyqyKk5UdaeADXcRILx2PGbpPlAeANOHHhznPtczBxuktVQNoDOVgez/ib&#10;b74ZZ3net4btFHoNtuDTScqZshJKbeuCf3i/fvacMx+ELYUBqwp+qzw/Xz19suxcrjJowJQKGYFY&#10;n3eu4E0ILk8SLxvVCj8Bpyw5K8BWBDKxTkoUHaG3JsnS9CTpAEuHIJX3dHo1OvkeER8DCFWlpboC&#10;uW2VDSMqKiMCleQb7TxfRbZVpWR4W1VeBWYKTpWGuFIS2m+GNVktRV6jcI2WewriMRSOamqFtpT0&#10;AepKBMG2qP+AarVE8FCFiYQ2GQuJilAV0/RIm5tGOBVrIam9exDd/z9Y+Wb3DpkuC77IOLOipY7f&#10;fft69/3n3Y8vLMtms0GizvmcIm8cxYb+BfQ0OLFc765BfvTMwmUjbK0uEKFrlCiJ4nS4mRxcHXH8&#10;ALLpXkNJqcQ2QATqK2wH/UgRRujUntuH9qg+MEmHi/QsOyWPJFd2ks4WsX2JyO8vO/ThpYKWDZuC&#10;I3U/govdtQ8DGZHfhwy5PBhdrrUx0cB6c2mQ7QRNyjp+kf9RmLGsK/jJkJvJ1pFu3tajFP9ES+P3&#10;NzSErS1HYsbuxRr0GZUK/abfi7+B8pZkQxgHmJ4vbRrAz5x1NLzE4tNWoOLMvLIk/dl0PieCIRrz&#10;xWlGBh56NoceYSVBFTxwNm4vw/hCtg513VCmsdkWLqhdlY5SDn0dWe1504BGhfePaXgBh3aM+v0D&#10;W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733UtQAAAAJAQAADwAAAAAAAAABACAAAAAiAAAA&#10;ZHJzL2Rvd25yZXYueG1sUEsBAhQAFAAAAAgAh07iQPvTgx9EAgAAiAQAAA4AAAAAAAAAAQAgAAAA&#10;IwEAAGRycy9lMm9Eb2MueG1sUEsFBgAAAAAGAAYAWQEAANkFAAAAAA==&#10;">
                <v:fill on="t" focussize="0,0"/>
                <v:stroke weight="0.5pt" color="#000000" joinstyle="round"/>
                <v:imagedata o:title=""/>
                <o:lock v:ext="edit" aspectratio="f"/>
                <v:textbox>
                  <w:txbxContent>
                    <w:p w14:paraId="2CBC8A43">
                      <w:r>
                        <w:rPr>
                          <w:rFonts w:hint="eastAsia"/>
                        </w:rPr>
                        <w:t>生产</w:t>
                      </w:r>
                    </w:p>
                  </w:txbxContent>
                </v:textbox>
              </v:shape>
            </w:pict>
          </mc:Fallback>
        </mc:AlternateContent>
      </w:r>
      <w:r>
        <w:rPr>
          <w:bCs/>
          <w:sz w:val="28"/>
        </w:rPr>
        <mc:AlternateContent>
          <mc:Choice Requires="wps">
            <w:drawing>
              <wp:anchor distT="0" distB="0" distL="114300" distR="114300" simplePos="0" relativeHeight="251664384" behindDoc="0" locked="0" layoutInCell="1" allowOverlap="1">
                <wp:simplePos x="0" y="0"/>
                <wp:positionH relativeFrom="column">
                  <wp:posOffset>2755900</wp:posOffset>
                </wp:positionH>
                <wp:positionV relativeFrom="paragraph">
                  <wp:posOffset>69850</wp:posOffset>
                </wp:positionV>
                <wp:extent cx="892810" cy="260350"/>
                <wp:effectExtent l="12700" t="6350" r="8890" b="9525"/>
                <wp:wrapNone/>
                <wp:docPr id="51" name="文本框 2232"/>
                <wp:cNvGraphicFramePr/>
                <a:graphic xmlns:a="http://schemas.openxmlformats.org/drawingml/2006/main">
                  <a:graphicData uri="http://schemas.microsoft.com/office/word/2010/wordprocessingShape">
                    <wps:wsp>
                      <wps:cNvSpPr txBox="1">
                        <a:spLocks noChangeArrowheads="1"/>
                      </wps:cNvSpPr>
                      <wps:spPr bwMode="auto">
                        <a:xfrm>
                          <a:off x="0" y="0"/>
                          <a:ext cx="892810" cy="260350"/>
                        </a:xfrm>
                        <a:prstGeom prst="rect">
                          <a:avLst/>
                        </a:prstGeom>
                        <a:solidFill>
                          <a:srgbClr val="FFFFFF"/>
                        </a:solidFill>
                        <a:ln w="6350" cmpd="sng">
                          <a:solidFill>
                            <a:srgbClr val="000000"/>
                          </a:solidFill>
                          <a:round/>
                        </a:ln>
                      </wps:spPr>
                      <wps:txbx>
                        <w:txbxContent>
                          <w:p w14:paraId="630F115B">
                            <w:r>
                              <w:rPr>
                                <w:rFonts w:hint="eastAsia"/>
                              </w:rPr>
                              <w:t>采购原材料</w:t>
                            </w:r>
                          </w:p>
                        </w:txbxContent>
                      </wps:txbx>
                      <wps:bodyPr rot="0" vert="horz" wrap="square" lIns="91440" tIns="45720" rIns="91440" bIns="45720" anchor="t" anchorCtr="0" upright="1">
                        <a:noAutofit/>
                      </wps:bodyPr>
                    </wps:wsp>
                  </a:graphicData>
                </a:graphic>
              </wp:anchor>
            </w:drawing>
          </mc:Choice>
          <mc:Fallback>
            <w:pict>
              <v:shape id="文本框 2232" o:spid="_x0000_s1026" o:spt="202" type="#_x0000_t202" style="position:absolute;left:0pt;margin-left:217pt;margin-top:5.5pt;height:20.5pt;width:70.3pt;z-index:251664384;mso-width-relative:page;mso-height-relative:page;" fillcolor="#FFFFFF" filled="t" stroked="t" coordsize="21600,21600" o:gfxdata="UEsDBAoAAAAAAIdO4kAAAAAAAAAAAAAAAAAEAAAAZHJzL1BLAwQUAAAACACHTuJAjGCbC9YAAAAJ&#10;AQAADwAAAGRycy9kb3ducmV2LnhtbE2PzU7DMBCE70i8g7VI3KidHwIKcSqBhIS40ebCzY23SYS9&#10;jmK3KW/PcoLT7mpGs98024t34oxLnAJpyDYKBFIf7ESDhm7/evcIIiZD1rhAqOEbI2zb66vG1Das&#10;9IHnXRoEh1CsjYYxpbmWMvYjehM3YUZi7RgWbxKfyyDtYlYO907mSlXSm4n4w2hmfBmx/9qdvIa3&#10;6jl9YmffbZEXYe1kvxxd1Pr2JlNPIBJe0p8ZfvEZHVpmOoQT2SichrIouUtiIePJhvuHsgJx4CVX&#10;INtG/m/Q/gBQSwMEFAAAAAgAh07iQLidEZhEAgAAiAQAAA4AAABkcnMvZTJvRG9jLnhtbK1UzY7T&#10;MBC+I/EOlu80bbZbdqOmq6XVIqTlR1p4ANdxEgvHY8Zuk+UB4A04ceHOc/U5mDjdUhWQ9kAOlscz&#10;/uabb8aZX3WNYVuFXoPN+WQ05kxZCYW2Vc4/vL95dsGZD8IWwoBVOb9Xnl8tnj6Zty5TKdRgCoWM&#10;QKzPWpfzOgSXJYmXtWqEH4FTlpwlYCMCmVglBYqW0BuTpOPxLGkBC4cglfd0uhqcfI+IjwGEstRS&#10;rUBuGmXDgIrKiEAl+Vo7zxeRbVkqGd6WpVeBmZxTpSGulIT2635NFnORVShcreWegngMhZOaGqEt&#10;JT1ArUQQbIP6D6hGSwQPZRhJaJKhkKgIVTEZn2hzVwunYi0ktXcH0f3/g5Vvtu+Q6SLn5xPOrGio&#10;47tvX3fff+5+fGFpepb2ErXOZxR55yg2dC+go8GJ5Xp3C/KjZxaWtbCVukaEtlaiIIqT/mZydHXA&#10;8T3Iun0NBaUSmwARqCux6fUjRRihU3vuD+1RXWCSDi8u04sJeSS50tn47Dy2LxHZw2WHPrxU0LB+&#10;k3Ok7kdwsb31oScjsoeQPpcHo4sbbUw0sFovDbKtoEm5iV/kfxJmLGtzPutzM9k40s3bapDin2jj&#10;+P0NDWFji4GYsXuxen0GpUK37vbir6G4J9kQhgGm50ubGvAzZy0NL7H4tBGoODOvLEl/OZlOiWCI&#10;xvT8eUoGHnvWxx5hJUHlPHA2bJdheCEbh7qqKdPQbAvX1K5SRyn7vg6s9rxpQKPC+8fUv4BjO0b9&#10;/oE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YJsL1gAAAAkBAAAPAAAAAAAAAAEAIAAAACIA&#10;AABkcnMvZG93bnJldi54bWxQSwECFAAUAAAACACHTuJAuJ0RmEQCAACIBAAADgAAAAAAAAABACAA&#10;AAAlAQAAZHJzL2Uyb0RvYy54bWxQSwUGAAAAAAYABgBZAQAA2wUAAAAA&#10;">
                <v:fill on="t" focussize="0,0"/>
                <v:stroke weight="0.5pt" color="#000000" joinstyle="round"/>
                <v:imagedata o:title=""/>
                <o:lock v:ext="edit" aspectratio="f"/>
                <v:textbox>
                  <w:txbxContent>
                    <w:p w14:paraId="630F115B">
                      <w:r>
                        <w:rPr>
                          <w:rFonts w:hint="eastAsia"/>
                        </w:rPr>
                        <w:t>采购原材料</w:t>
                      </w:r>
                    </w:p>
                  </w:txbxContent>
                </v:textbox>
              </v:shape>
            </w:pict>
          </mc:Fallback>
        </mc:AlternateContent>
      </w:r>
      <w:r>
        <w:rPr>
          <w:bCs/>
          <w:sz w:val="28"/>
        </w:rP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76200</wp:posOffset>
                </wp:positionV>
                <wp:extent cx="1174750" cy="260350"/>
                <wp:effectExtent l="10795" t="12700" r="5080" b="12700"/>
                <wp:wrapNone/>
                <wp:docPr id="50" name="文本框 2229"/>
                <wp:cNvGraphicFramePr/>
                <a:graphic xmlns:a="http://schemas.openxmlformats.org/drawingml/2006/main">
                  <a:graphicData uri="http://schemas.microsoft.com/office/word/2010/wordprocessingShape">
                    <wps:wsp>
                      <wps:cNvSpPr txBox="1">
                        <a:spLocks noChangeArrowheads="1"/>
                      </wps:cNvSpPr>
                      <wps:spPr bwMode="auto">
                        <a:xfrm>
                          <a:off x="0" y="0"/>
                          <a:ext cx="1174750" cy="260350"/>
                        </a:xfrm>
                        <a:prstGeom prst="rect">
                          <a:avLst/>
                        </a:prstGeom>
                        <a:solidFill>
                          <a:srgbClr val="FFFFFF"/>
                        </a:solidFill>
                        <a:ln w="6350" cmpd="sng">
                          <a:solidFill>
                            <a:srgbClr val="000000"/>
                          </a:solidFill>
                          <a:round/>
                        </a:ln>
                      </wps:spPr>
                      <wps:txbx>
                        <w:txbxContent>
                          <w:p w14:paraId="549C8D30">
                            <w:r>
                              <w:rPr>
                                <w:rFonts w:hint="eastAsia"/>
                              </w:rPr>
                              <w:t>合同评审、签定</w:t>
                            </w:r>
                          </w:p>
                        </w:txbxContent>
                      </wps:txbx>
                      <wps:bodyPr rot="0" vert="horz" wrap="square" lIns="91440" tIns="45720" rIns="91440" bIns="45720" anchor="t" anchorCtr="0" upright="1">
                        <a:noAutofit/>
                      </wps:bodyPr>
                    </wps:wsp>
                  </a:graphicData>
                </a:graphic>
              </wp:anchor>
            </w:drawing>
          </mc:Choice>
          <mc:Fallback>
            <w:pict>
              <v:shape id="文本框 2229" o:spid="_x0000_s1026" o:spt="202" type="#_x0000_t202" style="position:absolute;left:0pt;margin-left:104.35pt;margin-top:6pt;height:20.5pt;width:92.5pt;z-index:251661312;mso-width-relative:page;mso-height-relative:page;" fillcolor="#FFFFFF" filled="t" stroked="t" coordsize="21600,21600" o:gfxdata="UEsDBAoAAAAAAIdO4kAAAAAAAAAAAAAAAAAEAAAAZHJzL1BLAwQUAAAACACHTuJAYxEv7dUAAAAJ&#10;AQAADwAAAGRycy9kb3ducmV2LnhtbE2PwU7DMBBE70j8g7WVuFG7sSglxKkEEhLiRpsLNzfeJlHj&#10;dWS7Tfl7lhMcd+ZpdqbaXv0oLhjTEMjAaqlAILXBDdQZaPZv9xsQKVtydgyEBr4xwba+vals6cJM&#10;n3jZ5U5wCKXSGuhznkopU9ujt2kZJiT2jiF6m/mMnXTRzhzuR1kotZbeDsQfejvha4/taXf2Bt7X&#10;L/kLG/fhdKHD3Mg2HsdkzN1ipZ5BZLzmPxh+63N1qLnTIZzJJTEaKNTmkVE2Ct7EgH7SLBwMPGgF&#10;sq7k/wX1D1BLAwQUAAAACACHTuJAnv5+3kECAACJBAAADgAAAGRycy9lMm9Eb2MueG1srVTNbtsw&#10;DL4P2DsIui9OvDRdgzpF1yLDgO4H6PYAiizbwmRRo5TY2QOsb7DTLrvvufoco+Q0zboN6GE+GKRJ&#10;ffz4kfLpWd8atlHoNdiCT0ZjzpSVUGpbF/zjh+WzF5z5IGwpDFhV8K3y/Gzx9Mlp5+YqhwZMqZAR&#10;iPXzzhW8CcHNs8zLRrXCj8ApS8EKsBWBXKyzEkVH6K3J8vF4lnWApUOQynv6ejkE+Q4RHwMIVaWl&#10;ugS5bpUNAyoqIwK15BvtPF8ktlWlZHhXVV4FZgpOnYb0piJkr+I7W5yKeY3CNVruKIjHUHjQUyu0&#10;paJ7qEsRBFuj/gOq1RLBQxVGEtpsaCQpQl1Mxg+0uW6EU6kXktq7vej+/8HKt5v3yHRZ8COSxIqW&#10;Jn777eb2+8/bH19ZnucnUaLO+TllXjvKDf1L6GlxUrveXYH85JmFi0bYWp0jQtcoURLFSTyZHRwd&#10;cHwEWXVvoKRSYh0gAfUVtlE/UoQROnHZ7sej+sBkLDk5nh5HmpJi+Wz8nOxYQszvTjv04ZWClkWj&#10;4EjjT+hic+XDkHqXEot5MLpcamOSg/XqwiDbCFqVZXp26L+lGcu6gs9ibSZbR8J5Ww9a/BNtnJ6/&#10;oSGsbTkQM3anVhRokCr0q56CUcIVlFvSDWHYYLq/ZDSAXzjraHuJxee1QMWZeW1J+5PJdEoEQ3Km&#10;R8c5OXgYWR1GhJUEVfDA2WBehOGKrB3quqFKw7QtnNO8Kp2kvGe1400bmoaxu03xChz6Kev+D7L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RL+3VAAAACQEAAA8AAAAAAAAAAQAgAAAAIgAAAGRy&#10;cy9kb3ducmV2LnhtbFBLAQIUABQAAAAIAIdO4kCe/n7eQQIAAIkEAAAOAAAAAAAAAAEAIAAAACQB&#10;AABkcnMvZTJvRG9jLnhtbFBLBQYAAAAABgAGAFkBAADXBQAAAAA=&#10;">
                <v:fill on="t" focussize="0,0"/>
                <v:stroke weight="0.5pt" color="#000000" joinstyle="round"/>
                <v:imagedata o:title=""/>
                <o:lock v:ext="edit" aspectratio="f"/>
                <v:textbox>
                  <w:txbxContent>
                    <w:p w14:paraId="549C8D30">
                      <w:r>
                        <w:rPr>
                          <w:rFonts w:hint="eastAsia"/>
                        </w:rPr>
                        <w:t>合同评审、签定</w:t>
                      </w:r>
                    </w:p>
                  </w:txbxContent>
                </v:textbox>
              </v:shape>
            </w:pict>
          </mc:Fallback>
        </mc:AlternateContent>
      </w:r>
    </w:p>
    <w:p w14:paraId="558DDFFA">
      <w:pPr>
        <w:rPr>
          <w:bCs/>
          <w:sz w:val="28"/>
        </w:rPr>
      </w:pPr>
      <w:r>
        <w:rPr>
          <w:bCs/>
          <w:sz w:val="28"/>
        </w:rPr>
        <mc:AlternateContent>
          <mc:Choice Requires="wps">
            <w:drawing>
              <wp:anchor distT="0" distB="0" distL="114300" distR="114300" simplePos="0" relativeHeight="251673600" behindDoc="0" locked="0" layoutInCell="1" allowOverlap="1">
                <wp:simplePos x="0" y="0"/>
                <wp:positionH relativeFrom="column">
                  <wp:posOffset>2800350</wp:posOffset>
                </wp:positionH>
                <wp:positionV relativeFrom="paragraph">
                  <wp:posOffset>309880</wp:posOffset>
                </wp:positionV>
                <wp:extent cx="818515" cy="260350"/>
                <wp:effectExtent l="9525" t="13970" r="10160" b="11430"/>
                <wp:wrapNone/>
                <wp:docPr id="49" name="文本框 2241"/>
                <wp:cNvGraphicFramePr/>
                <a:graphic xmlns:a="http://schemas.openxmlformats.org/drawingml/2006/main">
                  <a:graphicData uri="http://schemas.microsoft.com/office/word/2010/wordprocessingShape">
                    <wps:wsp>
                      <wps:cNvSpPr txBox="1">
                        <a:spLocks noChangeArrowheads="1"/>
                      </wps:cNvSpPr>
                      <wps:spPr bwMode="auto">
                        <a:xfrm>
                          <a:off x="0" y="0"/>
                          <a:ext cx="818515" cy="260350"/>
                        </a:xfrm>
                        <a:prstGeom prst="rect">
                          <a:avLst/>
                        </a:prstGeom>
                        <a:solidFill>
                          <a:srgbClr val="FFFFFF"/>
                        </a:solidFill>
                        <a:ln w="6350" cmpd="sng">
                          <a:solidFill>
                            <a:srgbClr val="000000"/>
                          </a:solidFill>
                          <a:round/>
                        </a:ln>
                      </wps:spPr>
                      <wps:txbx>
                        <w:txbxContent>
                          <w:p w14:paraId="42342F6E">
                            <w:r>
                              <w:rPr>
                                <w:rFonts w:hint="eastAsia"/>
                              </w:rPr>
                              <w:t>售后服务</w:t>
                            </w:r>
                          </w:p>
                        </w:txbxContent>
                      </wps:txbx>
                      <wps:bodyPr rot="0" vert="horz" wrap="square" lIns="91440" tIns="45720" rIns="91440" bIns="45720" anchor="t" anchorCtr="0" upright="1">
                        <a:noAutofit/>
                      </wps:bodyPr>
                    </wps:wsp>
                  </a:graphicData>
                </a:graphic>
              </wp:anchor>
            </w:drawing>
          </mc:Choice>
          <mc:Fallback>
            <w:pict>
              <v:shape id="文本框 2241" o:spid="_x0000_s1026" o:spt="202" type="#_x0000_t202" style="position:absolute;left:0pt;margin-left:220.5pt;margin-top:24.4pt;height:20.5pt;width:64.45pt;z-index:251673600;mso-width-relative:page;mso-height-relative:page;" fillcolor="#FFFFFF" filled="t" stroked="t" coordsize="21600,21600" o:gfxdata="UEsDBAoAAAAAAIdO4kAAAAAAAAAAAAAAAAAEAAAAZHJzL1BLAwQUAAAACACHTuJAaoya/9YAAAAJ&#10;AQAADwAAAGRycy9kb3ducmV2LnhtbE2PwU7DMAyG70i8Q2QkbiztNqq2NJ0EEhLixtYLt6zx2orE&#10;qZJsHW+POcHNln/9/r5md3VWXDDEyZOCfJWBQOq9mWhQ0B1eH0oQMWky2npCBd8YYdfe3jS6Nn6h&#10;D7zs0yC4hGKtFYwpzbWUsR/R6bjyMxLfTj44nXgNgzRBL1zurFxnWSGdnog/jHrGlxH7r/3ZKXgr&#10;ntMndubdbNYbv3SyDycblbq/y7MnEAmv6S8Mv/iMDi0zHf2ZTBRWwXabs0vioWQFDjwWVQXiqKCs&#10;SpBtI/8btD9QSwMEFAAAAAgAh07iQP85evdGAgAAiAQAAA4AAABkcnMvZTJvRG9jLnhtbK1UzY7T&#10;MBC+I/EOlu9s2tKWbtV0tbRahLT8SAsP4DpOYuF4zNhtsjwAvAEnLtx5rj4HY6dbygLSHsjB8njG&#10;38z3zTiLi64xbKfQa7A5H54NOFNWQqFtlfP3766ezDjzQdhCGLAq57fK84vl40eL1s3VCGowhUJG&#10;INbPW5fzOgQ3zzIva9UIfwZOWXKWgI0IZGKVFShaQm9MNhoMplkLWDgEqbyn03Xv5AdEfAgglKWW&#10;ag1y2ygbelRURgSi5GvtPF+mastSyfCmLL0KzOScmIa0UhLab+KaLRdiXqFwtZaHEsRDSrjHqRHa&#10;UtIj1FoEwbao/4BqtETwUIYzCU3WE0mKEIvh4J42N7VwKnEhqb07iu7/H6x8vXuLTBc5H59zZkVD&#10;Hd9//bL/9mP//TMbjcbDKFHr/JwibxzFhu45dDQ4ia531yA/eGZhVQtbqUtEaGslCiox3cxOrvY4&#10;PoJs2ldQUCqxDZCAuhKbqB8pwgid2nN7bI/qApN0OBvOJsMJZ5Jco+ng6SS1LxPzu8sOfXihoGFx&#10;k3Ok7idwsbv2gWhQ6F1IzOXB6OJKG5MMrDYrg2wnaFKu0heZ05Xfwoxlbc6nMTeTjSPdvK16Kf6J&#10;Nkjf39AQtrbosxhLyaJYUZ9eqdBtuoP4GyhuSTaEfoDp+dKmBvzEWUvDS1V83ApUnJmXlqQ/H47H&#10;cdqTMZ48G5GBp57NqUdYSVA5D5z121XoX8jWoa5qytQ328IltavUScpYal/VoW4a0CTX4THFF3Bq&#10;p6hfP5D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qMmv/WAAAACQEAAA8AAAAAAAAAAQAgAAAA&#10;IgAAAGRycy9kb3ducmV2LnhtbFBLAQIUABQAAAAIAIdO4kD/OXr3RgIAAIgEAAAOAAAAAAAAAAEA&#10;IAAAACUBAABkcnMvZTJvRG9jLnhtbFBLBQYAAAAABgAGAFkBAADdBQAAAAA=&#10;">
                <v:fill on="t" focussize="0,0"/>
                <v:stroke weight="0.5pt" color="#000000" joinstyle="round"/>
                <v:imagedata o:title=""/>
                <o:lock v:ext="edit" aspectratio="f"/>
                <v:textbox>
                  <w:txbxContent>
                    <w:p w14:paraId="42342F6E">
                      <w:r>
                        <w:rPr>
                          <w:rFonts w:hint="eastAsia"/>
                        </w:rPr>
                        <w:t>售后服务</w:t>
                      </w:r>
                    </w:p>
                  </w:txbxContent>
                </v:textbox>
              </v:shape>
            </w:pict>
          </mc:Fallback>
        </mc:AlternateContent>
      </w:r>
      <w:r>
        <w:rPr>
          <w:bCs/>
          <w:sz w:val="28"/>
        </w:rPr>
        <mc:AlternateContent>
          <mc:Choice Requires="wps">
            <w:drawing>
              <wp:anchor distT="0" distB="0" distL="114300" distR="114300" simplePos="0" relativeHeight="251671552" behindDoc="0" locked="0" layoutInCell="1" allowOverlap="1">
                <wp:simplePos x="0" y="0"/>
                <wp:positionH relativeFrom="column">
                  <wp:posOffset>3867150</wp:posOffset>
                </wp:positionH>
                <wp:positionV relativeFrom="paragraph">
                  <wp:posOffset>309880</wp:posOffset>
                </wp:positionV>
                <wp:extent cx="509270" cy="260350"/>
                <wp:effectExtent l="9525" t="13970" r="5080" b="11430"/>
                <wp:wrapNone/>
                <wp:docPr id="48" name="文本框 2239"/>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14:paraId="24BCBE2E">
                            <w:r>
                              <w:rPr>
                                <w:rFonts w:hint="eastAsia"/>
                              </w:rPr>
                              <w:t>入库</w:t>
                            </w:r>
                          </w:p>
                        </w:txbxContent>
                      </wps:txbx>
                      <wps:bodyPr rot="0" vert="horz" wrap="square" lIns="91440" tIns="45720" rIns="91440" bIns="45720" anchor="t" anchorCtr="0" upright="1">
                        <a:noAutofit/>
                      </wps:bodyPr>
                    </wps:wsp>
                  </a:graphicData>
                </a:graphic>
              </wp:anchor>
            </w:drawing>
          </mc:Choice>
          <mc:Fallback>
            <w:pict>
              <v:shape id="文本框 2239" o:spid="_x0000_s1026" o:spt="202" type="#_x0000_t202" style="position:absolute;left:0pt;margin-left:304.5pt;margin-top:24.4pt;height:20.5pt;width:40.1pt;z-index:251671552;mso-width-relative:page;mso-height-relative:page;" fillcolor="#FFFFFF" filled="t" stroked="t" coordsize="21600,21600" o:gfxdata="UEsDBAoAAAAAAIdO4kAAAAAAAAAAAAAAAAAEAAAAZHJzL1BLAwQUAAAACACHTuJAYGjTH9YAAAAJ&#10;AQAADwAAAGRycy9kb3ducmV2LnhtbE2PwU7DMBBE70j9B2srcaN2UxQ5IU4lkJAQN0ouvbnxNomw&#10;15HtNuXvMSc4rnY0816zvznLrhji5EnBdiOAIfXeTDQo6D5fHySwmDQZbT2hgm+MsG9Xd42ujV/o&#10;A6+HNLBcQrHWCsaU5prz2I/odNz4GSn/zj44nfIZBm6CXnK5s7wQouROT5QXRj3jy4j91+HiFLyV&#10;z+mInXk3u2Lnl4734WyjUvfrrXgClvCW/sLwi5/Roc1MJ38hE5lVUIoquyQFjzIr5EApqwLYSYGs&#10;JPC24f8N2h9QSwMEFAAAAAgAh07iQAWmK7REAgAAiAQAAA4AAABkcnMvZTJvRG9jLnhtbK1UzY7T&#10;MBC+I/EOlu80aba7y0ZNV0tXRUjLj7TwAK7jJBaOx4zdJssDwBtw4sKd59rnYOJ0S1VA2gM5WB7P&#10;+Jtvvhlnftm3hm0Veg224NNJypmyEkpt64J/eL969pwzH4QthQGrCn6nPL9cPH0y71yuMmjAlAoZ&#10;gVifd67gTQguTxIvG9UKPwGnLDkrwFYEMrFOShQdobcmydL0LOkAS4cglfd0ej06+Q4RHwMIVaWl&#10;uga5aZUNIyoqIwKV5BvtPF9EtlWlZHhbVV4FZgpOlYa4UhLar4c1WcxFXqNwjZY7CuIxFI5qaoW2&#10;lHQPdS2CYBvUf0C1WiJ4qMJEQpuMhURFqIppeqTNbSOcirWQ1N7tRff/D1a+2b5DpsuCz6jvVrTU&#10;8ftvX++//7z/8YVl2cnFIFHnfE6Rt45iQ/8CehqcWK53NyA/emZh2QhbqytE6BolSqI4HW4mB1dH&#10;HD+ArLvXUFIqsQkQgfoK20E/UoQROrXnbt8e1Qcm6fA0vcjOySPJlZ2lJ6exfYnIHy479OGlgpYN&#10;m4IjdT+Ci+2NDwMZkT+EDLk8GF2utDHRwHq9NMi2giZlFb/I/yjMWNYV/GzIzWTrSDdv61GKf6Kl&#10;8fsbGsLGliMxY3diDfqMSoV+3e/EX0N5R7IhjANMz5c2DeBnzjoaXmLxaSNQcWZeWZL+YjqbEcEQ&#10;jdnpeUYGHnrWhx5hJUEVPHA2bpdhfCEbh7puKNPYbAtX1K5KRymHvo6sdrxpQKPCu8c0vIBDO0b9&#10;/oE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aNMf1gAAAAkBAAAPAAAAAAAAAAEAIAAAACIA&#10;AABkcnMvZG93bnJldi54bWxQSwECFAAUAAAACACHTuJABaYrtEQCAACIBAAADgAAAAAAAAABACAA&#10;AAAlAQAAZHJzL2Uyb0RvYy54bWxQSwUGAAAAAAYABgBZAQAA2wUAAAAA&#10;">
                <v:fill on="t" focussize="0,0"/>
                <v:stroke weight="0.5pt" color="#000000" joinstyle="round"/>
                <v:imagedata o:title=""/>
                <o:lock v:ext="edit" aspectratio="f"/>
                <v:textbox>
                  <w:txbxContent>
                    <w:p w14:paraId="24BCBE2E">
                      <w:r>
                        <w:rPr>
                          <w:rFonts w:hint="eastAsia"/>
                        </w:rPr>
                        <w:t>入库</w:t>
                      </w:r>
                    </w:p>
                  </w:txbxContent>
                </v:textbox>
              </v:shape>
            </w:pict>
          </mc:Fallback>
        </mc:AlternateContent>
      </w:r>
      <w:r>
        <w:rPr>
          <w:bCs/>
          <w:sz w:val="28"/>
        </w:rPr>
        <mc:AlternateContent>
          <mc:Choice Requires="wps">
            <w:drawing>
              <wp:anchor distT="0" distB="0" distL="114300" distR="114300" simplePos="0" relativeHeight="251669504" behindDoc="0" locked="0" layoutInCell="1" allowOverlap="1">
                <wp:simplePos x="0" y="0"/>
                <wp:positionH relativeFrom="column">
                  <wp:posOffset>4667250</wp:posOffset>
                </wp:positionH>
                <wp:positionV relativeFrom="paragraph">
                  <wp:posOffset>309880</wp:posOffset>
                </wp:positionV>
                <wp:extent cx="509270" cy="260350"/>
                <wp:effectExtent l="9525" t="13970" r="5080" b="11430"/>
                <wp:wrapNone/>
                <wp:docPr id="47" name="文本框 2237"/>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14:paraId="6E3B65FD">
                            <w:r>
                              <w:rPr>
                                <w:rFonts w:hint="eastAsia"/>
                              </w:rPr>
                              <w:t>包装</w:t>
                            </w:r>
                          </w:p>
                        </w:txbxContent>
                      </wps:txbx>
                      <wps:bodyPr rot="0" vert="horz" wrap="square" lIns="91440" tIns="45720" rIns="91440" bIns="45720" anchor="t" anchorCtr="0" upright="1">
                        <a:noAutofit/>
                      </wps:bodyPr>
                    </wps:wsp>
                  </a:graphicData>
                </a:graphic>
              </wp:anchor>
            </w:drawing>
          </mc:Choice>
          <mc:Fallback>
            <w:pict>
              <v:shape id="文本框 2237" o:spid="_x0000_s1026" o:spt="202" type="#_x0000_t202" style="position:absolute;left:0pt;margin-left:367.5pt;margin-top:24.4pt;height:20.5pt;width:40.1pt;z-index:251669504;mso-width-relative:page;mso-height-relative:page;" fillcolor="#FFFFFF" filled="t" stroked="t" coordsize="21600,21600" o:gfxdata="UEsDBAoAAAAAAIdO4kAAAAAAAAAAAAAAAAAEAAAAZHJzL1BLAwQUAAAACACHTuJAz2FKftcAAAAJ&#10;AQAADwAAAGRycy9kb3ducmV2LnhtbE2PTU/DMAyG70j8h8hI3Fj6wUYpTSeBhIS4sfXCLWu8tiJx&#10;qiRbx7/HnOBmy69eP0+zvTgrzhji5ElBvspAIPXeTDQo6PavdxWImDQZbT2hgm+MsG2vrxpdG7/Q&#10;B553aRBcQrHWCsaU5lrK2I/odFz5GYlvRx+cTryGQZqgFy53VhZZtpFOT8QfRj3jy4j91+7kFLxt&#10;ntMndubdlEXpl0724WijUrc3efYEIuEl/YXhF5/RoWWmgz+RicIqeCjX7JIU3FeswIEqXxcgDjw8&#10;ViDbRv43aH8AUEsDBBQAAAAIAIdO4kChYRPmRAIAAIgEAAAOAAAAZHJzL2Uyb0RvYy54bWytVM2O&#10;0zAQviPxDpbvNGm227LRpqtlV0VIy4+08ACu4yQWjseM3SblAeANOHHhznP1OZg43aVaQNoDOVge&#10;z/ibb74Z5/yibw3bKvQabMGnk5QzZSWU2tYF//B+9ew5Zz4IWwoDVhV8pzy/WD59ct65XGXQgCkV&#10;MgKxPu9cwZsQXJ4kXjaqFX4CTllyVoCtCGRinZQoOkJvTZKl6TzpAEuHIJX3dHo9OvkBER8DCFWl&#10;pboGuWmVDSMqKiMCleQb7TxfRrZVpWR4W1VeBWYKTpWGuFIS2q+HNVmei7xG4RotDxTEYyg8qKkV&#10;2lLSe6hrEQTboP4DqtUSwUMVJhLaZCwkKkJVTNMH2tw2wqlYC0nt3b3o/v/Byjfbd8h0WfDZgjMr&#10;Wur4/tvX/fef+x9fWJadLAaJOudzirx1FBv6F9DT4MRyvbsB+dEzC1eNsLW6RISuUaIkitPhZnJ0&#10;dcTxA8i6ew0lpRKbABGor7Ad9CNFGKFTe3b37VF9YJIOT9OzbEEeSa5snp6cxvYlIr+77NCHlwpa&#10;NmwKjtT9CC62Nz4MZER+FzLk8mB0udLGRAPr9ZVBthU0Kav4Rf4PwoxlXcHnQ24mW0e6eVuPUvwT&#10;LY3f39AQNrYciRl7EGvQZ1Qq9Ov+IP4ayh3JhjAOMD1f2jSAnznraHiJxaeNQMWZeWVJ+rPpbEYE&#10;QzRmp4uMDDz2rI89wkqCKnjgbNxehfGFbBzquqFMY7MtXFK7Kh2lHPo6sjrwpgGNCh8e0/ACju0Y&#10;9fsHs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2FKftcAAAAJAQAADwAAAAAAAAABACAAAAAi&#10;AAAAZHJzL2Rvd25yZXYueG1sUEsBAhQAFAAAAAgAh07iQKFhE+ZEAgAAiAQAAA4AAAAAAAAAAQAg&#10;AAAAJgEAAGRycy9lMm9Eb2MueG1sUEsFBgAAAAAGAAYAWQEAANwFAAAAAA==&#10;">
                <v:fill on="t" focussize="0,0"/>
                <v:stroke weight="0.5pt" color="#000000" joinstyle="round"/>
                <v:imagedata o:title=""/>
                <o:lock v:ext="edit" aspectratio="f"/>
                <v:textbox>
                  <w:txbxContent>
                    <w:p w14:paraId="6E3B65FD">
                      <w:r>
                        <w:rPr>
                          <w:rFonts w:hint="eastAsia"/>
                        </w:rPr>
                        <w:t>包装</w:t>
                      </w:r>
                    </w:p>
                  </w:txbxContent>
                </v:textbox>
              </v:shape>
            </w:pict>
          </mc:Fallback>
        </mc:AlternateContent>
      </w:r>
      <w:r>
        <w:rPr>
          <w:bCs/>
          <w:sz w:val="28"/>
        </w:rPr>
        <mc:AlternateContent>
          <mc:Choice Requires="wps">
            <w:drawing>
              <wp:anchor distT="0" distB="0" distL="114300" distR="114300" simplePos="0" relativeHeight="251668480" behindDoc="0" locked="0" layoutInCell="1" allowOverlap="1">
                <wp:simplePos x="0" y="0"/>
                <wp:positionH relativeFrom="column">
                  <wp:posOffset>4892675</wp:posOffset>
                </wp:positionH>
                <wp:positionV relativeFrom="paragraph">
                  <wp:posOffset>120650</wp:posOffset>
                </wp:positionV>
                <wp:extent cx="1270" cy="144145"/>
                <wp:effectExtent l="73025" t="5715" r="78105" b="21590"/>
                <wp:wrapNone/>
                <wp:docPr id="46" name="自选图形 2236"/>
                <wp:cNvGraphicFramePr/>
                <a:graphic xmlns:a="http://schemas.openxmlformats.org/drawingml/2006/main">
                  <a:graphicData uri="http://schemas.microsoft.com/office/word/2010/wordprocessingShape">
                    <wps:wsp>
                      <wps:cNvCnPr>
                        <a:cxnSpLocks noChangeShapeType="1"/>
                      </wps:cNvCnPr>
                      <wps:spPr bwMode="auto">
                        <a:xfrm flipH="1">
                          <a:off x="0" y="0"/>
                          <a:ext cx="1270" cy="14414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6" o:spid="_x0000_s1026" o:spt="32" type="#_x0000_t32" style="position:absolute;left:0pt;flip:x;margin-left:385.25pt;margin-top:9.5pt;height:11.35pt;width:0.1pt;z-index:251668480;mso-width-relative:page;mso-height-relative:page;" filled="f" stroked="t" coordsize="21600,21600" o:gfxdata="UEsDBAoAAAAAAIdO4kAAAAAAAAAAAAAAAAAEAAAAZHJzL1BLAwQUAAAACACHTuJApj+NWNcAAAAJ&#10;AQAADwAAAGRycy9kb3ducmV2LnhtbE2PvU7EMBCEeyTewVokOs4OAgIhzklwlwqKI0dB6cRLEhGv&#10;I9v3wz09SwXlznyanSmXRzeJPYY4etKQLRQIpM7bkXoN79v66h5ETIasmTyhhm+MsKzOz0pTWH+g&#10;N9w3qRccQrEwGoaU5kLK2A3oTFz4GYm9Tx+cSXyGXtpgDhzuJnmt1J10ZiT+MJgZnwfsvpqd0zB/&#10;vK5PL0+1SfVpWq03GLarptX68iJTjyASHtMfDL/1uTpU3Kn1O7JRTBryXN0yysYDb2KAhRxEq+Em&#10;y0FWpfy/oPoBUEsDBBQAAAAIAIdO4kCOHXjlHQIAAAgEAAAOAAAAZHJzL2Uyb0RvYy54bWytU81u&#10;EzEQviPxDpbvZLNpGqpVNj0kFA4FIrU8gGN7dy1sj2W72eTGDfEM3Dj2HeBtKsFbMPaGlJZLD+xh&#10;5Z/5vpnvm/H8fGc02UofFNialqMxJdJyEMq2Nf1wffHijJIQmRVMg5U13ctAzxfPn817V8kJdKCF&#10;9ARJbKh6V9MuRlcVReCdNCyMwEmLlw14wyJufVsIz3pkN7qYjMezogcvnAcuQ8DT1XBJD4z+KYTQ&#10;NIrLFfAbI20cWL3ULKKk0CkX6CJX2zSSx/dNE2QkuqaoNOY/JsH1Jv2LxZxVrWeuU/xQAntKCY80&#10;GaYsJj1SrVhk5Marf6iM4h4CNHHEwRSDkOwIqijHj7y56piTWQtaHdzR9PD/aPm77doTJWo6nVFi&#10;mcGO//x8++vTl7uvP+6+fyOTycksudS7UGHw0q590sl39spdAv8YiIVlx2wrc7XXe4cMZUIUDyBp&#10;Exzm2vRvQWAMu4mQLds13pBGK/cmARM52kJ2uUf7Y4/kLhKOh+XkJfaO40U5nZbT05yJVYkkQZ0P&#10;8bUEQ9KipiF6ptouLsFanAXwQwK2vQwxlXgPSGALF0rrPBLakr6ms5PTlMw49CfYNhcXQCuR4hIi&#10;+Haz1J5sWZqv/B0KehBmVMQ3o5Wp6dkxiFWRKf3KChKzacx76GlKa6SgREt8nmk11KntwdFk4tCO&#10;DYj92v9xGgckCzoMc5rAv/cZff+A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j+NWNcAAAAJ&#10;AQAADwAAAAAAAAABACAAAAAiAAAAZHJzL2Rvd25yZXYueG1sUEsBAhQAFAAAAAgAh07iQI4deOUd&#10;AgAACAQAAA4AAAAAAAAAAQAgAAAAJgEAAGRycy9lMm9Eb2MueG1sUEsFBgAAAAAGAAYAWQEAALUF&#10;AAAAAA==&#10;">
                <v:fill on="f" focussize="0,0"/>
                <v:stroke weight="0.5pt" color="#000000" miterlimit="8" joinstyle="miter" endarrow="open"/>
                <v:imagedata o:title=""/>
                <o:lock v:ext="edit" aspectratio="f"/>
              </v:shape>
            </w:pict>
          </mc:Fallback>
        </mc:AlternateContent>
      </w:r>
    </w:p>
    <w:p w14:paraId="05F8D25B">
      <w:pPr>
        <w:rPr>
          <w:bCs/>
          <w:sz w:val="28"/>
        </w:rPr>
      </w:pPr>
      <w:r>
        <w:rPr>
          <w:bCs/>
          <w:sz w:val="28"/>
        </w:rPr>
        <mc:AlternateContent>
          <mc:Choice Requires="wps">
            <w:drawing>
              <wp:anchor distT="0" distB="0" distL="114300" distR="114300" simplePos="0" relativeHeight="251672576" behindDoc="0" locked="0" layoutInCell="1" allowOverlap="1">
                <wp:simplePos x="0" y="0"/>
                <wp:positionH relativeFrom="column">
                  <wp:posOffset>3627120</wp:posOffset>
                </wp:positionH>
                <wp:positionV relativeFrom="paragraph">
                  <wp:posOffset>72390</wp:posOffset>
                </wp:positionV>
                <wp:extent cx="231775" cy="635"/>
                <wp:effectExtent l="17145" t="77470" r="8255" b="74295"/>
                <wp:wrapNone/>
                <wp:docPr id="45" name="自选图形 2240"/>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40" o:spid="_x0000_s1026" o:spt="32" type="#_x0000_t32" style="position:absolute;left:0pt;flip:x y;margin-left:285.6pt;margin-top:5.7pt;height:0.05pt;width:18.25pt;z-index:251672576;mso-width-relative:page;mso-height-relative:page;" filled="f" stroked="t" coordsize="21600,21600" o:gfxdata="UEsDBAoAAAAAAIdO4kAAAAAAAAAAAAAAAAAEAAAAZHJzL1BLAwQUAAAACACHTuJABbXKHNYAAAAJ&#10;AQAADwAAAGRycy9kb3ducmV2LnhtbE2PwU7DMAyG70i8Q+RJ3FjSibVTaTohpB0QJ8rUc9aatlrj&#10;RE3aDZ4e7wRH+//0+3Oxv9pRLDiFwZGGZK1AIDWuHajTcPw8PO5AhGioNaMj1PCNAfbl/V1h8tZd&#10;6AOXKnaCSyjkRkMfo8+lDE2P1oS180icfbnJmsjj1Ml2Mhcut6PcKJVKawbiC73x+Npjc65mq+Fn&#10;WfxcH9SLD/7dZtVbvUvnWuuHVaKeQUS8xj8YbvqsDiU7ndxMbRCjhm2WbBjlIHkCwUCqsgzE6bbY&#10;giwL+f+D8hdQSwMEFAAAAAgAh07iQNvEnKkdAgAAEQQAAA4AAABkcnMvZTJvRG9jLnhtbK1TvY4T&#10;MRDukXgHyz3ZJPerVTZXJBwUB0S6g97xenctbI/lcbJJR4d4BroreQd4m5PgLRg7IccdzRVssRrb&#10;M9988/nz5GJjDVurgBpcxUeDIWfKSai1ayv+/ubyxTlnGIWrhQGnKr5VyC+mz59Nel+qMXRgahUY&#10;gTgse1/xLkZfFgXKTlmBA/DK0WEDwYpIy9AWdRA9oVtTjIfD06KHUPsAUiHS7nx3yPeI4SmA0DRa&#10;qjnIlVUu7lCDMiLSSNhpj3ya2TaNkvFd06CKzFScJo35T00oXqZ/MZ2Isg3Cd1ruKYinUHg0kxXa&#10;UdMD1FxEwVZB/wNltQyA0MSBBFvsBsmK0BSj4SNtrjvhVZ6FpEZ/EB3/H6x8u14EpuuKH59w5oSl&#10;G//5+duvT1/uvv64+37LxuPjrFLvsaTkmVuENKfcuGt/BfIjMgezTrhWZbY3W08Io6Rr8aAkLdBT&#10;r2X/BmrKEasIWbJNEyxrjPavU2GOPqQotSGB2Cbf1vZwW2oTmaTN8dHo7IxISzo6PTrJLUWZ0FKl&#10;DxhfKbAsBRXHGIRuuzgD58gUEHb4Yn2FMXG9L0jFDi61MdkbxrE+45NjpPUkFLo2c0Mwuk55qQJD&#10;u5yZwNYiGS1/e0IP0qyO9HiMthU/PySJMgptXrqaxayeCAF6ntpaVXNmFL3TFO14GreXNqmZfI7l&#10;EurtIvyRnJySB9q7Olnx73Wuvn/J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tcoc1gAAAAkB&#10;AAAPAAAAAAAAAAEAIAAAACIAAABkcnMvZG93bnJldi54bWxQSwECFAAUAAAACACHTuJA28ScqR0C&#10;AAARBAAADgAAAAAAAAABACAAAAAlAQAAZHJzL2Uyb0RvYy54bWxQSwUGAAAAAAYABgBZAQAAtAUA&#10;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70528" behindDoc="0" locked="0" layoutInCell="1" allowOverlap="1">
                <wp:simplePos x="0" y="0"/>
                <wp:positionH relativeFrom="column">
                  <wp:posOffset>4414520</wp:posOffset>
                </wp:positionH>
                <wp:positionV relativeFrom="paragraph">
                  <wp:posOffset>65405</wp:posOffset>
                </wp:positionV>
                <wp:extent cx="231775" cy="635"/>
                <wp:effectExtent l="23495" t="80010" r="11430" b="71755"/>
                <wp:wrapNone/>
                <wp:docPr id="44" name="自选图形 2238"/>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8" o:spid="_x0000_s1026" o:spt="32" type="#_x0000_t32" style="position:absolute;left:0pt;flip:x y;margin-left:347.6pt;margin-top:5.15pt;height:0.05pt;width:18.25pt;z-index:251670528;mso-width-relative:page;mso-height-relative:page;" filled="f" stroked="t" coordsize="21600,21600" o:gfxdata="UEsDBAoAAAAAAIdO4kAAAAAAAAAAAAAAAAAEAAAAZHJzL1BLAwQUAAAACACHTuJAKoXxJdYAAAAJ&#10;AQAADwAAAGRycy9kb3ducmV2LnhtbE2PwU7DMAyG70i8Q2QkbizpBu0oTSeEtAPiREE9Z61pKxon&#10;atJu8PR4J3a0/0+/Pxe7kx3FglMYHGlIVgoEUuPagToNnx/7uy2IEA21ZnSEGn4wwK68vipM3roj&#10;veNSxU5wCYXcaOhj9LmUoenRmrByHomzLzdZE3mcOtlO5sjldpRrpVJpzUB8oTceX3psvqvZavhd&#10;Fj/Xe/Xsg3+zWfVab9O51vr2JlFPICKe4j8MZ31Wh5KdDm6mNohRQ/r4sGaUA7UBwUC2STIQh/Pi&#10;HmRZyMsPyj9QSwMEFAAAAAgAh07iQFhV6XMeAgAAEQQAAA4AAABkcnMvZTJvRG9jLnhtbK1TvY4T&#10;MRDukXgHyz3Z/NxPtMrmioSD4oBId9A7tnfXwvZYtpNNOjrEM9BdyTvA25wEb8HYG3Lc0VzBFqux&#10;Pd8333wezy52RpOt9EGBrehoMKREWg5C2aai728uX0wpCZFZwTRYWdG9DPRi/vzZrHOlHEMLWkhP&#10;kMSGsnMVbWN0ZVEE3krDwgCctHhYgzcs4tI3hfCsQ3aji/FweFZ04IXzwGUIuLvsD+mB0T+FEOpa&#10;cbkEvjHSxp7VS80ithRa5QKdZ7V1LXl8V9dBRqIrip3G/MciGK/Tv5jPWNl45lrFDxLYUyQ86skw&#10;ZbHokWrJIiMbr/6hMop7CFDHAQdT9I1kR7CL0fCRN9ctczL3glYHdzQ9/D9a/na78kSJip6cUGKZ&#10;wRv/+fnbr09f7r7+uPt+S8bjyTS51LlQYvLCrnzqk+/stbsC/jEQC4uW2UZmtTd7hwyjhCgeQNIi&#10;OKy17t6AwBy2iZAt29XekFor9zoBc/QhRakMGkR2+bb2x9uSu0g4bo4no/PzU0o4Hp1NTnNJVia2&#10;hHQ+xFcSDElBRUP0TDVtXIC1OBTge362vQoxab0HJLCFS6V1ng1tSZf5cWK4cWhUsE3WFkArkfIS&#10;IvhmvdCebFkatPwdBD1IMyri49HKVHR6TGJlZEq/tILE7B7zHjqayhopKNES32mKep3aHqxNbvb3&#10;sgaxX/k/luOk5IYOU51G8e91Rt+/5P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oXxJdYAAAAJ&#10;AQAADwAAAAAAAAABACAAAAAiAAAAZHJzL2Rvd25yZXYueG1sUEsBAhQAFAAAAAgAh07iQFhV6XMe&#10;AgAAEQQAAA4AAAAAAAAAAQAgAAAAJQEAAGRycy9lMm9Eb2MueG1sUEsFBgAAAAAGAAYAWQEAALUF&#10;AAAAAA==&#10;">
                <v:fill on="f" focussize="0,0"/>
                <v:stroke weight="0.5pt" color="#000000" miterlimit="8" joinstyle="miter" endarrow="open"/>
                <v:imagedata o:title=""/>
                <o:lock v:ext="edit" aspectratio="f"/>
              </v:shape>
            </w:pict>
          </mc:Fallback>
        </mc:AlternateContent>
      </w:r>
    </w:p>
    <w:p w14:paraId="49A04D4D">
      <w:pPr>
        <w:spacing w:line="360" w:lineRule="auto"/>
        <w:rPr>
          <w:bCs/>
          <w:sz w:val="24"/>
        </w:rPr>
      </w:pPr>
      <w:r>
        <w:rPr>
          <w:bCs/>
          <w:sz w:val="24"/>
        </w:rPr>
        <w:t>4.5</w:t>
      </w:r>
      <w:r>
        <w:rPr>
          <w:rFonts w:hint="eastAsia"/>
          <w:bCs/>
          <w:sz w:val="24"/>
        </w:rPr>
        <w:t>对特定的产品、项目和合同进行质量策划，并编制质量计划；。</w:t>
      </w:r>
    </w:p>
    <w:p w14:paraId="7D185153">
      <w:pPr>
        <w:spacing w:line="360" w:lineRule="auto"/>
        <w:rPr>
          <w:bCs/>
          <w:sz w:val="24"/>
        </w:rPr>
      </w:pPr>
      <w:r>
        <w:rPr>
          <w:bCs/>
          <w:sz w:val="24"/>
        </w:rPr>
        <w:t>4.5.1</w:t>
      </w:r>
      <w:r>
        <w:rPr>
          <w:rFonts w:hint="eastAsia"/>
          <w:bCs/>
          <w:sz w:val="24"/>
        </w:rPr>
        <w:t>进行质量策划的时机本企业进行质量策划的可能时机：</w:t>
      </w:r>
    </w:p>
    <w:p w14:paraId="521B19D3">
      <w:pPr>
        <w:spacing w:line="360" w:lineRule="auto"/>
        <w:rPr>
          <w:bCs/>
          <w:sz w:val="24"/>
        </w:rPr>
      </w:pPr>
      <w:r>
        <w:rPr>
          <w:bCs/>
          <w:sz w:val="24"/>
        </w:rPr>
        <w:t>a</w:t>
      </w:r>
      <w:r>
        <w:rPr>
          <w:rFonts w:hint="eastAsia"/>
          <w:bCs/>
          <w:sz w:val="24"/>
        </w:rPr>
        <w:t>．销售合同中顾客对产品有特定的要求；</w:t>
      </w:r>
      <w:r>
        <w:rPr>
          <w:bCs/>
          <w:sz w:val="24"/>
        </w:rPr>
        <w:t xml:space="preserve">  </w:t>
      </w:r>
    </w:p>
    <w:p w14:paraId="6AEC1455">
      <w:pPr>
        <w:spacing w:line="360" w:lineRule="auto"/>
        <w:rPr>
          <w:bCs/>
          <w:sz w:val="24"/>
        </w:rPr>
      </w:pPr>
      <w:r>
        <w:rPr>
          <w:bCs/>
          <w:sz w:val="24"/>
        </w:rPr>
        <w:t>b</w:t>
      </w:r>
      <w:r>
        <w:rPr>
          <w:rFonts w:hint="eastAsia"/>
          <w:bCs/>
          <w:sz w:val="24"/>
        </w:rPr>
        <w:t>．采用新工艺或新材料，技术革新或技术改造；</w:t>
      </w:r>
      <w:r>
        <w:rPr>
          <w:bCs/>
          <w:sz w:val="24"/>
        </w:rPr>
        <w:t xml:space="preserve">  </w:t>
      </w:r>
    </w:p>
    <w:p w14:paraId="3AD64855">
      <w:pPr>
        <w:spacing w:line="360" w:lineRule="auto"/>
        <w:rPr>
          <w:bCs/>
          <w:sz w:val="24"/>
        </w:rPr>
      </w:pPr>
      <w:r>
        <w:rPr>
          <w:bCs/>
          <w:sz w:val="24"/>
        </w:rPr>
        <w:t>c</w:t>
      </w:r>
      <w:r>
        <w:rPr>
          <w:rFonts w:hint="eastAsia"/>
          <w:bCs/>
          <w:sz w:val="24"/>
        </w:rPr>
        <w:t>．现有质量管理体系文件未能涵盖的特殊事项；</w:t>
      </w:r>
      <w:r>
        <w:rPr>
          <w:bCs/>
          <w:sz w:val="24"/>
        </w:rPr>
        <w:t xml:space="preserve">  </w:t>
      </w:r>
    </w:p>
    <w:p w14:paraId="6A9021D2">
      <w:pPr>
        <w:spacing w:line="360" w:lineRule="auto"/>
        <w:rPr>
          <w:bCs/>
          <w:sz w:val="24"/>
        </w:rPr>
      </w:pPr>
      <w:r>
        <w:rPr>
          <w:bCs/>
          <w:sz w:val="24"/>
        </w:rPr>
        <w:t>d</w:t>
      </w:r>
      <w:r>
        <w:rPr>
          <w:rFonts w:hint="eastAsia"/>
          <w:bCs/>
          <w:sz w:val="24"/>
        </w:rPr>
        <w:t>．进行新产品的设计开发时。</w:t>
      </w:r>
    </w:p>
    <w:p w14:paraId="5484D439">
      <w:pPr>
        <w:spacing w:line="360" w:lineRule="auto"/>
        <w:rPr>
          <w:bCs/>
          <w:sz w:val="24"/>
        </w:rPr>
      </w:pPr>
      <w:r>
        <w:rPr>
          <w:bCs/>
          <w:sz w:val="24"/>
        </w:rPr>
        <w:t>4.5.2</w:t>
      </w:r>
      <w:r>
        <w:rPr>
          <w:rFonts w:hint="eastAsia"/>
          <w:bCs/>
          <w:sz w:val="24"/>
        </w:rPr>
        <w:t>质量策划的内容应包括</w:t>
      </w:r>
      <w:r>
        <w:rPr>
          <w:bCs/>
          <w:sz w:val="24"/>
        </w:rPr>
        <w:t>4.3</w:t>
      </w:r>
      <w:r>
        <w:rPr>
          <w:rFonts w:hint="eastAsia"/>
          <w:bCs/>
          <w:sz w:val="24"/>
        </w:rPr>
        <w:t>的所有内容。</w:t>
      </w:r>
    </w:p>
    <w:p w14:paraId="29DB6539">
      <w:pPr>
        <w:spacing w:line="360" w:lineRule="auto"/>
        <w:rPr>
          <w:bCs/>
          <w:sz w:val="24"/>
        </w:rPr>
      </w:pPr>
      <w:r>
        <w:rPr>
          <w:bCs/>
          <w:sz w:val="24"/>
        </w:rPr>
        <w:t>4.5.3</w:t>
      </w:r>
      <w:r>
        <w:rPr>
          <w:rFonts w:hint="eastAsia"/>
          <w:bCs/>
          <w:sz w:val="24"/>
        </w:rPr>
        <w:t>质量计划编制原则对应用于特定产品、项目或合同的管理体系的过程（包括产品实现过程）和资源作出规定的文件称为质量计划。质量计划的编制原则为：</w:t>
      </w:r>
      <w:r>
        <w:rPr>
          <w:bCs/>
          <w:sz w:val="24"/>
        </w:rPr>
        <w:t xml:space="preserve"> </w:t>
      </w:r>
    </w:p>
    <w:p w14:paraId="130E69A0">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．质量计划的内容要根据质量策划的内容和结果来确定；</w:t>
      </w:r>
      <w:r>
        <w:rPr>
          <w:bCs/>
          <w:sz w:val="24"/>
        </w:rPr>
        <w:t xml:space="preserve">  </w:t>
      </w:r>
    </w:p>
    <w:p w14:paraId="765DEF5A">
      <w:pPr>
        <w:spacing w:line="360" w:lineRule="auto"/>
        <w:ind w:firstLine="240" w:firstLineChars="100"/>
        <w:rPr>
          <w:bCs/>
          <w:sz w:val="24"/>
        </w:rPr>
      </w:pPr>
      <w:r>
        <w:rPr>
          <w:bCs/>
          <w:sz w:val="24"/>
        </w:rPr>
        <w:t>b</w:t>
      </w:r>
      <w:r>
        <w:rPr>
          <w:rFonts w:hint="eastAsia"/>
          <w:bCs/>
          <w:sz w:val="24"/>
        </w:rPr>
        <w:t>．就参照管理手册的有关内容，就符合管理方针和管理目标，并与管理体系文件中的内容协调一致；</w:t>
      </w:r>
      <w:r>
        <w:rPr>
          <w:bCs/>
          <w:sz w:val="24"/>
        </w:rPr>
        <w:t xml:space="preserve">  </w:t>
      </w:r>
    </w:p>
    <w:p w14:paraId="0448E92F">
      <w:pPr>
        <w:spacing w:line="360" w:lineRule="auto"/>
        <w:ind w:firstLine="240" w:firstLineChars="100"/>
        <w:rPr>
          <w:bCs/>
          <w:sz w:val="24"/>
        </w:rPr>
      </w:pPr>
      <w:r>
        <w:rPr>
          <w:bCs/>
          <w:sz w:val="24"/>
        </w:rPr>
        <w:t>c</w:t>
      </w:r>
      <w:r>
        <w:rPr>
          <w:rFonts w:hint="eastAsia"/>
          <w:bCs/>
          <w:sz w:val="24"/>
        </w:rPr>
        <w:t>．可引用已有的质量文件中的相关内容，并根据特殊的要求编制新的内容；</w:t>
      </w:r>
      <w:r>
        <w:rPr>
          <w:bCs/>
          <w:sz w:val="24"/>
        </w:rPr>
        <w:t xml:space="preserve"> </w:t>
      </w:r>
    </w:p>
    <w:p w14:paraId="45273E44">
      <w:pPr>
        <w:spacing w:line="360" w:lineRule="auto"/>
        <w:ind w:firstLine="240" w:firstLineChars="100"/>
        <w:rPr>
          <w:bCs/>
          <w:sz w:val="24"/>
        </w:rPr>
      </w:pPr>
      <w:r>
        <w:rPr>
          <w:bCs/>
          <w:sz w:val="24"/>
        </w:rPr>
        <w:t>d</w:t>
      </w:r>
      <w:r>
        <w:rPr>
          <w:rFonts w:hint="eastAsia"/>
          <w:bCs/>
          <w:sz w:val="24"/>
        </w:rPr>
        <w:t>．根据实际情况，可编写总体质量计划，也可只编写有关的单项计划，如采购质量计划等；也可针对某一特定活动，如产品促销活动，用户服务周等；</w:t>
      </w:r>
    </w:p>
    <w:p w14:paraId="538CC20F">
      <w:pPr>
        <w:spacing w:line="360" w:lineRule="auto"/>
        <w:ind w:firstLine="240" w:firstLineChars="100"/>
        <w:rPr>
          <w:bCs/>
          <w:sz w:val="24"/>
        </w:rPr>
      </w:pPr>
      <w:r>
        <w:rPr>
          <w:bCs/>
          <w:sz w:val="24"/>
        </w:rPr>
        <w:t>e</w:t>
      </w:r>
      <w:r>
        <w:rPr>
          <w:rFonts w:hint="eastAsia"/>
          <w:bCs/>
          <w:sz w:val="24"/>
        </w:rPr>
        <w:t>．质量计划可以作为独立的文件，也可以根据需要作为其他文件的一部分。</w:t>
      </w:r>
    </w:p>
    <w:p w14:paraId="22D89A73">
      <w:pPr>
        <w:spacing w:line="360" w:lineRule="auto"/>
        <w:rPr>
          <w:bCs/>
          <w:sz w:val="24"/>
        </w:rPr>
      </w:pPr>
      <w:r>
        <w:rPr>
          <w:bCs/>
          <w:sz w:val="24"/>
        </w:rPr>
        <w:t>4.5.4</w:t>
      </w:r>
      <w:r>
        <w:rPr>
          <w:rFonts w:hint="eastAsia"/>
          <w:bCs/>
          <w:sz w:val="24"/>
        </w:rPr>
        <w:t>质量计划的编制、审批和发放。</w:t>
      </w:r>
    </w:p>
    <w:p w14:paraId="333C9505">
      <w:pPr>
        <w:spacing w:line="360" w:lineRule="auto"/>
        <w:ind w:firstLine="240" w:firstLineChars="100"/>
        <w:rPr>
          <w:bCs/>
          <w:sz w:val="24"/>
        </w:rPr>
      </w:pPr>
      <w:r>
        <w:rPr>
          <w:bCs/>
          <w:sz w:val="24"/>
        </w:rPr>
        <w:t>a</w:t>
      </w:r>
      <w:r>
        <w:rPr>
          <w:rFonts w:hint="eastAsia"/>
          <w:bCs/>
          <w:sz w:val="24"/>
        </w:rPr>
        <w:t>．质量计划由</w:t>
      </w:r>
      <w:r>
        <w:rPr>
          <w:rFonts w:hint="eastAsia"/>
          <w:bCs/>
          <w:sz w:val="24"/>
          <w:lang w:eastAsia="zh-CN"/>
        </w:rPr>
        <w:t>研发部</w:t>
      </w:r>
      <w:r>
        <w:rPr>
          <w:rFonts w:hint="eastAsia"/>
          <w:bCs/>
          <w:sz w:val="24"/>
        </w:rPr>
        <w:t>负责人组织编制，经管理者代表审核，总经理批准后，由</w:t>
      </w:r>
      <w:r>
        <w:rPr>
          <w:rFonts w:hint="eastAsia"/>
          <w:bCs/>
          <w:sz w:val="24"/>
          <w:lang w:eastAsia="zh-CN"/>
        </w:rPr>
        <w:t>综合部</w:t>
      </w:r>
      <w:r>
        <w:rPr>
          <w:rFonts w:hint="eastAsia"/>
          <w:bCs/>
          <w:sz w:val="24"/>
        </w:rPr>
        <w:t>以受控文件形式发放到使用和相关部门；</w:t>
      </w:r>
    </w:p>
    <w:p w14:paraId="03BC398A">
      <w:pPr>
        <w:spacing w:line="360" w:lineRule="auto"/>
        <w:ind w:firstLine="240" w:firstLineChars="100"/>
        <w:rPr>
          <w:bCs/>
          <w:sz w:val="24"/>
        </w:rPr>
      </w:pPr>
      <w:r>
        <w:rPr>
          <w:bCs/>
          <w:sz w:val="24"/>
        </w:rPr>
        <w:t>b</w:t>
      </w:r>
      <w:r>
        <w:rPr>
          <w:rFonts w:hint="eastAsia"/>
          <w:bCs/>
          <w:sz w:val="24"/>
        </w:rPr>
        <w:t>．质量计划必须标明项目名称、编号、编制人、审核认、批准人、发布日期。</w:t>
      </w:r>
    </w:p>
    <w:p w14:paraId="06FC49DA">
      <w:pPr>
        <w:spacing w:line="360" w:lineRule="auto"/>
        <w:rPr>
          <w:bCs/>
          <w:sz w:val="24"/>
        </w:rPr>
      </w:pPr>
      <w:r>
        <w:rPr>
          <w:bCs/>
          <w:sz w:val="24"/>
        </w:rPr>
        <w:t>4.5.5</w:t>
      </w:r>
      <w:r>
        <w:rPr>
          <w:rFonts w:hint="eastAsia"/>
          <w:bCs/>
          <w:sz w:val="24"/>
        </w:rPr>
        <w:t>质量计划的实施、监督和修改。</w:t>
      </w:r>
    </w:p>
    <w:p w14:paraId="1FE82D40">
      <w:pPr>
        <w:spacing w:line="360" w:lineRule="auto"/>
        <w:ind w:firstLine="240" w:firstLineChars="100"/>
        <w:rPr>
          <w:bCs/>
          <w:sz w:val="24"/>
        </w:rPr>
      </w:pPr>
      <w:r>
        <w:rPr>
          <w:bCs/>
          <w:sz w:val="24"/>
        </w:rPr>
        <w:t xml:space="preserve"> a</w:t>
      </w:r>
      <w:r>
        <w:rPr>
          <w:rFonts w:hint="eastAsia"/>
          <w:bCs/>
          <w:sz w:val="24"/>
        </w:rPr>
        <w:t>．各部门在执行中应按照质量计划的规定要求迸行控制，并将计划的执行情况及时反馈到总经理；</w:t>
      </w:r>
    </w:p>
    <w:p w14:paraId="751905C7">
      <w:pPr>
        <w:spacing w:line="360" w:lineRule="auto"/>
        <w:ind w:firstLine="240" w:firstLineChars="100"/>
        <w:rPr>
          <w:bCs/>
          <w:sz w:val="24"/>
        </w:rPr>
      </w:pPr>
      <w:r>
        <w:rPr>
          <w:bCs/>
          <w:sz w:val="24"/>
        </w:rPr>
        <w:t>b</w:t>
      </w:r>
      <w:r>
        <w:rPr>
          <w:rFonts w:hint="eastAsia"/>
          <w:bCs/>
          <w:sz w:val="24"/>
        </w:rPr>
        <w:t>．</w:t>
      </w:r>
      <w:r>
        <w:rPr>
          <w:rFonts w:hint="eastAsia"/>
          <w:bCs/>
          <w:sz w:val="24"/>
          <w:lang w:eastAsia="zh-CN"/>
        </w:rPr>
        <w:t>生产技术部</w:t>
      </w:r>
      <w:r>
        <w:rPr>
          <w:rFonts w:hint="eastAsia"/>
          <w:bCs/>
          <w:sz w:val="24"/>
        </w:rPr>
        <w:t>负责监督各部门质量计划的实施，根据要求协调相应部门之间的接口和资源配置，并及时向总经理和管理者代表汇报情况。</w:t>
      </w:r>
    </w:p>
    <w:p w14:paraId="6CB5D899">
      <w:pPr>
        <w:spacing w:line="360" w:lineRule="auto"/>
        <w:ind w:firstLine="240" w:firstLineChars="100"/>
        <w:rPr>
          <w:bCs/>
          <w:sz w:val="24"/>
        </w:rPr>
      </w:pPr>
      <w:r>
        <w:rPr>
          <w:bCs/>
          <w:sz w:val="24"/>
        </w:rPr>
        <w:t>c</w:t>
      </w:r>
      <w:r>
        <w:rPr>
          <w:rFonts w:hint="eastAsia"/>
          <w:bCs/>
          <w:sz w:val="24"/>
        </w:rPr>
        <w:t>．质量计划的修改当质量计划需要修改时，由修改部门填写《文件更改申请单》，经管理者代表审核，总经理批准后修改生效，执行《文件控制程序》中的有关规定。</w:t>
      </w:r>
    </w:p>
    <w:p w14:paraId="4FCA5DBA">
      <w:pPr>
        <w:spacing w:line="360" w:lineRule="auto"/>
        <w:rPr>
          <w:bCs/>
          <w:sz w:val="24"/>
        </w:rPr>
      </w:pPr>
      <w:r>
        <w:rPr>
          <w:bCs/>
          <w:sz w:val="24"/>
        </w:rPr>
        <w:t>5</w:t>
      </w:r>
      <w:r>
        <w:rPr>
          <w:rFonts w:hint="eastAsia"/>
          <w:bCs/>
          <w:sz w:val="24"/>
        </w:rPr>
        <w:t>．相关文件</w:t>
      </w:r>
    </w:p>
    <w:p w14:paraId="335BCA10">
      <w:pPr>
        <w:spacing w:line="360" w:lineRule="auto"/>
        <w:rPr>
          <w:bCs/>
          <w:sz w:val="24"/>
        </w:rPr>
      </w:pPr>
      <w:r>
        <w:rPr>
          <w:bCs/>
          <w:sz w:val="24"/>
        </w:rPr>
        <w:t xml:space="preserve">  </w:t>
      </w:r>
      <w:r>
        <w:rPr>
          <w:rFonts w:hint="eastAsia"/>
          <w:bCs/>
          <w:sz w:val="24"/>
        </w:rPr>
        <w:t>《文件控制程序》</w:t>
      </w:r>
    </w:p>
    <w:p w14:paraId="2E8B716B">
      <w:pPr>
        <w:spacing w:line="360" w:lineRule="auto"/>
        <w:rPr>
          <w:bCs/>
          <w:sz w:val="24"/>
        </w:rPr>
      </w:pPr>
      <w:r>
        <w:rPr>
          <w:bCs/>
          <w:sz w:val="24"/>
        </w:rPr>
        <w:t>6</w:t>
      </w:r>
      <w:r>
        <w:rPr>
          <w:rFonts w:hint="eastAsia"/>
          <w:bCs/>
          <w:sz w:val="24"/>
        </w:rPr>
        <w:t>．质量记录</w:t>
      </w:r>
    </w:p>
    <w:p w14:paraId="38B7D9D4">
      <w:pPr>
        <w:spacing w:line="360" w:lineRule="auto"/>
        <w:rPr>
          <w:bCs/>
          <w:sz w:val="24"/>
        </w:rPr>
      </w:pPr>
      <w:r>
        <w:rPr>
          <w:bCs/>
          <w:sz w:val="24"/>
        </w:rPr>
        <w:t>6.1</w:t>
      </w:r>
      <w:r>
        <w:rPr>
          <w:rFonts w:hint="eastAsia"/>
          <w:bCs/>
          <w:sz w:val="24"/>
        </w:rPr>
        <w:t>《质量计划》</w:t>
      </w:r>
    </w:p>
    <w:p w14:paraId="32C38098">
      <w:pPr>
        <w:widowControl/>
        <w:jc w:val="left"/>
        <w:rPr>
          <w:bCs/>
          <w:sz w:val="24"/>
        </w:rPr>
      </w:pPr>
      <w:r>
        <w:rPr>
          <w:bCs/>
          <w:sz w:val="24"/>
        </w:rPr>
        <w:br w:type="page"/>
      </w:r>
    </w:p>
    <w:p w14:paraId="302E88CC">
      <w:pPr>
        <w:pStyle w:val="2"/>
        <w:spacing w:before="156" w:beforeLines="50" w:after="156" w:afterLines="50" w:line="720" w:lineRule="auto"/>
        <w:jc w:val="left"/>
        <w:rPr>
          <w:sz w:val="28"/>
          <w:szCs w:val="28"/>
        </w:rPr>
      </w:pPr>
      <w:bookmarkStart w:id="19" w:name="_Toc19670"/>
      <w:r>
        <w:rPr>
          <w:rFonts w:hint="eastAsia"/>
          <w:sz w:val="28"/>
          <w:szCs w:val="28"/>
        </w:rPr>
        <w:t>十八、与顾客有关的过程控制程序</w:t>
      </w:r>
      <w:bookmarkEnd w:id="19"/>
      <w:r>
        <w:rPr>
          <w:rFonts w:hint="eastAsia"/>
          <w:sz w:val="28"/>
          <w:szCs w:val="28"/>
        </w:rPr>
        <w:t xml:space="preserve">    </w:t>
      </w:r>
      <w:r>
        <w:rPr>
          <w:sz w:val="28"/>
          <w:szCs w:val="28"/>
        </w:rPr>
        <w:t xml:space="preserve"> </w:t>
      </w:r>
      <w:r>
        <w:rPr>
          <w:rFonts w:hint="eastAsia"/>
          <w:sz w:val="28"/>
          <w:szCs w:val="28"/>
        </w:rPr>
        <w:t>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-18</w:t>
      </w:r>
    </w:p>
    <w:p w14:paraId="458DB784">
      <w:pPr>
        <w:spacing w:line="360" w:lineRule="auto"/>
        <w:rPr>
          <w:bCs/>
          <w:sz w:val="24"/>
        </w:rPr>
      </w:pPr>
      <w:r>
        <w:rPr>
          <w:bCs/>
          <w:sz w:val="24"/>
        </w:rPr>
        <w:t>1</w:t>
      </w:r>
      <w:r>
        <w:rPr>
          <w:rFonts w:hint="eastAsia"/>
          <w:bCs/>
          <w:sz w:val="24"/>
        </w:rPr>
        <w:t>．目的</w:t>
      </w:r>
    </w:p>
    <w:p w14:paraId="6E5030C0">
      <w:pPr>
        <w:spacing w:line="360" w:lineRule="auto"/>
        <w:rPr>
          <w:bCs/>
          <w:sz w:val="24"/>
        </w:rPr>
      </w:pPr>
      <w:r>
        <w:rPr>
          <w:rFonts w:hint="eastAsia"/>
          <w:bCs/>
          <w:sz w:val="24"/>
        </w:rPr>
        <w:t>准确识别、理解顾客对公司产品、服务和环境安全的有关要求，确保圆满履行合同，达到顾客满意。</w:t>
      </w:r>
    </w:p>
    <w:p w14:paraId="1039D933">
      <w:pPr>
        <w:spacing w:line="360" w:lineRule="auto"/>
        <w:rPr>
          <w:bCs/>
          <w:sz w:val="24"/>
        </w:rPr>
      </w:pPr>
      <w:r>
        <w:rPr>
          <w:bCs/>
          <w:sz w:val="24"/>
        </w:rPr>
        <w:t>2</w:t>
      </w:r>
      <w:r>
        <w:rPr>
          <w:rFonts w:hint="eastAsia"/>
          <w:bCs/>
          <w:sz w:val="24"/>
        </w:rPr>
        <w:t>．范围</w:t>
      </w:r>
    </w:p>
    <w:p w14:paraId="2C329EC8">
      <w:pPr>
        <w:spacing w:line="360" w:lineRule="auto"/>
        <w:rPr>
          <w:bCs/>
          <w:sz w:val="24"/>
        </w:rPr>
      </w:pPr>
      <w:r>
        <w:rPr>
          <w:rFonts w:hint="eastAsia"/>
          <w:bCs/>
          <w:sz w:val="24"/>
        </w:rPr>
        <w:t>适用于本公司所有的销售合同／订单的控制及对顾客的沟通。</w:t>
      </w:r>
    </w:p>
    <w:p w14:paraId="7B621382">
      <w:pPr>
        <w:spacing w:line="360" w:lineRule="auto"/>
        <w:rPr>
          <w:bCs/>
          <w:sz w:val="24"/>
        </w:rPr>
      </w:pPr>
      <w:r>
        <w:rPr>
          <w:bCs/>
          <w:sz w:val="24"/>
        </w:rPr>
        <w:t>3</w:t>
      </w:r>
      <w:r>
        <w:rPr>
          <w:rFonts w:hint="eastAsia"/>
          <w:bCs/>
          <w:sz w:val="24"/>
        </w:rPr>
        <w:t>．定义</w:t>
      </w:r>
    </w:p>
    <w:p w14:paraId="1E21AEB0">
      <w:pPr>
        <w:spacing w:line="360" w:lineRule="auto"/>
        <w:rPr>
          <w:bCs/>
          <w:sz w:val="24"/>
        </w:rPr>
      </w:pPr>
      <w:r>
        <w:rPr>
          <w:bCs/>
          <w:sz w:val="24"/>
        </w:rPr>
        <w:t xml:space="preserve">3.1 </w:t>
      </w:r>
      <w:r>
        <w:rPr>
          <w:rFonts w:hint="eastAsia"/>
          <w:bCs/>
          <w:sz w:val="24"/>
        </w:rPr>
        <w:t>一般合同：即常规要求的订单和口头电话定货，指现有定型产品品种且能及时交付的产品销售合同。</w:t>
      </w:r>
    </w:p>
    <w:p w14:paraId="7D7545A2">
      <w:pPr>
        <w:spacing w:line="360" w:lineRule="auto"/>
        <w:rPr>
          <w:bCs/>
          <w:sz w:val="24"/>
        </w:rPr>
      </w:pPr>
      <w:r>
        <w:rPr>
          <w:bCs/>
          <w:sz w:val="24"/>
        </w:rPr>
        <w:t>3.2</w:t>
      </w:r>
      <w:r>
        <w:rPr>
          <w:rFonts w:hint="eastAsia"/>
          <w:bCs/>
          <w:sz w:val="24"/>
        </w:rPr>
        <w:t>特殊合同：即特殊要求的订单／合同，指顾客对产品有特殊要求的销售订单／合同。</w:t>
      </w:r>
    </w:p>
    <w:p w14:paraId="2ABF1715">
      <w:pPr>
        <w:spacing w:line="360" w:lineRule="auto"/>
        <w:rPr>
          <w:bCs/>
          <w:sz w:val="24"/>
        </w:rPr>
      </w:pPr>
      <w:r>
        <w:rPr>
          <w:bCs/>
          <w:sz w:val="24"/>
        </w:rPr>
        <w:t>4</w:t>
      </w:r>
      <w:r>
        <w:rPr>
          <w:rFonts w:hint="eastAsia"/>
          <w:bCs/>
          <w:sz w:val="24"/>
        </w:rPr>
        <w:t>．职责</w:t>
      </w:r>
    </w:p>
    <w:p w14:paraId="34E93706">
      <w:pPr>
        <w:spacing w:line="360" w:lineRule="auto"/>
        <w:rPr>
          <w:bCs/>
          <w:sz w:val="24"/>
        </w:rPr>
      </w:pPr>
      <w:r>
        <w:rPr>
          <w:bCs/>
          <w:sz w:val="24"/>
        </w:rPr>
        <w:t>4.1</w:t>
      </w:r>
      <w:r>
        <w:rPr>
          <w:rFonts w:hint="eastAsia"/>
          <w:bCs/>
          <w:sz w:val="24"/>
          <w:lang w:eastAsia="zh-CN"/>
        </w:rPr>
        <w:t>市场部</w:t>
      </w:r>
      <w:r>
        <w:rPr>
          <w:rFonts w:hint="eastAsia"/>
          <w:bCs/>
          <w:sz w:val="24"/>
        </w:rPr>
        <w:t>负责识别顾客对产品或服务的要求与期望，组织对顾客要求进行评审，并负责与顾客的沟通。</w:t>
      </w:r>
    </w:p>
    <w:p w14:paraId="3D71B29C">
      <w:pPr>
        <w:spacing w:line="360" w:lineRule="auto"/>
        <w:rPr>
          <w:bCs/>
          <w:sz w:val="24"/>
        </w:rPr>
      </w:pPr>
      <w:r>
        <w:rPr>
          <w:bCs/>
          <w:sz w:val="24"/>
        </w:rPr>
        <w:t>4.2</w:t>
      </w:r>
      <w:r>
        <w:rPr>
          <w:rFonts w:hint="eastAsia"/>
          <w:bCs/>
          <w:sz w:val="24"/>
          <w:lang w:eastAsia="zh-CN"/>
        </w:rPr>
        <w:t>市场部</w:t>
      </w:r>
      <w:r>
        <w:rPr>
          <w:rFonts w:hint="eastAsia"/>
          <w:bCs/>
          <w:sz w:val="24"/>
        </w:rPr>
        <w:t>负责销售合同／订单的评审。</w:t>
      </w:r>
    </w:p>
    <w:p w14:paraId="3320F34C">
      <w:pPr>
        <w:spacing w:line="360" w:lineRule="auto"/>
        <w:rPr>
          <w:bCs/>
          <w:sz w:val="24"/>
        </w:rPr>
      </w:pPr>
      <w:r>
        <w:rPr>
          <w:bCs/>
          <w:sz w:val="24"/>
        </w:rPr>
        <w:t xml:space="preserve">4.3 </w:t>
      </w:r>
      <w:r>
        <w:rPr>
          <w:rFonts w:hint="eastAsia"/>
          <w:bCs/>
          <w:sz w:val="24"/>
        </w:rPr>
        <w:t>一般合同由</w:t>
      </w:r>
      <w:r>
        <w:rPr>
          <w:rFonts w:hint="eastAsia"/>
          <w:bCs/>
          <w:sz w:val="24"/>
          <w:lang w:eastAsia="zh-CN"/>
        </w:rPr>
        <w:t>市场部</w:t>
      </w:r>
      <w:r>
        <w:rPr>
          <w:rFonts w:hint="eastAsia"/>
          <w:bCs/>
          <w:sz w:val="24"/>
        </w:rPr>
        <w:t>进行评审。</w:t>
      </w:r>
    </w:p>
    <w:p w14:paraId="50354A50">
      <w:pPr>
        <w:spacing w:line="360" w:lineRule="auto"/>
        <w:rPr>
          <w:bCs/>
          <w:sz w:val="24"/>
        </w:rPr>
      </w:pPr>
      <w:r>
        <w:rPr>
          <w:bCs/>
          <w:sz w:val="24"/>
        </w:rPr>
        <w:t>4.4</w:t>
      </w:r>
      <w:r>
        <w:rPr>
          <w:rFonts w:hint="eastAsia"/>
          <w:bCs/>
          <w:sz w:val="24"/>
        </w:rPr>
        <w:t>特殊合同由</w:t>
      </w:r>
      <w:r>
        <w:rPr>
          <w:rFonts w:hint="eastAsia"/>
          <w:bCs/>
          <w:sz w:val="24"/>
          <w:lang w:eastAsia="zh-CN"/>
        </w:rPr>
        <w:t>市场部</w:t>
      </w:r>
      <w:r>
        <w:rPr>
          <w:rFonts w:hint="eastAsia"/>
          <w:bCs/>
          <w:sz w:val="24"/>
        </w:rPr>
        <w:t>组织</w:t>
      </w:r>
      <w:r>
        <w:rPr>
          <w:rFonts w:hint="eastAsia"/>
          <w:bCs/>
          <w:sz w:val="24"/>
          <w:lang w:eastAsia="zh-CN"/>
        </w:rPr>
        <w:t>生产技术部</w:t>
      </w:r>
      <w:r>
        <w:rPr>
          <w:rFonts w:hint="eastAsia"/>
          <w:bCs/>
          <w:sz w:val="24"/>
        </w:rPr>
        <w:t>、</w:t>
      </w:r>
      <w:r>
        <w:rPr>
          <w:rFonts w:hint="eastAsia"/>
          <w:bCs/>
          <w:sz w:val="24"/>
          <w:lang w:eastAsia="zh-CN"/>
        </w:rPr>
        <w:t>研发部</w:t>
      </w:r>
      <w:r>
        <w:rPr>
          <w:rFonts w:hint="eastAsia"/>
          <w:bCs/>
          <w:sz w:val="24"/>
        </w:rPr>
        <w:t>进行会议评审或会签评审，报总经理批准。</w:t>
      </w:r>
    </w:p>
    <w:p w14:paraId="03928CE4">
      <w:pPr>
        <w:spacing w:line="360" w:lineRule="auto"/>
        <w:rPr>
          <w:bCs/>
          <w:sz w:val="24"/>
        </w:rPr>
      </w:pPr>
      <w:r>
        <w:rPr>
          <w:bCs/>
          <w:sz w:val="24"/>
        </w:rPr>
        <w:t>5</w:t>
      </w:r>
      <w:r>
        <w:rPr>
          <w:rFonts w:hint="eastAsia"/>
          <w:bCs/>
          <w:sz w:val="24"/>
        </w:rPr>
        <w:t>．工作程序</w:t>
      </w:r>
    </w:p>
    <w:p w14:paraId="48107A7B">
      <w:pPr>
        <w:spacing w:line="360" w:lineRule="auto"/>
        <w:rPr>
          <w:bCs/>
          <w:sz w:val="24"/>
        </w:rPr>
      </w:pPr>
      <w:r>
        <w:rPr>
          <w:bCs/>
          <w:sz w:val="24"/>
        </w:rPr>
        <w:t>5.1</w:t>
      </w:r>
      <w:r>
        <w:rPr>
          <w:rFonts w:hint="eastAsia"/>
          <w:bCs/>
          <w:sz w:val="24"/>
        </w:rPr>
        <w:t>顾客要求的识别与确定</w:t>
      </w:r>
    </w:p>
    <w:p w14:paraId="083C1618">
      <w:pPr>
        <w:spacing w:line="360" w:lineRule="auto"/>
        <w:rPr>
          <w:bCs/>
          <w:sz w:val="24"/>
        </w:rPr>
      </w:pPr>
      <w:r>
        <w:rPr>
          <w:bCs/>
          <w:sz w:val="24"/>
        </w:rPr>
        <w:t>5.1.1</w:t>
      </w:r>
      <w:r>
        <w:rPr>
          <w:rFonts w:hint="eastAsia"/>
          <w:bCs/>
          <w:sz w:val="24"/>
          <w:lang w:eastAsia="zh-CN"/>
        </w:rPr>
        <w:t>市场部</w:t>
      </w:r>
      <w:r>
        <w:rPr>
          <w:rFonts w:hint="eastAsia"/>
          <w:bCs/>
          <w:sz w:val="24"/>
        </w:rPr>
        <w:t>在与顾客沟通过程中应了解并掌握顾客对产品或服务的要求，包括交付及交付后的要求。</w:t>
      </w:r>
    </w:p>
    <w:p w14:paraId="36CF3E0B">
      <w:pPr>
        <w:spacing w:line="360" w:lineRule="auto"/>
        <w:rPr>
          <w:bCs/>
          <w:sz w:val="24"/>
        </w:rPr>
      </w:pPr>
      <w:r>
        <w:rPr>
          <w:bCs/>
          <w:sz w:val="24"/>
        </w:rPr>
        <w:t>5.1.2</w:t>
      </w:r>
      <w:r>
        <w:rPr>
          <w:rFonts w:hint="eastAsia"/>
          <w:bCs/>
          <w:sz w:val="24"/>
        </w:rPr>
        <w:t>顾客要求包括：</w:t>
      </w:r>
    </w:p>
    <w:p w14:paraId="45E96BDD">
      <w:pPr>
        <w:spacing w:line="360" w:lineRule="auto"/>
        <w:ind w:firstLine="240" w:firstLineChars="100"/>
        <w:rPr>
          <w:bCs/>
          <w:sz w:val="24"/>
        </w:rPr>
      </w:pPr>
      <w:r>
        <w:rPr>
          <w:bCs/>
          <w:sz w:val="24"/>
        </w:rPr>
        <w:t>a</w:t>
      </w:r>
      <w:r>
        <w:rPr>
          <w:rFonts w:hint="eastAsia"/>
          <w:bCs/>
          <w:sz w:val="24"/>
        </w:rPr>
        <w:t>．顾客明确规定的要求：如合同或协议条款中的型号、功能、技术性能、外观等质量技术条款，产品质量协议，环境要求及价格，交付和交付后活动（如运输、交货期、包装、售后服务筹）等方面的要求；</w:t>
      </w:r>
    </w:p>
    <w:p w14:paraId="704A7118">
      <w:pPr>
        <w:spacing w:line="360" w:lineRule="auto"/>
        <w:ind w:firstLine="240" w:firstLineChars="100"/>
        <w:rPr>
          <w:bCs/>
          <w:sz w:val="24"/>
        </w:rPr>
      </w:pPr>
      <w:r>
        <w:rPr>
          <w:bCs/>
          <w:sz w:val="24"/>
        </w:rPr>
        <w:t>b</w:t>
      </w:r>
      <w:r>
        <w:rPr>
          <w:rFonts w:hint="eastAsia"/>
          <w:bCs/>
          <w:sz w:val="24"/>
        </w:rPr>
        <w:t>．顾客没有明确要求，但根据顾客对产品或服务需求或预期用途所必需的要求；</w:t>
      </w:r>
      <w:r>
        <w:rPr>
          <w:bCs/>
          <w:sz w:val="24"/>
        </w:rPr>
        <w:t xml:space="preserve"> </w:t>
      </w:r>
    </w:p>
    <w:p w14:paraId="79740ECC">
      <w:pPr>
        <w:spacing w:line="360" w:lineRule="auto"/>
        <w:ind w:firstLine="240" w:firstLineChars="100"/>
        <w:rPr>
          <w:bCs/>
          <w:sz w:val="24"/>
        </w:rPr>
      </w:pPr>
      <w:r>
        <w:rPr>
          <w:bCs/>
          <w:sz w:val="24"/>
        </w:rPr>
        <w:t>c</w:t>
      </w:r>
      <w:r>
        <w:rPr>
          <w:rFonts w:hint="eastAsia"/>
          <w:bCs/>
          <w:sz w:val="24"/>
        </w:rPr>
        <w:t>．适用于产品法律法规要求，包括环境方面与产品及产品实现过程有关的要求；</w:t>
      </w:r>
      <w:r>
        <w:rPr>
          <w:bCs/>
          <w:sz w:val="24"/>
        </w:rPr>
        <w:t xml:space="preserve">  </w:t>
      </w:r>
    </w:p>
    <w:p w14:paraId="00CA54B3">
      <w:pPr>
        <w:spacing w:line="360" w:lineRule="auto"/>
        <w:ind w:firstLine="240" w:firstLineChars="100"/>
        <w:rPr>
          <w:bCs/>
          <w:sz w:val="24"/>
        </w:rPr>
      </w:pPr>
      <w:r>
        <w:rPr>
          <w:bCs/>
          <w:sz w:val="24"/>
        </w:rPr>
        <w:t>d</w:t>
      </w:r>
      <w:r>
        <w:rPr>
          <w:rFonts w:hint="eastAsia"/>
          <w:bCs/>
          <w:sz w:val="24"/>
        </w:rPr>
        <w:t>．公司的附加要求，包括公司为满足顾客要求所规定的内控标准、可追溯性要求等，这是组织自己主动承诺实现的要求。</w:t>
      </w:r>
    </w:p>
    <w:p w14:paraId="67413C9D">
      <w:pPr>
        <w:spacing w:line="360" w:lineRule="auto"/>
        <w:rPr>
          <w:bCs/>
          <w:sz w:val="24"/>
        </w:rPr>
      </w:pPr>
      <w:r>
        <w:rPr>
          <w:bCs/>
          <w:sz w:val="24"/>
        </w:rPr>
        <w:t>5.2</w:t>
      </w:r>
      <w:r>
        <w:rPr>
          <w:rFonts w:hint="eastAsia"/>
          <w:bCs/>
          <w:sz w:val="24"/>
        </w:rPr>
        <w:t>合同评审</w:t>
      </w:r>
    </w:p>
    <w:p w14:paraId="5ABF7535">
      <w:pPr>
        <w:spacing w:line="360" w:lineRule="auto"/>
        <w:rPr>
          <w:bCs/>
          <w:sz w:val="24"/>
        </w:rPr>
      </w:pPr>
      <w:r>
        <w:rPr>
          <w:bCs/>
          <w:sz w:val="24"/>
        </w:rPr>
        <w:t>5.2.1</w:t>
      </w:r>
      <w:r>
        <w:rPr>
          <w:rFonts w:hint="eastAsia"/>
          <w:bCs/>
          <w:sz w:val="24"/>
        </w:rPr>
        <w:t>在接受招标文件和合同前，每份招标或合同均应进行评审，包括招标文件、书面合同、现款现货合同、口头合同、来函来电、传真、协议、招标等，确保顾客的各项要求合理、明确，双方协调一致，公司有能力满足。在协调过程中，变动事项及解决情况需在合同评审记录中予以记录。</w:t>
      </w:r>
    </w:p>
    <w:p w14:paraId="152FBF22">
      <w:pPr>
        <w:spacing w:line="360" w:lineRule="auto"/>
        <w:rPr>
          <w:bCs/>
          <w:sz w:val="24"/>
        </w:rPr>
      </w:pPr>
      <w:r>
        <w:rPr>
          <w:bCs/>
          <w:sz w:val="24"/>
        </w:rPr>
        <w:t>5.2.2</w:t>
      </w:r>
      <w:r>
        <w:rPr>
          <w:rFonts w:hint="eastAsia"/>
          <w:bCs/>
          <w:sz w:val="24"/>
        </w:rPr>
        <w:t>合同／招标文件评审应明确如下内容：</w:t>
      </w:r>
    </w:p>
    <w:p w14:paraId="050C8CA0">
      <w:pPr>
        <w:spacing w:line="360" w:lineRule="auto"/>
        <w:rPr>
          <w:bCs/>
          <w:sz w:val="24"/>
        </w:rPr>
      </w:pPr>
      <w:r>
        <w:rPr>
          <w:bCs/>
          <w:sz w:val="24"/>
        </w:rPr>
        <w:t>a</w:t>
      </w:r>
      <w:r>
        <w:rPr>
          <w:rFonts w:hint="eastAsia"/>
          <w:bCs/>
          <w:sz w:val="24"/>
        </w:rPr>
        <w:t>．双方商定的技术质量要求都被认可；</w:t>
      </w:r>
      <w:r>
        <w:rPr>
          <w:bCs/>
          <w:sz w:val="24"/>
        </w:rPr>
        <w:t xml:space="preserve">  </w:t>
      </w:r>
    </w:p>
    <w:p w14:paraId="590E8408">
      <w:pPr>
        <w:spacing w:line="360" w:lineRule="auto"/>
        <w:rPr>
          <w:bCs/>
          <w:sz w:val="24"/>
        </w:rPr>
      </w:pPr>
      <w:r>
        <w:rPr>
          <w:bCs/>
          <w:sz w:val="24"/>
        </w:rPr>
        <w:t>b</w:t>
      </w:r>
      <w:r>
        <w:rPr>
          <w:rFonts w:hint="eastAsia"/>
          <w:bCs/>
          <w:sz w:val="24"/>
        </w:rPr>
        <w:t>．各项要求都有明确规定并形成文件；</w:t>
      </w:r>
      <w:r>
        <w:rPr>
          <w:bCs/>
          <w:sz w:val="24"/>
        </w:rPr>
        <w:t xml:space="preserve">  </w:t>
      </w:r>
    </w:p>
    <w:p w14:paraId="76150A29">
      <w:pPr>
        <w:spacing w:line="360" w:lineRule="auto"/>
        <w:rPr>
          <w:bCs/>
          <w:sz w:val="24"/>
        </w:rPr>
      </w:pPr>
      <w:r>
        <w:rPr>
          <w:bCs/>
          <w:sz w:val="24"/>
        </w:rPr>
        <w:t>c</w:t>
      </w:r>
      <w:r>
        <w:rPr>
          <w:rFonts w:hint="eastAsia"/>
          <w:bCs/>
          <w:sz w:val="24"/>
        </w:rPr>
        <w:t>．任何与合同或订单不一致的项目均已得到解决；</w:t>
      </w:r>
      <w:r>
        <w:rPr>
          <w:bCs/>
          <w:sz w:val="24"/>
        </w:rPr>
        <w:t xml:space="preserve">  </w:t>
      </w:r>
    </w:p>
    <w:p w14:paraId="2EF66963">
      <w:pPr>
        <w:spacing w:line="360" w:lineRule="auto"/>
        <w:rPr>
          <w:bCs/>
          <w:sz w:val="24"/>
        </w:rPr>
      </w:pPr>
      <w:r>
        <w:rPr>
          <w:bCs/>
          <w:sz w:val="24"/>
        </w:rPr>
        <w:t>d</w:t>
      </w:r>
      <w:r>
        <w:rPr>
          <w:rFonts w:hint="eastAsia"/>
          <w:bCs/>
          <w:sz w:val="24"/>
        </w:rPr>
        <w:t>．本公司有能力满足合同规定要求。</w:t>
      </w:r>
    </w:p>
    <w:p w14:paraId="3C8192D7">
      <w:pPr>
        <w:spacing w:line="360" w:lineRule="auto"/>
        <w:rPr>
          <w:bCs/>
          <w:sz w:val="24"/>
        </w:rPr>
      </w:pPr>
      <w:r>
        <w:rPr>
          <w:bCs/>
          <w:sz w:val="24"/>
        </w:rPr>
        <w:t>5.2.3</w:t>
      </w:r>
      <w:r>
        <w:rPr>
          <w:rFonts w:hint="eastAsia"/>
          <w:bCs/>
          <w:sz w:val="24"/>
        </w:rPr>
        <w:t>招标文件的评审对于接收到的常规要求的招标文件，由</w:t>
      </w:r>
      <w:r>
        <w:rPr>
          <w:rFonts w:hint="eastAsia"/>
          <w:bCs/>
          <w:sz w:val="24"/>
          <w:lang w:eastAsia="zh-CN"/>
        </w:rPr>
        <w:t>市场部</w:t>
      </w:r>
      <w:r>
        <w:rPr>
          <w:rFonts w:hint="eastAsia"/>
          <w:bCs/>
          <w:sz w:val="24"/>
        </w:rPr>
        <w:t>经理直接评审，决定是否参加投标；对于接收到的特殊要求招标文件，由</w:t>
      </w:r>
      <w:r>
        <w:rPr>
          <w:rFonts w:hint="eastAsia"/>
          <w:bCs/>
          <w:sz w:val="24"/>
          <w:lang w:eastAsia="zh-CN"/>
        </w:rPr>
        <w:t>市场部</w:t>
      </w:r>
      <w:r>
        <w:rPr>
          <w:rFonts w:hint="eastAsia"/>
          <w:bCs/>
          <w:sz w:val="24"/>
        </w:rPr>
        <w:t>组织评</w:t>
      </w:r>
    </w:p>
    <w:p w14:paraId="4F36924E">
      <w:pPr>
        <w:spacing w:line="360" w:lineRule="auto"/>
        <w:rPr>
          <w:bCs/>
          <w:sz w:val="24"/>
        </w:rPr>
      </w:pPr>
      <w:r>
        <w:rPr>
          <w:rFonts w:hint="eastAsia"/>
          <w:bCs/>
          <w:sz w:val="24"/>
        </w:rPr>
        <w:t>审，</w:t>
      </w:r>
      <w:r>
        <w:rPr>
          <w:rFonts w:hint="eastAsia"/>
          <w:bCs/>
          <w:sz w:val="24"/>
          <w:lang w:eastAsia="zh-CN"/>
        </w:rPr>
        <w:t>生产技术部</w:t>
      </w:r>
      <w:r>
        <w:rPr>
          <w:rFonts w:hint="eastAsia"/>
          <w:bCs/>
          <w:sz w:val="24"/>
        </w:rPr>
        <w:t>、</w:t>
      </w:r>
      <w:r>
        <w:rPr>
          <w:rFonts w:hint="eastAsia"/>
          <w:bCs/>
          <w:sz w:val="24"/>
          <w:lang w:eastAsia="zh-CN"/>
        </w:rPr>
        <w:t>市场部</w:t>
      </w:r>
      <w:r>
        <w:rPr>
          <w:rFonts w:hint="eastAsia"/>
          <w:bCs/>
          <w:sz w:val="24"/>
        </w:rPr>
        <w:t>、</w:t>
      </w:r>
      <w:r>
        <w:rPr>
          <w:rFonts w:hint="eastAsia"/>
          <w:bCs/>
          <w:sz w:val="24"/>
          <w:lang w:eastAsia="zh-CN"/>
        </w:rPr>
        <w:t>研发部</w:t>
      </w:r>
      <w:r>
        <w:rPr>
          <w:rFonts w:hint="eastAsia"/>
          <w:bCs/>
          <w:sz w:val="24"/>
        </w:rPr>
        <w:t>及相关人员参加，最后报总经理批准，评审结果填写“合同／招标文件评审记录”。</w:t>
      </w:r>
    </w:p>
    <w:p w14:paraId="1F479152">
      <w:pPr>
        <w:spacing w:line="360" w:lineRule="auto"/>
        <w:rPr>
          <w:bCs/>
          <w:sz w:val="24"/>
        </w:rPr>
      </w:pPr>
      <w:r>
        <w:rPr>
          <w:bCs/>
          <w:sz w:val="24"/>
        </w:rPr>
        <w:t>5.2.4</w:t>
      </w:r>
      <w:r>
        <w:rPr>
          <w:rFonts w:hint="eastAsia"/>
          <w:bCs/>
          <w:sz w:val="24"/>
        </w:rPr>
        <w:t>合同的详审方式</w:t>
      </w:r>
    </w:p>
    <w:p w14:paraId="5C4A431B">
      <w:pPr>
        <w:spacing w:line="360" w:lineRule="auto"/>
        <w:rPr>
          <w:bCs/>
          <w:sz w:val="24"/>
        </w:rPr>
      </w:pPr>
      <w:r>
        <w:rPr>
          <w:bCs/>
          <w:sz w:val="24"/>
        </w:rPr>
        <w:t xml:space="preserve">  a</w:t>
      </w:r>
      <w:r>
        <w:rPr>
          <w:rFonts w:hint="eastAsia"/>
          <w:bCs/>
          <w:sz w:val="24"/>
        </w:rPr>
        <w:t>．本公司的销售合同共分为两类：</w:t>
      </w:r>
    </w:p>
    <w:p w14:paraId="44995028">
      <w:pPr>
        <w:spacing w:line="360" w:lineRule="auto"/>
        <w:rPr>
          <w:bCs/>
          <w:sz w:val="24"/>
        </w:rPr>
      </w:pPr>
      <w:r>
        <w:rPr>
          <w:bCs/>
          <w:sz w:val="24"/>
        </w:rPr>
        <w:t xml:space="preserve">    </w:t>
      </w:r>
      <w:r>
        <w:rPr>
          <w:rFonts w:hint="eastAsia"/>
          <w:bCs/>
          <w:sz w:val="24"/>
        </w:rPr>
        <w:t>①常规要求的订单和口头电话定货合同；②特殊要求的订单／合同。</w:t>
      </w:r>
    </w:p>
    <w:p w14:paraId="05C2FC04">
      <w:pPr>
        <w:spacing w:line="360" w:lineRule="auto"/>
        <w:rPr>
          <w:bCs/>
          <w:sz w:val="24"/>
        </w:rPr>
      </w:pPr>
      <w:r>
        <w:rPr>
          <w:bCs/>
          <w:sz w:val="24"/>
        </w:rPr>
        <w:t xml:space="preserve">  b</w:t>
      </w:r>
      <w:r>
        <w:rPr>
          <w:rFonts w:hint="eastAsia"/>
          <w:bCs/>
          <w:sz w:val="24"/>
        </w:rPr>
        <w:t>．对常规要求的订单和口头电话定货的评审，只需</w:t>
      </w:r>
      <w:r>
        <w:rPr>
          <w:rFonts w:hint="eastAsia"/>
          <w:bCs/>
          <w:sz w:val="24"/>
          <w:lang w:eastAsia="zh-CN"/>
        </w:rPr>
        <w:t>市场部</w:t>
      </w:r>
      <w:r>
        <w:rPr>
          <w:rFonts w:hint="eastAsia"/>
          <w:bCs/>
          <w:sz w:val="24"/>
        </w:rPr>
        <w:t>长签字或加盖印章即可，并填写“常规要求的订单和口头电话定货记录表”；</w:t>
      </w:r>
    </w:p>
    <w:p w14:paraId="642A7B6D">
      <w:pPr>
        <w:spacing w:line="360" w:lineRule="auto"/>
        <w:rPr>
          <w:bCs/>
          <w:sz w:val="24"/>
        </w:rPr>
      </w:pPr>
      <w:r>
        <w:rPr>
          <w:bCs/>
          <w:sz w:val="24"/>
        </w:rPr>
        <w:t xml:space="preserve">  c</w:t>
      </w:r>
      <w:r>
        <w:rPr>
          <w:rFonts w:hint="eastAsia"/>
          <w:bCs/>
          <w:sz w:val="24"/>
        </w:rPr>
        <w:t>．对有特殊要求的订单／合同，由</w:t>
      </w:r>
      <w:r>
        <w:rPr>
          <w:rFonts w:hint="eastAsia"/>
          <w:bCs/>
          <w:sz w:val="24"/>
          <w:lang w:eastAsia="zh-CN"/>
        </w:rPr>
        <w:t>市场部</w:t>
      </w:r>
      <w:r>
        <w:rPr>
          <w:rFonts w:hint="eastAsia"/>
          <w:bCs/>
          <w:sz w:val="24"/>
        </w:rPr>
        <w:t>组织评审，</w:t>
      </w:r>
      <w:r>
        <w:rPr>
          <w:rFonts w:hint="eastAsia"/>
          <w:bCs/>
          <w:sz w:val="24"/>
          <w:lang w:eastAsia="zh-CN"/>
        </w:rPr>
        <w:t>生产技术部</w:t>
      </w:r>
      <w:r>
        <w:rPr>
          <w:rFonts w:hint="eastAsia"/>
          <w:bCs/>
          <w:sz w:val="24"/>
        </w:rPr>
        <w:t>、</w:t>
      </w:r>
      <w:r>
        <w:rPr>
          <w:rFonts w:hint="eastAsia"/>
          <w:bCs/>
          <w:sz w:val="24"/>
          <w:lang w:eastAsia="zh-CN"/>
        </w:rPr>
        <w:t>研发部</w:t>
      </w:r>
      <w:r>
        <w:rPr>
          <w:rFonts w:hint="eastAsia"/>
          <w:bCs/>
          <w:sz w:val="24"/>
        </w:rPr>
        <w:t>及相关人员参加，最后报总经理批准，评审结果填写“合同／招标文件评审记录”。对于特殊要求的合同或订单经评审后，</w:t>
      </w:r>
      <w:r>
        <w:rPr>
          <w:rFonts w:hint="eastAsia"/>
          <w:bCs/>
          <w:sz w:val="24"/>
          <w:lang w:eastAsia="zh-CN"/>
        </w:rPr>
        <w:t>市场部</w:t>
      </w:r>
      <w:r>
        <w:rPr>
          <w:rFonts w:hint="eastAsia"/>
          <w:bCs/>
          <w:sz w:val="24"/>
        </w:rPr>
        <w:t>负责填写“合同台账”，以便于对合同／订单的管理。</w:t>
      </w:r>
    </w:p>
    <w:p w14:paraId="222C9D9D">
      <w:pPr>
        <w:spacing w:line="360" w:lineRule="auto"/>
        <w:rPr>
          <w:bCs/>
          <w:sz w:val="24"/>
        </w:rPr>
      </w:pPr>
      <w:r>
        <w:rPr>
          <w:bCs/>
          <w:sz w:val="24"/>
        </w:rPr>
        <w:t xml:space="preserve">  d</w:t>
      </w:r>
      <w:r>
        <w:rPr>
          <w:rFonts w:hint="eastAsia"/>
          <w:bCs/>
          <w:sz w:val="24"/>
        </w:rPr>
        <w:t>．所有合同或订单经评审后，</w:t>
      </w:r>
      <w:r>
        <w:rPr>
          <w:rFonts w:hint="eastAsia"/>
          <w:bCs/>
          <w:sz w:val="24"/>
          <w:lang w:eastAsia="zh-CN"/>
        </w:rPr>
        <w:t>市场部</w:t>
      </w:r>
      <w:r>
        <w:rPr>
          <w:rFonts w:hint="eastAsia"/>
          <w:bCs/>
          <w:sz w:val="24"/>
        </w:rPr>
        <w:t>要跟踪并记录合同的执行情况，根据需要及时反馈给顾客。</w:t>
      </w:r>
    </w:p>
    <w:p w14:paraId="7ABD4405">
      <w:pPr>
        <w:spacing w:line="360" w:lineRule="auto"/>
        <w:rPr>
          <w:bCs/>
          <w:sz w:val="24"/>
        </w:rPr>
      </w:pPr>
      <w:r>
        <w:rPr>
          <w:bCs/>
          <w:sz w:val="24"/>
        </w:rPr>
        <w:t>5.3</w:t>
      </w:r>
      <w:r>
        <w:rPr>
          <w:rFonts w:hint="eastAsia"/>
          <w:bCs/>
          <w:sz w:val="24"/>
        </w:rPr>
        <w:t>合同的签订、实施和管理</w:t>
      </w:r>
    </w:p>
    <w:p w14:paraId="537EBB9E">
      <w:pPr>
        <w:spacing w:line="360" w:lineRule="auto"/>
        <w:rPr>
          <w:bCs/>
          <w:sz w:val="24"/>
        </w:rPr>
      </w:pPr>
      <w:r>
        <w:rPr>
          <w:bCs/>
          <w:sz w:val="24"/>
        </w:rPr>
        <w:t>5.3.1</w:t>
      </w:r>
      <w:r>
        <w:rPr>
          <w:rFonts w:hint="eastAsia"/>
          <w:bCs/>
          <w:sz w:val="24"/>
        </w:rPr>
        <w:t>在产品要求评审后，由总经理授权的销售人员与顾客签订合同，对顾客的口头合同，即顾客没有提供形成文件的要求，在接受顾客要求前应对内容进行确认并记录，即视为合同签订。</w:t>
      </w:r>
    </w:p>
    <w:p w14:paraId="5D7D48C4">
      <w:pPr>
        <w:spacing w:line="360" w:lineRule="auto"/>
        <w:rPr>
          <w:bCs/>
          <w:sz w:val="24"/>
        </w:rPr>
      </w:pPr>
      <w:r>
        <w:rPr>
          <w:bCs/>
          <w:sz w:val="24"/>
        </w:rPr>
        <w:t>5.3.2</w:t>
      </w:r>
      <w:r>
        <w:rPr>
          <w:rFonts w:hint="eastAsia"/>
          <w:bCs/>
          <w:sz w:val="24"/>
        </w:rPr>
        <w:t>合同签订后，</w:t>
      </w:r>
      <w:r>
        <w:rPr>
          <w:rFonts w:hint="eastAsia"/>
          <w:bCs/>
          <w:sz w:val="24"/>
          <w:lang w:eastAsia="zh-CN"/>
        </w:rPr>
        <w:t>市场部</w:t>
      </w:r>
      <w:r>
        <w:rPr>
          <w:rFonts w:hint="eastAsia"/>
          <w:bCs/>
          <w:sz w:val="24"/>
        </w:rPr>
        <w:t>将合同内容通知</w:t>
      </w:r>
      <w:r>
        <w:rPr>
          <w:rFonts w:hint="eastAsia"/>
          <w:bCs/>
          <w:sz w:val="24"/>
          <w:lang w:eastAsia="zh-CN"/>
        </w:rPr>
        <w:t>生产技术部</w:t>
      </w:r>
      <w:r>
        <w:rPr>
          <w:rFonts w:hint="eastAsia"/>
          <w:bCs/>
          <w:sz w:val="24"/>
        </w:rPr>
        <w:t>作为生产的依据。</w:t>
      </w:r>
    </w:p>
    <w:p w14:paraId="0FF0BC6F">
      <w:pPr>
        <w:spacing w:line="360" w:lineRule="auto"/>
        <w:rPr>
          <w:bCs/>
          <w:sz w:val="24"/>
        </w:rPr>
      </w:pPr>
      <w:r>
        <w:rPr>
          <w:bCs/>
          <w:sz w:val="24"/>
        </w:rPr>
        <w:t>5.3.3</w:t>
      </w:r>
      <w:r>
        <w:rPr>
          <w:rFonts w:hint="eastAsia"/>
          <w:bCs/>
          <w:sz w:val="24"/>
          <w:lang w:eastAsia="zh-CN"/>
        </w:rPr>
        <w:t>市场部</w:t>
      </w:r>
      <w:r>
        <w:rPr>
          <w:rFonts w:hint="eastAsia"/>
          <w:bCs/>
          <w:sz w:val="24"/>
        </w:rPr>
        <w:t>负责监督合同执行情况，根据需要及时将信息与顾客沟通。</w:t>
      </w:r>
    </w:p>
    <w:p w14:paraId="2FFFEC51">
      <w:pPr>
        <w:spacing w:line="360" w:lineRule="auto"/>
        <w:rPr>
          <w:bCs/>
          <w:sz w:val="24"/>
        </w:rPr>
      </w:pPr>
      <w:r>
        <w:rPr>
          <w:bCs/>
          <w:sz w:val="24"/>
        </w:rPr>
        <w:t>5.3.4</w:t>
      </w:r>
      <w:r>
        <w:rPr>
          <w:rFonts w:hint="eastAsia"/>
          <w:bCs/>
          <w:sz w:val="24"/>
        </w:rPr>
        <w:t>合向的管理合同签订后，一式两份，双方各持，</w:t>
      </w:r>
      <w:r>
        <w:rPr>
          <w:rFonts w:hint="eastAsia"/>
          <w:bCs/>
          <w:sz w:val="24"/>
          <w:lang w:eastAsia="zh-CN"/>
        </w:rPr>
        <w:t>市场部</w:t>
      </w:r>
      <w:r>
        <w:rPr>
          <w:rFonts w:hint="eastAsia"/>
          <w:bCs/>
          <w:sz w:val="24"/>
        </w:rPr>
        <w:t>负责合同的保管；</w:t>
      </w:r>
    </w:p>
    <w:p w14:paraId="1AC71A8F">
      <w:pPr>
        <w:spacing w:line="360" w:lineRule="auto"/>
        <w:rPr>
          <w:bCs/>
          <w:sz w:val="24"/>
        </w:rPr>
      </w:pPr>
      <w:r>
        <w:rPr>
          <w:bCs/>
          <w:sz w:val="24"/>
        </w:rPr>
        <w:t>5.4</w:t>
      </w:r>
      <w:r>
        <w:rPr>
          <w:rFonts w:hint="eastAsia"/>
          <w:bCs/>
          <w:sz w:val="24"/>
        </w:rPr>
        <w:t>合同修改</w:t>
      </w:r>
    </w:p>
    <w:p w14:paraId="43E0C962">
      <w:pPr>
        <w:spacing w:line="360" w:lineRule="auto"/>
        <w:rPr>
          <w:bCs/>
          <w:sz w:val="24"/>
        </w:rPr>
      </w:pPr>
      <w:r>
        <w:rPr>
          <w:bCs/>
          <w:sz w:val="24"/>
        </w:rPr>
        <w:t>5.4.1</w:t>
      </w:r>
      <w:r>
        <w:rPr>
          <w:rFonts w:hint="eastAsia"/>
          <w:bCs/>
          <w:sz w:val="24"/>
        </w:rPr>
        <w:t>合同签订后，需要修改时，</w:t>
      </w:r>
      <w:r>
        <w:rPr>
          <w:rFonts w:hint="eastAsia"/>
          <w:bCs/>
          <w:sz w:val="24"/>
          <w:lang w:eastAsia="zh-CN"/>
        </w:rPr>
        <w:t>市场部</w:t>
      </w:r>
      <w:r>
        <w:rPr>
          <w:rFonts w:hint="eastAsia"/>
          <w:bCs/>
          <w:sz w:val="24"/>
        </w:rPr>
        <w:t>在合同修改前组织有关人员对修改内容进行评审，执行</w:t>
      </w:r>
      <w:r>
        <w:rPr>
          <w:bCs/>
          <w:sz w:val="24"/>
        </w:rPr>
        <w:t>5.2.3</w:t>
      </w:r>
      <w:r>
        <w:rPr>
          <w:rFonts w:hint="eastAsia"/>
          <w:bCs/>
          <w:sz w:val="24"/>
        </w:rPr>
        <w:t>条款并经顾客认可；</w:t>
      </w:r>
    </w:p>
    <w:p w14:paraId="625C9C21">
      <w:pPr>
        <w:spacing w:line="360" w:lineRule="auto"/>
        <w:rPr>
          <w:bCs/>
          <w:sz w:val="24"/>
        </w:rPr>
      </w:pPr>
      <w:r>
        <w:rPr>
          <w:bCs/>
          <w:sz w:val="24"/>
        </w:rPr>
        <w:t>5.4.2</w:t>
      </w:r>
      <w:r>
        <w:rPr>
          <w:rFonts w:hint="eastAsia"/>
          <w:bCs/>
          <w:sz w:val="24"/>
        </w:rPr>
        <w:t>合同修改后，</w:t>
      </w:r>
      <w:r>
        <w:rPr>
          <w:rFonts w:hint="eastAsia"/>
          <w:bCs/>
          <w:sz w:val="24"/>
          <w:lang w:eastAsia="zh-CN"/>
        </w:rPr>
        <w:t>市场部</w:t>
      </w:r>
      <w:r>
        <w:rPr>
          <w:rFonts w:hint="eastAsia"/>
          <w:bCs/>
          <w:sz w:val="24"/>
        </w:rPr>
        <w:t>将变更信息以合同更改评审记录形式传递到有关部门，执行修改后合同规定的要求。</w:t>
      </w:r>
    </w:p>
    <w:p w14:paraId="217783FA">
      <w:pPr>
        <w:spacing w:line="360" w:lineRule="auto"/>
        <w:rPr>
          <w:bCs/>
          <w:sz w:val="24"/>
        </w:rPr>
      </w:pPr>
      <w:r>
        <w:rPr>
          <w:bCs/>
          <w:sz w:val="24"/>
        </w:rPr>
        <w:t>5.5</w:t>
      </w:r>
      <w:r>
        <w:rPr>
          <w:rFonts w:hint="eastAsia"/>
          <w:bCs/>
          <w:sz w:val="24"/>
        </w:rPr>
        <w:t>顾客沟通</w:t>
      </w:r>
    </w:p>
    <w:p w14:paraId="1A747654">
      <w:pPr>
        <w:spacing w:line="360" w:lineRule="auto"/>
        <w:rPr>
          <w:bCs/>
          <w:sz w:val="24"/>
        </w:rPr>
      </w:pPr>
      <w:r>
        <w:rPr>
          <w:bCs/>
          <w:sz w:val="24"/>
        </w:rPr>
        <w:t>5.5.1</w:t>
      </w:r>
      <w:r>
        <w:rPr>
          <w:rFonts w:hint="eastAsia"/>
          <w:bCs/>
          <w:sz w:val="24"/>
          <w:lang w:eastAsia="zh-CN"/>
        </w:rPr>
        <w:t>市场部</w:t>
      </w:r>
      <w:r>
        <w:rPr>
          <w:rFonts w:hint="eastAsia"/>
          <w:bCs/>
          <w:sz w:val="24"/>
        </w:rPr>
        <w:t>在产品售前、售中，需通过各种渠道（如广告、产品交流会）向顾客介绍产品，对顾客的询问予以解释和记录；</w:t>
      </w:r>
    </w:p>
    <w:p w14:paraId="4D1E3DA6">
      <w:pPr>
        <w:spacing w:line="360" w:lineRule="auto"/>
        <w:rPr>
          <w:bCs/>
          <w:sz w:val="24"/>
        </w:rPr>
      </w:pPr>
      <w:r>
        <w:rPr>
          <w:bCs/>
          <w:sz w:val="24"/>
        </w:rPr>
        <w:t>5.5.2</w:t>
      </w:r>
      <w:r>
        <w:rPr>
          <w:rFonts w:hint="eastAsia"/>
          <w:bCs/>
          <w:sz w:val="24"/>
        </w:rPr>
        <w:t>在合同执行中</w:t>
      </w:r>
      <w:r>
        <w:rPr>
          <w:rFonts w:hint="eastAsia"/>
          <w:bCs/>
          <w:sz w:val="24"/>
          <w:lang w:eastAsia="zh-CN"/>
        </w:rPr>
        <w:t>市场部</w:t>
      </w:r>
      <w:r>
        <w:rPr>
          <w:rFonts w:hint="eastAsia"/>
          <w:bCs/>
          <w:sz w:val="24"/>
        </w:rPr>
        <w:t>应受理顾客对合同执行情况的问询，如合同修改按</w:t>
      </w:r>
      <w:r>
        <w:rPr>
          <w:bCs/>
          <w:sz w:val="24"/>
        </w:rPr>
        <w:t>5.4</w:t>
      </w:r>
      <w:r>
        <w:rPr>
          <w:rFonts w:hint="eastAsia"/>
          <w:bCs/>
          <w:sz w:val="24"/>
        </w:rPr>
        <w:t>规定执行并将意见与顾客沟通。</w:t>
      </w:r>
    </w:p>
    <w:p w14:paraId="19617A22">
      <w:pPr>
        <w:spacing w:line="360" w:lineRule="auto"/>
        <w:rPr>
          <w:bCs/>
          <w:sz w:val="24"/>
        </w:rPr>
      </w:pPr>
      <w:r>
        <w:rPr>
          <w:bCs/>
          <w:sz w:val="24"/>
        </w:rPr>
        <w:t>5.5.3</w:t>
      </w:r>
      <w:r>
        <w:rPr>
          <w:rFonts w:hint="eastAsia"/>
          <w:bCs/>
          <w:sz w:val="24"/>
        </w:rPr>
        <w:t>产品售出后，要搜集顾客的反馈信息，妥善处理顾客投诉，以取得顾客的持续满意，执行《顾客满意程度测量程序》的有关规定。</w:t>
      </w:r>
    </w:p>
    <w:p w14:paraId="65002931">
      <w:pPr>
        <w:spacing w:line="360" w:lineRule="auto"/>
        <w:rPr>
          <w:bCs/>
          <w:sz w:val="24"/>
        </w:rPr>
      </w:pPr>
      <w:r>
        <w:rPr>
          <w:bCs/>
          <w:sz w:val="24"/>
        </w:rPr>
        <w:t>5.6</w:t>
      </w:r>
      <w:r>
        <w:rPr>
          <w:rFonts w:hint="eastAsia"/>
          <w:bCs/>
          <w:sz w:val="24"/>
        </w:rPr>
        <w:t>合同及其修订、评审记录及征求的顾客意见按《记录控制程序》执行。</w:t>
      </w:r>
    </w:p>
    <w:p w14:paraId="79AF5857">
      <w:pPr>
        <w:spacing w:line="360" w:lineRule="auto"/>
        <w:rPr>
          <w:bCs/>
          <w:sz w:val="24"/>
        </w:rPr>
      </w:pPr>
      <w:r>
        <w:rPr>
          <w:bCs/>
          <w:sz w:val="24"/>
        </w:rPr>
        <w:t>6.</w:t>
      </w:r>
      <w:r>
        <w:rPr>
          <w:rFonts w:hint="eastAsia"/>
          <w:bCs/>
          <w:sz w:val="24"/>
        </w:rPr>
        <w:t>相关文件：《记录控制程序》</w:t>
      </w:r>
    </w:p>
    <w:p w14:paraId="6FA3CD37">
      <w:pPr>
        <w:spacing w:line="360" w:lineRule="auto"/>
        <w:rPr>
          <w:bCs/>
          <w:sz w:val="24"/>
        </w:rPr>
      </w:pPr>
      <w:r>
        <w:rPr>
          <w:bCs/>
          <w:sz w:val="24"/>
        </w:rPr>
        <w:t>7</w:t>
      </w:r>
      <w:r>
        <w:rPr>
          <w:rFonts w:hint="eastAsia"/>
          <w:bCs/>
          <w:sz w:val="24"/>
        </w:rPr>
        <w:t>．相关记录</w:t>
      </w:r>
    </w:p>
    <w:p w14:paraId="441E2F9B">
      <w:pPr>
        <w:spacing w:line="360" w:lineRule="auto"/>
        <w:rPr>
          <w:bCs/>
          <w:sz w:val="24"/>
        </w:rPr>
      </w:pPr>
      <w:r>
        <w:rPr>
          <w:bCs/>
          <w:sz w:val="24"/>
        </w:rPr>
        <w:t>7.1</w:t>
      </w:r>
      <w:r>
        <w:rPr>
          <w:rFonts w:hint="eastAsia"/>
          <w:bCs/>
          <w:sz w:val="24"/>
        </w:rPr>
        <w:t>《合同台账》</w:t>
      </w:r>
    </w:p>
    <w:p w14:paraId="3712F937">
      <w:pPr>
        <w:spacing w:line="360" w:lineRule="auto"/>
        <w:rPr>
          <w:bCs/>
          <w:sz w:val="24"/>
        </w:rPr>
      </w:pPr>
      <w:r>
        <w:rPr>
          <w:bCs/>
          <w:sz w:val="24"/>
        </w:rPr>
        <w:t>7.2</w:t>
      </w:r>
      <w:r>
        <w:rPr>
          <w:rFonts w:hint="eastAsia"/>
          <w:bCs/>
          <w:sz w:val="24"/>
        </w:rPr>
        <w:t>《口头订单记录表》</w:t>
      </w:r>
    </w:p>
    <w:p w14:paraId="6CFCC643">
      <w:pPr>
        <w:spacing w:line="360" w:lineRule="auto"/>
        <w:rPr>
          <w:bCs/>
          <w:sz w:val="24"/>
        </w:rPr>
      </w:pPr>
      <w:r>
        <w:rPr>
          <w:bCs/>
          <w:sz w:val="24"/>
        </w:rPr>
        <w:t>7.3</w:t>
      </w:r>
      <w:r>
        <w:rPr>
          <w:rFonts w:hint="eastAsia"/>
          <w:bCs/>
          <w:sz w:val="24"/>
        </w:rPr>
        <w:t>《合同评审记录》</w:t>
      </w:r>
    </w:p>
    <w:p w14:paraId="47B13C91">
      <w:pPr>
        <w:spacing w:line="360" w:lineRule="auto"/>
        <w:rPr>
          <w:bCs/>
          <w:sz w:val="24"/>
        </w:rPr>
      </w:pPr>
      <w:r>
        <w:rPr>
          <w:bCs/>
          <w:sz w:val="24"/>
        </w:rPr>
        <w:t>7.4</w:t>
      </w:r>
      <w:r>
        <w:rPr>
          <w:rFonts w:hint="eastAsia"/>
          <w:bCs/>
          <w:sz w:val="24"/>
        </w:rPr>
        <w:t>《合同更改评审记录》</w:t>
      </w:r>
      <w:bookmarkStart w:id="20" w:name="_Toc12700"/>
    </w:p>
    <w:p w14:paraId="1191241A">
      <w:pPr>
        <w:spacing w:line="360" w:lineRule="auto"/>
        <w:rPr>
          <w:bCs/>
          <w:sz w:val="24"/>
        </w:rPr>
      </w:pPr>
    </w:p>
    <w:p w14:paraId="7152D833">
      <w:pPr>
        <w:widowControl/>
        <w:jc w:val="left"/>
        <w:rPr>
          <w:bCs/>
          <w:sz w:val="24"/>
        </w:rPr>
      </w:pPr>
      <w:r>
        <w:rPr>
          <w:bCs/>
          <w:sz w:val="24"/>
        </w:rPr>
        <w:br w:type="page"/>
      </w:r>
    </w:p>
    <w:p w14:paraId="27DB96A1">
      <w:pPr>
        <w:pStyle w:val="2"/>
        <w:spacing w:before="156" w:beforeLines="50" w:after="156" w:afterLines="50" w:line="720" w:lineRule="auto"/>
        <w:jc w:val="left"/>
        <w:rPr>
          <w:sz w:val="28"/>
          <w:szCs w:val="28"/>
        </w:rPr>
      </w:pPr>
      <w:r>
        <w:rPr>
          <w:rFonts w:hint="eastAsia"/>
          <w:sz w:val="28"/>
          <w:szCs w:val="28"/>
        </w:rPr>
        <w:t>十九、生产和服务提供控制程序</w:t>
      </w:r>
      <w:bookmarkEnd w:id="20"/>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-19</w:t>
      </w:r>
    </w:p>
    <w:p w14:paraId="47FC6B19">
      <w:pPr>
        <w:spacing w:line="360" w:lineRule="auto"/>
        <w:rPr>
          <w:bCs/>
          <w:sz w:val="24"/>
        </w:rPr>
      </w:pPr>
      <w:r>
        <w:rPr>
          <w:bCs/>
          <w:sz w:val="24"/>
        </w:rPr>
        <w:t>1</w:t>
      </w:r>
      <w:r>
        <w:rPr>
          <w:rFonts w:hint="eastAsia"/>
          <w:bCs/>
          <w:sz w:val="24"/>
        </w:rPr>
        <w:t>．目的</w:t>
      </w:r>
    </w:p>
    <w:p w14:paraId="69B47EBC">
      <w:pPr>
        <w:spacing w:line="360" w:lineRule="auto"/>
        <w:rPr>
          <w:bCs/>
          <w:sz w:val="24"/>
        </w:rPr>
      </w:pPr>
      <w:r>
        <w:rPr>
          <w:bCs/>
          <w:sz w:val="24"/>
        </w:rPr>
        <w:t xml:space="preserve">    </w:t>
      </w:r>
      <w:r>
        <w:rPr>
          <w:rFonts w:hint="eastAsia"/>
          <w:bCs/>
          <w:sz w:val="24"/>
        </w:rPr>
        <w:t>策划并在受控条件下进行生产和服务提供，以确保满足顾客的需求和期望，确保管理体系正常运行并不断改进，包括管理方针和目标。</w:t>
      </w:r>
    </w:p>
    <w:p w14:paraId="5B33B4AA">
      <w:pPr>
        <w:spacing w:line="360" w:lineRule="auto"/>
        <w:rPr>
          <w:bCs/>
          <w:sz w:val="24"/>
        </w:rPr>
      </w:pPr>
      <w:r>
        <w:rPr>
          <w:bCs/>
          <w:sz w:val="24"/>
        </w:rPr>
        <w:t>2</w:t>
      </w:r>
      <w:r>
        <w:rPr>
          <w:rFonts w:hint="eastAsia"/>
          <w:bCs/>
          <w:sz w:val="24"/>
        </w:rPr>
        <w:t>．适用范围</w:t>
      </w:r>
    </w:p>
    <w:p w14:paraId="5718530F">
      <w:pPr>
        <w:spacing w:line="360" w:lineRule="auto"/>
        <w:rPr>
          <w:bCs/>
          <w:sz w:val="24"/>
        </w:rPr>
      </w:pPr>
      <w:r>
        <w:rPr>
          <w:bCs/>
          <w:sz w:val="24"/>
        </w:rPr>
        <w:t xml:space="preserve">    </w:t>
      </w:r>
      <w:r>
        <w:rPr>
          <w:rFonts w:hint="eastAsia"/>
          <w:bCs/>
          <w:sz w:val="24"/>
        </w:rPr>
        <w:t>适用于对生产和服务提供的各过程的控制。</w:t>
      </w:r>
    </w:p>
    <w:p w14:paraId="19B63214">
      <w:pPr>
        <w:spacing w:line="360" w:lineRule="auto"/>
        <w:rPr>
          <w:bCs/>
          <w:sz w:val="24"/>
        </w:rPr>
      </w:pPr>
      <w:r>
        <w:rPr>
          <w:bCs/>
          <w:sz w:val="24"/>
        </w:rPr>
        <w:t>3</w:t>
      </w:r>
      <w:r>
        <w:rPr>
          <w:rFonts w:hint="eastAsia"/>
          <w:bCs/>
          <w:sz w:val="24"/>
        </w:rPr>
        <w:t>．职责</w:t>
      </w:r>
    </w:p>
    <w:p w14:paraId="68167FFB">
      <w:pPr>
        <w:spacing w:line="360" w:lineRule="auto"/>
        <w:rPr>
          <w:bCs/>
          <w:sz w:val="24"/>
        </w:rPr>
      </w:pPr>
      <w:r>
        <w:rPr>
          <w:bCs/>
          <w:sz w:val="24"/>
        </w:rPr>
        <w:t>3.1</w:t>
      </w:r>
      <w:r>
        <w:rPr>
          <w:rFonts w:hint="eastAsia"/>
          <w:bCs/>
          <w:sz w:val="24"/>
          <w:lang w:eastAsia="zh-CN"/>
        </w:rPr>
        <w:t>生产技术部</w:t>
      </w:r>
      <w:r>
        <w:rPr>
          <w:rFonts w:hint="eastAsia"/>
          <w:bCs/>
          <w:sz w:val="24"/>
        </w:rPr>
        <w:t>根据</w:t>
      </w:r>
      <w:r>
        <w:rPr>
          <w:rFonts w:hint="eastAsia"/>
          <w:bCs/>
          <w:sz w:val="24"/>
          <w:lang w:eastAsia="zh-CN"/>
        </w:rPr>
        <w:t>市场部</w:t>
      </w:r>
      <w:r>
        <w:rPr>
          <w:rFonts w:hint="eastAsia"/>
          <w:bCs/>
          <w:sz w:val="24"/>
        </w:rPr>
        <w:t>合同评审的结果，下达生产任务计划单，科学安排生产，指导车间进行生产过程控制，负责对实现产品符合性所需的工作环境进行控制。</w:t>
      </w:r>
    </w:p>
    <w:p w14:paraId="29BE1E81">
      <w:pPr>
        <w:spacing w:line="360" w:lineRule="auto"/>
        <w:rPr>
          <w:bCs/>
          <w:sz w:val="24"/>
        </w:rPr>
      </w:pPr>
      <w:r>
        <w:rPr>
          <w:bCs/>
          <w:sz w:val="24"/>
        </w:rPr>
        <w:t>3.2</w:t>
      </w:r>
      <w:r>
        <w:rPr>
          <w:rFonts w:hint="eastAsia"/>
          <w:bCs/>
          <w:sz w:val="24"/>
          <w:lang w:eastAsia="zh-CN"/>
        </w:rPr>
        <w:t>生产技术部</w:t>
      </w:r>
      <w:r>
        <w:rPr>
          <w:rFonts w:hint="eastAsia"/>
          <w:bCs/>
          <w:sz w:val="24"/>
        </w:rPr>
        <w:t>负责生产和服务提供需确认过程的确认，编制相应的工艺指导文件，为生产提供所需的技术文件。</w:t>
      </w:r>
    </w:p>
    <w:p w14:paraId="2C7B64BC">
      <w:pPr>
        <w:spacing w:line="360" w:lineRule="auto"/>
        <w:rPr>
          <w:bCs/>
          <w:sz w:val="24"/>
        </w:rPr>
      </w:pPr>
      <w:r>
        <w:rPr>
          <w:bCs/>
          <w:sz w:val="24"/>
        </w:rPr>
        <w:t>3.3</w:t>
      </w:r>
      <w:r>
        <w:rPr>
          <w:rFonts w:hint="eastAsia"/>
          <w:bCs/>
          <w:sz w:val="24"/>
          <w:lang w:eastAsia="zh-CN"/>
        </w:rPr>
        <w:t>研发部</w:t>
      </w:r>
      <w:r>
        <w:rPr>
          <w:rFonts w:hint="eastAsia"/>
          <w:bCs/>
          <w:sz w:val="24"/>
        </w:rPr>
        <w:t>负责产品的检验和试验，对产品的质量进行控制。</w:t>
      </w:r>
    </w:p>
    <w:p w14:paraId="74649427">
      <w:pPr>
        <w:spacing w:line="360" w:lineRule="auto"/>
        <w:rPr>
          <w:bCs/>
          <w:sz w:val="24"/>
        </w:rPr>
      </w:pPr>
      <w:r>
        <w:rPr>
          <w:bCs/>
          <w:sz w:val="24"/>
        </w:rPr>
        <w:t>3.4</w:t>
      </w:r>
      <w:r>
        <w:rPr>
          <w:rFonts w:hint="eastAsia"/>
          <w:bCs/>
          <w:sz w:val="24"/>
        </w:rPr>
        <w:t>生产车间负责按生产任务单要求，科学安排生产，按时完成生产任务，并负责车间生产、环保和安全设备的维护保养。</w:t>
      </w:r>
    </w:p>
    <w:p w14:paraId="2D6D632E">
      <w:pPr>
        <w:spacing w:line="360" w:lineRule="auto"/>
        <w:rPr>
          <w:bCs/>
          <w:sz w:val="24"/>
        </w:rPr>
      </w:pPr>
      <w:r>
        <w:rPr>
          <w:bCs/>
          <w:sz w:val="24"/>
        </w:rPr>
        <w:t>3.5</w:t>
      </w:r>
      <w:r>
        <w:rPr>
          <w:rFonts w:hint="eastAsia"/>
          <w:bCs/>
          <w:sz w:val="24"/>
          <w:lang w:eastAsia="zh-CN"/>
        </w:rPr>
        <w:t>市场部</w:t>
      </w:r>
      <w:r>
        <w:rPr>
          <w:rFonts w:hint="eastAsia"/>
          <w:bCs/>
          <w:sz w:val="24"/>
        </w:rPr>
        <w:t>负责产品的交付及售后服务工作。</w:t>
      </w:r>
    </w:p>
    <w:p w14:paraId="081A371B">
      <w:pPr>
        <w:spacing w:line="360" w:lineRule="auto"/>
        <w:rPr>
          <w:bCs/>
          <w:sz w:val="24"/>
        </w:rPr>
      </w:pPr>
      <w:r>
        <w:rPr>
          <w:bCs/>
          <w:sz w:val="24"/>
        </w:rPr>
        <w:t>4</w:t>
      </w:r>
      <w:r>
        <w:rPr>
          <w:rFonts w:hint="eastAsia"/>
          <w:bCs/>
          <w:sz w:val="24"/>
        </w:rPr>
        <w:t>．程序</w:t>
      </w:r>
    </w:p>
    <w:p w14:paraId="4E6B067C">
      <w:pPr>
        <w:spacing w:line="360" w:lineRule="auto"/>
        <w:rPr>
          <w:bCs/>
          <w:sz w:val="24"/>
        </w:rPr>
      </w:pPr>
      <w:r>
        <w:rPr>
          <w:bCs/>
          <w:sz w:val="24"/>
        </w:rPr>
        <w:t>4.1</w:t>
      </w:r>
      <w:r>
        <w:rPr>
          <w:rFonts w:hint="eastAsia"/>
          <w:bCs/>
          <w:sz w:val="24"/>
        </w:rPr>
        <w:t>获得表述产品特性的信息</w:t>
      </w:r>
      <w:r>
        <w:rPr>
          <w:bCs/>
          <w:sz w:val="24"/>
        </w:rPr>
        <w:t xml:space="preserve">  </w:t>
      </w:r>
    </w:p>
    <w:p w14:paraId="6FE9FA7B">
      <w:pPr>
        <w:spacing w:line="360" w:lineRule="auto"/>
        <w:rPr>
          <w:bCs/>
          <w:sz w:val="24"/>
        </w:rPr>
      </w:pPr>
      <w:r>
        <w:rPr>
          <w:bCs/>
          <w:sz w:val="24"/>
        </w:rPr>
        <w:t>4.1.1</w:t>
      </w:r>
      <w:r>
        <w:rPr>
          <w:rFonts w:hint="eastAsia"/>
          <w:bCs/>
          <w:sz w:val="24"/>
        </w:rPr>
        <w:t>根据产品实现过程策划的输出和顾客要求评审的输出等获得必要的生产服务信息，执行《产品实现的策划控制程序》及《与顾客有关的过程控制程序》的有关规定。</w:t>
      </w:r>
    </w:p>
    <w:p w14:paraId="5D53E248">
      <w:pPr>
        <w:spacing w:line="360" w:lineRule="auto"/>
        <w:rPr>
          <w:bCs/>
          <w:sz w:val="24"/>
        </w:rPr>
      </w:pPr>
      <w:r>
        <w:rPr>
          <w:bCs/>
          <w:sz w:val="24"/>
        </w:rPr>
        <w:t>4.1.2</w:t>
      </w:r>
      <w:r>
        <w:rPr>
          <w:rFonts w:hint="eastAsia"/>
          <w:bCs/>
          <w:sz w:val="24"/>
          <w:lang w:eastAsia="zh-CN"/>
        </w:rPr>
        <w:t>生产技术部</w:t>
      </w:r>
      <w:r>
        <w:rPr>
          <w:rFonts w:hint="eastAsia"/>
          <w:bCs/>
          <w:sz w:val="24"/>
        </w:rPr>
        <w:t>、</w:t>
      </w:r>
      <w:r>
        <w:rPr>
          <w:rFonts w:hint="eastAsia"/>
          <w:bCs/>
          <w:sz w:val="24"/>
          <w:lang w:eastAsia="zh-CN"/>
        </w:rPr>
        <w:t>研发部</w:t>
      </w:r>
      <w:r>
        <w:rPr>
          <w:rFonts w:hint="eastAsia"/>
          <w:bCs/>
          <w:sz w:val="24"/>
        </w:rPr>
        <w:t>负责对影响产品质量和环境的关键过程和特殊过程应编制作业指导文件，包括工艺规程、操作规程、检验规程等。</w:t>
      </w:r>
    </w:p>
    <w:p w14:paraId="3909DBBE">
      <w:pPr>
        <w:spacing w:line="360" w:lineRule="auto"/>
        <w:rPr>
          <w:bCs/>
          <w:sz w:val="24"/>
        </w:rPr>
      </w:pPr>
      <w:r>
        <w:rPr>
          <w:bCs/>
          <w:sz w:val="24"/>
        </w:rPr>
        <w:t>4.1.3</w:t>
      </w:r>
      <w:r>
        <w:rPr>
          <w:rFonts w:hint="eastAsia"/>
          <w:bCs/>
          <w:sz w:val="24"/>
        </w:rPr>
        <w:t>生产计划</w:t>
      </w:r>
    </w:p>
    <w:p w14:paraId="7EF29842">
      <w:pPr>
        <w:spacing w:line="360" w:lineRule="auto"/>
        <w:rPr>
          <w:bCs/>
          <w:sz w:val="24"/>
        </w:rPr>
      </w:pPr>
      <w:r>
        <w:rPr>
          <w:bCs/>
          <w:sz w:val="24"/>
        </w:rPr>
        <w:t xml:space="preserve">    a</w:t>
      </w:r>
      <w:r>
        <w:rPr>
          <w:rFonts w:hint="eastAsia"/>
          <w:bCs/>
          <w:sz w:val="24"/>
        </w:rPr>
        <w:t>．</w:t>
      </w:r>
      <w:r>
        <w:rPr>
          <w:rFonts w:hint="eastAsia"/>
          <w:bCs/>
          <w:sz w:val="24"/>
          <w:lang w:eastAsia="zh-CN"/>
        </w:rPr>
        <w:t>生产技术部</w:t>
      </w:r>
      <w:r>
        <w:rPr>
          <w:rFonts w:hint="eastAsia"/>
          <w:bCs/>
          <w:sz w:val="24"/>
        </w:rPr>
        <w:t>根据获得的产品生产特性信息，考虑库存情况，结合车间的生产能力，下达《生产任务计划单》，并科学安排车间的生产任务。</w:t>
      </w:r>
    </w:p>
    <w:p w14:paraId="64448D61">
      <w:pPr>
        <w:spacing w:line="360" w:lineRule="auto"/>
        <w:rPr>
          <w:bCs/>
          <w:sz w:val="24"/>
        </w:rPr>
      </w:pPr>
      <w:r>
        <w:rPr>
          <w:bCs/>
          <w:sz w:val="24"/>
        </w:rPr>
        <w:t xml:space="preserve">    b</w:t>
      </w:r>
      <w:r>
        <w:rPr>
          <w:rFonts w:hint="eastAsia"/>
          <w:bCs/>
          <w:sz w:val="24"/>
        </w:rPr>
        <w:t>．车间主任根据《生产任务计划单》安排生产，向仓库领取所需物料，并统计每天生产情况，上报</w:t>
      </w:r>
      <w:r>
        <w:rPr>
          <w:rFonts w:hint="eastAsia"/>
          <w:bCs/>
          <w:sz w:val="24"/>
          <w:lang w:eastAsia="zh-CN"/>
        </w:rPr>
        <w:t>生产技术部</w:t>
      </w:r>
      <w:r>
        <w:rPr>
          <w:rFonts w:hint="eastAsia"/>
          <w:bCs/>
          <w:sz w:val="24"/>
        </w:rPr>
        <w:t>。</w:t>
      </w:r>
      <w:r>
        <w:rPr>
          <w:rFonts w:hint="eastAsia"/>
          <w:bCs/>
          <w:sz w:val="24"/>
          <w:lang w:eastAsia="zh-CN"/>
        </w:rPr>
        <w:t>生产技术部</w:t>
      </w:r>
      <w:r>
        <w:rPr>
          <w:rFonts w:hint="eastAsia"/>
          <w:bCs/>
          <w:sz w:val="24"/>
        </w:rPr>
        <w:t>根据计划的完成情况，作为制定下次生产计划的参考。</w:t>
      </w:r>
    </w:p>
    <w:p w14:paraId="39CE7B41">
      <w:pPr>
        <w:spacing w:line="360" w:lineRule="auto"/>
        <w:rPr>
          <w:bCs/>
          <w:sz w:val="24"/>
        </w:rPr>
      </w:pPr>
      <w:r>
        <w:rPr>
          <w:bCs/>
          <w:sz w:val="24"/>
        </w:rPr>
        <w:t>4.2</w:t>
      </w:r>
      <w:r>
        <w:rPr>
          <w:rFonts w:hint="eastAsia"/>
          <w:bCs/>
          <w:sz w:val="24"/>
        </w:rPr>
        <w:t>生产管理</w:t>
      </w:r>
    </w:p>
    <w:p w14:paraId="26E24678">
      <w:pPr>
        <w:spacing w:line="360" w:lineRule="auto"/>
        <w:rPr>
          <w:bCs/>
          <w:sz w:val="24"/>
        </w:rPr>
      </w:pPr>
      <w:r>
        <w:rPr>
          <w:bCs/>
          <w:sz w:val="24"/>
        </w:rPr>
        <w:t>4.2.1</w:t>
      </w:r>
      <w:r>
        <w:rPr>
          <w:rFonts w:hint="eastAsia"/>
          <w:bCs/>
          <w:sz w:val="24"/>
        </w:rPr>
        <w:t>原材料的采购和检验控制执行《采购控制程序》和《产品的监视和测量控制程序》。</w:t>
      </w:r>
    </w:p>
    <w:p w14:paraId="227092AB">
      <w:pPr>
        <w:spacing w:line="360" w:lineRule="auto"/>
        <w:rPr>
          <w:bCs/>
          <w:sz w:val="24"/>
        </w:rPr>
      </w:pPr>
      <w:r>
        <w:rPr>
          <w:bCs/>
          <w:sz w:val="24"/>
        </w:rPr>
        <w:t>4.2.2</w:t>
      </w:r>
      <w:r>
        <w:rPr>
          <w:rFonts w:hint="eastAsia"/>
          <w:bCs/>
          <w:sz w:val="24"/>
        </w:rPr>
        <w:t>设备和设施的控制</w:t>
      </w:r>
    </w:p>
    <w:p w14:paraId="0517BDB0">
      <w:pPr>
        <w:spacing w:line="360" w:lineRule="auto"/>
        <w:rPr>
          <w:bCs/>
          <w:sz w:val="24"/>
        </w:rPr>
      </w:pPr>
      <w:r>
        <w:rPr>
          <w:bCs/>
          <w:sz w:val="24"/>
        </w:rPr>
        <w:t>a</w:t>
      </w:r>
      <w:r>
        <w:rPr>
          <w:rFonts w:hint="eastAsia"/>
          <w:bCs/>
          <w:sz w:val="24"/>
        </w:rPr>
        <w:t>．生产使用的设备，必须是完好设备，具体要求按《基础设施管理控制程序》执行。</w:t>
      </w:r>
      <w:r>
        <w:rPr>
          <w:bCs/>
          <w:sz w:val="24"/>
        </w:rPr>
        <w:t xml:space="preserve">  </w:t>
      </w:r>
    </w:p>
    <w:p w14:paraId="7507ED7C">
      <w:pPr>
        <w:spacing w:line="360" w:lineRule="auto"/>
        <w:rPr>
          <w:bCs/>
          <w:sz w:val="24"/>
        </w:rPr>
      </w:pPr>
      <w:r>
        <w:rPr>
          <w:bCs/>
          <w:sz w:val="24"/>
        </w:rPr>
        <w:t>b</w:t>
      </w:r>
      <w:r>
        <w:rPr>
          <w:rFonts w:hint="eastAsia"/>
          <w:bCs/>
          <w:sz w:val="24"/>
        </w:rPr>
        <w:t>．生产班组按计划定期对生产设备的维护和保养情况的进行检查，确保在正常状态下使用，以保证产品质量。</w:t>
      </w:r>
    </w:p>
    <w:p w14:paraId="4A4B3508">
      <w:pPr>
        <w:spacing w:line="360" w:lineRule="auto"/>
        <w:rPr>
          <w:bCs/>
          <w:sz w:val="24"/>
        </w:rPr>
      </w:pPr>
      <w:r>
        <w:rPr>
          <w:bCs/>
          <w:sz w:val="24"/>
        </w:rPr>
        <w:t>c</w:t>
      </w:r>
      <w:r>
        <w:rPr>
          <w:rFonts w:hint="eastAsia"/>
          <w:bCs/>
          <w:sz w:val="24"/>
        </w:rPr>
        <w:t>．根据工艺安排和检验需要，</w:t>
      </w:r>
      <w:r>
        <w:rPr>
          <w:rFonts w:hint="eastAsia"/>
          <w:bCs/>
          <w:sz w:val="24"/>
          <w:lang w:eastAsia="zh-CN"/>
        </w:rPr>
        <w:t>研发部</w:t>
      </w:r>
      <w:r>
        <w:rPr>
          <w:rFonts w:hint="eastAsia"/>
          <w:bCs/>
          <w:sz w:val="24"/>
        </w:rPr>
        <w:t>应配备数量和能力足够的监视测量设备及计量器具，监视和测量设备应定期进行校准和检定，不准使用超过检定周期的检验、测量设备，保护好校准状态标识。具体按《监视和测量设备控制程序》执行。</w:t>
      </w:r>
    </w:p>
    <w:p w14:paraId="2743EE28">
      <w:pPr>
        <w:spacing w:line="360" w:lineRule="auto"/>
        <w:rPr>
          <w:bCs/>
          <w:sz w:val="24"/>
        </w:rPr>
      </w:pPr>
      <w:r>
        <w:rPr>
          <w:bCs/>
          <w:sz w:val="24"/>
        </w:rPr>
        <w:t>4.3</w:t>
      </w:r>
      <w:r>
        <w:rPr>
          <w:rFonts w:hint="eastAsia"/>
          <w:bCs/>
          <w:sz w:val="24"/>
        </w:rPr>
        <w:t>生产操作人员的控制</w:t>
      </w:r>
    </w:p>
    <w:p w14:paraId="744FEAF0">
      <w:pPr>
        <w:spacing w:line="360" w:lineRule="auto"/>
        <w:rPr>
          <w:bCs/>
          <w:sz w:val="24"/>
        </w:rPr>
      </w:pPr>
      <w:r>
        <w:rPr>
          <w:bCs/>
          <w:sz w:val="24"/>
        </w:rPr>
        <w:t>4.3.1</w:t>
      </w:r>
      <w:r>
        <w:rPr>
          <w:rFonts w:hint="eastAsia"/>
          <w:bCs/>
          <w:sz w:val="24"/>
        </w:rPr>
        <w:t>公司应对所有岗位的操作人员进行培训，考核合格后方可上岗。生产过程中操作人员要严格执行生产作业文件及操作规程，对各道工序要组织有关人员进</w:t>
      </w:r>
    </w:p>
    <w:p w14:paraId="26617F2B">
      <w:pPr>
        <w:spacing w:line="360" w:lineRule="auto"/>
        <w:rPr>
          <w:bCs/>
          <w:sz w:val="24"/>
        </w:rPr>
      </w:pPr>
      <w:r>
        <w:rPr>
          <w:rFonts w:hint="eastAsia"/>
          <w:bCs/>
          <w:sz w:val="24"/>
        </w:rPr>
        <w:t>行监视和测量。</w:t>
      </w:r>
    </w:p>
    <w:p w14:paraId="37505F4A">
      <w:pPr>
        <w:spacing w:line="360" w:lineRule="auto"/>
        <w:rPr>
          <w:bCs/>
          <w:sz w:val="24"/>
        </w:rPr>
      </w:pPr>
      <w:r>
        <w:rPr>
          <w:bCs/>
          <w:sz w:val="24"/>
        </w:rPr>
        <w:t>4.3.2</w:t>
      </w:r>
      <w:r>
        <w:rPr>
          <w:rFonts w:hint="eastAsia"/>
          <w:bCs/>
          <w:sz w:val="24"/>
        </w:rPr>
        <w:t>检验人员应经培训后上岗。</w:t>
      </w:r>
    </w:p>
    <w:p w14:paraId="600282CA">
      <w:pPr>
        <w:spacing w:line="360" w:lineRule="auto"/>
        <w:rPr>
          <w:bCs/>
          <w:sz w:val="24"/>
        </w:rPr>
      </w:pPr>
      <w:r>
        <w:rPr>
          <w:bCs/>
          <w:sz w:val="24"/>
        </w:rPr>
        <w:t>4.4</w:t>
      </w:r>
      <w:r>
        <w:rPr>
          <w:rFonts w:hint="eastAsia"/>
          <w:bCs/>
          <w:sz w:val="24"/>
        </w:rPr>
        <w:t>生产过程的控制</w:t>
      </w:r>
    </w:p>
    <w:p w14:paraId="1C645426">
      <w:pPr>
        <w:spacing w:line="360" w:lineRule="auto"/>
        <w:rPr>
          <w:bCs/>
          <w:sz w:val="24"/>
        </w:rPr>
      </w:pPr>
      <w:r>
        <w:rPr>
          <w:bCs/>
          <w:sz w:val="24"/>
        </w:rPr>
        <w:t>4.4.1</w:t>
      </w:r>
      <w:r>
        <w:rPr>
          <w:rFonts w:hint="eastAsia"/>
          <w:bCs/>
          <w:sz w:val="24"/>
        </w:rPr>
        <w:t>车间安排好作业计划，理顺本车间的工艺流程，力求均衡生产，避免颠倒作业，影响产品质量。</w:t>
      </w:r>
    </w:p>
    <w:p w14:paraId="4F71735A">
      <w:pPr>
        <w:spacing w:line="360" w:lineRule="auto"/>
        <w:rPr>
          <w:bCs/>
          <w:sz w:val="24"/>
        </w:rPr>
      </w:pPr>
      <w:r>
        <w:rPr>
          <w:bCs/>
          <w:sz w:val="24"/>
        </w:rPr>
        <w:t>4.4.2</w:t>
      </w:r>
      <w:r>
        <w:rPr>
          <w:rFonts w:hint="eastAsia"/>
          <w:bCs/>
          <w:sz w:val="24"/>
          <w:lang w:eastAsia="zh-CN"/>
        </w:rPr>
        <w:t>生产技术部</w:t>
      </w:r>
      <w:r>
        <w:rPr>
          <w:rFonts w:hint="eastAsia"/>
          <w:bCs/>
          <w:sz w:val="24"/>
        </w:rPr>
        <w:t>根据生产任务要求，定期或不定期的对生产进度进行检查，保证按期完成生产任务。</w:t>
      </w:r>
    </w:p>
    <w:p w14:paraId="79830B9A">
      <w:pPr>
        <w:spacing w:line="360" w:lineRule="auto"/>
        <w:rPr>
          <w:bCs/>
          <w:sz w:val="24"/>
        </w:rPr>
      </w:pPr>
      <w:r>
        <w:rPr>
          <w:bCs/>
          <w:sz w:val="24"/>
        </w:rPr>
        <w:t>4.4.3</w:t>
      </w:r>
      <w:r>
        <w:rPr>
          <w:rFonts w:hint="eastAsia"/>
          <w:bCs/>
          <w:sz w:val="24"/>
        </w:rPr>
        <w:t>生产过程中操作人员要进行自检和互检，生产车间操作者应如实填写相关的过程操作记录。</w:t>
      </w:r>
      <w:r>
        <w:rPr>
          <w:rFonts w:hint="eastAsia"/>
          <w:bCs/>
          <w:sz w:val="24"/>
          <w:lang w:eastAsia="zh-CN"/>
        </w:rPr>
        <w:t>生产技术部</w:t>
      </w:r>
      <w:r>
        <w:rPr>
          <w:rFonts w:hint="eastAsia"/>
          <w:bCs/>
          <w:sz w:val="24"/>
        </w:rPr>
        <w:t>根据生产任务要求，定期或不定期的对生产进度进行检查，保证按期完成生产任务，将生产情况及时上报</w:t>
      </w:r>
      <w:r>
        <w:rPr>
          <w:rFonts w:hint="eastAsia"/>
          <w:bCs/>
          <w:sz w:val="24"/>
          <w:lang w:eastAsia="zh-CN"/>
        </w:rPr>
        <w:t>生产技术部</w:t>
      </w:r>
      <w:r>
        <w:rPr>
          <w:rFonts w:hint="eastAsia"/>
          <w:bCs/>
          <w:sz w:val="24"/>
        </w:rPr>
        <w:t>。</w:t>
      </w:r>
    </w:p>
    <w:p w14:paraId="3B4692E6">
      <w:pPr>
        <w:spacing w:line="360" w:lineRule="auto"/>
        <w:rPr>
          <w:bCs/>
          <w:sz w:val="24"/>
        </w:rPr>
      </w:pPr>
      <w:r>
        <w:rPr>
          <w:bCs/>
          <w:sz w:val="24"/>
        </w:rPr>
        <w:t>4.4.4</w:t>
      </w:r>
      <w:r>
        <w:rPr>
          <w:rFonts w:hint="eastAsia"/>
          <w:bCs/>
          <w:sz w:val="24"/>
        </w:rPr>
        <w:t>产品转序时，经</w:t>
      </w:r>
      <w:r>
        <w:rPr>
          <w:rFonts w:hint="eastAsia"/>
          <w:bCs/>
          <w:sz w:val="24"/>
          <w:lang w:eastAsia="zh-CN"/>
        </w:rPr>
        <w:t>研发部</w:t>
      </w:r>
      <w:r>
        <w:rPr>
          <w:rFonts w:hint="eastAsia"/>
          <w:bCs/>
          <w:sz w:val="24"/>
        </w:rPr>
        <w:t>检验合格后，可转入下一道工序，未经检验或检验不合格的不允许转入下一道工序。</w:t>
      </w:r>
    </w:p>
    <w:p w14:paraId="135E4D87">
      <w:pPr>
        <w:spacing w:line="360" w:lineRule="auto"/>
        <w:rPr>
          <w:bCs/>
          <w:sz w:val="24"/>
        </w:rPr>
      </w:pPr>
      <w:r>
        <w:rPr>
          <w:bCs/>
          <w:sz w:val="24"/>
        </w:rPr>
        <w:t>4.4.5</w:t>
      </w:r>
      <w:r>
        <w:rPr>
          <w:rFonts w:hint="eastAsia"/>
          <w:bCs/>
          <w:sz w:val="24"/>
        </w:rPr>
        <w:t>由</w:t>
      </w:r>
      <w:r>
        <w:rPr>
          <w:rFonts w:hint="eastAsia"/>
          <w:bCs/>
          <w:sz w:val="24"/>
          <w:lang w:eastAsia="zh-CN"/>
        </w:rPr>
        <w:t>研发部</w:t>
      </w:r>
      <w:r>
        <w:rPr>
          <w:rFonts w:hint="eastAsia"/>
          <w:bCs/>
          <w:sz w:val="24"/>
        </w:rPr>
        <w:t>按工艺文件及检验规程对采购产品、过程产品和最终产品进行检测，执行《产品的监视和测量控制程序》，检测不合格者执行《不合格控制程序》。</w:t>
      </w:r>
    </w:p>
    <w:p w14:paraId="02B5E898">
      <w:pPr>
        <w:spacing w:line="360" w:lineRule="auto"/>
        <w:rPr>
          <w:bCs/>
          <w:sz w:val="24"/>
        </w:rPr>
      </w:pPr>
      <w:r>
        <w:rPr>
          <w:bCs/>
          <w:sz w:val="24"/>
        </w:rPr>
        <w:t>4.5</w:t>
      </w:r>
      <w:r>
        <w:rPr>
          <w:rFonts w:hint="eastAsia"/>
          <w:bCs/>
          <w:sz w:val="24"/>
        </w:rPr>
        <w:t>生产现场的控制</w:t>
      </w:r>
    </w:p>
    <w:p w14:paraId="34F971D4">
      <w:pPr>
        <w:spacing w:line="360" w:lineRule="auto"/>
        <w:rPr>
          <w:bCs/>
          <w:sz w:val="24"/>
        </w:rPr>
      </w:pPr>
      <w:r>
        <w:rPr>
          <w:bCs/>
          <w:sz w:val="24"/>
        </w:rPr>
        <w:t>4.5.1</w:t>
      </w:r>
      <w:r>
        <w:rPr>
          <w:rFonts w:hint="eastAsia"/>
          <w:bCs/>
          <w:sz w:val="24"/>
        </w:rPr>
        <w:t>生产车间主任应搞好文明生产，实施定置管理，生产现场产品应摆放有序，保持生产现场的清洁、整齐。</w:t>
      </w:r>
    </w:p>
    <w:p w14:paraId="78C622B1">
      <w:pPr>
        <w:spacing w:line="360" w:lineRule="auto"/>
        <w:rPr>
          <w:bCs/>
          <w:sz w:val="24"/>
        </w:rPr>
      </w:pPr>
      <w:r>
        <w:rPr>
          <w:bCs/>
          <w:sz w:val="24"/>
        </w:rPr>
        <w:t>4.5.2</w:t>
      </w:r>
      <w:r>
        <w:rPr>
          <w:rFonts w:hint="eastAsia"/>
          <w:bCs/>
          <w:sz w:val="24"/>
        </w:rPr>
        <w:t>各车间负责落实安全生产责任制，加强现场管理，保证生产过程的工作环境符合操作要求。车间主任负责生产现场日常安全检查工作，清除事故隐患，监督操作人员遵守安全生产管理制度，出现问题及时处理。</w:t>
      </w:r>
    </w:p>
    <w:p w14:paraId="5BAFC465">
      <w:pPr>
        <w:spacing w:line="360" w:lineRule="auto"/>
        <w:rPr>
          <w:bCs/>
          <w:sz w:val="24"/>
        </w:rPr>
      </w:pPr>
      <w:r>
        <w:rPr>
          <w:bCs/>
          <w:sz w:val="24"/>
        </w:rPr>
        <w:t>4.5.3</w:t>
      </w:r>
      <w:r>
        <w:rPr>
          <w:rFonts w:hint="eastAsia"/>
          <w:bCs/>
          <w:sz w:val="24"/>
        </w:rPr>
        <w:t>生产现场要认真做好检验试验状态标识，对废品应及时隔离并标识。</w:t>
      </w:r>
    </w:p>
    <w:p w14:paraId="6EE28D51">
      <w:pPr>
        <w:spacing w:line="360" w:lineRule="auto"/>
        <w:rPr>
          <w:bCs/>
          <w:sz w:val="24"/>
        </w:rPr>
      </w:pPr>
      <w:r>
        <w:rPr>
          <w:bCs/>
          <w:sz w:val="24"/>
        </w:rPr>
        <w:t>4.6</w:t>
      </w:r>
      <w:r>
        <w:rPr>
          <w:rFonts w:hint="eastAsia"/>
          <w:bCs/>
          <w:sz w:val="24"/>
        </w:rPr>
        <w:t>过程确认</w:t>
      </w:r>
    </w:p>
    <w:p w14:paraId="621E789C">
      <w:pPr>
        <w:spacing w:line="360" w:lineRule="auto"/>
        <w:rPr>
          <w:bCs/>
          <w:sz w:val="24"/>
        </w:rPr>
      </w:pPr>
      <w:r>
        <w:rPr>
          <w:bCs/>
          <w:sz w:val="24"/>
        </w:rPr>
        <w:t>4.6.1</w:t>
      </w:r>
      <w:r>
        <w:rPr>
          <w:rFonts w:hint="eastAsia"/>
          <w:bCs/>
          <w:sz w:val="24"/>
        </w:rPr>
        <w:t>当生产和服务提供过程的输出不能由后续的监视或测量加以验证时，使问题在产品使用后或服务交付后才显现时，应对这样的过程实施确认，称为需确认的过程，通常称为特殊过程。特殊过程包括以下三种情况：</w:t>
      </w:r>
    </w:p>
    <w:p w14:paraId="248D2F31">
      <w:pPr>
        <w:spacing w:line="360" w:lineRule="auto"/>
        <w:ind w:firstLine="240" w:firstLineChars="100"/>
        <w:rPr>
          <w:bCs/>
          <w:sz w:val="24"/>
        </w:rPr>
      </w:pPr>
      <w:r>
        <w:rPr>
          <w:bCs/>
          <w:sz w:val="24"/>
        </w:rPr>
        <w:t>a</w:t>
      </w:r>
      <w:r>
        <w:rPr>
          <w:rFonts w:hint="eastAsia"/>
          <w:bCs/>
          <w:sz w:val="24"/>
        </w:rPr>
        <w:t>．产品质量不能通过后续的监视或测量加以验证的工序；</w:t>
      </w:r>
      <w:r>
        <w:rPr>
          <w:bCs/>
          <w:sz w:val="24"/>
        </w:rPr>
        <w:t xml:space="preserve">  </w:t>
      </w:r>
    </w:p>
    <w:p w14:paraId="49A78776">
      <w:pPr>
        <w:spacing w:line="360" w:lineRule="auto"/>
        <w:ind w:firstLine="240" w:firstLineChars="100"/>
        <w:rPr>
          <w:bCs/>
          <w:sz w:val="24"/>
        </w:rPr>
      </w:pPr>
      <w:r>
        <w:rPr>
          <w:bCs/>
          <w:sz w:val="24"/>
        </w:rPr>
        <w:t>b</w:t>
      </w:r>
      <w:r>
        <w:rPr>
          <w:rFonts w:hint="eastAsia"/>
          <w:bCs/>
          <w:sz w:val="24"/>
        </w:rPr>
        <w:t>．产品质量需进行破坏性试验或采用复杂、昂贵的方法才能测量或只能进行间接监视的工序；</w:t>
      </w:r>
    </w:p>
    <w:p w14:paraId="2D7107E5">
      <w:pPr>
        <w:spacing w:line="360" w:lineRule="auto"/>
        <w:ind w:firstLine="240" w:firstLineChars="100"/>
        <w:rPr>
          <w:bCs/>
          <w:sz w:val="24"/>
        </w:rPr>
      </w:pPr>
      <w:r>
        <w:rPr>
          <w:bCs/>
          <w:sz w:val="24"/>
        </w:rPr>
        <w:t>c</w:t>
      </w:r>
      <w:r>
        <w:rPr>
          <w:rFonts w:hint="eastAsia"/>
          <w:bCs/>
          <w:sz w:val="24"/>
        </w:rPr>
        <w:t>．该工序产品在产品使用或服务交付之后，不合格的特性才能暴露出来。</w:t>
      </w:r>
    </w:p>
    <w:p w14:paraId="3BB0F0B0">
      <w:pPr>
        <w:spacing w:line="360" w:lineRule="auto"/>
        <w:rPr>
          <w:bCs/>
          <w:sz w:val="24"/>
        </w:rPr>
      </w:pPr>
      <w:r>
        <w:rPr>
          <w:bCs/>
          <w:sz w:val="24"/>
        </w:rPr>
        <w:t>4.6.2</w:t>
      </w:r>
      <w:r>
        <w:rPr>
          <w:rFonts w:hint="eastAsia"/>
          <w:bCs/>
          <w:sz w:val="24"/>
        </w:rPr>
        <w:t>本公司识别面料复合过程为特殊过程，对特殊过程应进行确认，并填写《过程确认记录》，以证实它们实现所策划结果的能力。适用时，这些确认的安排包括：</w:t>
      </w:r>
    </w:p>
    <w:p w14:paraId="2F9A9E70">
      <w:pPr>
        <w:spacing w:line="360" w:lineRule="auto"/>
        <w:ind w:firstLine="240" w:firstLineChars="100"/>
        <w:rPr>
          <w:bCs/>
          <w:sz w:val="24"/>
        </w:rPr>
      </w:pPr>
      <w:r>
        <w:rPr>
          <w:bCs/>
          <w:sz w:val="24"/>
        </w:rPr>
        <w:t>a</w:t>
      </w:r>
      <w:r>
        <w:rPr>
          <w:rFonts w:hint="eastAsia"/>
          <w:bCs/>
          <w:sz w:val="24"/>
        </w:rPr>
        <w:t>．为过程的评审和批准所规定的准则，以证实所使用的过程方法是否符合要求并有效实施。由</w:t>
      </w:r>
      <w:r>
        <w:rPr>
          <w:rFonts w:hint="eastAsia"/>
          <w:bCs/>
          <w:sz w:val="24"/>
          <w:lang w:eastAsia="zh-CN"/>
        </w:rPr>
        <w:t>生产技术部</w:t>
      </w:r>
      <w:r>
        <w:rPr>
          <w:rFonts w:hint="eastAsia"/>
          <w:bCs/>
          <w:sz w:val="24"/>
        </w:rPr>
        <w:t>编制相应的作业指导文件，生产车间经试运行并评定后才可正式实施；</w:t>
      </w:r>
    </w:p>
    <w:p w14:paraId="54587635">
      <w:pPr>
        <w:spacing w:line="360" w:lineRule="auto"/>
        <w:ind w:firstLine="240" w:firstLineChars="100"/>
        <w:rPr>
          <w:bCs/>
          <w:sz w:val="24"/>
        </w:rPr>
      </w:pPr>
      <w:r>
        <w:rPr>
          <w:bCs/>
          <w:sz w:val="24"/>
        </w:rPr>
        <w:t>b</w:t>
      </w:r>
      <w:r>
        <w:rPr>
          <w:rFonts w:hint="eastAsia"/>
          <w:bCs/>
          <w:sz w:val="24"/>
        </w:rPr>
        <w:t>．对所使用设备的认可，包括对设施能力（包括精确度、安全性、可用性等要求）及维护保养有严格要求，并保存维护保养记录，执行《基础设施管理控制程序》的有关规定。</w:t>
      </w:r>
    </w:p>
    <w:p w14:paraId="49927FCE">
      <w:pPr>
        <w:spacing w:line="360" w:lineRule="auto"/>
        <w:ind w:firstLine="240" w:firstLineChars="100"/>
        <w:rPr>
          <w:bCs/>
          <w:sz w:val="24"/>
        </w:rPr>
      </w:pPr>
      <w:r>
        <w:rPr>
          <w:bCs/>
          <w:sz w:val="24"/>
        </w:rPr>
        <w:t>c</w:t>
      </w:r>
      <w:r>
        <w:rPr>
          <w:rFonts w:hint="eastAsia"/>
          <w:bCs/>
          <w:sz w:val="24"/>
        </w:rPr>
        <w:t>．车间应确保按特殊过程作业指导书中规定的特定方法和程序实施；</w:t>
      </w:r>
      <w:r>
        <w:rPr>
          <w:bCs/>
          <w:sz w:val="24"/>
        </w:rPr>
        <w:t xml:space="preserve">  </w:t>
      </w:r>
    </w:p>
    <w:p w14:paraId="3C7CE058">
      <w:pPr>
        <w:spacing w:line="360" w:lineRule="auto"/>
        <w:ind w:firstLine="240" w:firstLineChars="100"/>
        <w:rPr>
          <w:bCs/>
          <w:sz w:val="24"/>
        </w:rPr>
      </w:pPr>
      <w:r>
        <w:rPr>
          <w:bCs/>
          <w:sz w:val="24"/>
        </w:rPr>
        <w:t>d</w:t>
      </w:r>
      <w:r>
        <w:rPr>
          <w:rFonts w:hint="eastAsia"/>
          <w:bCs/>
          <w:sz w:val="24"/>
        </w:rPr>
        <w:t>．过程的再确认：当生产条件发生变化时（如材料、设施、工艺和人员的变化等）应对上述过程进行再确认，确保对影响过程能力的变化及时作出反应；根据需要对相应的工艺文件和作业指导书进行更改，执行《文件控制程序》中的有关规定。</w:t>
      </w:r>
    </w:p>
    <w:p w14:paraId="1F65B4D0">
      <w:pPr>
        <w:spacing w:line="360" w:lineRule="auto"/>
        <w:rPr>
          <w:bCs/>
          <w:sz w:val="24"/>
        </w:rPr>
      </w:pPr>
      <w:r>
        <w:rPr>
          <w:bCs/>
          <w:sz w:val="24"/>
        </w:rPr>
        <w:t>4.7</w:t>
      </w:r>
      <w:r>
        <w:rPr>
          <w:rFonts w:hint="eastAsia"/>
          <w:bCs/>
          <w:sz w:val="24"/>
        </w:rPr>
        <w:t>标识和可追溯性</w:t>
      </w:r>
    </w:p>
    <w:p w14:paraId="23DD3421">
      <w:pPr>
        <w:spacing w:line="360" w:lineRule="auto"/>
        <w:rPr>
          <w:bCs/>
          <w:sz w:val="24"/>
        </w:rPr>
      </w:pPr>
      <w:r>
        <w:rPr>
          <w:bCs/>
          <w:sz w:val="24"/>
        </w:rPr>
        <w:t>4.7.1</w:t>
      </w:r>
      <w:r>
        <w:rPr>
          <w:rFonts w:hint="eastAsia"/>
          <w:bCs/>
          <w:sz w:val="24"/>
        </w:rPr>
        <w:t>适当时，</w:t>
      </w:r>
      <w:r>
        <w:rPr>
          <w:rFonts w:hint="eastAsia"/>
          <w:bCs/>
          <w:sz w:val="24"/>
          <w:lang w:eastAsia="zh-CN"/>
        </w:rPr>
        <w:t>研发部</w:t>
      </w:r>
      <w:r>
        <w:rPr>
          <w:rFonts w:hint="eastAsia"/>
          <w:bCs/>
          <w:sz w:val="24"/>
        </w:rPr>
        <w:t>规定对产品进行标识的方法，并针对监视和测量要求标识产品的状态；</w:t>
      </w:r>
      <w:r>
        <w:rPr>
          <w:rFonts w:hint="eastAsia"/>
          <w:bCs/>
          <w:sz w:val="24"/>
          <w:lang w:eastAsia="zh-CN"/>
        </w:rPr>
        <w:t>研发部</w:t>
      </w:r>
      <w:r>
        <w:rPr>
          <w:rFonts w:hint="eastAsia"/>
          <w:bCs/>
          <w:sz w:val="24"/>
        </w:rPr>
        <w:t>对标识的有效性进行监控；当产品出现重大质量问题时，公司对其进行追溯。</w:t>
      </w:r>
    </w:p>
    <w:p w14:paraId="7F7F961A">
      <w:pPr>
        <w:spacing w:line="360" w:lineRule="auto"/>
        <w:rPr>
          <w:bCs/>
          <w:sz w:val="24"/>
        </w:rPr>
      </w:pPr>
      <w:r>
        <w:rPr>
          <w:bCs/>
          <w:sz w:val="24"/>
        </w:rPr>
        <w:t>4.7.2</w:t>
      </w:r>
      <w:r>
        <w:rPr>
          <w:rFonts w:hint="eastAsia"/>
          <w:bCs/>
          <w:sz w:val="24"/>
        </w:rPr>
        <w:t>各相关部门负责所属区域内产品的标识，负责将不同状态的产品标识并分区摆放，负责对所有标识的维护。</w:t>
      </w:r>
    </w:p>
    <w:p w14:paraId="25543EE0">
      <w:pPr>
        <w:spacing w:line="360" w:lineRule="auto"/>
        <w:rPr>
          <w:bCs/>
          <w:sz w:val="24"/>
        </w:rPr>
      </w:pPr>
      <w:r>
        <w:rPr>
          <w:bCs/>
          <w:sz w:val="24"/>
        </w:rPr>
        <w:t>4.7.3</w:t>
      </w:r>
      <w:r>
        <w:rPr>
          <w:rFonts w:hint="eastAsia"/>
          <w:bCs/>
          <w:sz w:val="24"/>
        </w:rPr>
        <w:t>产品标识及可追溯性在有可追溯性要求时，对产品予以标识以便于追溯；如果不标识不会引起产品混淆或无追溯要求时，也可以不进行标识。采购产品标识采用采购产品本身的标识（如原标识不清，仓库保管员应挂上物料标识卡）。</w:t>
      </w:r>
    </w:p>
    <w:p w14:paraId="048F690D">
      <w:pPr>
        <w:spacing w:line="360" w:lineRule="auto"/>
        <w:rPr>
          <w:bCs/>
          <w:sz w:val="24"/>
        </w:rPr>
      </w:pPr>
      <w:r>
        <w:rPr>
          <w:bCs/>
          <w:sz w:val="24"/>
        </w:rPr>
        <w:t>4.7.4</w:t>
      </w:r>
      <w:r>
        <w:rPr>
          <w:rFonts w:hint="eastAsia"/>
          <w:bCs/>
          <w:sz w:val="24"/>
        </w:rPr>
        <w:t>产品状态标识为：</w:t>
      </w:r>
    </w:p>
    <w:p w14:paraId="59469BE7">
      <w:pPr>
        <w:spacing w:line="360" w:lineRule="auto"/>
        <w:ind w:firstLine="240" w:firstLineChars="100"/>
        <w:rPr>
          <w:bCs/>
          <w:sz w:val="24"/>
        </w:rPr>
      </w:pPr>
      <w:r>
        <w:rPr>
          <w:bCs/>
          <w:sz w:val="24"/>
        </w:rPr>
        <w:t>a</w:t>
      </w:r>
      <w:r>
        <w:rPr>
          <w:rFonts w:hint="eastAsia"/>
          <w:bCs/>
          <w:sz w:val="24"/>
        </w:rPr>
        <w:t>．检验状态：合格、不合格、待检；填写在相应的检验记录上作为检验状态标识；在生产现场以标牌作为标识，由</w:t>
      </w:r>
      <w:r>
        <w:rPr>
          <w:rFonts w:hint="eastAsia"/>
          <w:bCs/>
          <w:sz w:val="24"/>
          <w:lang w:eastAsia="zh-CN"/>
        </w:rPr>
        <w:t>研发部</w:t>
      </w:r>
      <w:r>
        <w:rPr>
          <w:rFonts w:hint="eastAsia"/>
          <w:bCs/>
          <w:sz w:val="24"/>
        </w:rPr>
        <w:t>监督实施；</w:t>
      </w:r>
    </w:p>
    <w:p w14:paraId="5A0CE01E">
      <w:pPr>
        <w:spacing w:line="360" w:lineRule="auto"/>
        <w:ind w:firstLine="240" w:firstLineChars="100"/>
        <w:rPr>
          <w:bCs/>
          <w:sz w:val="24"/>
        </w:rPr>
      </w:pPr>
      <w:r>
        <w:rPr>
          <w:bCs/>
          <w:sz w:val="24"/>
        </w:rPr>
        <w:t>b</w:t>
      </w:r>
      <w:r>
        <w:rPr>
          <w:rFonts w:hint="eastAsia"/>
          <w:bCs/>
          <w:sz w:val="24"/>
        </w:rPr>
        <w:t>．紧急放行标识：对因生产急需来不及检验的产品应在检验单上标识“紧急放行”，由</w:t>
      </w:r>
      <w:r>
        <w:rPr>
          <w:rFonts w:hint="eastAsia"/>
          <w:bCs/>
          <w:sz w:val="24"/>
          <w:lang w:eastAsia="zh-CN"/>
        </w:rPr>
        <w:t>研发部</w:t>
      </w:r>
      <w:r>
        <w:rPr>
          <w:rFonts w:hint="eastAsia"/>
          <w:bCs/>
          <w:sz w:val="24"/>
        </w:rPr>
        <w:t>监督车间实施。</w:t>
      </w:r>
    </w:p>
    <w:p w14:paraId="43324F22">
      <w:pPr>
        <w:spacing w:line="360" w:lineRule="auto"/>
        <w:rPr>
          <w:bCs/>
          <w:sz w:val="24"/>
        </w:rPr>
      </w:pPr>
      <w:r>
        <w:rPr>
          <w:bCs/>
          <w:sz w:val="24"/>
        </w:rPr>
        <w:t>4.8</w:t>
      </w:r>
      <w:r>
        <w:rPr>
          <w:rFonts w:hint="eastAsia"/>
          <w:bCs/>
          <w:sz w:val="24"/>
        </w:rPr>
        <w:t>顾客财产的控制</w:t>
      </w:r>
    </w:p>
    <w:p w14:paraId="45B402B1">
      <w:pPr>
        <w:spacing w:line="360" w:lineRule="auto"/>
        <w:rPr>
          <w:bCs/>
          <w:sz w:val="24"/>
        </w:rPr>
      </w:pPr>
      <w:r>
        <w:rPr>
          <w:bCs/>
          <w:sz w:val="24"/>
        </w:rPr>
        <w:t>4.8.1</w:t>
      </w:r>
      <w:r>
        <w:rPr>
          <w:rFonts w:hint="eastAsia"/>
          <w:bCs/>
          <w:sz w:val="24"/>
        </w:rPr>
        <w:t>顾客的财产一般可包括：</w:t>
      </w:r>
      <w:r>
        <w:rPr>
          <w:bCs/>
          <w:sz w:val="24"/>
        </w:rPr>
        <w:t xml:space="preserve"> </w:t>
      </w:r>
    </w:p>
    <w:p w14:paraId="01A352C2">
      <w:pPr>
        <w:numPr>
          <w:ilvl w:val="0"/>
          <w:numId w:val="41"/>
        </w:numPr>
        <w:spacing w:line="360" w:lineRule="auto"/>
        <w:rPr>
          <w:bCs/>
          <w:sz w:val="24"/>
        </w:rPr>
      </w:pPr>
      <w:r>
        <w:rPr>
          <w:rFonts w:hint="eastAsia"/>
          <w:bCs/>
          <w:sz w:val="24"/>
        </w:rPr>
        <w:t>顾客提供的构成产品的物料或配件；</w:t>
      </w:r>
      <w:r>
        <w:rPr>
          <w:bCs/>
          <w:sz w:val="24"/>
        </w:rPr>
        <w:t xml:space="preserve"> </w:t>
      </w:r>
    </w:p>
    <w:p w14:paraId="55C0F8BA">
      <w:pPr>
        <w:numPr>
          <w:ilvl w:val="0"/>
          <w:numId w:val="41"/>
        </w:numPr>
        <w:spacing w:line="360" w:lineRule="auto"/>
        <w:rPr>
          <w:bCs/>
          <w:sz w:val="24"/>
        </w:rPr>
      </w:pPr>
      <w:r>
        <w:rPr>
          <w:rFonts w:hint="eastAsia"/>
          <w:bCs/>
          <w:sz w:val="24"/>
        </w:rPr>
        <w:t>顾客直接提供的包装材料；</w:t>
      </w:r>
      <w:r>
        <w:rPr>
          <w:bCs/>
          <w:sz w:val="24"/>
        </w:rPr>
        <w:t xml:space="preserve"> </w:t>
      </w:r>
    </w:p>
    <w:p w14:paraId="1A133ADC">
      <w:pPr>
        <w:numPr>
          <w:ilvl w:val="0"/>
          <w:numId w:val="41"/>
        </w:numPr>
        <w:spacing w:line="360" w:lineRule="auto"/>
        <w:rPr>
          <w:bCs/>
          <w:sz w:val="24"/>
        </w:rPr>
      </w:pPr>
      <w:r>
        <w:rPr>
          <w:rFonts w:hint="eastAsia"/>
          <w:bCs/>
          <w:sz w:val="24"/>
        </w:rPr>
        <w:t>顾客知识产权的保护，包括顾客信息、图纸等。</w:t>
      </w:r>
    </w:p>
    <w:p w14:paraId="7BC30F40">
      <w:pPr>
        <w:spacing w:line="360" w:lineRule="auto"/>
        <w:rPr>
          <w:bCs/>
          <w:sz w:val="24"/>
        </w:rPr>
      </w:pPr>
      <w:r>
        <w:rPr>
          <w:bCs/>
          <w:sz w:val="24"/>
        </w:rPr>
        <w:t>4.8.2</w:t>
      </w:r>
      <w:r>
        <w:rPr>
          <w:rFonts w:hint="eastAsia"/>
          <w:bCs/>
          <w:sz w:val="24"/>
        </w:rPr>
        <w:t>顾客财产的管理本公司的顾客财产包括：顾客提供的图纸、顾客返修的产品或备件、在顾客现场使用的顾客物品等，对在本公司控制或使用的顾客财产，本公司由</w:t>
      </w:r>
      <w:r>
        <w:rPr>
          <w:rFonts w:hint="eastAsia"/>
          <w:bCs/>
          <w:sz w:val="24"/>
          <w:lang w:eastAsia="zh-CN"/>
        </w:rPr>
        <w:t>市场部</w:t>
      </w:r>
      <w:r>
        <w:rPr>
          <w:rFonts w:hint="eastAsia"/>
          <w:bCs/>
          <w:sz w:val="24"/>
        </w:rPr>
        <w:t>进行有效控制和爱护。对在本公司控制下或使用的顾客财产，</w:t>
      </w:r>
      <w:r>
        <w:rPr>
          <w:rFonts w:hint="eastAsia"/>
          <w:bCs/>
          <w:sz w:val="24"/>
          <w:lang w:eastAsia="zh-CN"/>
        </w:rPr>
        <w:t>市场部</w:t>
      </w:r>
      <w:r>
        <w:rPr>
          <w:rFonts w:hint="eastAsia"/>
          <w:bCs/>
          <w:sz w:val="24"/>
        </w:rPr>
        <w:t>应进行适当的标识、验证、保护和维护。当顾客财产发生丢失、损坏或发现不适用时，应及时报告顾客，并做好记录。</w:t>
      </w:r>
    </w:p>
    <w:p w14:paraId="004068FB">
      <w:pPr>
        <w:spacing w:line="360" w:lineRule="auto"/>
        <w:rPr>
          <w:bCs/>
          <w:sz w:val="24"/>
        </w:rPr>
      </w:pPr>
      <w:r>
        <w:rPr>
          <w:bCs/>
          <w:sz w:val="24"/>
        </w:rPr>
        <w:t>4.9</w:t>
      </w:r>
      <w:r>
        <w:rPr>
          <w:rFonts w:hint="eastAsia"/>
          <w:bCs/>
          <w:sz w:val="24"/>
        </w:rPr>
        <w:t>产品防护</w:t>
      </w:r>
    </w:p>
    <w:p w14:paraId="1136C0D9">
      <w:pPr>
        <w:spacing w:line="360" w:lineRule="auto"/>
        <w:rPr>
          <w:bCs/>
          <w:sz w:val="24"/>
        </w:rPr>
      </w:pPr>
      <w:r>
        <w:rPr>
          <w:bCs/>
          <w:sz w:val="24"/>
        </w:rPr>
        <w:t>4.9.1</w:t>
      </w:r>
      <w:r>
        <w:rPr>
          <w:rFonts w:hint="eastAsia"/>
          <w:bCs/>
          <w:sz w:val="24"/>
          <w:lang w:eastAsia="zh-CN"/>
        </w:rPr>
        <w:t>生产技术部</w:t>
      </w:r>
      <w:r>
        <w:rPr>
          <w:rFonts w:hint="eastAsia"/>
          <w:bCs/>
          <w:sz w:val="24"/>
        </w:rPr>
        <w:t>负责产品防护的监督和管理，对于产品从原材料采购、内部加工、放行、交付直到预期目的地的所有阶段，应针对产品的符合性提供必要的防护。产品防护的范围包括采购产品、过程产品和成品。</w:t>
      </w:r>
    </w:p>
    <w:p w14:paraId="130577D7">
      <w:pPr>
        <w:spacing w:line="360" w:lineRule="auto"/>
        <w:rPr>
          <w:bCs/>
          <w:sz w:val="24"/>
        </w:rPr>
      </w:pPr>
      <w:r>
        <w:rPr>
          <w:bCs/>
          <w:sz w:val="24"/>
        </w:rPr>
        <w:t>4.9.2</w:t>
      </w:r>
      <w:r>
        <w:rPr>
          <w:rFonts w:hint="eastAsia"/>
          <w:bCs/>
          <w:sz w:val="24"/>
        </w:rPr>
        <w:t>产品搬运的控制产品所在现场的负责人根据产品的特点，配置适宜的搬运工具，规定合理的搬运方法，应考虑：</w:t>
      </w:r>
    </w:p>
    <w:p w14:paraId="11A93213">
      <w:pPr>
        <w:spacing w:line="360" w:lineRule="auto"/>
        <w:ind w:firstLine="240" w:firstLineChars="100"/>
        <w:rPr>
          <w:bCs/>
          <w:sz w:val="24"/>
        </w:rPr>
      </w:pPr>
      <w:r>
        <w:rPr>
          <w:bCs/>
          <w:sz w:val="24"/>
        </w:rPr>
        <w:t>a</w:t>
      </w:r>
      <w:r>
        <w:rPr>
          <w:rFonts w:hint="eastAsia"/>
          <w:bCs/>
          <w:sz w:val="24"/>
        </w:rPr>
        <w:t>．不得破坏包装，防止跌落、磕碰、挤压；</w:t>
      </w:r>
      <w:r>
        <w:rPr>
          <w:bCs/>
          <w:sz w:val="24"/>
        </w:rPr>
        <w:t xml:space="preserve">  </w:t>
      </w:r>
    </w:p>
    <w:p w14:paraId="4F390A5A">
      <w:pPr>
        <w:spacing w:line="360" w:lineRule="auto"/>
        <w:ind w:firstLine="240" w:firstLineChars="100"/>
        <w:rPr>
          <w:bCs/>
          <w:sz w:val="24"/>
        </w:rPr>
      </w:pPr>
      <w:r>
        <w:rPr>
          <w:bCs/>
          <w:sz w:val="24"/>
        </w:rPr>
        <w:t>b</w:t>
      </w:r>
      <w:r>
        <w:rPr>
          <w:rFonts w:hint="eastAsia"/>
          <w:bCs/>
          <w:sz w:val="24"/>
        </w:rPr>
        <w:t>．应按照产品防护要求进行搬运，保证搬运通道畅通，搬运过程中注意保护好产品，防止丢失或损坏；</w:t>
      </w:r>
    </w:p>
    <w:p w14:paraId="62B9DE01">
      <w:pPr>
        <w:spacing w:line="360" w:lineRule="auto"/>
        <w:ind w:firstLine="240" w:firstLineChars="100"/>
        <w:rPr>
          <w:bCs/>
          <w:sz w:val="24"/>
        </w:rPr>
      </w:pPr>
      <w:r>
        <w:rPr>
          <w:bCs/>
          <w:sz w:val="24"/>
        </w:rPr>
        <w:t>c</w:t>
      </w:r>
      <w:r>
        <w:rPr>
          <w:rFonts w:hint="eastAsia"/>
          <w:bCs/>
          <w:sz w:val="24"/>
        </w:rPr>
        <w:t>．根据需要对搬运人员进行必要的培训，使其掌握必需的作业规程要求。</w:t>
      </w:r>
    </w:p>
    <w:p w14:paraId="53F2DC19">
      <w:pPr>
        <w:spacing w:line="360" w:lineRule="auto"/>
        <w:rPr>
          <w:bCs/>
          <w:sz w:val="24"/>
        </w:rPr>
      </w:pPr>
      <w:r>
        <w:rPr>
          <w:bCs/>
          <w:sz w:val="24"/>
        </w:rPr>
        <w:t>4.9.3</w:t>
      </w:r>
      <w:r>
        <w:rPr>
          <w:rFonts w:hint="eastAsia"/>
          <w:bCs/>
          <w:sz w:val="24"/>
        </w:rPr>
        <w:t>包装控制</w:t>
      </w:r>
    </w:p>
    <w:p w14:paraId="7FE8EF05">
      <w:pPr>
        <w:spacing w:line="360" w:lineRule="auto"/>
        <w:ind w:firstLine="240" w:firstLineChars="100"/>
        <w:rPr>
          <w:bCs/>
          <w:sz w:val="24"/>
        </w:rPr>
      </w:pPr>
      <w:r>
        <w:rPr>
          <w:bCs/>
          <w:sz w:val="24"/>
        </w:rPr>
        <w:t>a</w:t>
      </w:r>
      <w:r>
        <w:rPr>
          <w:rFonts w:hint="eastAsia"/>
          <w:bCs/>
          <w:sz w:val="24"/>
        </w:rPr>
        <w:t>．</w:t>
      </w:r>
      <w:r>
        <w:rPr>
          <w:rFonts w:hint="eastAsia"/>
          <w:bCs/>
          <w:sz w:val="24"/>
          <w:lang w:eastAsia="zh-CN"/>
        </w:rPr>
        <w:t>生产技术部</w:t>
      </w:r>
      <w:r>
        <w:rPr>
          <w:rFonts w:hint="eastAsia"/>
          <w:bCs/>
          <w:sz w:val="24"/>
        </w:rPr>
        <w:t>负责确定包装材料、包装设计和要求，根据需要编制相应的包装作业指导文件，以防止产品受损；</w:t>
      </w:r>
    </w:p>
    <w:p w14:paraId="75C44479">
      <w:pPr>
        <w:spacing w:line="360" w:lineRule="auto"/>
        <w:ind w:firstLine="240" w:firstLineChars="100"/>
        <w:rPr>
          <w:bCs/>
          <w:sz w:val="24"/>
        </w:rPr>
      </w:pPr>
      <w:r>
        <w:rPr>
          <w:bCs/>
          <w:sz w:val="24"/>
        </w:rPr>
        <w:t>b</w:t>
      </w:r>
      <w:r>
        <w:rPr>
          <w:rFonts w:hint="eastAsia"/>
          <w:bCs/>
          <w:sz w:val="24"/>
        </w:rPr>
        <w:t>．车间包装人员在包装过程中应注意核对产品规格型号及数量；保持产品外观清洁、完整，包装后应加上正确的标识。</w:t>
      </w:r>
    </w:p>
    <w:p w14:paraId="4823D820">
      <w:pPr>
        <w:spacing w:line="360" w:lineRule="auto"/>
        <w:rPr>
          <w:bCs/>
          <w:sz w:val="24"/>
        </w:rPr>
      </w:pPr>
      <w:r>
        <w:rPr>
          <w:bCs/>
          <w:sz w:val="24"/>
        </w:rPr>
        <w:t>4.9.4</w:t>
      </w:r>
      <w:r>
        <w:rPr>
          <w:rFonts w:hint="eastAsia"/>
          <w:bCs/>
          <w:sz w:val="24"/>
        </w:rPr>
        <w:t>贮存控制</w:t>
      </w:r>
    </w:p>
    <w:p w14:paraId="4DE508EF">
      <w:pPr>
        <w:spacing w:line="360" w:lineRule="auto"/>
        <w:ind w:firstLine="240" w:firstLineChars="100"/>
        <w:rPr>
          <w:bCs/>
          <w:sz w:val="24"/>
        </w:rPr>
      </w:pPr>
      <w:r>
        <w:rPr>
          <w:bCs/>
          <w:sz w:val="24"/>
        </w:rPr>
        <w:t>a</w:t>
      </w:r>
      <w:r>
        <w:rPr>
          <w:rFonts w:hint="eastAsia"/>
          <w:bCs/>
          <w:sz w:val="24"/>
        </w:rPr>
        <w:t>．</w:t>
      </w:r>
      <w:r>
        <w:rPr>
          <w:rFonts w:hint="eastAsia"/>
          <w:bCs/>
          <w:sz w:val="24"/>
          <w:lang w:eastAsia="zh-CN"/>
        </w:rPr>
        <w:t>生产技术部</w:t>
      </w:r>
      <w:r>
        <w:rPr>
          <w:rFonts w:hint="eastAsia"/>
          <w:bCs/>
          <w:sz w:val="24"/>
        </w:rPr>
        <w:t>负责成品库和原材料库的管理，执行《仓库管理制度》，规范库房的管理，按规定码放；</w:t>
      </w:r>
    </w:p>
    <w:p w14:paraId="6E68A1F5">
      <w:pPr>
        <w:spacing w:line="360" w:lineRule="auto"/>
        <w:ind w:firstLine="240" w:firstLineChars="100"/>
        <w:rPr>
          <w:bCs/>
          <w:sz w:val="24"/>
        </w:rPr>
      </w:pPr>
      <w:r>
        <w:rPr>
          <w:bCs/>
          <w:sz w:val="24"/>
        </w:rPr>
        <w:t>b</w:t>
      </w:r>
      <w:r>
        <w:rPr>
          <w:rFonts w:hint="eastAsia"/>
          <w:bCs/>
          <w:sz w:val="24"/>
        </w:rPr>
        <w:t>．仓库应配置适当的设备（排气扇、抽风机、消防设备等），以保持适宜的贮存环境；所有贮存物品应建立台帐，库房应定期盘点，做好帐务清理，保持帐、卡物一致；仓管员应经常查看库存物品，发现异常及时通知部门负责人确认、处理。</w:t>
      </w:r>
    </w:p>
    <w:p w14:paraId="0B9F7D99">
      <w:pPr>
        <w:spacing w:line="360" w:lineRule="auto"/>
        <w:rPr>
          <w:bCs/>
          <w:sz w:val="24"/>
        </w:rPr>
      </w:pPr>
      <w:r>
        <w:rPr>
          <w:bCs/>
          <w:sz w:val="24"/>
        </w:rPr>
        <w:t>4.10</w:t>
      </w:r>
      <w:r>
        <w:rPr>
          <w:rFonts w:hint="eastAsia"/>
          <w:bCs/>
          <w:sz w:val="24"/>
        </w:rPr>
        <w:t>产品放行、交付及交付后活动的控制</w:t>
      </w:r>
    </w:p>
    <w:p w14:paraId="0421F07A">
      <w:pPr>
        <w:spacing w:line="360" w:lineRule="auto"/>
        <w:rPr>
          <w:bCs/>
          <w:sz w:val="24"/>
        </w:rPr>
      </w:pPr>
      <w:r>
        <w:rPr>
          <w:bCs/>
          <w:sz w:val="24"/>
        </w:rPr>
        <w:t>4.10.1</w:t>
      </w:r>
      <w:r>
        <w:rPr>
          <w:rFonts w:hint="eastAsia"/>
          <w:bCs/>
          <w:sz w:val="24"/>
        </w:rPr>
        <w:t>对原料、半成品和成品的放行，应执行《产品的监视和测量控制程序》的有关规定。</w:t>
      </w:r>
    </w:p>
    <w:p w14:paraId="7677F95E">
      <w:pPr>
        <w:spacing w:line="360" w:lineRule="auto"/>
        <w:rPr>
          <w:bCs/>
          <w:sz w:val="24"/>
        </w:rPr>
      </w:pPr>
      <w:r>
        <w:rPr>
          <w:bCs/>
          <w:sz w:val="24"/>
        </w:rPr>
        <w:t>4.10.2</w:t>
      </w:r>
      <w:r>
        <w:rPr>
          <w:rFonts w:hint="eastAsia"/>
          <w:bCs/>
          <w:sz w:val="24"/>
        </w:rPr>
        <w:t>产品的交付</w:t>
      </w:r>
    </w:p>
    <w:p w14:paraId="5CA9A341">
      <w:pPr>
        <w:spacing w:line="360" w:lineRule="auto"/>
        <w:ind w:firstLine="240" w:firstLineChars="100"/>
        <w:rPr>
          <w:bCs/>
          <w:sz w:val="24"/>
        </w:rPr>
      </w:pPr>
      <w:r>
        <w:rPr>
          <w:bCs/>
          <w:sz w:val="24"/>
        </w:rPr>
        <w:t>a</w:t>
      </w:r>
      <w:r>
        <w:rPr>
          <w:rFonts w:hint="eastAsia"/>
          <w:bCs/>
          <w:sz w:val="24"/>
        </w:rPr>
        <w:t>．根据顾客要求，产品交付后，如需现场送货，由</w:t>
      </w:r>
      <w:r>
        <w:rPr>
          <w:rFonts w:hint="eastAsia"/>
          <w:bCs/>
          <w:sz w:val="24"/>
          <w:lang w:eastAsia="zh-CN"/>
        </w:rPr>
        <w:t>市场部</w:t>
      </w:r>
      <w:r>
        <w:rPr>
          <w:rFonts w:hint="eastAsia"/>
          <w:bCs/>
          <w:sz w:val="24"/>
        </w:rPr>
        <w:t>安排人员到顾客处进行送货和办理相关的手续；</w:t>
      </w:r>
    </w:p>
    <w:p w14:paraId="1F2A99CB">
      <w:pPr>
        <w:spacing w:line="360" w:lineRule="auto"/>
        <w:ind w:firstLine="240" w:firstLineChars="100"/>
        <w:rPr>
          <w:bCs/>
          <w:sz w:val="24"/>
        </w:rPr>
      </w:pPr>
      <w:r>
        <w:rPr>
          <w:bCs/>
          <w:sz w:val="24"/>
        </w:rPr>
        <w:t>b</w:t>
      </w:r>
      <w:r>
        <w:rPr>
          <w:rFonts w:hint="eastAsia"/>
          <w:bCs/>
          <w:sz w:val="24"/>
        </w:rPr>
        <w:t>．合同要求时，公司对产品的保护要延续到交付的目的地。</w:t>
      </w:r>
    </w:p>
    <w:p w14:paraId="15FB8740">
      <w:pPr>
        <w:spacing w:line="360" w:lineRule="auto"/>
        <w:rPr>
          <w:bCs/>
          <w:sz w:val="24"/>
        </w:rPr>
      </w:pPr>
      <w:r>
        <w:rPr>
          <w:bCs/>
          <w:sz w:val="24"/>
        </w:rPr>
        <w:t>4.10.3</w:t>
      </w:r>
      <w:r>
        <w:rPr>
          <w:rFonts w:hint="eastAsia"/>
          <w:bCs/>
          <w:sz w:val="24"/>
        </w:rPr>
        <w:t>产品交付后的活动</w:t>
      </w:r>
      <w:r>
        <w:rPr>
          <w:rFonts w:hint="eastAsia"/>
          <w:bCs/>
          <w:sz w:val="24"/>
          <w:lang w:eastAsia="zh-CN"/>
        </w:rPr>
        <w:t>市场部</w:t>
      </w:r>
      <w:r>
        <w:rPr>
          <w:rFonts w:hint="eastAsia"/>
          <w:bCs/>
          <w:sz w:val="24"/>
        </w:rPr>
        <w:t>负责产品的售后服务：</w:t>
      </w:r>
      <w:r>
        <w:rPr>
          <w:bCs/>
          <w:sz w:val="24"/>
        </w:rPr>
        <w:t xml:space="preserve">  </w:t>
      </w:r>
    </w:p>
    <w:p w14:paraId="08CAA009">
      <w:pPr>
        <w:spacing w:line="360" w:lineRule="auto"/>
        <w:ind w:firstLine="240" w:firstLineChars="100"/>
        <w:rPr>
          <w:bCs/>
          <w:sz w:val="24"/>
        </w:rPr>
      </w:pPr>
      <w:r>
        <w:rPr>
          <w:bCs/>
          <w:sz w:val="24"/>
        </w:rPr>
        <w:t>a</w:t>
      </w:r>
      <w:r>
        <w:rPr>
          <w:rFonts w:hint="eastAsia"/>
          <w:bCs/>
          <w:sz w:val="24"/>
        </w:rPr>
        <w:t>．负责组织、协调产品的服务工作；</w:t>
      </w:r>
      <w:r>
        <w:rPr>
          <w:bCs/>
          <w:sz w:val="24"/>
        </w:rPr>
        <w:t xml:space="preserve">  </w:t>
      </w:r>
    </w:p>
    <w:p w14:paraId="5972E8EC">
      <w:pPr>
        <w:spacing w:line="360" w:lineRule="auto"/>
        <w:ind w:firstLine="240" w:firstLineChars="100"/>
        <w:rPr>
          <w:bCs/>
          <w:sz w:val="24"/>
        </w:rPr>
      </w:pPr>
      <w:r>
        <w:rPr>
          <w:bCs/>
          <w:sz w:val="24"/>
        </w:rPr>
        <w:t>b</w:t>
      </w:r>
      <w:r>
        <w:rPr>
          <w:rFonts w:hint="eastAsia"/>
          <w:bCs/>
          <w:sz w:val="24"/>
        </w:rPr>
        <w:t>．负责与顾客联络，妥善处理顾客抱怨，负责相关服务记录；</w:t>
      </w:r>
    </w:p>
    <w:p w14:paraId="62AA1220">
      <w:pPr>
        <w:spacing w:line="360" w:lineRule="auto"/>
        <w:ind w:firstLine="240" w:firstLineChars="100"/>
        <w:rPr>
          <w:bCs/>
          <w:sz w:val="24"/>
        </w:rPr>
      </w:pPr>
      <w:r>
        <w:rPr>
          <w:bCs/>
          <w:sz w:val="24"/>
        </w:rPr>
        <w:t>c</w:t>
      </w:r>
      <w:r>
        <w:rPr>
          <w:rFonts w:hint="eastAsia"/>
          <w:bCs/>
          <w:sz w:val="24"/>
        </w:rPr>
        <w:t>．负责对顾客满意程度进行测量，确定顾客的需求和潜在需求，执行《顾客满意度测量控制程序》；</w:t>
      </w:r>
    </w:p>
    <w:p w14:paraId="6306394D">
      <w:pPr>
        <w:spacing w:line="360" w:lineRule="auto"/>
        <w:ind w:firstLine="240" w:firstLineChars="100"/>
        <w:rPr>
          <w:bCs/>
          <w:sz w:val="24"/>
        </w:rPr>
      </w:pPr>
      <w:r>
        <w:rPr>
          <w:bCs/>
          <w:sz w:val="24"/>
        </w:rPr>
        <w:t>d</w:t>
      </w:r>
      <w:r>
        <w:rPr>
          <w:rFonts w:hint="eastAsia"/>
          <w:bCs/>
          <w:sz w:val="24"/>
        </w:rPr>
        <w:t>．建立顾客档案，详细记录其名称、地址、电话、联系人及每批产品的规格和数量；整理了解顾客的定货倾向，及时做好供货准备；</w:t>
      </w:r>
    </w:p>
    <w:p w14:paraId="6505BA7C">
      <w:pPr>
        <w:spacing w:line="360" w:lineRule="auto"/>
        <w:ind w:firstLine="240" w:firstLineChars="100"/>
        <w:rPr>
          <w:bCs/>
          <w:sz w:val="24"/>
        </w:rPr>
      </w:pPr>
      <w:r>
        <w:rPr>
          <w:bCs/>
          <w:sz w:val="24"/>
        </w:rPr>
        <w:t>e</w:t>
      </w:r>
      <w:r>
        <w:rPr>
          <w:rFonts w:hint="eastAsia"/>
          <w:bCs/>
          <w:sz w:val="24"/>
        </w:rPr>
        <w:t>．加强与顾客的交往，主动向顾客介绍本公司产品，提供宣传资料，解答顾客提问。</w:t>
      </w:r>
    </w:p>
    <w:p w14:paraId="134A4C43">
      <w:pPr>
        <w:spacing w:line="360" w:lineRule="auto"/>
        <w:rPr>
          <w:bCs/>
          <w:sz w:val="24"/>
        </w:rPr>
      </w:pPr>
      <w:r>
        <w:rPr>
          <w:bCs/>
          <w:sz w:val="24"/>
        </w:rPr>
        <w:t>5.</w:t>
      </w:r>
      <w:r>
        <w:rPr>
          <w:rFonts w:hint="eastAsia"/>
          <w:bCs/>
          <w:sz w:val="24"/>
        </w:rPr>
        <w:t>相关文件</w:t>
      </w:r>
    </w:p>
    <w:p w14:paraId="409CEDA4">
      <w:pPr>
        <w:spacing w:line="360" w:lineRule="auto"/>
        <w:rPr>
          <w:bCs/>
          <w:sz w:val="24"/>
        </w:rPr>
      </w:pPr>
      <w:r>
        <w:rPr>
          <w:bCs/>
          <w:sz w:val="24"/>
        </w:rPr>
        <w:t>5.1</w:t>
      </w:r>
      <w:r>
        <w:rPr>
          <w:rFonts w:hint="eastAsia"/>
          <w:bCs/>
          <w:sz w:val="24"/>
        </w:rPr>
        <w:t>《产品实现的策划控制程序》</w:t>
      </w:r>
    </w:p>
    <w:p w14:paraId="70DCD859">
      <w:pPr>
        <w:spacing w:line="360" w:lineRule="auto"/>
        <w:rPr>
          <w:bCs/>
          <w:sz w:val="24"/>
        </w:rPr>
      </w:pPr>
      <w:r>
        <w:rPr>
          <w:bCs/>
          <w:sz w:val="24"/>
        </w:rPr>
        <w:t>5.2</w:t>
      </w:r>
      <w:r>
        <w:rPr>
          <w:rFonts w:hint="eastAsia"/>
          <w:bCs/>
          <w:sz w:val="24"/>
        </w:rPr>
        <w:t>《与顾客有关的过程控制程序》</w:t>
      </w:r>
    </w:p>
    <w:p w14:paraId="4F4079F6">
      <w:pPr>
        <w:spacing w:line="360" w:lineRule="auto"/>
        <w:rPr>
          <w:bCs/>
          <w:sz w:val="24"/>
        </w:rPr>
      </w:pPr>
      <w:r>
        <w:rPr>
          <w:bCs/>
          <w:sz w:val="24"/>
        </w:rPr>
        <w:t>5.3</w:t>
      </w:r>
      <w:r>
        <w:rPr>
          <w:rFonts w:hint="eastAsia"/>
          <w:bCs/>
          <w:sz w:val="24"/>
        </w:rPr>
        <w:t>《文件控制程序》</w:t>
      </w:r>
    </w:p>
    <w:p w14:paraId="2BAA7CCC">
      <w:pPr>
        <w:spacing w:line="360" w:lineRule="auto"/>
        <w:rPr>
          <w:bCs/>
          <w:sz w:val="24"/>
        </w:rPr>
      </w:pPr>
      <w:r>
        <w:rPr>
          <w:bCs/>
          <w:sz w:val="24"/>
        </w:rPr>
        <w:t>5.4</w:t>
      </w:r>
      <w:r>
        <w:rPr>
          <w:rFonts w:hint="eastAsia"/>
          <w:bCs/>
          <w:sz w:val="24"/>
        </w:rPr>
        <w:t>《基础设施管理控制程序》</w:t>
      </w:r>
    </w:p>
    <w:p w14:paraId="152563E9">
      <w:pPr>
        <w:spacing w:line="360" w:lineRule="auto"/>
        <w:rPr>
          <w:bCs/>
          <w:sz w:val="24"/>
        </w:rPr>
      </w:pPr>
      <w:r>
        <w:rPr>
          <w:bCs/>
          <w:sz w:val="24"/>
        </w:rPr>
        <w:t>5.5</w:t>
      </w:r>
      <w:r>
        <w:rPr>
          <w:rFonts w:hint="eastAsia"/>
          <w:bCs/>
          <w:sz w:val="24"/>
        </w:rPr>
        <w:t>《产品的监视和测量控制程序》</w:t>
      </w:r>
    </w:p>
    <w:p w14:paraId="4DC96E19">
      <w:pPr>
        <w:spacing w:line="360" w:lineRule="auto"/>
        <w:rPr>
          <w:bCs/>
          <w:sz w:val="24"/>
        </w:rPr>
      </w:pPr>
      <w:r>
        <w:rPr>
          <w:bCs/>
          <w:sz w:val="24"/>
        </w:rPr>
        <w:t>5.6</w:t>
      </w:r>
      <w:r>
        <w:rPr>
          <w:rFonts w:hint="eastAsia"/>
          <w:bCs/>
          <w:sz w:val="24"/>
        </w:rPr>
        <w:t>《顾客满意度测量控制程序》</w:t>
      </w:r>
    </w:p>
    <w:p w14:paraId="62176599">
      <w:pPr>
        <w:spacing w:line="360" w:lineRule="auto"/>
        <w:rPr>
          <w:bCs/>
          <w:sz w:val="24"/>
        </w:rPr>
      </w:pPr>
      <w:r>
        <w:rPr>
          <w:bCs/>
          <w:sz w:val="24"/>
        </w:rPr>
        <w:t>5.7</w:t>
      </w:r>
      <w:r>
        <w:rPr>
          <w:rFonts w:hint="eastAsia"/>
          <w:bCs/>
          <w:sz w:val="24"/>
        </w:rPr>
        <w:t>《采购控制程序》</w:t>
      </w:r>
    </w:p>
    <w:p w14:paraId="4DF72541">
      <w:pPr>
        <w:spacing w:line="360" w:lineRule="auto"/>
        <w:rPr>
          <w:bCs/>
          <w:sz w:val="24"/>
        </w:rPr>
      </w:pPr>
      <w:r>
        <w:rPr>
          <w:bCs/>
          <w:sz w:val="24"/>
        </w:rPr>
        <w:t>6</w:t>
      </w:r>
      <w:r>
        <w:rPr>
          <w:rFonts w:hint="eastAsia"/>
          <w:bCs/>
          <w:sz w:val="24"/>
        </w:rPr>
        <w:t>．记录</w:t>
      </w:r>
    </w:p>
    <w:p w14:paraId="51DF20A1">
      <w:pPr>
        <w:spacing w:line="360" w:lineRule="auto"/>
        <w:rPr>
          <w:bCs/>
          <w:sz w:val="24"/>
        </w:rPr>
      </w:pPr>
      <w:r>
        <w:rPr>
          <w:bCs/>
          <w:sz w:val="24"/>
        </w:rPr>
        <w:t>6.1</w:t>
      </w:r>
      <w:r>
        <w:rPr>
          <w:rFonts w:hint="eastAsia"/>
          <w:bCs/>
          <w:sz w:val="24"/>
        </w:rPr>
        <w:t>《生产计划》</w:t>
      </w:r>
    </w:p>
    <w:p w14:paraId="1B153BED">
      <w:pPr>
        <w:spacing w:line="360" w:lineRule="auto"/>
        <w:rPr>
          <w:bCs/>
          <w:sz w:val="24"/>
        </w:rPr>
      </w:pPr>
      <w:r>
        <w:rPr>
          <w:bCs/>
          <w:sz w:val="24"/>
        </w:rPr>
        <w:t>6.2</w:t>
      </w:r>
      <w:r>
        <w:rPr>
          <w:rFonts w:hint="eastAsia"/>
          <w:bCs/>
          <w:sz w:val="24"/>
        </w:rPr>
        <w:t>《过程确认记录》</w:t>
      </w:r>
    </w:p>
    <w:p w14:paraId="7EEBE057">
      <w:pPr>
        <w:spacing w:line="360" w:lineRule="auto"/>
        <w:rPr>
          <w:bCs/>
          <w:sz w:val="24"/>
        </w:rPr>
      </w:pPr>
      <w:r>
        <w:rPr>
          <w:bCs/>
          <w:sz w:val="24"/>
        </w:rPr>
        <w:t>6.3</w:t>
      </w:r>
      <w:r>
        <w:rPr>
          <w:rFonts w:hint="eastAsia"/>
          <w:bCs/>
          <w:sz w:val="24"/>
        </w:rPr>
        <w:t>《质检记录》</w:t>
      </w:r>
    </w:p>
    <w:p w14:paraId="3776438A">
      <w:pPr>
        <w:rPr>
          <w:bCs/>
          <w:sz w:val="24"/>
        </w:rPr>
      </w:pPr>
    </w:p>
    <w:p w14:paraId="105B51C3">
      <w:pPr>
        <w:widowControl/>
        <w:jc w:val="left"/>
        <w:rPr>
          <w:bCs/>
          <w:sz w:val="24"/>
        </w:rPr>
      </w:pPr>
      <w:r>
        <w:rPr>
          <w:bCs/>
          <w:sz w:val="24"/>
        </w:rPr>
        <w:br w:type="page"/>
      </w:r>
    </w:p>
    <w:p w14:paraId="0C4AC3CA">
      <w:pPr>
        <w:pStyle w:val="2"/>
        <w:spacing w:before="156" w:beforeLines="50" w:after="156" w:afterLines="50" w:line="720" w:lineRule="auto"/>
        <w:jc w:val="left"/>
        <w:rPr>
          <w:sz w:val="28"/>
          <w:szCs w:val="28"/>
        </w:rPr>
      </w:pPr>
      <w:r>
        <w:rPr>
          <w:rFonts w:hint="eastAsia"/>
          <w:sz w:val="28"/>
          <w:szCs w:val="28"/>
        </w:rPr>
        <w:t>二十、监视和测量设备控制程序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-20</w:t>
      </w:r>
    </w:p>
    <w:p w14:paraId="3AF67E97">
      <w:pPr>
        <w:spacing w:line="360" w:lineRule="auto"/>
        <w:rPr>
          <w:bCs/>
          <w:sz w:val="24"/>
        </w:rPr>
      </w:pPr>
      <w:r>
        <w:rPr>
          <w:bCs/>
          <w:sz w:val="24"/>
        </w:rPr>
        <w:t>1.</w:t>
      </w:r>
      <w:r>
        <w:rPr>
          <w:rFonts w:hint="eastAsia"/>
          <w:bCs/>
          <w:sz w:val="24"/>
        </w:rPr>
        <w:t>目的</w:t>
      </w:r>
    </w:p>
    <w:p w14:paraId="0FA8674C">
      <w:pPr>
        <w:spacing w:line="360" w:lineRule="auto"/>
        <w:rPr>
          <w:bCs/>
          <w:sz w:val="24"/>
        </w:rPr>
      </w:pPr>
      <w:r>
        <w:rPr>
          <w:bCs/>
          <w:sz w:val="24"/>
        </w:rPr>
        <w:t xml:space="preserve">  </w:t>
      </w:r>
      <w:r>
        <w:rPr>
          <w:rFonts w:hint="eastAsia"/>
          <w:bCs/>
          <w:sz w:val="24"/>
        </w:rPr>
        <w:t>对用于确保产品符合规定要求和证明产品符合规定要求，以及环境和职业健康安全绩效符合规定要求的监视和测量设备进行控制，确保监视和测量结果的有效性。</w:t>
      </w:r>
    </w:p>
    <w:p w14:paraId="398D9878">
      <w:pPr>
        <w:spacing w:line="360" w:lineRule="auto"/>
        <w:rPr>
          <w:bCs/>
          <w:sz w:val="24"/>
        </w:rPr>
      </w:pPr>
      <w:r>
        <w:rPr>
          <w:bCs/>
          <w:sz w:val="24"/>
        </w:rPr>
        <w:t>2</w:t>
      </w:r>
      <w:r>
        <w:rPr>
          <w:rFonts w:hint="eastAsia"/>
          <w:bCs/>
          <w:sz w:val="24"/>
        </w:rPr>
        <w:t>．范围</w:t>
      </w:r>
    </w:p>
    <w:p w14:paraId="1D0E40BD">
      <w:pPr>
        <w:spacing w:line="360" w:lineRule="auto"/>
        <w:rPr>
          <w:bCs/>
          <w:sz w:val="24"/>
        </w:rPr>
      </w:pPr>
      <w:r>
        <w:rPr>
          <w:bCs/>
          <w:sz w:val="24"/>
        </w:rPr>
        <w:t xml:space="preserve">  </w:t>
      </w:r>
      <w:r>
        <w:rPr>
          <w:rFonts w:hint="eastAsia"/>
          <w:bCs/>
          <w:sz w:val="24"/>
        </w:rPr>
        <w:t>适用于确保产品、环境和职业健康安全绩效符合规定要求的监视和测量设备的控制。</w:t>
      </w:r>
    </w:p>
    <w:p w14:paraId="3B23C70D">
      <w:pPr>
        <w:spacing w:line="360" w:lineRule="auto"/>
        <w:rPr>
          <w:bCs/>
          <w:sz w:val="24"/>
        </w:rPr>
      </w:pPr>
      <w:r>
        <w:rPr>
          <w:bCs/>
          <w:sz w:val="24"/>
        </w:rPr>
        <w:t>3</w:t>
      </w:r>
      <w:r>
        <w:rPr>
          <w:rFonts w:hint="eastAsia"/>
          <w:bCs/>
          <w:sz w:val="24"/>
        </w:rPr>
        <w:t>．职责</w:t>
      </w:r>
    </w:p>
    <w:p w14:paraId="06C7E02E">
      <w:pPr>
        <w:spacing w:line="360" w:lineRule="auto"/>
        <w:rPr>
          <w:bCs/>
          <w:sz w:val="24"/>
        </w:rPr>
      </w:pPr>
      <w:r>
        <w:rPr>
          <w:bCs/>
          <w:sz w:val="24"/>
        </w:rPr>
        <w:t>3.1</w:t>
      </w:r>
      <w:r>
        <w:rPr>
          <w:rFonts w:hint="eastAsia"/>
          <w:bCs/>
          <w:sz w:val="24"/>
          <w:lang w:eastAsia="zh-CN"/>
        </w:rPr>
        <w:t>研发部</w:t>
      </w:r>
      <w:r>
        <w:rPr>
          <w:rFonts w:hint="eastAsia"/>
          <w:bCs/>
          <w:sz w:val="24"/>
        </w:rPr>
        <w:t>负责监视和测量设备的归口管理，定期对监视和测量设备进行校准或检定；</w:t>
      </w:r>
    </w:p>
    <w:p w14:paraId="6D0CDB82">
      <w:pPr>
        <w:spacing w:line="360" w:lineRule="auto"/>
        <w:rPr>
          <w:bCs/>
          <w:sz w:val="24"/>
        </w:rPr>
      </w:pPr>
      <w:r>
        <w:rPr>
          <w:bCs/>
          <w:sz w:val="24"/>
        </w:rPr>
        <w:t>3.2</w:t>
      </w:r>
      <w:r>
        <w:rPr>
          <w:rFonts w:hint="eastAsia"/>
          <w:bCs/>
          <w:sz w:val="24"/>
          <w:lang w:eastAsia="zh-CN"/>
        </w:rPr>
        <w:t>市场部</w:t>
      </w:r>
      <w:r>
        <w:rPr>
          <w:rFonts w:hint="eastAsia"/>
          <w:bCs/>
          <w:sz w:val="24"/>
        </w:rPr>
        <w:t>负责监视和测量设备的采购，</w:t>
      </w:r>
      <w:r>
        <w:rPr>
          <w:rFonts w:hint="eastAsia"/>
          <w:bCs/>
          <w:sz w:val="24"/>
          <w:lang w:eastAsia="zh-CN"/>
        </w:rPr>
        <w:t>研发部</w:t>
      </w:r>
      <w:r>
        <w:rPr>
          <w:rFonts w:hint="eastAsia"/>
          <w:bCs/>
          <w:sz w:val="24"/>
        </w:rPr>
        <w:t>负责对监视和测量设备的验收；</w:t>
      </w:r>
    </w:p>
    <w:p w14:paraId="1FA06C64">
      <w:pPr>
        <w:spacing w:line="360" w:lineRule="auto"/>
        <w:rPr>
          <w:bCs/>
          <w:sz w:val="24"/>
        </w:rPr>
      </w:pPr>
      <w:r>
        <w:rPr>
          <w:bCs/>
          <w:sz w:val="24"/>
        </w:rPr>
        <w:t>4</w:t>
      </w:r>
      <w:r>
        <w:rPr>
          <w:rFonts w:hint="eastAsia"/>
          <w:bCs/>
          <w:sz w:val="24"/>
        </w:rPr>
        <w:t>．程序</w:t>
      </w:r>
    </w:p>
    <w:p w14:paraId="431DE08A">
      <w:pPr>
        <w:spacing w:line="360" w:lineRule="auto"/>
        <w:rPr>
          <w:bCs/>
          <w:sz w:val="24"/>
        </w:rPr>
      </w:pPr>
      <w:r>
        <w:rPr>
          <w:bCs/>
          <w:sz w:val="24"/>
        </w:rPr>
        <w:t>4.1</w:t>
      </w:r>
      <w:r>
        <w:rPr>
          <w:rFonts w:hint="eastAsia"/>
          <w:bCs/>
          <w:sz w:val="24"/>
        </w:rPr>
        <w:t>监视和测量设备的采购及验收根据监视和测量项目所需测量能力和测量要求配置适宜的监视和测量设备，由</w:t>
      </w:r>
      <w:r>
        <w:rPr>
          <w:rFonts w:hint="eastAsia"/>
          <w:bCs/>
          <w:sz w:val="24"/>
          <w:lang w:eastAsia="zh-CN"/>
        </w:rPr>
        <w:t>市场部</w:t>
      </w:r>
      <w:r>
        <w:rPr>
          <w:rFonts w:hint="eastAsia"/>
          <w:bCs/>
          <w:sz w:val="24"/>
        </w:rPr>
        <w:t>负责采购，</w:t>
      </w:r>
      <w:r>
        <w:rPr>
          <w:rFonts w:hint="eastAsia"/>
          <w:bCs/>
          <w:sz w:val="24"/>
          <w:lang w:eastAsia="zh-CN"/>
        </w:rPr>
        <w:t>研发部</w:t>
      </w:r>
      <w:r>
        <w:rPr>
          <w:rFonts w:hint="eastAsia"/>
          <w:bCs/>
          <w:sz w:val="24"/>
        </w:rPr>
        <w:t>负责对设备的验收。</w:t>
      </w:r>
    </w:p>
    <w:p w14:paraId="0D1C6132">
      <w:pPr>
        <w:spacing w:line="360" w:lineRule="auto"/>
        <w:rPr>
          <w:bCs/>
          <w:sz w:val="24"/>
        </w:rPr>
      </w:pPr>
      <w:r>
        <w:rPr>
          <w:bCs/>
          <w:sz w:val="24"/>
        </w:rPr>
        <w:t>4.2</w:t>
      </w:r>
      <w:r>
        <w:rPr>
          <w:rFonts w:hint="eastAsia"/>
          <w:bCs/>
          <w:sz w:val="24"/>
        </w:rPr>
        <w:t>监视和测量设备的初次校准</w:t>
      </w:r>
    </w:p>
    <w:p w14:paraId="47047A47">
      <w:pPr>
        <w:spacing w:line="360" w:lineRule="auto"/>
        <w:rPr>
          <w:bCs/>
          <w:sz w:val="24"/>
        </w:rPr>
      </w:pPr>
      <w:r>
        <w:rPr>
          <w:bCs/>
          <w:sz w:val="24"/>
        </w:rPr>
        <w:t xml:space="preserve">   a</w:t>
      </w:r>
      <w:r>
        <w:rPr>
          <w:rFonts w:hint="eastAsia"/>
          <w:bCs/>
          <w:sz w:val="24"/>
        </w:rPr>
        <w:t>．经验收合格的监视和测量设备，使用前应由</w:t>
      </w:r>
      <w:r>
        <w:rPr>
          <w:rFonts w:hint="eastAsia"/>
          <w:bCs/>
          <w:sz w:val="24"/>
          <w:lang w:eastAsia="zh-CN"/>
        </w:rPr>
        <w:t>研发部</w:t>
      </w:r>
      <w:r>
        <w:rPr>
          <w:rFonts w:hint="eastAsia"/>
          <w:bCs/>
          <w:sz w:val="24"/>
        </w:rPr>
        <w:t>负责送国家计量部门检定或自行校准，合格后方能发放使用。对合格者粘贴表明其状态的唯一性标识，并标明有效期；</w:t>
      </w:r>
      <w:r>
        <w:rPr>
          <w:rFonts w:hint="eastAsia"/>
          <w:bCs/>
          <w:sz w:val="24"/>
          <w:lang w:eastAsia="zh-CN"/>
        </w:rPr>
        <w:t>研发部</w:t>
      </w:r>
      <w:r>
        <w:rPr>
          <w:rFonts w:hint="eastAsia"/>
          <w:bCs/>
          <w:sz w:val="24"/>
        </w:rPr>
        <w:t>负责对该设备编号，建立《监视和测量设备台帐》，记录设备的编号、名称、规格型号、生产厂家、校准周期、校准日期、放置地点等。</w:t>
      </w:r>
    </w:p>
    <w:p w14:paraId="38BEF192">
      <w:pPr>
        <w:spacing w:line="360" w:lineRule="auto"/>
        <w:rPr>
          <w:bCs/>
          <w:sz w:val="24"/>
        </w:rPr>
      </w:pPr>
      <w:r>
        <w:rPr>
          <w:bCs/>
          <w:sz w:val="24"/>
        </w:rPr>
        <w:t xml:space="preserve">   b</w:t>
      </w:r>
      <w:r>
        <w:rPr>
          <w:rFonts w:hint="eastAsia"/>
          <w:bCs/>
          <w:sz w:val="24"/>
        </w:rPr>
        <w:t>．对于没有国家标准的设备，应记录用于校准的依据。</w:t>
      </w:r>
    </w:p>
    <w:p w14:paraId="22774214">
      <w:pPr>
        <w:spacing w:line="360" w:lineRule="auto"/>
        <w:rPr>
          <w:bCs/>
          <w:sz w:val="24"/>
        </w:rPr>
      </w:pPr>
      <w:r>
        <w:rPr>
          <w:bCs/>
          <w:sz w:val="24"/>
        </w:rPr>
        <w:t>4.3</w:t>
      </w:r>
      <w:r>
        <w:rPr>
          <w:rFonts w:hint="eastAsia"/>
          <w:bCs/>
          <w:sz w:val="24"/>
        </w:rPr>
        <w:t>监视和测量设备的周期检定和校准</w:t>
      </w:r>
    </w:p>
    <w:p w14:paraId="598243B4">
      <w:pPr>
        <w:spacing w:line="360" w:lineRule="auto"/>
        <w:rPr>
          <w:bCs/>
          <w:sz w:val="24"/>
        </w:rPr>
      </w:pPr>
      <w:r>
        <w:rPr>
          <w:bCs/>
          <w:sz w:val="24"/>
        </w:rPr>
        <w:t>4.3.1</w:t>
      </w:r>
      <w:r>
        <w:rPr>
          <w:rFonts w:hint="eastAsia"/>
          <w:bCs/>
          <w:sz w:val="24"/>
        </w:rPr>
        <w:t>按照规定的时间间隔，由</w:t>
      </w:r>
      <w:r>
        <w:rPr>
          <w:rFonts w:hint="eastAsia"/>
          <w:bCs/>
          <w:sz w:val="24"/>
          <w:lang w:eastAsia="zh-CN"/>
        </w:rPr>
        <w:t>研发部</w:t>
      </w:r>
      <w:r>
        <w:rPr>
          <w:rFonts w:hint="eastAsia"/>
          <w:bCs/>
          <w:sz w:val="24"/>
        </w:rPr>
        <w:t>进行周期检定（验证）或校准。</w:t>
      </w:r>
      <w:r>
        <w:rPr>
          <w:bCs/>
          <w:sz w:val="24"/>
        </w:rPr>
        <w:t xml:space="preserve">  a</w:t>
      </w:r>
      <w:r>
        <w:rPr>
          <w:rFonts w:hint="eastAsia"/>
          <w:bCs/>
          <w:sz w:val="24"/>
        </w:rPr>
        <w:t>．对需送检的设备，由</w:t>
      </w:r>
      <w:r>
        <w:rPr>
          <w:rFonts w:hint="eastAsia"/>
          <w:bCs/>
          <w:sz w:val="24"/>
          <w:lang w:eastAsia="zh-CN"/>
        </w:rPr>
        <w:t>研发部</w:t>
      </w:r>
      <w:r>
        <w:rPr>
          <w:rFonts w:hint="eastAsia"/>
          <w:bCs/>
          <w:sz w:val="24"/>
        </w:rPr>
        <w:t>负责联系国家法定计量部门进行检定，并出具检定报告；</w:t>
      </w:r>
      <w:r>
        <w:rPr>
          <w:bCs/>
          <w:sz w:val="24"/>
        </w:rPr>
        <w:t xml:space="preserve">  b</w:t>
      </w:r>
      <w:r>
        <w:rPr>
          <w:rFonts w:hint="eastAsia"/>
          <w:bCs/>
          <w:sz w:val="24"/>
        </w:rPr>
        <w:t>．对需进行内部校准的设备，</w:t>
      </w:r>
      <w:r>
        <w:rPr>
          <w:rFonts w:hint="eastAsia"/>
          <w:bCs/>
          <w:sz w:val="24"/>
          <w:lang w:eastAsia="zh-CN"/>
        </w:rPr>
        <w:t>研发部</w:t>
      </w:r>
      <w:r>
        <w:rPr>
          <w:rFonts w:hint="eastAsia"/>
          <w:bCs/>
          <w:sz w:val="24"/>
        </w:rPr>
        <w:t>应编制相应的内部校准规程，规定校准的方法、使用设备、验收标准及校准周期等内容，经部门负责人批准后实施，并保留内校记录。</w:t>
      </w:r>
    </w:p>
    <w:p w14:paraId="1E6D2AE4">
      <w:pPr>
        <w:spacing w:line="360" w:lineRule="auto"/>
        <w:rPr>
          <w:bCs/>
          <w:sz w:val="24"/>
        </w:rPr>
      </w:pPr>
      <w:r>
        <w:rPr>
          <w:bCs/>
          <w:sz w:val="24"/>
        </w:rPr>
        <w:t>4.3.2</w:t>
      </w:r>
      <w:r>
        <w:rPr>
          <w:rFonts w:hint="eastAsia"/>
          <w:bCs/>
          <w:sz w:val="24"/>
        </w:rPr>
        <w:t>检定、校准合格的设备，由校准人员贴合格标签，并标明有效期；对不便粘贴标签的装置，可将标签贴在包装盒上，或由使用者妥善保管。</w:t>
      </w:r>
    </w:p>
    <w:p w14:paraId="28FC868A">
      <w:pPr>
        <w:spacing w:line="360" w:lineRule="auto"/>
        <w:rPr>
          <w:bCs/>
          <w:sz w:val="24"/>
        </w:rPr>
      </w:pPr>
      <w:r>
        <w:rPr>
          <w:bCs/>
          <w:sz w:val="24"/>
        </w:rPr>
        <w:t>4.3.3</w:t>
      </w:r>
      <w:r>
        <w:rPr>
          <w:rFonts w:hint="eastAsia"/>
          <w:bCs/>
          <w:sz w:val="24"/>
        </w:rPr>
        <w:t>对于监视和测量用的软件，在使用前应进行校准，并填写相应的校准记录。</w:t>
      </w:r>
    </w:p>
    <w:p w14:paraId="4AE63B4B">
      <w:pPr>
        <w:spacing w:line="360" w:lineRule="auto"/>
        <w:rPr>
          <w:bCs/>
          <w:sz w:val="24"/>
        </w:rPr>
      </w:pPr>
      <w:r>
        <w:rPr>
          <w:bCs/>
          <w:sz w:val="24"/>
        </w:rPr>
        <w:t>4.4</w:t>
      </w:r>
      <w:r>
        <w:rPr>
          <w:rFonts w:hint="eastAsia"/>
          <w:bCs/>
          <w:sz w:val="24"/>
        </w:rPr>
        <w:t>必要时应对监视和测量设备进行调整或再调整。但应指定专人执行调整工作，以防止因调整不当使装置失效。</w:t>
      </w:r>
    </w:p>
    <w:p w14:paraId="0C0BED86">
      <w:pPr>
        <w:spacing w:line="360" w:lineRule="auto"/>
        <w:rPr>
          <w:bCs/>
          <w:sz w:val="24"/>
        </w:rPr>
      </w:pPr>
      <w:r>
        <w:rPr>
          <w:bCs/>
          <w:sz w:val="24"/>
        </w:rPr>
        <w:t>4.5</w:t>
      </w:r>
      <w:r>
        <w:rPr>
          <w:rFonts w:hint="eastAsia"/>
          <w:bCs/>
          <w:sz w:val="24"/>
        </w:rPr>
        <w:t>监视和测量设备的使用、搬运、维护和贮存控制</w:t>
      </w:r>
    </w:p>
    <w:p w14:paraId="56267CA7">
      <w:pPr>
        <w:spacing w:line="360" w:lineRule="auto"/>
        <w:rPr>
          <w:bCs/>
          <w:sz w:val="24"/>
        </w:rPr>
      </w:pPr>
      <w:r>
        <w:rPr>
          <w:bCs/>
          <w:sz w:val="24"/>
        </w:rPr>
        <w:t>4.5.1</w:t>
      </w:r>
      <w:r>
        <w:rPr>
          <w:rFonts w:hint="eastAsia"/>
          <w:bCs/>
          <w:sz w:val="24"/>
        </w:rPr>
        <w:t>使用者应严格按照使用说明书或操作规程使用设备，确保装置的监视和测量能力与要求相一致，防止发生可能使校准失效的调整。使用后要进行适当的维护和保养。</w:t>
      </w:r>
    </w:p>
    <w:p w14:paraId="3179D2D7">
      <w:pPr>
        <w:spacing w:line="360" w:lineRule="auto"/>
        <w:rPr>
          <w:bCs/>
          <w:sz w:val="24"/>
        </w:rPr>
      </w:pPr>
      <w:r>
        <w:rPr>
          <w:bCs/>
          <w:sz w:val="24"/>
        </w:rPr>
        <w:t>4.5.2</w:t>
      </w:r>
      <w:r>
        <w:rPr>
          <w:rFonts w:hint="eastAsia"/>
          <w:bCs/>
          <w:sz w:val="24"/>
        </w:rPr>
        <w:t>在使用监视和测量设备前，应按规定检查装置是否工作正常，是否在校准有效期内。</w:t>
      </w:r>
    </w:p>
    <w:p w14:paraId="3340C03C">
      <w:pPr>
        <w:spacing w:line="360" w:lineRule="auto"/>
        <w:rPr>
          <w:bCs/>
          <w:sz w:val="24"/>
        </w:rPr>
      </w:pPr>
      <w:r>
        <w:rPr>
          <w:bCs/>
          <w:sz w:val="24"/>
        </w:rPr>
        <w:t>4.5.3</w:t>
      </w:r>
      <w:r>
        <w:rPr>
          <w:rFonts w:hint="eastAsia"/>
          <w:bCs/>
          <w:sz w:val="24"/>
        </w:rPr>
        <w:t>使用者在监视和测量设备的搬运、维护和贮存过程中，要遵守使用说明书和操作规程的要求，防止其损坏或失效。</w:t>
      </w:r>
    </w:p>
    <w:p w14:paraId="09D76A9A">
      <w:pPr>
        <w:spacing w:line="360" w:lineRule="auto"/>
        <w:rPr>
          <w:bCs/>
          <w:sz w:val="24"/>
        </w:rPr>
      </w:pPr>
      <w:r>
        <w:rPr>
          <w:bCs/>
          <w:sz w:val="24"/>
        </w:rPr>
        <w:t>4.6</w:t>
      </w:r>
      <w:r>
        <w:rPr>
          <w:rFonts w:hint="eastAsia"/>
          <w:bCs/>
          <w:sz w:val="24"/>
        </w:rPr>
        <w:t>监视和测量设备的运行控制</w:t>
      </w:r>
    </w:p>
    <w:p w14:paraId="70720EFF">
      <w:pPr>
        <w:spacing w:line="360" w:lineRule="auto"/>
        <w:rPr>
          <w:bCs/>
          <w:sz w:val="24"/>
        </w:rPr>
      </w:pPr>
      <w:r>
        <w:rPr>
          <w:bCs/>
          <w:sz w:val="24"/>
        </w:rPr>
        <w:t>4.6.1</w:t>
      </w:r>
      <w:r>
        <w:rPr>
          <w:rFonts w:hint="eastAsia"/>
          <w:bCs/>
          <w:sz w:val="24"/>
        </w:rPr>
        <w:t>对监视和测量设备应做好的日常维护，确保在搬运、防护和贮存期间其准</w:t>
      </w:r>
    </w:p>
    <w:p w14:paraId="1E8815E7">
      <w:pPr>
        <w:spacing w:line="360" w:lineRule="auto"/>
        <w:rPr>
          <w:bCs/>
          <w:sz w:val="24"/>
        </w:rPr>
      </w:pPr>
      <w:r>
        <w:rPr>
          <w:rFonts w:hint="eastAsia"/>
          <w:bCs/>
          <w:sz w:val="24"/>
        </w:rPr>
        <w:t>确度和适用性保持完好。</w:t>
      </w:r>
    </w:p>
    <w:p w14:paraId="5852EC9C">
      <w:pPr>
        <w:spacing w:line="360" w:lineRule="auto"/>
        <w:rPr>
          <w:bCs/>
          <w:sz w:val="24"/>
        </w:rPr>
      </w:pPr>
      <w:r>
        <w:rPr>
          <w:bCs/>
          <w:sz w:val="24"/>
        </w:rPr>
        <w:t>4.6.2</w:t>
      </w:r>
      <w:r>
        <w:rPr>
          <w:rFonts w:hint="eastAsia"/>
          <w:bCs/>
          <w:sz w:val="24"/>
        </w:rPr>
        <w:t>发现设备偏离校准状态时，应停止监测工作，及时报告</w:t>
      </w:r>
      <w:r>
        <w:rPr>
          <w:rFonts w:hint="eastAsia"/>
          <w:bCs/>
          <w:sz w:val="24"/>
          <w:lang w:eastAsia="zh-CN"/>
        </w:rPr>
        <w:t>研发部</w:t>
      </w:r>
      <w:r>
        <w:rPr>
          <w:rFonts w:hint="eastAsia"/>
          <w:bCs/>
          <w:sz w:val="24"/>
        </w:rPr>
        <w:t>。</w:t>
      </w:r>
      <w:r>
        <w:rPr>
          <w:rFonts w:hint="eastAsia"/>
          <w:bCs/>
          <w:sz w:val="24"/>
          <w:lang w:eastAsia="zh-CN"/>
        </w:rPr>
        <w:t>研发部</w:t>
      </w:r>
      <w:r>
        <w:rPr>
          <w:rFonts w:hint="eastAsia"/>
          <w:bCs/>
          <w:sz w:val="24"/>
        </w:rPr>
        <w:t>应追查使用该设备监测的产品流向，再评价以往监测结果的有效性，确定需重新监测的范围并重新监测。</w:t>
      </w:r>
      <w:r>
        <w:rPr>
          <w:rFonts w:hint="eastAsia"/>
          <w:bCs/>
          <w:sz w:val="24"/>
          <w:lang w:eastAsia="zh-CN"/>
        </w:rPr>
        <w:t>研发部</w:t>
      </w:r>
      <w:r>
        <w:rPr>
          <w:rFonts w:hint="eastAsia"/>
          <w:bCs/>
          <w:sz w:val="24"/>
        </w:rPr>
        <w:t>应组织对设备故障进行分析，维修并重新校准或送检，保留相应的措施记录。</w:t>
      </w:r>
    </w:p>
    <w:p w14:paraId="5B992464">
      <w:pPr>
        <w:spacing w:line="360" w:lineRule="auto"/>
        <w:rPr>
          <w:bCs/>
          <w:sz w:val="24"/>
        </w:rPr>
      </w:pPr>
      <w:r>
        <w:rPr>
          <w:bCs/>
          <w:sz w:val="24"/>
        </w:rPr>
        <w:t>4.6.3</w:t>
      </w:r>
      <w:r>
        <w:rPr>
          <w:rFonts w:hint="eastAsia"/>
          <w:bCs/>
          <w:sz w:val="24"/>
        </w:rPr>
        <w:t>对无法修复的设备，经</w:t>
      </w:r>
      <w:r>
        <w:rPr>
          <w:rFonts w:hint="eastAsia"/>
          <w:bCs/>
          <w:sz w:val="24"/>
          <w:lang w:eastAsia="zh-CN"/>
        </w:rPr>
        <w:t>研发部</w:t>
      </w:r>
      <w:r>
        <w:rPr>
          <w:rFonts w:hint="eastAsia"/>
          <w:bCs/>
          <w:sz w:val="24"/>
        </w:rPr>
        <w:t>部长确认后，对该设备实施报废处理。</w:t>
      </w:r>
    </w:p>
    <w:p w14:paraId="77578D16">
      <w:pPr>
        <w:spacing w:line="360" w:lineRule="auto"/>
        <w:rPr>
          <w:bCs/>
          <w:sz w:val="24"/>
        </w:rPr>
      </w:pPr>
      <w:r>
        <w:rPr>
          <w:bCs/>
          <w:sz w:val="24"/>
        </w:rPr>
        <w:t>5</w:t>
      </w:r>
      <w:r>
        <w:rPr>
          <w:rFonts w:hint="eastAsia"/>
          <w:bCs/>
          <w:sz w:val="24"/>
        </w:rPr>
        <w:t>．质量记录</w:t>
      </w:r>
      <w:r>
        <w:rPr>
          <w:bCs/>
          <w:sz w:val="24"/>
        </w:rPr>
        <w:t xml:space="preserve">  </w:t>
      </w:r>
    </w:p>
    <w:p w14:paraId="7EB63B8C">
      <w:pPr>
        <w:spacing w:line="360" w:lineRule="auto"/>
        <w:rPr>
          <w:bCs/>
          <w:sz w:val="24"/>
        </w:rPr>
      </w:pPr>
      <w:r>
        <w:rPr>
          <w:rFonts w:hint="eastAsia"/>
          <w:bCs/>
          <w:sz w:val="24"/>
        </w:rPr>
        <w:t>《监视和测量设备台帐》</w:t>
      </w:r>
    </w:p>
    <w:p w14:paraId="3434080B">
      <w:pPr>
        <w:rPr>
          <w:bCs/>
          <w:sz w:val="24"/>
        </w:rPr>
      </w:pPr>
    </w:p>
    <w:p w14:paraId="523EB0AD">
      <w:pPr>
        <w:rPr>
          <w:bCs/>
          <w:sz w:val="24"/>
        </w:rPr>
      </w:pPr>
    </w:p>
    <w:p w14:paraId="27AFF756">
      <w:pPr>
        <w:rPr>
          <w:bCs/>
          <w:sz w:val="24"/>
        </w:rPr>
      </w:pPr>
    </w:p>
    <w:p w14:paraId="2EA0237C">
      <w:pPr>
        <w:widowControl/>
        <w:jc w:val="left"/>
        <w:rPr>
          <w:bCs/>
          <w:sz w:val="24"/>
        </w:rPr>
      </w:pPr>
      <w:r>
        <w:rPr>
          <w:bCs/>
          <w:sz w:val="24"/>
        </w:rPr>
        <w:br w:type="page"/>
      </w:r>
    </w:p>
    <w:p w14:paraId="1AE17FCA">
      <w:pPr>
        <w:pStyle w:val="2"/>
        <w:spacing w:before="156" w:beforeLines="50" w:after="156" w:afterLines="50" w:line="720" w:lineRule="auto"/>
        <w:jc w:val="left"/>
        <w:rPr>
          <w:sz w:val="28"/>
          <w:szCs w:val="28"/>
        </w:rPr>
      </w:pPr>
      <w:bookmarkStart w:id="21" w:name="_Toc22783"/>
      <w:r>
        <w:rPr>
          <w:rFonts w:hint="eastAsia"/>
          <w:sz w:val="28"/>
          <w:szCs w:val="28"/>
        </w:rPr>
        <w:t>二十一、产品的监视和测量控制程序</w:t>
      </w:r>
      <w:bookmarkEnd w:id="21"/>
      <w:r>
        <w:rPr>
          <w:rFonts w:hint="eastAsia"/>
          <w:sz w:val="28"/>
          <w:szCs w:val="28"/>
        </w:rPr>
        <w:t xml:space="preserve">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-021</w:t>
      </w:r>
    </w:p>
    <w:p w14:paraId="0CA19D71">
      <w:pPr>
        <w:spacing w:line="360" w:lineRule="auto"/>
        <w:rPr>
          <w:bCs/>
          <w:sz w:val="24"/>
        </w:rPr>
      </w:pPr>
      <w:r>
        <w:rPr>
          <w:bCs/>
          <w:sz w:val="24"/>
        </w:rPr>
        <w:t>1</w:t>
      </w:r>
      <w:r>
        <w:rPr>
          <w:rFonts w:hint="eastAsia"/>
          <w:bCs/>
          <w:sz w:val="24"/>
        </w:rPr>
        <w:t>．目的</w:t>
      </w:r>
    </w:p>
    <w:p w14:paraId="4C52268C">
      <w:pPr>
        <w:spacing w:line="360" w:lineRule="auto"/>
        <w:rPr>
          <w:bCs/>
          <w:sz w:val="24"/>
        </w:rPr>
      </w:pPr>
      <w:r>
        <w:rPr>
          <w:bCs/>
          <w:sz w:val="24"/>
        </w:rPr>
        <w:t xml:space="preserve">    </w:t>
      </w:r>
      <w:r>
        <w:rPr>
          <w:rFonts w:hint="eastAsia"/>
          <w:bCs/>
          <w:sz w:val="24"/>
        </w:rPr>
        <w:t>对产品的特性进行监视和测量，以验证所提供的产品是否满足要求。</w:t>
      </w:r>
    </w:p>
    <w:p w14:paraId="3838D36A">
      <w:pPr>
        <w:spacing w:line="360" w:lineRule="auto"/>
        <w:rPr>
          <w:bCs/>
          <w:sz w:val="24"/>
        </w:rPr>
      </w:pPr>
      <w:r>
        <w:rPr>
          <w:bCs/>
          <w:sz w:val="24"/>
        </w:rPr>
        <w:t>2</w:t>
      </w:r>
      <w:r>
        <w:rPr>
          <w:rFonts w:hint="eastAsia"/>
          <w:bCs/>
          <w:sz w:val="24"/>
        </w:rPr>
        <w:t>．范围</w:t>
      </w:r>
    </w:p>
    <w:p w14:paraId="4BF03C5A">
      <w:pPr>
        <w:spacing w:line="360" w:lineRule="auto"/>
        <w:rPr>
          <w:bCs/>
          <w:sz w:val="24"/>
        </w:rPr>
      </w:pPr>
      <w:r>
        <w:rPr>
          <w:bCs/>
          <w:sz w:val="24"/>
        </w:rPr>
        <w:t xml:space="preserve">    </w:t>
      </w:r>
      <w:r>
        <w:rPr>
          <w:rFonts w:hint="eastAsia"/>
          <w:bCs/>
          <w:sz w:val="24"/>
        </w:rPr>
        <w:t>适用于本公司采购产品、过程产品和最终产品的监视和测量。</w:t>
      </w:r>
    </w:p>
    <w:p w14:paraId="1B5BA55D">
      <w:pPr>
        <w:spacing w:line="360" w:lineRule="auto"/>
        <w:rPr>
          <w:bCs/>
          <w:sz w:val="24"/>
        </w:rPr>
      </w:pPr>
      <w:r>
        <w:rPr>
          <w:bCs/>
          <w:sz w:val="24"/>
        </w:rPr>
        <w:t>3</w:t>
      </w:r>
      <w:r>
        <w:rPr>
          <w:rFonts w:hint="eastAsia"/>
          <w:bCs/>
          <w:sz w:val="24"/>
        </w:rPr>
        <w:t>．职责</w:t>
      </w:r>
    </w:p>
    <w:p w14:paraId="7F24FCA0">
      <w:pPr>
        <w:spacing w:line="360" w:lineRule="auto"/>
        <w:rPr>
          <w:bCs/>
          <w:sz w:val="24"/>
        </w:rPr>
      </w:pPr>
      <w:r>
        <w:rPr>
          <w:bCs/>
          <w:sz w:val="24"/>
        </w:rPr>
        <w:t>3.1</w:t>
      </w:r>
      <w:r>
        <w:rPr>
          <w:rFonts w:hint="eastAsia"/>
          <w:bCs/>
          <w:sz w:val="24"/>
          <w:lang w:eastAsia="zh-CN"/>
        </w:rPr>
        <w:t>研发部</w:t>
      </w:r>
      <w:r>
        <w:rPr>
          <w:rFonts w:hint="eastAsia"/>
          <w:bCs/>
          <w:sz w:val="24"/>
        </w:rPr>
        <w:t>为产品的监视和测量的归口管理部门，负责采购产品、过程产品和最终产品的检验；</w:t>
      </w:r>
    </w:p>
    <w:p w14:paraId="5981B02A">
      <w:pPr>
        <w:spacing w:line="360" w:lineRule="auto"/>
        <w:rPr>
          <w:bCs/>
          <w:sz w:val="24"/>
        </w:rPr>
      </w:pPr>
      <w:r>
        <w:rPr>
          <w:bCs/>
          <w:sz w:val="24"/>
        </w:rPr>
        <w:t>3.2</w:t>
      </w:r>
      <w:r>
        <w:rPr>
          <w:rFonts w:hint="eastAsia"/>
          <w:bCs/>
          <w:sz w:val="24"/>
          <w:lang w:eastAsia="zh-CN"/>
        </w:rPr>
        <w:t>研发部</w:t>
      </w:r>
      <w:r>
        <w:rPr>
          <w:rFonts w:hint="eastAsia"/>
          <w:bCs/>
          <w:sz w:val="24"/>
        </w:rPr>
        <w:t>负责产品的检验过程中必要的技术支持，制定必要的检验规范和验收标准；</w:t>
      </w:r>
    </w:p>
    <w:p w14:paraId="498DE2F6">
      <w:pPr>
        <w:spacing w:line="360" w:lineRule="auto"/>
        <w:rPr>
          <w:bCs/>
          <w:sz w:val="24"/>
        </w:rPr>
      </w:pPr>
      <w:r>
        <w:rPr>
          <w:bCs/>
          <w:sz w:val="24"/>
        </w:rPr>
        <w:t>3.3</w:t>
      </w:r>
      <w:r>
        <w:rPr>
          <w:rFonts w:hint="eastAsia"/>
          <w:bCs/>
          <w:sz w:val="24"/>
          <w:lang w:eastAsia="zh-CN"/>
        </w:rPr>
        <w:t>生产技术部</w:t>
      </w:r>
      <w:r>
        <w:rPr>
          <w:rFonts w:hint="eastAsia"/>
          <w:bCs/>
          <w:sz w:val="24"/>
        </w:rPr>
        <w:t>对过程产品以自检为主，加强生产过程中产品的互检。</w:t>
      </w:r>
    </w:p>
    <w:p w14:paraId="025C6FD0">
      <w:pPr>
        <w:spacing w:line="360" w:lineRule="auto"/>
        <w:rPr>
          <w:bCs/>
          <w:sz w:val="24"/>
        </w:rPr>
      </w:pPr>
      <w:r>
        <w:rPr>
          <w:bCs/>
          <w:sz w:val="24"/>
        </w:rPr>
        <w:t>4</w:t>
      </w:r>
      <w:r>
        <w:rPr>
          <w:rFonts w:hint="eastAsia"/>
          <w:bCs/>
          <w:sz w:val="24"/>
        </w:rPr>
        <w:t>．工作程序</w:t>
      </w:r>
    </w:p>
    <w:p w14:paraId="6BE90BB3">
      <w:pPr>
        <w:spacing w:line="360" w:lineRule="auto"/>
        <w:rPr>
          <w:bCs/>
          <w:sz w:val="24"/>
        </w:rPr>
      </w:pPr>
      <w:r>
        <w:rPr>
          <w:bCs/>
          <w:sz w:val="24"/>
        </w:rPr>
        <w:t>4.1</w:t>
      </w:r>
      <w:r>
        <w:rPr>
          <w:rFonts w:hint="eastAsia"/>
          <w:bCs/>
          <w:sz w:val="24"/>
        </w:rPr>
        <w:t>采购产品的监视和测量</w:t>
      </w:r>
    </w:p>
    <w:p w14:paraId="69601B0E">
      <w:pPr>
        <w:spacing w:line="360" w:lineRule="auto"/>
        <w:rPr>
          <w:bCs/>
          <w:sz w:val="24"/>
        </w:rPr>
      </w:pPr>
      <w:r>
        <w:rPr>
          <w:bCs/>
          <w:sz w:val="24"/>
        </w:rPr>
        <w:t>4.1.1</w:t>
      </w:r>
      <w:r>
        <w:rPr>
          <w:rFonts w:hint="eastAsia"/>
          <w:bCs/>
          <w:sz w:val="24"/>
        </w:rPr>
        <w:t>进货验证</w:t>
      </w:r>
    </w:p>
    <w:p w14:paraId="675BBFA4">
      <w:pPr>
        <w:spacing w:line="360" w:lineRule="auto"/>
        <w:rPr>
          <w:bCs/>
          <w:sz w:val="24"/>
        </w:rPr>
      </w:pPr>
      <w:r>
        <w:rPr>
          <w:bCs/>
          <w:sz w:val="24"/>
        </w:rPr>
        <w:t xml:space="preserve">    </w:t>
      </w:r>
      <w:r>
        <w:rPr>
          <w:rFonts w:hint="eastAsia"/>
          <w:bCs/>
          <w:sz w:val="24"/>
        </w:rPr>
        <w:t>接收与产品质量有关的所有物资，在入库前都必须按照</w:t>
      </w:r>
      <w:r>
        <w:rPr>
          <w:rFonts w:hint="eastAsia"/>
          <w:bCs/>
          <w:sz w:val="24"/>
          <w:lang w:eastAsia="zh-CN"/>
        </w:rPr>
        <w:t>市场部</w:t>
      </w:r>
      <w:r>
        <w:rPr>
          <w:rFonts w:hint="eastAsia"/>
          <w:bCs/>
          <w:sz w:val="24"/>
        </w:rPr>
        <w:t>报检的《原材料检验单》进行检验或验证，适用时，验证项目一般应包括产品名称、数量、生产厂家、外观质量、外型尺寸、特性参数、合格证等，同时也应核对实物与货单是否相符。</w:t>
      </w:r>
    </w:p>
    <w:p w14:paraId="41718F3A">
      <w:pPr>
        <w:spacing w:line="360" w:lineRule="auto"/>
        <w:rPr>
          <w:bCs/>
          <w:sz w:val="24"/>
        </w:rPr>
      </w:pPr>
      <w:r>
        <w:rPr>
          <w:bCs/>
          <w:sz w:val="24"/>
        </w:rPr>
        <w:t>4.1.2</w:t>
      </w:r>
      <w:r>
        <w:rPr>
          <w:rFonts w:hint="eastAsia"/>
          <w:bCs/>
          <w:sz w:val="24"/>
        </w:rPr>
        <w:t>原材料的检验对于需要检验的物资，</w:t>
      </w:r>
      <w:r>
        <w:rPr>
          <w:rFonts w:hint="eastAsia"/>
          <w:bCs/>
          <w:sz w:val="24"/>
          <w:lang w:eastAsia="zh-CN"/>
        </w:rPr>
        <w:t>研发部</w:t>
      </w:r>
      <w:r>
        <w:rPr>
          <w:rFonts w:hint="eastAsia"/>
          <w:bCs/>
          <w:sz w:val="24"/>
        </w:rPr>
        <w:t>要按规范要求进行。现场检验员负责取样</w:t>
      </w:r>
      <w:r>
        <w:rPr>
          <w:bCs/>
          <w:sz w:val="24"/>
        </w:rPr>
        <w:t xml:space="preserve"> </w:t>
      </w:r>
      <w:r>
        <w:rPr>
          <w:rFonts w:hint="eastAsia"/>
          <w:bCs/>
          <w:sz w:val="24"/>
        </w:rPr>
        <w:t>，按相应的规定标准执行；</w:t>
      </w:r>
    </w:p>
    <w:p w14:paraId="1CC0C5C9">
      <w:pPr>
        <w:spacing w:line="360" w:lineRule="auto"/>
        <w:rPr>
          <w:bCs/>
          <w:sz w:val="24"/>
        </w:rPr>
      </w:pPr>
      <w:r>
        <w:rPr>
          <w:bCs/>
          <w:sz w:val="24"/>
        </w:rPr>
        <w:t>4.1.3</w:t>
      </w:r>
      <w:r>
        <w:rPr>
          <w:rFonts w:hint="eastAsia"/>
          <w:bCs/>
          <w:sz w:val="24"/>
        </w:rPr>
        <w:t>检验应填写检验记录，经检验判定为不合格的进货物资，执行《不合格控制程序》。</w:t>
      </w:r>
    </w:p>
    <w:p w14:paraId="3A11A384">
      <w:pPr>
        <w:spacing w:line="360" w:lineRule="auto"/>
        <w:rPr>
          <w:bCs/>
          <w:sz w:val="24"/>
        </w:rPr>
      </w:pPr>
      <w:r>
        <w:rPr>
          <w:bCs/>
          <w:sz w:val="24"/>
        </w:rPr>
        <w:t>4.1.4</w:t>
      </w:r>
      <w:r>
        <w:rPr>
          <w:rFonts w:hint="eastAsia"/>
          <w:bCs/>
          <w:sz w:val="24"/>
        </w:rPr>
        <w:t>如因生产急需来不及验证而采取紧急放行时，应根据物资性质特点，严格控制放行范囤。紧急放行必须经总经理签字批准，并在该物资上做好标识和记录，一旦发现不符合规定要求时，能够立即追回或更换。</w:t>
      </w:r>
    </w:p>
    <w:p w14:paraId="3ACD9016">
      <w:pPr>
        <w:spacing w:line="360" w:lineRule="auto"/>
        <w:rPr>
          <w:bCs/>
          <w:sz w:val="24"/>
        </w:rPr>
      </w:pPr>
      <w:r>
        <w:rPr>
          <w:bCs/>
          <w:sz w:val="24"/>
        </w:rPr>
        <w:t>4.2</w:t>
      </w:r>
      <w:r>
        <w:rPr>
          <w:rFonts w:hint="eastAsia"/>
          <w:bCs/>
          <w:sz w:val="24"/>
        </w:rPr>
        <w:t>过程产品的监视和测量</w:t>
      </w:r>
    </w:p>
    <w:p w14:paraId="2E945FA2">
      <w:pPr>
        <w:spacing w:line="360" w:lineRule="auto"/>
        <w:rPr>
          <w:bCs/>
          <w:sz w:val="24"/>
        </w:rPr>
      </w:pPr>
      <w:r>
        <w:rPr>
          <w:bCs/>
          <w:sz w:val="24"/>
        </w:rPr>
        <w:t>4.2.1</w:t>
      </w:r>
      <w:r>
        <w:rPr>
          <w:rFonts w:hint="eastAsia"/>
          <w:bCs/>
          <w:sz w:val="24"/>
        </w:rPr>
        <w:t>过程产品以自检为主，依据作业指导书或相关工艺文件进行，未经检验或检验不合格的产品严禁转序。</w:t>
      </w:r>
    </w:p>
    <w:p w14:paraId="4DE49A39">
      <w:pPr>
        <w:spacing w:line="360" w:lineRule="auto"/>
        <w:rPr>
          <w:bCs/>
          <w:sz w:val="24"/>
        </w:rPr>
      </w:pPr>
      <w:r>
        <w:rPr>
          <w:bCs/>
          <w:sz w:val="24"/>
        </w:rPr>
        <w:t>4.2.2</w:t>
      </w:r>
      <w:r>
        <w:rPr>
          <w:rFonts w:hint="eastAsia"/>
          <w:bCs/>
          <w:sz w:val="24"/>
        </w:rPr>
        <w:t>在生产过程中开展“三工序”活动，即“检查上道工序、保证本道工序、服务下道工序”。由操作者负责自检，过程转序时要进行交接检验并标识。质检员要加强过程巡检，发现问题及时采取措施，并保持相应的记录。</w:t>
      </w:r>
    </w:p>
    <w:p w14:paraId="27B26A07">
      <w:pPr>
        <w:spacing w:line="360" w:lineRule="auto"/>
        <w:rPr>
          <w:bCs/>
          <w:sz w:val="24"/>
        </w:rPr>
      </w:pPr>
      <w:r>
        <w:rPr>
          <w:bCs/>
          <w:sz w:val="24"/>
        </w:rPr>
        <w:t>4.2.3</w:t>
      </w:r>
      <w:r>
        <w:rPr>
          <w:rFonts w:hint="eastAsia"/>
          <w:bCs/>
          <w:sz w:val="24"/>
        </w:rPr>
        <w:t>过程检验和试验中发现不合格品执行《不合格品控制程序》。</w:t>
      </w:r>
    </w:p>
    <w:p w14:paraId="74694DAF">
      <w:pPr>
        <w:spacing w:line="360" w:lineRule="auto"/>
        <w:rPr>
          <w:bCs/>
          <w:sz w:val="24"/>
        </w:rPr>
      </w:pPr>
      <w:r>
        <w:rPr>
          <w:bCs/>
          <w:sz w:val="24"/>
        </w:rPr>
        <w:t>4.3</w:t>
      </w:r>
      <w:r>
        <w:rPr>
          <w:rFonts w:hint="eastAsia"/>
          <w:bCs/>
          <w:sz w:val="24"/>
        </w:rPr>
        <w:t>最终产品的监视和测量</w:t>
      </w:r>
    </w:p>
    <w:p w14:paraId="5FAA04BA">
      <w:pPr>
        <w:spacing w:line="360" w:lineRule="auto"/>
        <w:rPr>
          <w:bCs/>
          <w:sz w:val="24"/>
        </w:rPr>
      </w:pPr>
      <w:r>
        <w:rPr>
          <w:bCs/>
          <w:sz w:val="24"/>
        </w:rPr>
        <w:t>4.3.1</w:t>
      </w:r>
      <w:r>
        <w:rPr>
          <w:rFonts w:hint="eastAsia"/>
          <w:bCs/>
          <w:sz w:val="24"/>
        </w:rPr>
        <w:t>所有规定的进货和过程产品的检验全部完成，并全部符合规定要求时，才可以进行最终检验。</w:t>
      </w:r>
    </w:p>
    <w:p w14:paraId="6F1EBF44">
      <w:pPr>
        <w:spacing w:line="360" w:lineRule="auto"/>
        <w:rPr>
          <w:bCs/>
          <w:sz w:val="24"/>
        </w:rPr>
      </w:pPr>
      <w:r>
        <w:rPr>
          <w:bCs/>
          <w:sz w:val="24"/>
        </w:rPr>
        <w:t>4.3.2</w:t>
      </w:r>
      <w:r>
        <w:rPr>
          <w:rFonts w:hint="eastAsia"/>
          <w:bCs/>
          <w:sz w:val="24"/>
        </w:rPr>
        <w:t>最终检验</w:t>
      </w:r>
    </w:p>
    <w:p w14:paraId="5AC62A84">
      <w:pPr>
        <w:spacing w:line="360" w:lineRule="auto"/>
        <w:rPr>
          <w:bCs/>
          <w:sz w:val="24"/>
        </w:rPr>
      </w:pPr>
      <w:r>
        <w:rPr>
          <w:bCs/>
          <w:sz w:val="24"/>
        </w:rPr>
        <w:t xml:space="preserve">    a</w:t>
      </w:r>
      <w:r>
        <w:rPr>
          <w:rFonts w:hint="eastAsia"/>
          <w:bCs/>
          <w:sz w:val="24"/>
        </w:rPr>
        <w:t>．在原材料及过程检验进行完毕并合格后，质检员按相应的检验标准（国标和行标）、图纸要求或样品，对产品的各项要求进行检查，并填写《质检记录》。检验员对产品名称、数量、规格等确无误后，方可进行包装、入库。</w:t>
      </w:r>
    </w:p>
    <w:p w14:paraId="581C0331">
      <w:pPr>
        <w:spacing w:line="360" w:lineRule="auto"/>
        <w:rPr>
          <w:bCs/>
          <w:sz w:val="24"/>
        </w:rPr>
      </w:pPr>
      <w:r>
        <w:rPr>
          <w:bCs/>
          <w:sz w:val="24"/>
        </w:rPr>
        <w:t xml:space="preserve">    b</w:t>
      </w:r>
      <w:r>
        <w:rPr>
          <w:rFonts w:hint="eastAsia"/>
          <w:bCs/>
          <w:sz w:val="24"/>
        </w:rPr>
        <w:t>．最终产品的型式检验按相关国家标准、行业标准的相关规定进行。</w:t>
      </w:r>
    </w:p>
    <w:p w14:paraId="29577F51">
      <w:pPr>
        <w:spacing w:line="360" w:lineRule="auto"/>
        <w:rPr>
          <w:bCs/>
          <w:sz w:val="24"/>
        </w:rPr>
      </w:pPr>
      <w:r>
        <w:rPr>
          <w:bCs/>
          <w:sz w:val="24"/>
        </w:rPr>
        <w:t>4.3.3</w:t>
      </w:r>
      <w:r>
        <w:rPr>
          <w:rFonts w:hint="eastAsia"/>
          <w:bCs/>
          <w:sz w:val="24"/>
        </w:rPr>
        <w:t>最终检验中出现的不合格品执行《不合格控制程序》。</w:t>
      </w:r>
    </w:p>
    <w:p w14:paraId="647C8543">
      <w:pPr>
        <w:spacing w:line="360" w:lineRule="auto"/>
        <w:rPr>
          <w:bCs/>
          <w:sz w:val="24"/>
        </w:rPr>
      </w:pPr>
      <w:r>
        <w:rPr>
          <w:bCs/>
          <w:sz w:val="24"/>
        </w:rPr>
        <w:t>4.3.4</w:t>
      </w:r>
      <w:r>
        <w:rPr>
          <w:rFonts w:hint="eastAsia"/>
          <w:bCs/>
          <w:sz w:val="24"/>
        </w:rPr>
        <w:t>检验记录以填报表格的形式进杼，要求项目齐全，数据真实准确，字迹清</w:t>
      </w:r>
    </w:p>
    <w:p w14:paraId="04D1BF4F">
      <w:pPr>
        <w:spacing w:line="360" w:lineRule="auto"/>
        <w:rPr>
          <w:bCs/>
          <w:sz w:val="24"/>
        </w:rPr>
      </w:pPr>
      <w:r>
        <w:rPr>
          <w:rFonts w:hint="eastAsia"/>
          <w:bCs/>
          <w:sz w:val="24"/>
        </w:rPr>
        <w:t>晰，签字手续完备，执行《记录控制程序》，检验记录由</w:t>
      </w:r>
      <w:r>
        <w:rPr>
          <w:rFonts w:hint="eastAsia"/>
          <w:bCs/>
          <w:sz w:val="24"/>
          <w:lang w:eastAsia="zh-CN"/>
        </w:rPr>
        <w:t>研发部</w:t>
      </w:r>
      <w:r>
        <w:rPr>
          <w:rFonts w:hint="eastAsia"/>
          <w:bCs/>
          <w:sz w:val="24"/>
        </w:rPr>
        <w:t>收集归档保存。</w:t>
      </w:r>
    </w:p>
    <w:p w14:paraId="53EA9CCB">
      <w:pPr>
        <w:spacing w:line="360" w:lineRule="auto"/>
        <w:rPr>
          <w:bCs/>
          <w:sz w:val="24"/>
        </w:rPr>
      </w:pPr>
      <w:r>
        <w:rPr>
          <w:bCs/>
          <w:sz w:val="24"/>
        </w:rPr>
        <w:t>5</w:t>
      </w:r>
      <w:r>
        <w:rPr>
          <w:rFonts w:hint="eastAsia"/>
          <w:bCs/>
          <w:sz w:val="24"/>
        </w:rPr>
        <w:t>．相关文件</w:t>
      </w:r>
    </w:p>
    <w:p w14:paraId="215CA257">
      <w:pPr>
        <w:spacing w:line="360" w:lineRule="auto"/>
        <w:rPr>
          <w:bCs/>
          <w:sz w:val="24"/>
        </w:rPr>
      </w:pPr>
      <w:r>
        <w:rPr>
          <w:rFonts w:hint="eastAsia"/>
          <w:bCs/>
          <w:sz w:val="24"/>
        </w:rPr>
        <w:t>《不合格控制程序》</w:t>
      </w:r>
    </w:p>
    <w:p w14:paraId="5A82DB0F">
      <w:pPr>
        <w:spacing w:line="360" w:lineRule="auto"/>
        <w:rPr>
          <w:bCs/>
          <w:sz w:val="24"/>
        </w:rPr>
      </w:pPr>
      <w:r>
        <w:rPr>
          <w:rFonts w:hint="eastAsia"/>
          <w:bCs/>
          <w:sz w:val="24"/>
        </w:rPr>
        <w:t>《原材料检验规范》</w:t>
      </w:r>
    </w:p>
    <w:p w14:paraId="109AE859">
      <w:pPr>
        <w:spacing w:line="360" w:lineRule="auto"/>
        <w:rPr>
          <w:bCs/>
          <w:sz w:val="24"/>
        </w:rPr>
      </w:pPr>
      <w:r>
        <w:rPr>
          <w:rFonts w:hint="eastAsia"/>
          <w:bCs/>
          <w:sz w:val="24"/>
        </w:rPr>
        <w:t>《过程产品检验规范》</w:t>
      </w:r>
    </w:p>
    <w:p w14:paraId="089DE332">
      <w:pPr>
        <w:spacing w:line="360" w:lineRule="auto"/>
        <w:rPr>
          <w:bCs/>
          <w:sz w:val="24"/>
        </w:rPr>
      </w:pPr>
      <w:r>
        <w:rPr>
          <w:rFonts w:hint="eastAsia"/>
          <w:bCs/>
          <w:sz w:val="24"/>
        </w:rPr>
        <w:t>《成品检验规范》</w:t>
      </w:r>
    </w:p>
    <w:p w14:paraId="5D341827">
      <w:pPr>
        <w:spacing w:line="360" w:lineRule="auto"/>
        <w:rPr>
          <w:bCs/>
          <w:sz w:val="24"/>
        </w:rPr>
      </w:pPr>
      <w:r>
        <w:rPr>
          <w:bCs/>
          <w:sz w:val="24"/>
        </w:rPr>
        <w:t>6</w:t>
      </w:r>
      <w:r>
        <w:rPr>
          <w:rFonts w:hint="eastAsia"/>
          <w:bCs/>
          <w:sz w:val="24"/>
        </w:rPr>
        <w:t>．相关记录</w:t>
      </w:r>
    </w:p>
    <w:p w14:paraId="60B7FC59">
      <w:pPr>
        <w:spacing w:line="360" w:lineRule="auto"/>
        <w:rPr>
          <w:bCs/>
          <w:sz w:val="24"/>
        </w:rPr>
      </w:pPr>
      <w:r>
        <w:rPr>
          <w:bCs/>
          <w:sz w:val="24"/>
        </w:rPr>
        <w:t>6.1</w:t>
      </w:r>
      <w:r>
        <w:rPr>
          <w:rFonts w:hint="eastAsia"/>
          <w:bCs/>
          <w:sz w:val="24"/>
        </w:rPr>
        <w:t>《原材料检验单》</w:t>
      </w:r>
    </w:p>
    <w:p w14:paraId="494A6FE8">
      <w:pPr>
        <w:spacing w:line="360" w:lineRule="auto"/>
        <w:rPr>
          <w:bCs/>
          <w:sz w:val="24"/>
        </w:rPr>
      </w:pPr>
      <w:r>
        <w:rPr>
          <w:bCs/>
          <w:sz w:val="24"/>
        </w:rPr>
        <w:t>6.2</w:t>
      </w:r>
      <w:r>
        <w:rPr>
          <w:rFonts w:hint="eastAsia"/>
          <w:bCs/>
          <w:sz w:val="24"/>
        </w:rPr>
        <w:t>《成品检验记录》</w:t>
      </w:r>
    </w:p>
    <w:p w14:paraId="03FECC01">
      <w:pPr>
        <w:widowControl/>
        <w:jc w:val="left"/>
        <w:rPr>
          <w:bCs/>
          <w:sz w:val="24"/>
        </w:rPr>
      </w:pPr>
      <w:r>
        <w:rPr>
          <w:bCs/>
          <w:sz w:val="24"/>
        </w:rPr>
        <w:br w:type="page"/>
      </w:r>
    </w:p>
    <w:p w14:paraId="7863E79C">
      <w:pPr>
        <w:pStyle w:val="2"/>
        <w:spacing w:before="156" w:beforeLines="50" w:after="156" w:afterLines="50" w:line="720" w:lineRule="auto"/>
        <w:jc w:val="left"/>
        <w:rPr>
          <w:sz w:val="28"/>
          <w:szCs w:val="28"/>
        </w:rPr>
      </w:pPr>
      <w:r>
        <w:rPr>
          <w:rFonts w:hint="eastAsia"/>
          <w:sz w:val="28"/>
          <w:szCs w:val="28"/>
        </w:rPr>
        <w:t>二十二、设计和开发控制程序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-022</w:t>
      </w:r>
    </w:p>
    <w:p w14:paraId="55659CF6">
      <w:pPr>
        <w:spacing w:line="360" w:lineRule="auto"/>
        <w:ind w:right="172" w:rightChars="82"/>
        <w:rPr>
          <w:rFonts w:ascii="宋体" w:hAnsi="宋体"/>
          <w:b/>
          <w:sz w:val="24"/>
        </w:rPr>
      </w:pPr>
      <w:r>
        <w:rPr>
          <w:rFonts w:ascii="宋体" w:hAnsi="宋体"/>
          <w:b/>
          <w:sz w:val="24"/>
        </w:rPr>
        <w:t xml:space="preserve">1 </w:t>
      </w:r>
      <w:r>
        <w:rPr>
          <w:rFonts w:hint="eastAsia" w:ascii="宋体" w:hAnsi="宋体"/>
          <w:b/>
          <w:sz w:val="24"/>
        </w:rPr>
        <w:t>目的：</w:t>
      </w:r>
    </w:p>
    <w:p w14:paraId="0C3B3693">
      <w:pPr>
        <w:spacing w:line="360" w:lineRule="auto"/>
        <w:ind w:right="172" w:rightChars="82"/>
        <w:rPr>
          <w:rFonts w:ascii="宋体"/>
          <w:b/>
          <w:sz w:val="24"/>
        </w:rPr>
      </w:pPr>
      <w:r>
        <w:rPr>
          <w:rFonts w:hint="eastAsia" w:ascii="宋体" w:hAnsi="宋体"/>
          <w:sz w:val="24"/>
        </w:rPr>
        <w:t>对设计开发全过程进行控制，确保产品满足顾客要求、期望及有关法律法规要求。</w:t>
      </w:r>
    </w:p>
    <w:p w14:paraId="080EE905">
      <w:pPr>
        <w:numPr>
          <w:ilvl w:val="0"/>
          <w:numId w:val="42"/>
        </w:numPr>
        <w:spacing w:line="360" w:lineRule="auto"/>
        <w:ind w:right="172" w:rightChars="82"/>
        <w:rPr>
          <w:rFonts w:ascii="宋体"/>
          <w:b/>
          <w:sz w:val="24"/>
        </w:rPr>
      </w:pPr>
      <w:r>
        <w:rPr>
          <w:rFonts w:hint="eastAsia" w:ascii="宋体" w:hAnsi="宋体"/>
          <w:b/>
          <w:sz w:val="24"/>
        </w:rPr>
        <w:t>范围：</w:t>
      </w:r>
    </w:p>
    <w:p w14:paraId="6D397D78">
      <w:pPr>
        <w:spacing w:line="360" w:lineRule="auto"/>
        <w:ind w:right="172" w:rightChars="82"/>
        <w:rPr>
          <w:rFonts w:ascii="宋体"/>
          <w:b/>
          <w:sz w:val="24"/>
        </w:rPr>
      </w:pPr>
      <w:r>
        <w:rPr>
          <w:rFonts w:hint="eastAsia" w:ascii="宋体" w:hAnsi="宋体"/>
          <w:sz w:val="24"/>
        </w:rPr>
        <w:t>适用于本公司新产品设计开发全过程，包括引进产品和转化</w:t>
      </w:r>
      <w:r>
        <w:rPr>
          <w:rFonts w:ascii="宋体"/>
          <w:sz w:val="24"/>
        </w:rPr>
        <w:t>,</w:t>
      </w:r>
      <w:r>
        <w:rPr>
          <w:rFonts w:hint="eastAsia" w:ascii="宋体" w:hAnsi="宋体"/>
          <w:sz w:val="24"/>
        </w:rPr>
        <w:t>定型产品及生产过程的技术改进等。</w:t>
      </w:r>
    </w:p>
    <w:p w14:paraId="0BA31E8C">
      <w:pPr>
        <w:spacing w:line="360" w:lineRule="auto"/>
        <w:ind w:right="172" w:rightChars="82"/>
        <w:rPr>
          <w:rFonts w:ascii="宋体" w:hAnsi="宋体"/>
          <w:b/>
          <w:sz w:val="24"/>
        </w:rPr>
      </w:pPr>
      <w:r>
        <w:rPr>
          <w:rFonts w:ascii="宋体" w:hAnsi="宋体"/>
          <w:b/>
          <w:sz w:val="24"/>
        </w:rPr>
        <w:t xml:space="preserve">3  </w:t>
      </w:r>
      <w:r>
        <w:rPr>
          <w:rFonts w:hint="eastAsia" w:ascii="宋体" w:hAnsi="宋体"/>
          <w:b/>
          <w:sz w:val="24"/>
        </w:rPr>
        <w:t>定义：</w:t>
      </w:r>
    </w:p>
    <w:p w14:paraId="141613C6">
      <w:pPr>
        <w:spacing w:line="360" w:lineRule="auto"/>
        <w:ind w:right="172" w:rightChars="82"/>
        <w:rPr>
          <w:rFonts w:ascii="宋体"/>
          <w:sz w:val="24"/>
        </w:rPr>
      </w:pPr>
      <w:r>
        <w:rPr>
          <w:rFonts w:hint="eastAsia" w:ascii="宋体" w:hAnsi="宋体"/>
          <w:sz w:val="24"/>
        </w:rPr>
        <w:t>设计开发：把市场信息、概念或客户要求转化成实质的、能满足顾客要求的产品过程。</w:t>
      </w:r>
    </w:p>
    <w:p w14:paraId="4AC17951">
      <w:pPr>
        <w:spacing w:line="360" w:lineRule="auto"/>
        <w:ind w:right="172" w:rightChars="82"/>
        <w:rPr>
          <w:rFonts w:ascii="宋体"/>
          <w:b/>
          <w:sz w:val="24"/>
        </w:rPr>
      </w:pPr>
      <w:r>
        <w:rPr>
          <w:rFonts w:ascii="宋体" w:hAnsi="宋体"/>
          <w:b/>
          <w:sz w:val="24"/>
        </w:rPr>
        <w:t xml:space="preserve">4  </w:t>
      </w:r>
      <w:r>
        <w:rPr>
          <w:rFonts w:hint="eastAsia" w:ascii="宋体" w:hAnsi="宋体"/>
          <w:b/>
          <w:sz w:val="24"/>
        </w:rPr>
        <w:t>职责：</w:t>
      </w:r>
    </w:p>
    <w:p w14:paraId="32057B44">
      <w:pPr>
        <w:spacing w:line="360" w:lineRule="auto"/>
        <w:ind w:right="172" w:rightChars="82"/>
        <w:rPr>
          <w:rFonts w:hint="eastAsia" w:ascii="宋体" w:eastAsia="宋体"/>
          <w:sz w:val="24"/>
          <w:lang w:eastAsia="zh-CN"/>
        </w:rPr>
      </w:pPr>
      <w:r>
        <w:rPr>
          <w:rFonts w:ascii="宋体" w:hAnsi="宋体"/>
          <w:sz w:val="24"/>
        </w:rPr>
        <w:t>4.1</w:t>
      </w:r>
      <w:r>
        <w:rPr>
          <w:rFonts w:hint="eastAsia" w:ascii="宋体" w:hAnsi="宋体"/>
          <w:sz w:val="24"/>
          <w:lang w:eastAsia="zh-CN"/>
        </w:rPr>
        <w:t>市场部</w:t>
      </w:r>
    </w:p>
    <w:p w14:paraId="46D20E90">
      <w:pPr>
        <w:spacing w:line="360" w:lineRule="auto"/>
        <w:ind w:right="172" w:rightChars="82"/>
        <w:rPr>
          <w:rFonts w:ascii="宋体"/>
          <w:sz w:val="24"/>
        </w:rPr>
      </w:pPr>
      <w:r>
        <w:rPr>
          <w:rFonts w:ascii="宋体" w:hAnsi="宋体"/>
          <w:sz w:val="24"/>
        </w:rPr>
        <w:t xml:space="preserve">4.1.1 </w:t>
      </w:r>
      <w:r>
        <w:rPr>
          <w:rFonts w:hint="eastAsia" w:ascii="宋体" w:hAnsi="宋体"/>
          <w:sz w:val="24"/>
          <w:lang w:eastAsia="zh-CN"/>
        </w:rPr>
        <w:t>市场部</w:t>
      </w:r>
      <w:r>
        <w:rPr>
          <w:rFonts w:hint="eastAsia" w:ascii="宋体" w:hAnsi="宋体"/>
          <w:sz w:val="24"/>
        </w:rPr>
        <w:t>负责市场调研或分析，以提供市场信息及新产品开发导向及理念使设计开发之新产品更具竞争优势及利润空间。</w:t>
      </w:r>
    </w:p>
    <w:p w14:paraId="4E69D4B2">
      <w:pPr>
        <w:spacing w:line="360" w:lineRule="auto"/>
        <w:ind w:right="172" w:rightChars="82"/>
        <w:rPr>
          <w:rFonts w:ascii="宋体"/>
          <w:sz w:val="24"/>
        </w:rPr>
      </w:pPr>
      <w:r>
        <w:rPr>
          <w:rFonts w:ascii="宋体" w:hAnsi="宋体"/>
          <w:sz w:val="24"/>
        </w:rPr>
        <w:t xml:space="preserve">4.1.2 </w:t>
      </w:r>
      <w:r>
        <w:rPr>
          <w:rFonts w:hint="eastAsia" w:ascii="宋体" w:hAnsi="宋体"/>
          <w:sz w:val="24"/>
        </w:rPr>
        <w:t>新产品交付顾客后，</w:t>
      </w:r>
      <w:r>
        <w:rPr>
          <w:rFonts w:hint="eastAsia" w:ascii="宋体" w:hAnsi="宋体"/>
          <w:sz w:val="24"/>
          <w:lang w:eastAsia="zh-CN"/>
        </w:rPr>
        <w:t>市场部</w:t>
      </w:r>
      <w:r>
        <w:rPr>
          <w:rFonts w:hint="eastAsia" w:ascii="宋体" w:hAnsi="宋体"/>
          <w:sz w:val="24"/>
        </w:rPr>
        <w:t>负责调查反馈顾客使用后的情况给</w:t>
      </w:r>
      <w:r>
        <w:rPr>
          <w:rFonts w:hint="eastAsia" w:ascii="宋体" w:hAnsi="宋体"/>
          <w:sz w:val="24"/>
          <w:lang w:eastAsia="zh-CN"/>
        </w:rPr>
        <w:t>研发部</w:t>
      </w:r>
      <w:r>
        <w:rPr>
          <w:rFonts w:hint="eastAsia" w:ascii="宋体" w:hAnsi="宋体"/>
          <w:sz w:val="24"/>
        </w:rPr>
        <w:t>。</w:t>
      </w:r>
    </w:p>
    <w:p w14:paraId="783F3DA7">
      <w:pPr>
        <w:spacing w:line="360" w:lineRule="auto"/>
        <w:ind w:right="172" w:rightChars="82"/>
        <w:rPr>
          <w:rFonts w:hint="eastAsia" w:ascii="宋体" w:eastAsia="宋体"/>
          <w:sz w:val="24"/>
          <w:lang w:eastAsia="zh-CN"/>
        </w:rPr>
      </w:pPr>
      <w:r>
        <w:rPr>
          <w:rFonts w:ascii="宋体" w:hAnsi="宋体"/>
          <w:sz w:val="24"/>
        </w:rPr>
        <w:t>4.2</w:t>
      </w:r>
      <w:r>
        <w:rPr>
          <w:rFonts w:hint="eastAsia" w:ascii="宋体" w:hAnsi="宋体"/>
          <w:sz w:val="24"/>
          <w:lang w:eastAsia="zh-CN"/>
        </w:rPr>
        <w:t>研发部</w:t>
      </w:r>
    </w:p>
    <w:p w14:paraId="6A1CB857">
      <w:pPr>
        <w:spacing w:line="360" w:lineRule="auto"/>
        <w:ind w:right="172" w:rightChars="82"/>
        <w:rPr>
          <w:rFonts w:ascii="宋体"/>
          <w:sz w:val="24"/>
        </w:rPr>
      </w:pPr>
      <w:r>
        <w:rPr>
          <w:rFonts w:ascii="宋体" w:hAnsi="宋体"/>
          <w:sz w:val="24"/>
        </w:rPr>
        <w:t>4.2.1</w:t>
      </w:r>
      <w:r>
        <w:rPr>
          <w:rFonts w:hint="eastAsia" w:ascii="宋体" w:hAnsi="宋体"/>
          <w:sz w:val="24"/>
          <w:lang w:eastAsia="zh-CN"/>
        </w:rPr>
        <w:t>研发部</w:t>
      </w:r>
      <w:r>
        <w:rPr>
          <w:rFonts w:hint="eastAsia" w:ascii="宋体" w:hAnsi="宋体"/>
          <w:sz w:val="24"/>
        </w:rPr>
        <w:t>制定设计开发实施计划，并根据设计输入要求，组织编写或选定设计产品规格。组织并协调各阶段的设计开发工作。</w:t>
      </w:r>
    </w:p>
    <w:p w14:paraId="54C5BFA6">
      <w:pPr>
        <w:spacing w:line="360" w:lineRule="auto"/>
        <w:ind w:right="172" w:rightChars="82"/>
        <w:rPr>
          <w:rFonts w:ascii="宋体"/>
          <w:sz w:val="24"/>
        </w:rPr>
      </w:pPr>
      <w:r>
        <w:rPr>
          <w:rFonts w:ascii="宋体" w:hAnsi="宋体"/>
          <w:sz w:val="24"/>
        </w:rPr>
        <w:t xml:space="preserve">4.2.2 </w:t>
      </w:r>
      <w:r>
        <w:rPr>
          <w:rFonts w:hint="eastAsia" w:ascii="宋体" w:hAnsi="宋体"/>
          <w:sz w:val="24"/>
        </w:rPr>
        <w:t>审批设计开发输出文件和设计更改文件，完成设计评审、验证和确认的有关工作。</w:t>
      </w:r>
    </w:p>
    <w:p w14:paraId="1E3EC297">
      <w:pPr>
        <w:tabs>
          <w:tab w:val="left" w:pos="8833"/>
        </w:tabs>
        <w:spacing w:line="360" w:lineRule="auto"/>
        <w:ind w:right="172" w:rightChars="82"/>
        <w:rPr>
          <w:rFonts w:ascii="宋体"/>
          <w:sz w:val="24"/>
        </w:rPr>
      </w:pPr>
      <w:r>
        <w:rPr>
          <w:rFonts w:ascii="宋体" w:hAnsi="宋体"/>
          <w:sz w:val="24"/>
        </w:rPr>
        <w:t xml:space="preserve">4.2.3 </w:t>
      </w:r>
      <w:r>
        <w:rPr>
          <w:rFonts w:hint="eastAsia" w:ascii="宋体" w:hAnsi="宋体"/>
          <w:sz w:val="24"/>
        </w:rPr>
        <w:t>制作并管理设计输出文件、标准和规范数据。根据设计图样、标准规范等要求，制定工艺流程、特殊流程说明和产品验收技术数据。并完成设计更改所涉及的工艺流程、图纸等相关资料的更改。</w:t>
      </w:r>
    </w:p>
    <w:p w14:paraId="18E62A95">
      <w:pPr>
        <w:spacing w:line="360" w:lineRule="auto"/>
        <w:ind w:right="172" w:rightChars="82"/>
        <w:rPr>
          <w:rFonts w:ascii="宋体"/>
          <w:sz w:val="24"/>
        </w:rPr>
      </w:pPr>
      <w:r>
        <w:rPr>
          <w:rFonts w:ascii="宋体" w:hAnsi="宋体"/>
          <w:sz w:val="24"/>
        </w:rPr>
        <w:t>4.2</w:t>
      </w:r>
      <w:r>
        <w:rPr>
          <w:rFonts w:ascii="宋体"/>
          <w:sz w:val="24"/>
        </w:rPr>
        <w:t>.</w:t>
      </w:r>
      <w:r>
        <w:rPr>
          <w:rFonts w:ascii="宋体" w:hAnsi="宋体"/>
          <w:sz w:val="24"/>
        </w:rPr>
        <w:t>4</w:t>
      </w:r>
      <w:r>
        <w:rPr>
          <w:rFonts w:hint="eastAsia" w:ascii="宋体" w:hAnsi="宋体"/>
          <w:sz w:val="24"/>
        </w:rPr>
        <w:t>按照工艺文件，检验技术数据和设计输出的图样、文件数据等对新产品进行检验。</w:t>
      </w:r>
    </w:p>
    <w:p w14:paraId="21568376">
      <w:pPr>
        <w:spacing w:line="360" w:lineRule="auto"/>
        <w:ind w:right="172" w:rightChars="82"/>
        <w:rPr>
          <w:rFonts w:hint="eastAsia" w:ascii="宋体" w:eastAsia="宋体"/>
          <w:sz w:val="24"/>
          <w:lang w:eastAsia="zh-CN"/>
        </w:rPr>
      </w:pPr>
      <w:r>
        <w:rPr>
          <w:rFonts w:ascii="宋体" w:hAnsi="宋体"/>
          <w:sz w:val="24"/>
        </w:rPr>
        <w:t xml:space="preserve">4.3 </w:t>
      </w:r>
      <w:r>
        <w:rPr>
          <w:rFonts w:hint="eastAsia" w:ascii="宋体" w:hAnsi="宋体"/>
          <w:sz w:val="24"/>
          <w:lang w:eastAsia="zh-CN"/>
        </w:rPr>
        <w:t>市场部</w:t>
      </w:r>
      <w:r>
        <w:rPr>
          <w:rFonts w:hint="eastAsia" w:ascii="宋体" w:hAnsi="宋体"/>
          <w:sz w:val="24"/>
        </w:rPr>
        <w:t>/</w:t>
      </w:r>
      <w:r>
        <w:rPr>
          <w:rFonts w:hint="eastAsia" w:ascii="宋体" w:hAnsi="宋体"/>
          <w:sz w:val="24"/>
          <w:lang w:eastAsia="zh-CN"/>
        </w:rPr>
        <w:t>生产技术部</w:t>
      </w:r>
    </w:p>
    <w:p w14:paraId="27A9F0D6">
      <w:pPr>
        <w:spacing w:line="360" w:lineRule="auto"/>
        <w:ind w:right="172" w:rightChars="82"/>
        <w:rPr>
          <w:rFonts w:ascii="宋体"/>
          <w:sz w:val="24"/>
        </w:rPr>
      </w:pPr>
      <w:r>
        <w:rPr>
          <w:rFonts w:ascii="宋体" w:hAnsi="宋体"/>
          <w:sz w:val="24"/>
        </w:rPr>
        <w:t xml:space="preserve">4.3.1 </w:t>
      </w:r>
      <w:r>
        <w:rPr>
          <w:rFonts w:hint="eastAsia" w:ascii="宋体" w:hAnsi="宋体"/>
          <w:sz w:val="24"/>
          <w:lang w:eastAsia="zh-CN"/>
        </w:rPr>
        <w:t>市场部</w:t>
      </w:r>
      <w:r>
        <w:rPr>
          <w:rFonts w:hint="eastAsia" w:ascii="宋体" w:hAnsi="宋体"/>
          <w:sz w:val="24"/>
        </w:rPr>
        <w:t>为新产品设计开发及时提供合格的材料零件及供货商。</w:t>
      </w:r>
    </w:p>
    <w:p w14:paraId="76674163">
      <w:pPr>
        <w:spacing w:line="360" w:lineRule="auto"/>
        <w:ind w:right="172" w:rightChars="82"/>
        <w:rPr>
          <w:rFonts w:ascii="宋体"/>
          <w:sz w:val="24"/>
        </w:rPr>
      </w:pPr>
      <w:r>
        <w:rPr>
          <w:rFonts w:ascii="宋体" w:hAnsi="宋体"/>
          <w:sz w:val="24"/>
        </w:rPr>
        <w:t xml:space="preserve">4.3.2 </w:t>
      </w:r>
      <w:r>
        <w:rPr>
          <w:rFonts w:hint="eastAsia" w:ascii="宋体" w:hAnsi="宋体"/>
          <w:sz w:val="24"/>
          <w:lang w:eastAsia="zh-CN"/>
        </w:rPr>
        <w:t>市场部</w:t>
      </w:r>
      <w:r>
        <w:rPr>
          <w:rFonts w:hint="eastAsia" w:ascii="宋体" w:hAnsi="宋体"/>
          <w:sz w:val="24"/>
        </w:rPr>
        <w:t>提供之材料零件更具竞争力且质量能够得到持续的改善。</w:t>
      </w:r>
    </w:p>
    <w:p w14:paraId="7CDCA188">
      <w:pPr>
        <w:spacing w:line="360" w:lineRule="auto"/>
        <w:ind w:right="172" w:rightChars="82"/>
        <w:rPr>
          <w:rFonts w:ascii="宋体"/>
          <w:sz w:val="24"/>
        </w:rPr>
      </w:pPr>
      <w:r>
        <w:rPr>
          <w:rFonts w:ascii="宋体" w:hAnsi="宋体"/>
          <w:sz w:val="24"/>
        </w:rPr>
        <w:t>4.3.3</w:t>
      </w:r>
      <w:r>
        <w:rPr>
          <w:rFonts w:hint="eastAsia" w:ascii="宋体" w:hAnsi="宋体"/>
          <w:sz w:val="24"/>
          <w:lang w:eastAsia="zh-CN"/>
        </w:rPr>
        <w:t>生产技术部</w:t>
      </w:r>
      <w:r>
        <w:rPr>
          <w:rFonts w:hint="eastAsia" w:ascii="宋体" w:hAnsi="宋体"/>
          <w:sz w:val="24"/>
        </w:rPr>
        <w:t>合理安排试产计划，统筹试产物料及时到位。</w:t>
      </w:r>
    </w:p>
    <w:p w14:paraId="7964E112">
      <w:pPr>
        <w:ind w:left="1394" w:leftChars="321" w:right="172" w:rightChars="82" w:hanging="720" w:hangingChars="300"/>
        <w:rPr>
          <w:rFonts w:ascii="宋体"/>
          <w:sz w:val="24"/>
        </w:rPr>
      </w:pPr>
    </w:p>
    <w:p w14:paraId="45C4081E">
      <w:pPr>
        <w:ind w:left="1394" w:leftChars="321" w:right="172" w:rightChars="82" w:hanging="720" w:hangingChars="300"/>
        <w:rPr>
          <w:rFonts w:ascii="宋体"/>
          <w:sz w:val="24"/>
        </w:rPr>
      </w:pPr>
    </w:p>
    <w:p w14:paraId="7C2D808E">
      <w:pPr>
        <w:ind w:left="1394" w:leftChars="321" w:right="172" w:rightChars="82" w:hanging="720" w:hangingChars="300"/>
        <w:rPr>
          <w:rFonts w:ascii="宋体"/>
          <w:sz w:val="24"/>
        </w:rPr>
      </w:pPr>
    </w:p>
    <w:p w14:paraId="4AEFE590">
      <w:pPr>
        <w:ind w:left="1394" w:leftChars="321" w:right="172" w:rightChars="82" w:hanging="720" w:hangingChars="300"/>
        <w:rPr>
          <w:rFonts w:ascii="宋体"/>
          <w:sz w:val="24"/>
        </w:rPr>
      </w:pPr>
    </w:p>
    <w:p w14:paraId="4588BD23">
      <w:pPr>
        <w:ind w:left="1394" w:leftChars="321" w:right="172" w:rightChars="82" w:hanging="720" w:hangingChars="300"/>
        <w:rPr>
          <w:rFonts w:ascii="宋体"/>
          <w:sz w:val="24"/>
        </w:rPr>
      </w:pPr>
    </w:p>
    <w:p w14:paraId="339E4D19">
      <w:pPr>
        <w:ind w:left="1394" w:leftChars="321" w:right="172" w:rightChars="82" w:hanging="720" w:hangingChars="300"/>
        <w:rPr>
          <w:rFonts w:ascii="宋体"/>
          <w:sz w:val="24"/>
        </w:rPr>
      </w:pPr>
    </w:p>
    <w:p w14:paraId="1236406F">
      <w:pPr>
        <w:ind w:left="1394" w:leftChars="321" w:right="172" w:rightChars="82" w:hanging="720" w:hangingChars="300"/>
        <w:rPr>
          <w:rFonts w:ascii="宋体"/>
          <w:sz w:val="24"/>
        </w:rPr>
      </w:pPr>
    </w:p>
    <w:p w14:paraId="55F41EB2">
      <w:pPr>
        <w:ind w:right="172" w:rightChars="82"/>
        <w:rPr>
          <w:rFonts w:ascii="宋体"/>
          <w:sz w:val="24"/>
        </w:rPr>
      </w:pPr>
      <w:r>
        <w:rPr>
          <w:rFonts w:ascii="宋体" w:hAnsi="宋体"/>
          <w:sz w:val="24"/>
        </w:rPr>
        <w:t xml:space="preserve">5 </w:t>
      </w:r>
      <w:r>
        <w:rPr>
          <w:rFonts w:hint="eastAsia" w:ascii="宋体" w:hAnsi="宋体"/>
          <w:sz w:val="24"/>
        </w:rPr>
        <w:t>作业流程：</w:t>
      </w:r>
    </w:p>
    <w:tbl>
      <w:tblPr>
        <w:tblStyle w:val="4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48"/>
        <w:gridCol w:w="3878"/>
        <w:gridCol w:w="994"/>
        <w:gridCol w:w="1134"/>
        <w:gridCol w:w="985"/>
      </w:tblGrid>
      <w:tr w14:paraId="44E1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5" w:type="dxa"/>
            <w:vAlign w:val="center"/>
          </w:tcPr>
          <w:p w14:paraId="7D216391">
            <w:pPr>
              <w:jc w:val="center"/>
              <w:rPr>
                <w:sz w:val="24"/>
              </w:rPr>
            </w:pPr>
            <w:r>
              <w:rPr>
                <w:rFonts w:hint="eastAsia"/>
                <w:sz w:val="24"/>
              </w:rPr>
              <w:t>序号</w:t>
            </w:r>
          </w:p>
        </w:tc>
        <w:tc>
          <w:tcPr>
            <w:tcW w:w="1648" w:type="dxa"/>
            <w:vAlign w:val="center"/>
          </w:tcPr>
          <w:p w14:paraId="00D7339B">
            <w:pPr>
              <w:jc w:val="center"/>
              <w:rPr>
                <w:sz w:val="24"/>
              </w:rPr>
            </w:pPr>
            <w:r>
              <w:rPr>
                <w:rFonts w:hint="eastAsia"/>
                <w:sz w:val="24"/>
              </w:rPr>
              <w:t>流程图</w:t>
            </w:r>
          </w:p>
        </w:tc>
        <w:tc>
          <w:tcPr>
            <w:tcW w:w="3878" w:type="dxa"/>
            <w:vAlign w:val="center"/>
          </w:tcPr>
          <w:p w14:paraId="26B2C4E3">
            <w:pPr>
              <w:jc w:val="center"/>
              <w:rPr>
                <w:sz w:val="24"/>
              </w:rPr>
            </w:pPr>
            <w:r>
              <w:rPr>
                <w:rFonts w:hint="eastAsia"/>
                <w:sz w:val="24"/>
              </w:rPr>
              <w:t>流程说明</w:t>
            </w:r>
          </w:p>
        </w:tc>
        <w:tc>
          <w:tcPr>
            <w:tcW w:w="994" w:type="dxa"/>
            <w:vAlign w:val="center"/>
          </w:tcPr>
          <w:p w14:paraId="54C25314">
            <w:pPr>
              <w:jc w:val="center"/>
              <w:rPr>
                <w:sz w:val="24"/>
              </w:rPr>
            </w:pPr>
            <w:r>
              <w:rPr>
                <w:rFonts w:hint="eastAsia"/>
                <w:sz w:val="24"/>
              </w:rPr>
              <w:t>责任人</w:t>
            </w:r>
          </w:p>
        </w:tc>
        <w:tc>
          <w:tcPr>
            <w:tcW w:w="1134" w:type="dxa"/>
            <w:vAlign w:val="center"/>
          </w:tcPr>
          <w:p w14:paraId="717E39B8">
            <w:pPr>
              <w:jc w:val="center"/>
              <w:rPr>
                <w:sz w:val="24"/>
              </w:rPr>
            </w:pPr>
            <w:r>
              <w:rPr>
                <w:rFonts w:hint="eastAsia"/>
                <w:sz w:val="24"/>
              </w:rPr>
              <w:t>相关</w:t>
            </w:r>
          </w:p>
          <w:p w14:paraId="793105AD">
            <w:pPr>
              <w:jc w:val="center"/>
              <w:rPr>
                <w:sz w:val="24"/>
              </w:rPr>
            </w:pPr>
            <w:r>
              <w:rPr>
                <w:rFonts w:hint="eastAsia"/>
                <w:sz w:val="24"/>
              </w:rPr>
              <w:t>文件</w:t>
            </w:r>
          </w:p>
        </w:tc>
        <w:tc>
          <w:tcPr>
            <w:tcW w:w="985" w:type="dxa"/>
            <w:vAlign w:val="center"/>
          </w:tcPr>
          <w:p w14:paraId="16CF94AA">
            <w:pPr>
              <w:jc w:val="center"/>
              <w:rPr>
                <w:sz w:val="24"/>
              </w:rPr>
            </w:pPr>
            <w:r>
              <w:rPr>
                <w:rFonts w:hint="eastAsia"/>
                <w:sz w:val="24"/>
              </w:rPr>
              <w:t>相关</w:t>
            </w:r>
          </w:p>
          <w:p w14:paraId="7CDBB257">
            <w:pPr>
              <w:jc w:val="center"/>
              <w:rPr>
                <w:sz w:val="24"/>
              </w:rPr>
            </w:pPr>
            <w:r>
              <w:rPr>
                <w:rFonts w:hint="eastAsia"/>
                <w:sz w:val="24"/>
              </w:rPr>
              <w:t>记录</w:t>
            </w:r>
          </w:p>
        </w:tc>
      </w:tr>
      <w:tr w14:paraId="3A97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05" w:type="dxa"/>
            <w:vAlign w:val="center"/>
          </w:tcPr>
          <w:p w14:paraId="44D7E656">
            <w:pPr>
              <w:jc w:val="center"/>
              <w:rPr>
                <w:sz w:val="24"/>
              </w:rPr>
            </w:pPr>
            <w:r>
              <w:rPr>
                <w:sz w:val="24"/>
              </w:rPr>
              <w:t>1</w:t>
            </w:r>
          </w:p>
        </w:tc>
        <w:tc>
          <w:tcPr>
            <w:tcW w:w="1648" w:type="dxa"/>
            <w:vAlign w:val="center"/>
          </w:tcPr>
          <w:p w14:paraId="4C95A5C7">
            <w:pPr>
              <w:jc w:val="center"/>
            </w:pPr>
            <w:r>
              <mc:AlternateContent>
                <mc:Choice Requires="wps">
                  <w:drawing>
                    <wp:anchor distT="0" distB="0" distL="114300" distR="114300" simplePos="0" relativeHeight="251680768" behindDoc="0" locked="0" layoutInCell="1" allowOverlap="1">
                      <wp:simplePos x="0" y="0"/>
                      <wp:positionH relativeFrom="column">
                        <wp:posOffset>471170</wp:posOffset>
                      </wp:positionH>
                      <wp:positionV relativeFrom="paragraph">
                        <wp:posOffset>832485</wp:posOffset>
                      </wp:positionV>
                      <wp:extent cx="2540" cy="3162935"/>
                      <wp:effectExtent l="58420" t="8255" r="53340" b="19685"/>
                      <wp:wrapNone/>
                      <wp:docPr id="43" name="直线 2248"/>
                      <wp:cNvGraphicFramePr/>
                      <a:graphic xmlns:a="http://schemas.openxmlformats.org/drawingml/2006/main">
                        <a:graphicData uri="http://schemas.microsoft.com/office/word/2010/wordprocessingShape">
                          <wps:wsp>
                            <wps:cNvCnPr>
                              <a:cxnSpLocks noChangeShapeType="1"/>
                            </wps:cNvCnPr>
                            <wps:spPr bwMode="auto">
                              <a:xfrm flipH="1">
                                <a:off x="0" y="0"/>
                                <a:ext cx="2540" cy="3162935"/>
                              </a:xfrm>
                              <a:prstGeom prst="line">
                                <a:avLst/>
                              </a:prstGeom>
                              <a:noFill/>
                              <a:ln w="9525" cmpd="sng">
                                <a:solidFill>
                                  <a:srgbClr val="000000"/>
                                </a:solidFill>
                                <a:round/>
                                <a:tailEnd type="triangle" w="med" len="med"/>
                              </a:ln>
                            </wps:spPr>
                            <wps:bodyPr/>
                          </wps:wsp>
                        </a:graphicData>
                      </a:graphic>
                    </wp:anchor>
                  </w:drawing>
                </mc:Choice>
                <mc:Fallback>
                  <w:pict>
                    <v:line id="直线 2248" o:spid="_x0000_s1026" o:spt="20" style="position:absolute;left:0pt;flip:x;margin-left:37.1pt;margin-top:65.55pt;height:249.05pt;width:0.2pt;z-index:251680768;mso-width-relative:page;mso-height-relative:page;" filled="f" stroked="t" coordsize="21600,21600" o:gfxdata="UEsDBAoAAAAAAIdO4kAAAAAAAAAAAAAAAAAEAAAAZHJzL1BLAwQUAAAACACHTuJArcSwVdoAAAAJ&#10;AQAADwAAAGRycy9kb3ducmV2LnhtbE2PwU7DMAyG70i8Q2QkbixtKd1Wmu6AQOKEYENIu2WNacsa&#10;pyTZOnh6zAmOtj/9/v5qdbKDOKIPvSMF6SwBgdQ401Or4HXzcLUAEaImowdHqOALA6zq87NKl8ZN&#10;9ILHdWwFh1AotYIuxrGUMjQdWh1mbkTi27vzVkcefSuN1xOH20FmSVJIq3viD50e8a7DZr8+WAXL&#10;zXTjnv3+LU/7z+33/UccH5+iUpcXaXILIuIp/sHwq8/qULPTzh3IBDEomOcZk7y/TlMQDMzzAsRO&#10;QZEtM5B1Jf83qH8AUEsDBBQAAAAIAIdO4kC2IoTVBQIAAOsDAAAOAAAAZHJzL2Uyb0RvYy54bWyt&#10;U8FuGyEQvVfqPyDu9dprO0pWXudgN+0hbS0l/QAM7C4qMAiw1/6W/kZPvfRz8hsZ8MppkksO4YCA&#10;mXkz782wuD4YTfbSBwW2ppPRmBJpOQhl25r+vL/5dElJiMwKpsHKmh5loNfLjx8WvatkCR1oIT1B&#10;EBuq3tW0i9FVRRF4Jw0LI3DSorEBb1jEq28L4VmP6EYX5Xh8UfTghfPAZQj4uj4Z6YDo3wIITaO4&#10;XAPfGWnjCdVLzSJSCp1ygS5ztU0jefzRNEFGomuKTGPeMQmet2kvlgtWtZ65TvGhBPaWEl5wMkxZ&#10;THqGWrPIyM6rV1BGcQ8BmjjiYIoTkawIspiMX2hz1zEnMxeUOriz6OH9YPn3/cYTJWo6m1JimcGO&#10;P/z+8/D3HynL2WXSp3ehQreV3fjEkB/snbsF/isQC6uO2VbmOu+PDmMnKaJ4FpIuwWGWbf8NBPqw&#10;XYQs1qHxhjRaua8pMIGjIOSQu3M8d0ceIuH4WM5n2DWOhunkoryaznMqViWUFOt8iF8kGJIONdXK&#10;Ju1Yxfa3IaaqnlzSs4UbpXXuv7akr+nVvJwjvnEoRrBtjg2glUh+KSL4drvSnuxZGqa8hhKeuXnY&#10;WZFxI1P6sxUkZmmiVyiWljQlM1JQoiX+wHQ6VaftIF1S66T7FsRx45M5qYgzkGkM85qG7P979nr6&#10;o8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wVdoAAAAJAQAADwAAAAAAAAABACAAAAAiAAAA&#10;ZHJzL2Rvd25yZXYueG1sUEsBAhQAFAAAAAgAh07iQLYihNUFAgAA6w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135890</wp:posOffset>
                      </wp:positionH>
                      <wp:positionV relativeFrom="paragraph">
                        <wp:posOffset>242570</wp:posOffset>
                      </wp:positionV>
                      <wp:extent cx="800100" cy="495300"/>
                      <wp:effectExtent l="8890" t="8890" r="10160" b="10160"/>
                      <wp:wrapNone/>
                      <wp:docPr id="42" name="文本框 2245"/>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48F1411E">
                                  <w:pPr>
                                    <w:jc w:val="center"/>
                                  </w:pPr>
                                  <w:r>
                                    <w:rPr>
                                      <w:rFonts w:hint="eastAsia"/>
                                    </w:rPr>
                                    <w:t>设计开发策划</w:t>
                                  </w:r>
                                </w:p>
                              </w:txbxContent>
                            </wps:txbx>
                            <wps:bodyPr rot="0" vert="horz" wrap="square" lIns="91440" tIns="45720" rIns="91440" bIns="45720" anchor="t" anchorCtr="0" upright="1">
                              <a:noAutofit/>
                            </wps:bodyPr>
                          </wps:wsp>
                        </a:graphicData>
                      </a:graphic>
                    </wp:anchor>
                  </w:drawing>
                </mc:Choice>
                <mc:Fallback>
                  <w:pict>
                    <v:shape id="文本框 2245" o:spid="_x0000_s1026" o:spt="202" type="#_x0000_t202" style="position:absolute;left:0pt;margin-left:10.7pt;margin-top:19.1pt;height:39pt;width:63pt;z-index:251677696;mso-width-relative:page;mso-height-relative:page;" fillcolor="#FFFFFF" filled="t" stroked="t" coordsize="21600,21600" o:gfxdata="UEsDBAoAAAAAAIdO4kAAAAAAAAAAAAAAAAAEAAAAZHJzL1BLAwQUAAAACACHTuJAmXdZdNgAAAAJ&#10;AQAADwAAAGRycy9kb3ducmV2LnhtbE2PQU/DMAyF70j8h8hIXBBL21VdKU13QALBjQ0E16zx2orG&#10;KUnWjX+Pd4Kb7ff0/L16fbKjmNGHwZGCdJGAQGqdGahT8P72eFuCCFGT0aMjVPCDAdbN5UWtK+OO&#10;tMF5GzvBIRQqraCPcaqkDG2PVoeFm5BY2ztvdeTVd9J4feRwO8osSQpp9UD8odcTPvTYfm0PVkGZ&#10;P8+f4WX5+tEW+/Eu3qzmp2+v1PVVmtyDiHiKf2Y44zM6NMy0cwcyQYwKsjRnp4JlmYE46/mKDzse&#10;0iID2dTyf4PmF1BLAwQUAAAACACHTuJAw344sUgCAACVBAAADgAAAGRycy9lMm9Eb2MueG1srVTN&#10;btQwEL4j8Q6W7zS7YRfa1WarslURUvmRCg/gdZzEwvaYsXeT8gD0DThx4c5z7XMwcdKyFJB6IIfI&#10;kxl/M/N9M1medtawncKgwRV8ejThTDkJpXZ1wT+8v3hyzFmIwpXCgFMFv1aBn64eP1q2fqFyaMCU&#10;ChmBuLBofcGbGP0iy4JslBXhCLxy5KwArYhkYp2VKFpCtybLJ5NnWQtYegSpQqCv54OTj4j4EECo&#10;Ki3VOcitVS4OqKiMiNRSaLQPfJWqrSol49uqCioyU3DqNKY3JaHzpn9nq6VY1Ch8o+VYgnhICfd6&#10;skI7SnoHdS6iYFvUf0BZLRECVPFIgs2GRhIj1MV0co+bq0Z4lXohqoO/Iz38P1j5ZvcOmS4LPss5&#10;c8KS4vuvN/tvP/bfv7A8n817ilofFhR55Sk2di+go8FJ7QZ/CfJjYA7WjXC1OkOEtlGipBKn/c3s&#10;4OqAE3qQTfsaSkolthESUFeh7fkjRhihkzzXd/KoLjJJH48nRBF5JLlmJ/OndO4ziMXtZY8hvlRg&#10;WX8oOJL6CVzsLkMcQm9D+lwBjC4vtDHJwHqzNsh2giblIj0j+m9hxrG24CfzfE51WE+8BVcPVPwT&#10;bZKev6FZHWmXjLapOQobg4wbmevJGmiL3aYbldhAeU0cIgzTTLtMhwbwM2ctTTKV9GkrUHFmXjnS&#10;4WQ6m/Wjn4zZ/HlOBh56Noce4SRBFTxyNhzXcViXrUddN5RpUN7BGWlX6cRrL/JQ1Vg3TWtSZtys&#10;fh0O7RT162+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d1l02AAAAAkBAAAPAAAAAAAAAAEA&#10;IAAAACIAAABkcnMvZG93bnJldi54bWxQSwECFAAUAAAACACHTuJAw344sUgCAACVBAAADgAAAAAA&#10;AAABACAAAAAnAQAAZHJzL2Uyb0RvYy54bWxQSwUGAAAAAAYABgBZAQAA4QUAAAAA&#10;">
                      <v:fill on="t" focussize="0,0"/>
                      <v:stroke color="#000000" miterlimit="8" joinstyle="miter"/>
                      <v:imagedata o:title=""/>
                      <o:lock v:ext="edit" aspectratio="f"/>
                      <v:textbox>
                        <w:txbxContent>
                          <w:p w14:paraId="48F1411E">
                            <w:pPr>
                              <w:jc w:val="center"/>
                            </w:pPr>
                            <w:r>
                              <w:rPr>
                                <w:rFonts w:hint="eastAsia"/>
                              </w:rPr>
                              <w:t>设计开发策划</w:t>
                            </w:r>
                          </w:p>
                        </w:txbxContent>
                      </v:textbox>
                    </v:shape>
                  </w:pict>
                </mc:Fallback>
              </mc:AlternateContent>
            </w:r>
          </w:p>
        </w:tc>
        <w:tc>
          <w:tcPr>
            <w:tcW w:w="3878" w:type="dxa"/>
            <w:vAlign w:val="center"/>
          </w:tcPr>
          <w:p w14:paraId="732D02FF">
            <w:r>
              <w:rPr>
                <w:rFonts w:hint="eastAsia"/>
              </w:rPr>
              <w:t>制订《项目可行性报告》，包括：</w:t>
            </w:r>
          </w:p>
          <w:p w14:paraId="1C900779">
            <w:r>
              <w:t>A</w:t>
            </w:r>
            <w:r>
              <w:rPr>
                <w:rFonts w:hint="eastAsia"/>
              </w:rPr>
              <w:t>：</w:t>
            </w:r>
            <w:r>
              <w:t xml:space="preserve"> </w:t>
            </w:r>
            <w:r>
              <w:rPr>
                <w:rFonts w:hint="eastAsia"/>
              </w:rPr>
              <w:t>公司自行要求（总经理或副总经理指示）设计开发的新产品。</w:t>
            </w:r>
          </w:p>
          <w:p w14:paraId="4C1B64BA">
            <w:r>
              <w:t>B</w:t>
            </w:r>
            <w:r>
              <w:rPr>
                <w:rFonts w:hint="eastAsia"/>
              </w:rPr>
              <w:t>：</w:t>
            </w:r>
            <w:r>
              <w:t xml:space="preserve"> </w:t>
            </w:r>
            <w:r>
              <w:rPr>
                <w:rFonts w:hint="eastAsia"/>
                <w:lang w:eastAsia="zh-CN"/>
              </w:rPr>
              <w:t>市场部</w:t>
            </w:r>
            <w:r>
              <w:rPr>
                <w:rFonts w:hint="eastAsia"/>
              </w:rPr>
              <w:t>调研和分析后要求设计开发的新产品。</w:t>
            </w:r>
          </w:p>
          <w:p w14:paraId="58492AA5">
            <w:r>
              <w:t>C</w:t>
            </w:r>
            <w:r>
              <w:rPr>
                <w:rFonts w:hint="eastAsia"/>
              </w:rPr>
              <w:t>：</w:t>
            </w:r>
            <w:r>
              <w:t xml:space="preserve"> </w:t>
            </w:r>
            <w:r>
              <w:rPr>
                <w:rFonts w:hint="eastAsia"/>
              </w:rPr>
              <w:t>根据客户等要求的旧产品改型和改良产品等。</w:t>
            </w:r>
          </w:p>
          <w:p w14:paraId="3F780F09">
            <w:r>
              <w:rPr>
                <w:rFonts w:hint="eastAsia"/>
              </w:rPr>
              <w:t>必须包含以下几个方面</w:t>
            </w:r>
            <w:r>
              <w:t>:</w:t>
            </w:r>
          </w:p>
          <w:p w14:paraId="162D4D36">
            <w:r>
              <w:t xml:space="preserve">A: </w:t>
            </w:r>
            <w:r>
              <w:rPr>
                <w:rFonts w:hint="eastAsia"/>
              </w:rPr>
              <w:t>主要功能、环保及安规等要求</w:t>
            </w:r>
          </w:p>
          <w:p w14:paraId="414B9C14">
            <w:r>
              <w:t xml:space="preserve">B: </w:t>
            </w:r>
            <w:r>
              <w:rPr>
                <w:rFonts w:hint="eastAsia"/>
              </w:rPr>
              <w:t>外观要求</w:t>
            </w:r>
          </w:p>
          <w:p w14:paraId="3F8490C2">
            <w:r>
              <w:t xml:space="preserve">C: </w:t>
            </w:r>
            <w:r>
              <w:rPr>
                <w:rFonts w:hint="eastAsia"/>
              </w:rPr>
              <w:t>包装要求</w:t>
            </w:r>
          </w:p>
          <w:p w14:paraId="4558A890">
            <w:r>
              <w:t>D</w:t>
            </w:r>
            <w:r>
              <w:rPr>
                <w:rFonts w:hint="eastAsia"/>
              </w:rPr>
              <w:t>：项目的时间要求</w:t>
            </w:r>
          </w:p>
          <w:p w14:paraId="2D95487F">
            <w:r>
              <w:t>E</w:t>
            </w:r>
            <w:r>
              <w:rPr>
                <w:rFonts w:hint="eastAsia"/>
              </w:rPr>
              <w:t>：其他特殊的要求</w:t>
            </w:r>
          </w:p>
          <w:p w14:paraId="7AA77267">
            <w:r>
              <w:t>3</w:t>
            </w:r>
            <w:r>
              <w:rPr>
                <w:rFonts w:hint="eastAsia"/>
              </w:rPr>
              <w:t>、《设计开发通知单》由</w:t>
            </w:r>
            <w:r>
              <w:rPr>
                <w:rFonts w:hint="eastAsia"/>
                <w:lang w:eastAsia="zh-CN"/>
              </w:rPr>
              <w:t>生产技术部</w:t>
            </w:r>
            <w:r>
              <w:rPr>
                <w:rFonts w:hint="eastAsia"/>
              </w:rPr>
              <w:t>负责人审核</w:t>
            </w:r>
            <w:r>
              <w:t>,</w:t>
            </w:r>
            <w:r>
              <w:rPr>
                <w:rFonts w:hint="eastAsia"/>
              </w:rPr>
              <w:t>经（副）总经理批准后交工程</w:t>
            </w:r>
            <w:r>
              <w:rPr>
                <w:rFonts w:hint="eastAsia"/>
                <w:lang w:eastAsia="zh-CN"/>
              </w:rPr>
              <w:t>生产技术部</w:t>
            </w:r>
            <w:r>
              <w:rPr>
                <w:rFonts w:hint="eastAsia"/>
              </w:rPr>
              <w:t>。</w:t>
            </w:r>
          </w:p>
        </w:tc>
        <w:tc>
          <w:tcPr>
            <w:tcW w:w="994" w:type="dxa"/>
            <w:vAlign w:val="center"/>
          </w:tcPr>
          <w:p w14:paraId="4F74A02D">
            <w:pPr>
              <w:jc w:val="center"/>
            </w:pPr>
            <w:r>
              <w:rPr>
                <w:rFonts w:hint="eastAsia"/>
              </w:rPr>
              <w:t>设计</w:t>
            </w:r>
          </w:p>
          <w:p w14:paraId="653D02ED">
            <w:pPr>
              <w:jc w:val="center"/>
            </w:pPr>
            <w:r>
              <w:rPr>
                <w:rFonts w:hint="eastAsia"/>
              </w:rPr>
              <w:t>工程师</w:t>
            </w:r>
          </w:p>
        </w:tc>
        <w:tc>
          <w:tcPr>
            <w:tcW w:w="1134" w:type="dxa"/>
            <w:vAlign w:val="center"/>
          </w:tcPr>
          <w:p w14:paraId="093D6438">
            <w:pPr>
              <w:jc w:val="center"/>
            </w:pPr>
          </w:p>
        </w:tc>
        <w:tc>
          <w:tcPr>
            <w:tcW w:w="985" w:type="dxa"/>
            <w:vAlign w:val="center"/>
          </w:tcPr>
          <w:p w14:paraId="5D44C9F9">
            <w:pPr>
              <w:jc w:val="center"/>
            </w:pPr>
            <w:r>
              <w:rPr>
                <w:rFonts w:hint="eastAsia"/>
              </w:rPr>
              <w:t>项目可行性报告</w:t>
            </w:r>
          </w:p>
        </w:tc>
      </w:tr>
      <w:tr w14:paraId="22FC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55C8A503">
            <w:pPr>
              <w:jc w:val="center"/>
              <w:rPr>
                <w:sz w:val="24"/>
              </w:rPr>
            </w:pPr>
            <w:r>
              <w:rPr>
                <w:sz w:val="24"/>
              </w:rPr>
              <w:t>2</w:t>
            </w:r>
          </w:p>
        </w:tc>
        <w:tc>
          <w:tcPr>
            <w:tcW w:w="1648" w:type="dxa"/>
            <w:vAlign w:val="center"/>
          </w:tcPr>
          <w:p w14:paraId="69C89C5A">
            <w:pPr>
              <w:jc w:val="center"/>
            </w:pPr>
            <w:r>
              <mc:AlternateContent>
                <mc:Choice Requires="wps">
                  <w:drawing>
                    <wp:anchor distT="0" distB="0" distL="114300" distR="114300" simplePos="0" relativeHeight="251681792" behindDoc="0" locked="0" layoutInCell="1" allowOverlap="1">
                      <wp:simplePos x="0" y="0"/>
                      <wp:positionH relativeFrom="column">
                        <wp:posOffset>468630</wp:posOffset>
                      </wp:positionH>
                      <wp:positionV relativeFrom="paragraph">
                        <wp:posOffset>1580515</wp:posOffset>
                      </wp:positionV>
                      <wp:extent cx="0" cy="1122045"/>
                      <wp:effectExtent l="55880" t="8255" r="58420" b="22225"/>
                      <wp:wrapNone/>
                      <wp:docPr id="41" name="直线 2249"/>
                      <wp:cNvGraphicFramePr/>
                      <a:graphic xmlns:a="http://schemas.openxmlformats.org/drawingml/2006/main">
                        <a:graphicData uri="http://schemas.microsoft.com/office/word/2010/wordprocessingShape">
                          <wps:wsp>
                            <wps:cNvCnPr>
                              <a:cxnSpLocks noChangeShapeType="1"/>
                            </wps:cNvCnPr>
                            <wps:spPr bwMode="auto">
                              <a:xfrm flipH="1">
                                <a:off x="0" y="0"/>
                                <a:ext cx="0" cy="1122045"/>
                              </a:xfrm>
                              <a:prstGeom prst="line">
                                <a:avLst/>
                              </a:prstGeom>
                              <a:noFill/>
                              <a:ln w="9525" cmpd="sng">
                                <a:solidFill>
                                  <a:srgbClr val="000000"/>
                                </a:solidFill>
                                <a:round/>
                                <a:tailEnd type="triangle" w="med" len="med"/>
                              </a:ln>
                            </wps:spPr>
                            <wps:bodyPr/>
                          </wps:wsp>
                        </a:graphicData>
                      </a:graphic>
                    </wp:anchor>
                  </w:drawing>
                </mc:Choice>
                <mc:Fallback>
                  <w:pict>
                    <v:line id="直线 2249" o:spid="_x0000_s1026" o:spt="20" style="position:absolute;left:0pt;flip:x;margin-left:36.9pt;margin-top:124.45pt;height:88.35pt;width:0pt;z-index:251681792;mso-width-relative:page;mso-height-relative:page;" filled="f" stroked="t" coordsize="21600,21600" o:gfxdata="UEsDBAoAAAAAAIdO4kAAAAAAAAAAAAAAAAAEAAAAZHJzL1BLAwQUAAAACACHTuJAYftIdtkAAAAJ&#10;AQAADwAAAGRycy9kb3ducmV2LnhtbE2PwU7DMBBE70j8g7VI3KiTkJY2ZNMDAokTghYhcXPjJQmN&#10;18F2m7Zfj+ECx50dzbwplwfTiz0531lGSCcJCOLa6o4bhNf1w9UchA+KteotE8KRPCyr87NSFdqO&#10;/EL7VWhEDGFfKIQ2hKGQ0tctGeUndiCOvw/rjArxdI3UTo0x3PQyS5KZNKrj2NCqge5aqrernUFY&#10;rMepfXbbtzztvt5P959heHwKiJcXaXILItAh/JnhBz+iQxWZNnbH2ose4eY6kgeELJ8vQETDr7BB&#10;yLPpDGRVyv8Lqm9QSwMEFAAAAAgAh07iQAtTIl4BAgAA6AMAAA4AAABkcnMvZTJvRG9jLnhtbK1T&#10;wW4bIRC9V+o/IO71eld21ay8zsFu2kPaWkryARjYXVRgEGCv/S39jZ566efkNzqwK6dJLzmUA4Jh&#10;5s28N8Pq+mQ0OUofFNiGlrM5JdJyEMp2DX24v3n3gZIQmRVMg5UNPctAr9dv36wGV8sKetBCeoIg&#10;NtSDa2gfo6uLIvBeGhZm4KTFxxa8YRGvviuEZwOiG11U8/n7YgAvnAcuQ0DrdnykE6J/DSC0reJy&#10;C/xgpI0jqpeaRaQUeuUCXedq21by+K1tg4xENxSZxrxjEjzv016sV6zuPHO94lMJ7DUlvOBkmLKY&#10;9AK1ZZGRg1f/QBnFPQRo44yDKUYiWRFkUc5faHPXMyczF5Q6uIvo4f/B8q/HnSdKNHRRUmKZwY4/&#10;/vj5+Os3qarFVdJncKFGt43d+cSQn+yduwX+PRALm57ZTuY6788OY8sUUTwLSZfgMMt++AICfdgh&#10;Qhbr1HpDWq3c5xSYwFEQcsrdOV+6I0+R8NHI0VqWVTVfLHMeVieIFOh8iJ8kGJIODdXKJuFYzY63&#10;IaaSnlyS2cKN0jo3X1syNPRqWS0p4cahEsF2OTaAViL5pYjgu/1Ge3JkaZLymkp45ubhYEXGjUzp&#10;j1aQmHWJXqFSWtKUzEhBiZb4/dJprE7bSbck1Sj6HsR559NzkhAHINOYhjVN2N/37PX0Q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7SHbZAAAACQEAAA8AAAAAAAAAAQAgAAAAIgAAAGRycy9k&#10;b3ducmV2LnhtbFBLAQIUABQAAAAIAIdO4kALUyJeAQIAAOg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985520</wp:posOffset>
                      </wp:positionV>
                      <wp:extent cx="800100" cy="504190"/>
                      <wp:effectExtent l="5080" t="13335" r="13970" b="6350"/>
                      <wp:wrapNone/>
                      <wp:docPr id="40" name="文本框 2242"/>
                      <wp:cNvGraphicFramePr/>
                      <a:graphic xmlns:a="http://schemas.openxmlformats.org/drawingml/2006/main">
                        <a:graphicData uri="http://schemas.microsoft.com/office/word/2010/wordprocessingShape">
                          <wps:wsp>
                            <wps:cNvSpPr txBox="1">
                              <a:spLocks noChangeArrowheads="1"/>
                            </wps:cNvSpPr>
                            <wps:spPr bwMode="auto">
                              <a:xfrm>
                                <a:off x="0" y="0"/>
                                <a:ext cx="800100" cy="504190"/>
                              </a:xfrm>
                              <a:prstGeom prst="rect">
                                <a:avLst/>
                              </a:prstGeom>
                              <a:solidFill>
                                <a:srgbClr val="FFFFFF"/>
                              </a:solidFill>
                              <a:ln w="9525" cmpd="sng">
                                <a:solidFill>
                                  <a:srgbClr val="000000"/>
                                </a:solidFill>
                                <a:miter lim="800000"/>
                              </a:ln>
                            </wps:spPr>
                            <wps:txbx>
                              <w:txbxContent>
                                <w:p w14:paraId="28FAB876">
                                  <w:pPr>
                                    <w:jc w:val="center"/>
                                  </w:pPr>
                                  <w:r>
                                    <w:rPr>
                                      <w:rFonts w:hint="eastAsia"/>
                                    </w:rPr>
                                    <w:t>设计开发计划</w:t>
                                  </w:r>
                                </w:p>
                              </w:txbxContent>
                            </wps:txbx>
                            <wps:bodyPr rot="0" vert="horz" wrap="square" lIns="91440" tIns="45720" rIns="91440" bIns="45720" anchor="t" anchorCtr="0" upright="1">
                              <a:noAutofit/>
                            </wps:bodyPr>
                          </wps:wsp>
                        </a:graphicData>
                      </a:graphic>
                    </wp:anchor>
                  </w:drawing>
                </mc:Choice>
                <mc:Fallback>
                  <w:pict>
                    <v:shape id="文本框 2242" o:spid="_x0000_s1026" o:spt="202" type="#_x0000_t202" style="position:absolute;left:0pt;margin-left:4.4pt;margin-top:77.6pt;height:39.7pt;width:63pt;z-index:251674624;mso-width-relative:page;mso-height-relative:page;" fillcolor="#FFFFFF" filled="t" stroked="t" coordsize="21600,21600" o:gfxdata="UEsDBAoAAAAAAIdO4kAAAAAAAAAAAAAAAAAEAAAAZHJzL1BLAwQUAAAACACHTuJAZCE3ltcAAAAJ&#10;AQAADwAAAGRycy9kb3ducmV2LnhtbE2PwU7DMAyG70i8Q2QkLoila7tulKY7IIHgBgONa9Z4bUXi&#10;lCbrxtvjneDo/7c+f67WJ2fFhGPoPSmYzxIQSI03PbUKPt4fb1cgQtRktPWECn4wwLq+vKh0afyR&#10;3nDaxFYwhEKpFXQxDqWUoenQ6TDzAxJ3ez86HXkcW2lGfWS4szJNkkI63RNf6PSADx02X5uDU7DK&#10;n6fP8JK9bptib+/izXJ6+h6Vur6aJ/cgIp7i3zKc9Vkdanba+QOZICwzWDxyvFikIM59lnOyU5Bm&#10;eQGyruT/D+pfUEsDBBQAAAAIAIdO4kDZv+7zSAIAAJUEAAAOAAAAZHJzL2Uyb0RvYy54bWytVM1u&#10;1DAQviPxDpbvNNloF9qo2aq0KkIqP1LhAbyOk1jYHjP2blIeAN6gJy7cea4+BxMnLasCUg/kEHky&#10;42+++WYmxyeDNWynMGhwFV8c5JwpJ6HWrq34xw8Xzw45C1G4WhhwquLXKvCT9dMnx70vVQEdmFoh&#10;IxAXyt5XvIvRl1kWZKesCAfglSNnA2hFJBPbrEbRE7o1WZHnz7MesPYIUoVAX88nJ58R8TGA0DRa&#10;qnOQW6tcnFBRGRGppNBpH/g6sW0aJeO7pgkqMlNxqjSmNyWh82Z8Z+tjUbYofKflTEE8hsKDmqzQ&#10;jpLeQ52LKNgW9R9QVkuEAE08kGCzqZCkCFWxyB9oc9UJr1ItJHXw96KH/wcr3+7eI9N1xZckiROW&#10;On578+32+8/bH19ZUSyLUaLeh5IirzzFxuElDDQ4qdzgL0F+CszBWSdcq04Roe+UqIniYryZ7V2d&#10;cMIIsunfQE2pxDZCAhoatKN+pAgjdOJyfd8eNUQm6eNhThKRR5JrlS8XR6l9mSjvLnsM8ZUCy8ZD&#10;xZG6n8DF7jLEkYwo70LGXAGMri+0McnAdnNmkO0ETcpFehL/B2HGsb7iR6tiRTysJ92Caycp/omW&#10;p+dvaFZH2iWjbSqOwuYg42blRrEm2eKwGeZObKC+Jg0RpmmmXaZDB/iFs54mmSh93gpUnJnXjvpw&#10;tFiOvY3JWK5eFGTgvmez7xFOElTFI2fT8SxO67L1qNuOMk2dd3BKvWt00nVs8sRq5k3TmuSeN2tc&#10;h307Rf3+m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QhN5bXAAAACQEAAA8AAAAAAAAAAQAg&#10;AAAAIgAAAGRycy9kb3ducmV2LnhtbFBLAQIUABQAAAAIAIdO4kDZv+7zSAIAAJUEAAAOAAAAAAAA&#10;AAEAIAAAACYBAABkcnMvZTJvRG9jLnhtbFBLBQYAAAAABgAGAFkBAADgBQAAAAA=&#10;">
                      <v:fill on="t" focussize="0,0"/>
                      <v:stroke color="#000000" miterlimit="8" joinstyle="miter"/>
                      <v:imagedata o:title=""/>
                      <o:lock v:ext="edit" aspectratio="f"/>
                      <v:textbox>
                        <w:txbxContent>
                          <w:p w14:paraId="28FAB876">
                            <w:pPr>
                              <w:jc w:val="center"/>
                            </w:pPr>
                            <w:r>
                              <w:rPr>
                                <w:rFonts w:hint="eastAsia"/>
                              </w:rPr>
                              <w:t>设计开发计划</w:t>
                            </w:r>
                          </w:p>
                        </w:txbxContent>
                      </v:textbox>
                    </v:shape>
                  </w:pict>
                </mc:Fallback>
              </mc:AlternateContent>
            </w:r>
          </w:p>
        </w:tc>
        <w:tc>
          <w:tcPr>
            <w:tcW w:w="3878" w:type="dxa"/>
            <w:vAlign w:val="center"/>
          </w:tcPr>
          <w:p w14:paraId="30E882CE">
            <w:r>
              <w:t>1</w:t>
            </w:r>
            <w:r>
              <w:rPr>
                <w:rFonts w:hint="eastAsia"/>
              </w:rPr>
              <w:t>、</w:t>
            </w:r>
            <w:r>
              <w:rPr>
                <w:rFonts w:hint="eastAsia"/>
                <w:lang w:eastAsia="zh-CN"/>
              </w:rPr>
              <w:t>生产技术部</w:t>
            </w:r>
            <w:r>
              <w:rPr>
                <w:rFonts w:hint="eastAsia"/>
              </w:rPr>
              <w:t>负责人安排工程师制定《设计开发任务书》</w:t>
            </w:r>
          </w:p>
          <w:p w14:paraId="74467A5A">
            <w:r>
              <w:t>2</w:t>
            </w:r>
            <w:r>
              <w:rPr>
                <w:rFonts w:hint="eastAsia"/>
              </w:rPr>
              <w:t>、</w:t>
            </w:r>
            <w:r>
              <w:t xml:space="preserve"> </w:t>
            </w:r>
            <w:r>
              <w:rPr>
                <w:rFonts w:hint="eastAsia"/>
              </w:rPr>
              <w:t>《设计开发计划书》包括以下内容：</w:t>
            </w:r>
          </w:p>
          <w:p w14:paraId="5523DE29">
            <w:r>
              <w:t>A</w:t>
            </w:r>
            <w:r>
              <w:rPr>
                <w:rFonts w:hint="eastAsia"/>
              </w:rPr>
              <w:t>：设计开发的输入、输出、评审、验证、确认等各阶段划分和主要工作内容及时间安排。</w:t>
            </w:r>
          </w:p>
          <w:p w14:paraId="6C39566C">
            <w:r>
              <w:t>B</w:t>
            </w:r>
            <w:r>
              <w:rPr>
                <w:rFonts w:hint="eastAsia"/>
              </w:rPr>
              <w:t>：各阶段的人员职责等。</w:t>
            </w:r>
          </w:p>
          <w:p w14:paraId="4814BB48">
            <w:r>
              <w:t>3</w:t>
            </w:r>
            <w:r>
              <w:rPr>
                <w:rFonts w:hint="eastAsia"/>
              </w:rPr>
              <w:t>、《设计开发计划书》经</w:t>
            </w:r>
            <w:r>
              <w:rPr>
                <w:rFonts w:hint="eastAsia"/>
                <w:lang w:eastAsia="zh-CN"/>
              </w:rPr>
              <w:t>生产技术部</w:t>
            </w:r>
            <w:r>
              <w:rPr>
                <w:rFonts w:hint="eastAsia"/>
              </w:rPr>
              <w:t>负责人审核后</w:t>
            </w:r>
            <w:r>
              <w:t>,</w:t>
            </w:r>
            <w:r>
              <w:rPr>
                <w:rFonts w:hint="eastAsia"/>
              </w:rPr>
              <w:t>由总经理批准后实施。</w:t>
            </w:r>
          </w:p>
        </w:tc>
        <w:tc>
          <w:tcPr>
            <w:tcW w:w="994" w:type="dxa"/>
            <w:vAlign w:val="center"/>
          </w:tcPr>
          <w:p w14:paraId="779D35C8">
            <w:pPr>
              <w:jc w:val="center"/>
            </w:pPr>
            <w:r>
              <w:rPr>
                <w:rFonts w:hint="eastAsia"/>
              </w:rPr>
              <w:t>设计</w:t>
            </w:r>
          </w:p>
          <w:p w14:paraId="4BCC4439">
            <w:pPr>
              <w:jc w:val="center"/>
            </w:pPr>
            <w:r>
              <w:rPr>
                <w:rFonts w:hint="eastAsia"/>
              </w:rPr>
              <w:t>工程师</w:t>
            </w:r>
          </w:p>
        </w:tc>
        <w:tc>
          <w:tcPr>
            <w:tcW w:w="1134" w:type="dxa"/>
            <w:vAlign w:val="center"/>
          </w:tcPr>
          <w:p w14:paraId="53EE0D59">
            <w:pPr>
              <w:jc w:val="center"/>
            </w:pPr>
          </w:p>
        </w:tc>
        <w:tc>
          <w:tcPr>
            <w:tcW w:w="985" w:type="dxa"/>
            <w:vAlign w:val="center"/>
          </w:tcPr>
          <w:p w14:paraId="14FDBCCA">
            <w:pPr>
              <w:jc w:val="center"/>
            </w:pPr>
            <w:r>
              <w:rPr>
                <w:rFonts w:hint="eastAsia"/>
              </w:rPr>
              <w:t>设计开发任务书</w:t>
            </w:r>
          </w:p>
        </w:tc>
      </w:tr>
      <w:tr w14:paraId="4E35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705" w:type="dxa"/>
            <w:vAlign w:val="center"/>
          </w:tcPr>
          <w:p w14:paraId="6CDE316F">
            <w:pPr>
              <w:jc w:val="center"/>
              <w:rPr>
                <w:sz w:val="24"/>
              </w:rPr>
            </w:pPr>
            <w:r>
              <w:rPr>
                <w:sz w:val="24"/>
              </w:rPr>
              <w:t>3</w:t>
            </w:r>
          </w:p>
        </w:tc>
        <w:tc>
          <w:tcPr>
            <w:tcW w:w="1648" w:type="dxa"/>
            <w:vAlign w:val="center"/>
          </w:tcPr>
          <w:p w14:paraId="39C29566">
            <w:pPr>
              <w:jc w:val="center"/>
            </w:pPr>
            <w:r>
              <mc:AlternateContent>
                <mc:Choice Requires="wps">
                  <w:drawing>
                    <wp:anchor distT="0" distB="0" distL="114300" distR="114300" simplePos="0" relativeHeight="251692032" behindDoc="0" locked="0" layoutInCell="1" allowOverlap="1">
                      <wp:simplePos x="0" y="0"/>
                      <wp:positionH relativeFrom="column">
                        <wp:posOffset>490220</wp:posOffset>
                      </wp:positionH>
                      <wp:positionV relativeFrom="paragraph">
                        <wp:posOffset>1452880</wp:posOffset>
                      </wp:positionV>
                      <wp:extent cx="0" cy="1122045"/>
                      <wp:effectExtent l="58420" t="12700" r="55880" b="17780"/>
                      <wp:wrapNone/>
                      <wp:docPr id="39" name="直线 2259"/>
                      <wp:cNvGraphicFramePr/>
                      <a:graphic xmlns:a="http://schemas.openxmlformats.org/drawingml/2006/main">
                        <a:graphicData uri="http://schemas.microsoft.com/office/word/2010/wordprocessingShape">
                          <wps:wsp>
                            <wps:cNvCnPr>
                              <a:cxnSpLocks noChangeShapeType="1"/>
                            </wps:cNvCnPr>
                            <wps:spPr bwMode="auto">
                              <a:xfrm flipH="1">
                                <a:off x="0" y="0"/>
                                <a:ext cx="0" cy="1122045"/>
                              </a:xfrm>
                              <a:prstGeom prst="line">
                                <a:avLst/>
                              </a:prstGeom>
                              <a:noFill/>
                              <a:ln w="9525" cmpd="sng">
                                <a:solidFill>
                                  <a:srgbClr val="000000"/>
                                </a:solidFill>
                                <a:round/>
                                <a:tailEnd type="triangle" w="med" len="med"/>
                              </a:ln>
                            </wps:spPr>
                            <wps:bodyPr/>
                          </wps:wsp>
                        </a:graphicData>
                      </a:graphic>
                    </wp:anchor>
                  </w:drawing>
                </mc:Choice>
                <mc:Fallback>
                  <w:pict>
                    <v:line id="直线 2259" o:spid="_x0000_s1026" o:spt="20" style="position:absolute;left:0pt;flip:x;margin-left:38.6pt;margin-top:114.4pt;height:88.35pt;width:0pt;z-index:251692032;mso-width-relative:page;mso-height-relative:page;" filled="f" stroked="t" coordsize="21600,21600" o:gfxdata="UEsDBAoAAAAAAIdO4kAAAAAAAAAAAAAAAAAEAAAAZHJzL1BLAwQUAAAACACHTuJAnrc8wtgAAAAJ&#10;AQAADwAAAGRycy9kb3ducmV2LnhtbE2PwU7DMAyG70i8Q2QkbixptbJRmu6AQOKEYENI3LLGtGWN&#10;U5JsHTw9hgscbX/6/f3V6ugGccAQe08aspkCgdR421Or4Xlzd7EEEZMhawZPqOETI6zq05PKlNZP&#10;9ISHdWoFh1AsjYYupbGUMjYdOhNnfkTi25sPziQeQyttMBOHu0HmSl1KZ3riD50Z8abDZrfeOw1X&#10;m6nwj2H3Ms/6j9ev2/c03j8krc/PMnUNIuEx/cHwo8/qULPT1u/JRjFoWCxyJjXk+ZIrMPC72GqY&#10;q6IAWVfyf4P6G1BLAwQUAAAACACHTuJAz2nOzQECAADoAwAADgAAAGRycy9lMm9Eb2MueG1srVPB&#10;jtsgEL1X6j8g7o0Tt6kaK84ekm572LaRdvsBBLCNCgwCEjvf0t/oqZd+zv7GDtjKdreXPZQDgmHm&#10;zbw3w/pqMJqcpA8KbE0Xszkl0nIQyrY1/X53/eYDJSEyK5gGK2t6loFebV6/WveukiV0oIX0BEFs&#10;qHpX0y5GVxVF4J00LMzASYuPDXjDIl59WwjPekQ3uijn8/dFD144D1yGgNbd+EgnRP8SQGgaxeUO&#10;+NFIG0dULzWLSCl0ygW6ydU2jeTxW9MEGYmuKTKNecckeD6kvdisWdV65jrFpxLYS0p4xskwZTHp&#10;BWrHIiNHr/6BMop7CNDEGQdTjESyIshiMX+mzW3HnMxcUOrgLqKH/wfLv572nihR07crSiwz2PH7&#10;n7/uf/8hZblcJX16Fyp029q9Twz5YG/dDfAfgVjYdsy2Mtd5d3YYu0gRxZOQdAkOsxz6LyDQhx0j&#10;ZLGGxhvSaOU+p8AEjoKQIXfnfOmOHCLho5GjdbEoy/m7Zc7DqgSRAp0P8ZMEQ9KhplrZJByr2Okm&#10;xFTSo0syW7hWWufma0v6mq6W5ZISbhwqEWybYwNoJZJfigi+PWy1JyeWJimvqYQnbh6OVmTcyJT+&#10;aAWJWZfoFSqlJU3JjBSUaInfL53G6rSddEtSjaIfQJz3Pj0nCXEAMo1pWNOE/X3PXo8fdPM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rc8wtgAAAAJAQAADwAAAAAAAAABACAAAAAiAAAAZHJzL2Rv&#10;d25yZXYueG1sUEsBAhQAFAAAAAgAh07iQM9pzs0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90170</wp:posOffset>
                      </wp:positionH>
                      <wp:positionV relativeFrom="paragraph">
                        <wp:posOffset>957580</wp:posOffset>
                      </wp:positionV>
                      <wp:extent cx="800100" cy="495300"/>
                      <wp:effectExtent l="10795" t="12700" r="8255" b="6350"/>
                      <wp:wrapNone/>
                      <wp:docPr id="38" name="文本框 2243"/>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17C966BC">
                                  <w:pPr>
                                    <w:jc w:val="center"/>
                                  </w:pPr>
                                  <w:r>
                                    <w:rPr>
                                      <w:rFonts w:hint="eastAsia"/>
                                    </w:rPr>
                                    <w:t>设计开发输入</w:t>
                                  </w:r>
                                </w:p>
                              </w:txbxContent>
                            </wps:txbx>
                            <wps:bodyPr rot="0" vert="horz" wrap="square" lIns="91440" tIns="45720" rIns="91440" bIns="45720" anchor="t" anchorCtr="0" upright="1">
                              <a:noAutofit/>
                            </wps:bodyPr>
                          </wps:wsp>
                        </a:graphicData>
                      </a:graphic>
                    </wp:anchor>
                  </w:drawing>
                </mc:Choice>
                <mc:Fallback>
                  <w:pict>
                    <v:shape id="文本框 2243" o:spid="_x0000_s1026" o:spt="202" type="#_x0000_t202" style="position:absolute;left:0pt;margin-left:7.1pt;margin-top:75.4pt;height:39pt;width:63pt;z-index:251675648;mso-width-relative:page;mso-height-relative:page;" fillcolor="#FFFFFF" filled="t" stroked="t" coordsize="21600,21600" o:gfxdata="UEsDBAoAAAAAAIdO4kAAAAAAAAAAAAAAAAAEAAAAZHJzL1BLAwQUAAAACACHTuJAU+51S9gAAAAK&#10;AQAADwAAAGRycy9kb3ducmV2LnhtbE2PQU/DMAyF70j8h8hIXBBLVspWStMdkEBwg4HGNWu8tqJx&#10;SpJ149/jneBkPfvp+XvV6ugGMWGIvScN85kCgdR421Or4eP98boAEZMhawZPqOEHI6zq87PKlNYf&#10;6A2ndWoFh1AsjYYupbGUMjYdOhNnfkTi284HZxLL0EobzIHD3SAzpRbSmZ74Q2dGfOiw+VrvnYYi&#10;f54+48vN66ZZ7Ia7dLWcnr6D1pcXc3UPIuEx/ZnhhM/oUDPT1u/JRjGwzjN28rxVXOFkyBVvthqy&#10;rChA1pX8X6H+BVBLAwQUAAAACACHTuJAwZLoQEgCAACVBAAADgAAAGRycy9lMm9Eb2MueG1srVTN&#10;jtMwEL4j8Q6W7zRtt4Vttelq2VUR0vIjLTyA6ziJhe0xY7fJ8gDwBpy4cOe5+hxMnGwpC0h7IIfI&#10;kxl/M/N9Mzk7b61hO4VBg8v5ZDTmTDkJhXZVzt+/Wz855SxE4QphwKmc36rAz1ePH501fqmmUIMp&#10;FDICcWHZ+JzXMfpllgVZKyvCCLxy5CwBrYhkYpUVKBpCtyabjsdPswaw8AhShUBfr3onHxDxIYBQ&#10;llqqK5Bbq1zsUVEZEamlUGsf+CpVW5ZKxjdlGVRkJufUaUxvSkLnTffOVmdiWaHwtZZDCeIhJdzr&#10;yQrtKOkB6kpEwbao/4CyWiIEKONIgs36RhIj1MVkfI+bm1p4lXohqoM/kB7+H6x8vXuLTBc5PyHd&#10;nbCk+P7rl/23H/vvn9l0OjvpKGp8WFLkjafY2D6HlgYntRv8NcgPgTm4rIWr1AUiNLUSBZU46W5m&#10;R1d7nNCBbJpXUFAqsY2QgNoSbccfMcIIneS5Pcij2sgkfTwdE0XkkeSaLeYndO4yiOXdZY8hvlBg&#10;WXfIOZL6CVzsrkPsQ+9CulwBjC7W2phkYLW5NMh2giZlnZ4B/bcw41iT88V8Oqc6rCfegqt6Kv6J&#10;Nk7P39CsjrRLRtvUHIUNQcYNzHVk9bTFdtMOSmyguCUOEfpppl2mQw34ibOGJplK+rgVqDgzLx3p&#10;sJjMZt3oJ2M2fzYlA489m2OPcJKgch4564+XsV+XrUdd1ZSpV97BBWlX6sRrJ3Jf1VA3TWtSZtis&#10;bh2O7RT162+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7nVL2AAAAAoBAAAPAAAAAAAAAAEA&#10;IAAAACIAAABkcnMvZG93bnJldi54bWxQSwECFAAUAAAACACHTuJAwZLoQEgCAACVBAAADgAAAAAA&#10;AAABACAAAAAnAQAAZHJzL2Uyb0RvYy54bWxQSwUGAAAAAAYABgBZAQAA4QUAAAAA&#10;">
                      <v:fill on="t" focussize="0,0"/>
                      <v:stroke color="#000000" miterlimit="8" joinstyle="miter"/>
                      <v:imagedata o:title=""/>
                      <o:lock v:ext="edit" aspectratio="f"/>
                      <v:textbox>
                        <w:txbxContent>
                          <w:p w14:paraId="17C966BC">
                            <w:pPr>
                              <w:jc w:val="center"/>
                            </w:pPr>
                            <w:r>
                              <w:rPr>
                                <w:rFonts w:hint="eastAsia"/>
                              </w:rPr>
                              <w:t>设计开发输入</w:t>
                            </w:r>
                          </w:p>
                        </w:txbxContent>
                      </v:textbox>
                    </v:shape>
                  </w:pict>
                </mc:Fallback>
              </mc:AlternateContent>
            </w:r>
          </w:p>
        </w:tc>
        <w:tc>
          <w:tcPr>
            <w:tcW w:w="3878" w:type="dxa"/>
            <w:vAlign w:val="center"/>
          </w:tcPr>
          <w:p w14:paraId="6543E8D7">
            <w:r>
              <w:t>1</w:t>
            </w:r>
            <w:r>
              <w:rPr>
                <w:rFonts w:hint="eastAsia"/>
              </w:rPr>
              <w:t>、工程师依据《设计开发任务书》的要求制定设计开发方案。</w:t>
            </w:r>
          </w:p>
          <w:p w14:paraId="5BFDB72D">
            <w:r>
              <w:t>3</w:t>
            </w:r>
            <w:r>
              <w:rPr>
                <w:rFonts w:hint="eastAsia"/>
              </w:rPr>
              <w:t>、设计开发方案应包括以下内容：</w:t>
            </w:r>
          </w:p>
          <w:p w14:paraId="4D4B7A54">
            <w:r>
              <w:t xml:space="preserve">A: </w:t>
            </w:r>
            <w:r>
              <w:rPr>
                <w:rFonts w:hint="eastAsia"/>
              </w:rPr>
              <w:t>主要功能</w:t>
            </w:r>
            <w:r>
              <w:t>,</w:t>
            </w:r>
            <w:r>
              <w:rPr>
                <w:rFonts w:hint="eastAsia"/>
              </w:rPr>
              <w:t>环保及安规等要求</w:t>
            </w:r>
          </w:p>
          <w:p w14:paraId="485CA85A">
            <w:r>
              <w:t xml:space="preserve">B: </w:t>
            </w:r>
            <w:r>
              <w:rPr>
                <w:rFonts w:hint="eastAsia"/>
              </w:rPr>
              <w:t>外观要求</w:t>
            </w:r>
          </w:p>
          <w:p w14:paraId="0505C397">
            <w:r>
              <w:t>C</w:t>
            </w:r>
            <w:r>
              <w:rPr>
                <w:rFonts w:hint="eastAsia"/>
              </w:rPr>
              <w:t>：包装要求</w:t>
            </w:r>
          </w:p>
          <w:p w14:paraId="1B5882F4">
            <w:r>
              <w:t>D</w:t>
            </w:r>
            <w:r>
              <w:rPr>
                <w:rFonts w:hint="eastAsia"/>
              </w:rPr>
              <w:t>：行业的要求</w:t>
            </w:r>
          </w:p>
          <w:p w14:paraId="2C47AC7F">
            <w:r>
              <w:t>E</w:t>
            </w:r>
            <w:r>
              <w:rPr>
                <w:rFonts w:hint="eastAsia"/>
              </w:rPr>
              <w:t>：类似产品的设计经验</w:t>
            </w:r>
          </w:p>
          <w:p w14:paraId="57E57343">
            <w:r>
              <w:t>F</w:t>
            </w:r>
            <w:r>
              <w:rPr>
                <w:rFonts w:hint="eastAsia"/>
              </w:rPr>
              <w:t>：法规要求</w:t>
            </w:r>
          </w:p>
          <w:p w14:paraId="6FE47CFA">
            <w:r>
              <w:t>G</w:t>
            </w:r>
            <w:r>
              <w:rPr>
                <w:rFonts w:hint="eastAsia"/>
              </w:rPr>
              <w:t>：新环保材料及新工艺的选取</w:t>
            </w:r>
          </w:p>
          <w:p w14:paraId="07297360">
            <w:r>
              <w:t>4</w:t>
            </w:r>
            <w:r>
              <w:rPr>
                <w:rFonts w:hint="eastAsia"/>
              </w:rPr>
              <w:t>、设计开发方案由</w:t>
            </w:r>
            <w:r>
              <w:rPr>
                <w:rFonts w:hint="eastAsia"/>
                <w:lang w:eastAsia="zh-CN"/>
              </w:rPr>
              <w:t>生产技术部</w:t>
            </w:r>
            <w:r>
              <w:rPr>
                <w:rFonts w:hint="eastAsia"/>
              </w:rPr>
              <w:t>负责人审核。</w:t>
            </w:r>
          </w:p>
        </w:tc>
        <w:tc>
          <w:tcPr>
            <w:tcW w:w="994" w:type="dxa"/>
            <w:vAlign w:val="center"/>
          </w:tcPr>
          <w:p w14:paraId="35CC876F">
            <w:pPr>
              <w:jc w:val="center"/>
            </w:pPr>
            <w:r>
              <w:rPr>
                <w:rFonts w:hint="eastAsia"/>
              </w:rPr>
              <w:t>设计</w:t>
            </w:r>
          </w:p>
          <w:p w14:paraId="4B37E6A6">
            <w:pPr>
              <w:jc w:val="center"/>
            </w:pPr>
            <w:r>
              <w:rPr>
                <w:rFonts w:hint="eastAsia"/>
              </w:rPr>
              <w:t>工程师</w:t>
            </w:r>
          </w:p>
        </w:tc>
        <w:tc>
          <w:tcPr>
            <w:tcW w:w="1134" w:type="dxa"/>
            <w:vAlign w:val="center"/>
          </w:tcPr>
          <w:p w14:paraId="6D322ACF">
            <w:pPr>
              <w:jc w:val="center"/>
            </w:pPr>
          </w:p>
        </w:tc>
        <w:tc>
          <w:tcPr>
            <w:tcW w:w="985" w:type="dxa"/>
            <w:vAlign w:val="center"/>
          </w:tcPr>
          <w:p w14:paraId="37D5E637">
            <w:pPr>
              <w:jc w:val="center"/>
            </w:pPr>
            <w:r>
              <w:rPr>
                <w:rFonts w:hint="eastAsia"/>
              </w:rPr>
              <w:t>设计开发方案</w:t>
            </w:r>
          </w:p>
        </w:tc>
      </w:tr>
      <w:tr w14:paraId="508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705" w:type="dxa"/>
            <w:vAlign w:val="center"/>
          </w:tcPr>
          <w:p w14:paraId="05475CE7">
            <w:pPr>
              <w:jc w:val="center"/>
              <w:rPr>
                <w:sz w:val="24"/>
              </w:rPr>
            </w:pPr>
            <w:r>
              <w:rPr>
                <w:sz w:val="24"/>
              </w:rPr>
              <w:t>4</w:t>
            </w:r>
          </w:p>
        </w:tc>
        <w:tc>
          <w:tcPr>
            <w:tcW w:w="1648" w:type="dxa"/>
            <w:vAlign w:val="center"/>
          </w:tcPr>
          <w:p w14:paraId="103D1BDF">
            <w:pPr>
              <w:jc w:val="center"/>
            </w:pPr>
            <w:r>
              <mc:AlternateContent>
                <mc:Choice Requires="wps">
                  <w:drawing>
                    <wp:anchor distT="0" distB="0" distL="114300" distR="114300" simplePos="0" relativeHeight="251682816" behindDoc="0" locked="0" layoutInCell="1" allowOverlap="1">
                      <wp:simplePos x="0" y="0"/>
                      <wp:positionH relativeFrom="column">
                        <wp:posOffset>423545</wp:posOffset>
                      </wp:positionH>
                      <wp:positionV relativeFrom="paragraph">
                        <wp:posOffset>782320</wp:posOffset>
                      </wp:positionV>
                      <wp:extent cx="0" cy="2526030"/>
                      <wp:effectExtent l="58420" t="12700" r="55880" b="23495"/>
                      <wp:wrapNone/>
                      <wp:docPr id="37" name="直线 2250"/>
                      <wp:cNvGraphicFramePr/>
                      <a:graphic xmlns:a="http://schemas.openxmlformats.org/drawingml/2006/main">
                        <a:graphicData uri="http://schemas.microsoft.com/office/word/2010/wordprocessingShape">
                          <wps:wsp>
                            <wps:cNvCnPr>
                              <a:cxnSpLocks noChangeShapeType="1"/>
                            </wps:cNvCnPr>
                            <wps:spPr bwMode="auto">
                              <a:xfrm>
                                <a:off x="0" y="0"/>
                                <a:ext cx="0" cy="2526030"/>
                              </a:xfrm>
                              <a:prstGeom prst="line">
                                <a:avLst/>
                              </a:prstGeom>
                              <a:noFill/>
                              <a:ln w="9525" cmpd="sng">
                                <a:solidFill>
                                  <a:srgbClr val="000000"/>
                                </a:solidFill>
                                <a:round/>
                                <a:tailEnd type="triangle" w="med" len="med"/>
                              </a:ln>
                            </wps:spPr>
                            <wps:bodyPr/>
                          </wps:wsp>
                        </a:graphicData>
                      </a:graphic>
                    </wp:anchor>
                  </w:drawing>
                </mc:Choice>
                <mc:Fallback>
                  <w:pict>
                    <v:line id="直线 2250" o:spid="_x0000_s1026" o:spt="20" style="position:absolute;left:0pt;margin-left:33.35pt;margin-top:61.6pt;height:198.9pt;width:0pt;z-index:251682816;mso-width-relative:page;mso-height-relative:page;" filled="f" stroked="t" coordsize="21600,21600" o:gfxdata="UEsDBAoAAAAAAIdO4kAAAAAAAAAAAAAAAAAEAAAAZHJzL1BLAwQUAAAACACHTuJADCZakNgAAAAJ&#10;AQAADwAAAGRycy9kb3ducmV2LnhtbE2PwU7DMAyG70i8Q2QkbixpEaUqTXdAGpcN0DaE4JY1pq1o&#10;nKpJt/L2GC5w9O9Pvz+Xy9n14ohj6DxpSBYKBFLtbUeNhpf96ioHEaIha3pPqOELAyyr87PSFNaf&#10;aIvHXWwEl1AojIY2xqGQMtQtOhMWfkDi3YcfnYk8jo20ozlxuetlqlQmnemIL7RmwPsW68/d5DRs&#10;N6t1/rqe5np8f0ie9s+bx7eQa315kag7EBHn+AfDjz6rQ8VOBz+RDaLXkGW3THKeXqcgGPgNDhpu&#10;0kSBrEr5/4PqG1BLAwQUAAAACACHTuJASqovk/sBAADeAwAADgAAAGRycy9lMm9Eb2MueG1srVNL&#10;chMxEN1TxR1U2uOxJ+UAUx5nYRM2AVKVcABZ0syokNQqteyxz8I1WLHhOLkGLdkxIWyyYBZT6t/r&#10;fq+lxdXeWbbTEQ34ls8mU860l6CM71v+9f76zTvOMAmvhAWvW37QyK+Wr18txtDoGgawSkdGIB6b&#10;MbR8SCk0VYVy0E7gBIL2FOwgOpHIjH2lohgJ3dmqnk4vqxGiChGkRiTv+hjkJ8T4EkDoOiP1GuTW&#10;aZ+OqFFbkYgSDiYgX5Zpu07L9KXrUCdmW05MU/lTEzpv8r9aLkTTRxEGI08jiJeM8IyTE8ZT0zPU&#10;WiTBttH8A+WMjIDQpYkEVx2JFEWIxWz6TJu7QQRduJDUGM6i4/+DlZ93t5EZ1fKLt5x54WjjD99/&#10;PPz8xep6XvQZAzaUtvK3MTOUe38XbkB+Q+ZhNQjf6zLn/SFQ7SwrWv1Vkg0M1GUzfgJFOWKboIi1&#10;76LLkCQD25edHM470fvE5NEpyVvP68vpRZmnEs1jYYiYPmpwLB9abo3PcolG7G4w5UFE85iS3R6u&#10;jbVl5dazseXv5/WcM+kC8Uffl1oEa1TOyxUY+83KRrYT+f6UrxCkyNO0CFuvCm4Sxn7wiqWiRoqG&#10;9LGa52ZOK86spkeXT8fprD+plQXKlxabDajDbczhbNHaC43TFc336qldsv48y+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CZakNgAAAAJAQAADwAAAAAAAAABACAAAAAiAAAAZHJzL2Rvd25yZXYu&#10;eG1sUEsBAhQAFAAAAAgAh07iQEqqL5P7AQAA3gMAAA4AAAAAAAAAAQAgAAAAJw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23495</wp:posOffset>
                      </wp:positionH>
                      <wp:positionV relativeFrom="paragraph">
                        <wp:posOffset>88900</wp:posOffset>
                      </wp:positionV>
                      <wp:extent cx="800100" cy="693420"/>
                      <wp:effectExtent l="10795" t="5080" r="8255" b="6350"/>
                      <wp:wrapNone/>
                      <wp:docPr id="36" name="文本框 2246"/>
                      <wp:cNvGraphicFramePr/>
                      <a:graphic xmlns:a="http://schemas.openxmlformats.org/drawingml/2006/main">
                        <a:graphicData uri="http://schemas.microsoft.com/office/word/2010/wordprocessingShape">
                          <wps:wsp>
                            <wps:cNvSpPr txBox="1">
                              <a:spLocks noChangeArrowheads="1"/>
                            </wps:cNvSpPr>
                            <wps:spPr bwMode="auto">
                              <a:xfrm>
                                <a:off x="0" y="0"/>
                                <a:ext cx="800100" cy="693420"/>
                              </a:xfrm>
                              <a:prstGeom prst="rect">
                                <a:avLst/>
                              </a:prstGeom>
                              <a:solidFill>
                                <a:srgbClr val="FFFFFF"/>
                              </a:solidFill>
                              <a:ln w="9525" cmpd="sng">
                                <a:solidFill>
                                  <a:srgbClr val="000000"/>
                                </a:solidFill>
                                <a:miter lim="800000"/>
                              </a:ln>
                            </wps:spPr>
                            <wps:txbx>
                              <w:txbxContent>
                                <w:p w14:paraId="1F86C687">
                                  <w:pPr>
                                    <w:jc w:val="center"/>
                                  </w:pPr>
                                  <w:r>
                                    <w:rPr>
                                      <w:rFonts w:hint="eastAsia"/>
                                    </w:rPr>
                                    <w:t>设计输入方案评审</w:t>
                                  </w:r>
                                </w:p>
                              </w:txbxContent>
                            </wps:txbx>
                            <wps:bodyPr rot="0" vert="horz" wrap="square" lIns="91440" tIns="45720" rIns="91440" bIns="45720" anchor="t" anchorCtr="0" upright="1">
                              <a:noAutofit/>
                            </wps:bodyPr>
                          </wps:wsp>
                        </a:graphicData>
                      </a:graphic>
                    </wp:anchor>
                  </w:drawing>
                </mc:Choice>
                <mc:Fallback>
                  <w:pict>
                    <v:shape id="文本框 2246" o:spid="_x0000_s1026" o:spt="202" type="#_x0000_t202" style="position:absolute;left:0pt;margin-left:1.85pt;margin-top:7pt;height:54.6pt;width:63pt;z-index:251678720;mso-width-relative:page;mso-height-relative:page;" fillcolor="#FFFFFF" filled="t" stroked="t" coordsize="21600,21600" o:gfxdata="UEsDBAoAAAAAAIdO4kAAAAAAAAAAAAAAAAAEAAAAZHJzL1BLAwQUAAAACACHTuJALyun+9QAAAAI&#10;AQAADwAAAGRycy9kb3ducmV2LnhtbE1Py07DMBC8I/EP1iJxQdRpUvUR4vSABIIbFARXN94mEfY6&#10;2G5a/p7NCW47D83OVNuzs2LEEHtPCuazDARS401PrYL3t4fbNYiYNBltPaGCH4ywrS8vKl0af6JX&#10;HHepFRxCsdQKupSGUsrYdOh0nPkBibWDD04nhqGVJugThzsr8yxbSqd74g+dHvC+w+Zrd3QK1oun&#10;8TM+Fy8fzfJgN+lmNT5+B6Wur+bZHYiE5/Rnhqk+V4eaO+39kUwUVkGxYiPTC140yfmGif10FDnI&#10;upL/B9S/UEsDBBQAAAAIAIdO4kBX7QiASwIAAJUEAAAOAAAAZHJzL2Uyb0RvYy54bWytVM1u1DAQ&#10;viPxDpbvNLvb7dJGm61KqyKk8iMVHsDrOImF7TFj7yblAeANOHHhznPtczBx0rJaQOqBHCI7M/78&#10;zffNZHneWcO2CoMGV/Dp0YQz5SSU2tUF//D++tkpZyEKVwoDThX8TgV+vnr6ZNn6XM2gAVMqZATi&#10;Qt76gjcx+jzLgmyUFeEIvHIUrACtiLTFOitRtIRuTTabTBZZC1h6BKlCoK9XQ5CPiPgYQKgqLdUV&#10;yI1VLg6oqIyIVFJotA98ldhWlZLxbVUFFZkpOFUa05suofW6f2erpchrFL7RcqQgHkPhoCYrtKNL&#10;H6CuRBRsg/oPKKslQoAqHkmw2VBIUoSqmE4OtLlthFepFpI6+AfRw/+DlW+275DpsuDHC86csOT4&#10;7tvX3fefux9f2Gw2X/QStT7klHnrKTd2L6CjxknlBn8D8mNgDi4b4Wp1gQhto0RJFKf9yWzv6IAT&#10;epB1+xpKukpsIiSgrkLb60eKMEIne+4e7FFdZJI+nk5IIopICi3OjuezZF8m8vvDHkN8qcCyflFw&#10;JPcTuNjehNiTEfl9Sn9XAKPLa21M2mC9vjTItoI65To9if9BmnGsLfjZyeyEeFhPugVXD1L8E22S&#10;nr+hWR1ploy2qThKG5OMG5XrxRpki926G51YQ3lHGiIM3UyzTIsG8DNnLXUyUfq0Eag4M68c+XA2&#10;nc/71k+b+clzko3hfmS9HxFOElTBI2fD8jIO47LxqOuGbhqcd3BB3lU66dqbPLAaeVO3JrnHyerH&#10;YX+fsn7/TV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8rp/vUAAAACAEAAA8AAAAAAAAAAQAg&#10;AAAAIgAAAGRycy9kb3ducmV2LnhtbFBLAQIUABQAAAAIAIdO4kBX7QiASwIAAJUEAAAOAAAAAAAA&#10;AAEAIAAAACMBAABkcnMvZTJvRG9jLnhtbFBLBQYAAAAABgAGAFkBAADgBQAAAAA=&#10;">
                      <v:fill on="t" focussize="0,0"/>
                      <v:stroke color="#000000" miterlimit="8" joinstyle="miter"/>
                      <v:imagedata o:title=""/>
                      <o:lock v:ext="edit" aspectratio="f"/>
                      <v:textbox>
                        <w:txbxContent>
                          <w:p w14:paraId="1F86C687">
                            <w:pPr>
                              <w:jc w:val="center"/>
                            </w:pPr>
                            <w:r>
                              <w:rPr>
                                <w:rFonts w:hint="eastAsia"/>
                              </w:rPr>
                              <w:t>设计输入方案评审</w:t>
                            </w:r>
                          </w:p>
                        </w:txbxContent>
                      </v:textbox>
                    </v:shape>
                  </w:pict>
                </mc:Fallback>
              </mc:AlternateContent>
            </w:r>
          </w:p>
        </w:tc>
        <w:tc>
          <w:tcPr>
            <w:tcW w:w="3878" w:type="dxa"/>
            <w:vAlign w:val="center"/>
          </w:tcPr>
          <w:p w14:paraId="6AC8A711">
            <w:r>
              <w:t>1</w:t>
            </w:r>
            <w:r>
              <w:rPr>
                <w:rFonts w:hint="eastAsia"/>
              </w:rPr>
              <w:t>、设计开发方案审核通过后，由工程</w:t>
            </w:r>
            <w:r>
              <w:rPr>
                <w:rFonts w:hint="eastAsia"/>
                <w:lang w:eastAsia="zh-CN"/>
              </w:rPr>
              <w:t>生产技术部</w:t>
            </w:r>
            <w:r>
              <w:rPr>
                <w:rFonts w:hint="eastAsia"/>
              </w:rPr>
              <w:t>组织相关设计人员和部门（主要有</w:t>
            </w:r>
            <w:r>
              <w:rPr>
                <w:rFonts w:hint="eastAsia"/>
                <w:lang w:eastAsia="zh-CN"/>
              </w:rPr>
              <w:t>生产技术部</w:t>
            </w:r>
            <w:r>
              <w:rPr>
                <w:rFonts w:hint="eastAsia"/>
              </w:rPr>
              <w:t>、</w:t>
            </w:r>
            <w:r>
              <w:rPr>
                <w:rFonts w:hint="eastAsia"/>
                <w:lang w:eastAsia="zh-CN"/>
              </w:rPr>
              <w:t>研发部</w:t>
            </w:r>
            <w:r>
              <w:rPr>
                <w:rFonts w:hint="eastAsia"/>
              </w:rPr>
              <w:t>、</w:t>
            </w:r>
            <w:r>
              <w:rPr>
                <w:rFonts w:hint="eastAsia"/>
                <w:lang w:eastAsia="zh-CN"/>
              </w:rPr>
              <w:t>市场部</w:t>
            </w:r>
            <w:r>
              <w:rPr>
                <w:rFonts w:hint="eastAsia"/>
              </w:rPr>
              <w:t>）对《设计开发方案》进行评审。</w:t>
            </w:r>
          </w:p>
          <w:p w14:paraId="5D84E186">
            <w:r>
              <w:t>2</w:t>
            </w:r>
            <w:r>
              <w:rPr>
                <w:rFonts w:hint="eastAsia"/>
              </w:rPr>
              <w:t>、对其中不完善，含糊或矛盾的要求作出澄清和解决，确保设计输入满足《设计开发通知单》的要求。</w:t>
            </w:r>
          </w:p>
          <w:p w14:paraId="7968D6FE">
            <w:r>
              <w:t>3</w:t>
            </w:r>
            <w:r>
              <w:rPr>
                <w:rFonts w:hint="eastAsia"/>
              </w:rPr>
              <w:t>、评审的内容必须包含以下几个方面</w:t>
            </w:r>
            <w:r>
              <w:t>:</w:t>
            </w:r>
          </w:p>
          <w:p w14:paraId="32DA5FFC">
            <w:r>
              <w:t xml:space="preserve">A: </w:t>
            </w:r>
            <w:r>
              <w:rPr>
                <w:rFonts w:hint="eastAsia"/>
              </w:rPr>
              <w:t>是否违反相关法律法规</w:t>
            </w:r>
          </w:p>
          <w:p w14:paraId="135D9CB8">
            <w:r>
              <w:t xml:space="preserve">B: </w:t>
            </w:r>
            <w:r>
              <w:rPr>
                <w:rFonts w:hint="eastAsia"/>
              </w:rPr>
              <w:t>是否侵犯他人专利</w:t>
            </w:r>
          </w:p>
          <w:p w14:paraId="287790A9">
            <w:r>
              <w:t xml:space="preserve">C: </w:t>
            </w:r>
            <w:r>
              <w:rPr>
                <w:rFonts w:hint="eastAsia"/>
              </w:rPr>
              <w:t>设计的可行性</w:t>
            </w:r>
          </w:p>
          <w:p w14:paraId="322587C6">
            <w:r>
              <w:t xml:space="preserve">D: </w:t>
            </w:r>
            <w:r>
              <w:rPr>
                <w:rFonts w:hint="eastAsia"/>
              </w:rPr>
              <w:t>物料的可采购性</w:t>
            </w:r>
          </w:p>
          <w:p w14:paraId="6DBF07EA">
            <w:r>
              <w:t xml:space="preserve">E: </w:t>
            </w:r>
            <w:r>
              <w:rPr>
                <w:rFonts w:hint="eastAsia"/>
              </w:rPr>
              <w:t>产品的可检测性</w:t>
            </w:r>
          </w:p>
          <w:p w14:paraId="2DCB1574">
            <w:r>
              <w:t xml:space="preserve">F: </w:t>
            </w:r>
            <w:r>
              <w:rPr>
                <w:rFonts w:hint="eastAsia"/>
              </w:rPr>
              <w:t>产品的可组装性</w:t>
            </w:r>
          </w:p>
          <w:p w14:paraId="6184617D">
            <w:r>
              <w:t>G</w:t>
            </w:r>
            <w:r>
              <w:rPr>
                <w:rFonts w:hint="eastAsia"/>
              </w:rPr>
              <w:t>：产品的安全性</w:t>
            </w:r>
          </w:p>
          <w:p w14:paraId="30534C62">
            <w:r>
              <w:t>4</w:t>
            </w:r>
            <w:r>
              <w:rPr>
                <w:rFonts w:hint="eastAsia"/>
              </w:rPr>
              <w:t>、由工程师填写设计开发方案评审报告并由所有参加评审的人员签名确认。</w:t>
            </w:r>
          </w:p>
        </w:tc>
        <w:tc>
          <w:tcPr>
            <w:tcW w:w="994" w:type="dxa"/>
            <w:vAlign w:val="center"/>
          </w:tcPr>
          <w:p w14:paraId="380A47B4">
            <w:pPr>
              <w:jc w:val="center"/>
            </w:pPr>
            <w:r>
              <w:rPr>
                <w:rFonts w:hint="eastAsia"/>
              </w:rPr>
              <w:t>相关设计人员和相关部门</w:t>
            </w:r>
          </w:p>
        </w:tc>
        <w:tc>
          <w:tcPr>
            <w:tcW w:w="1134" w:type="dxa"/>
            <w:vAlign w:val="center"/>
          </w:tcPr>
          <w:p w14:paraId="0FB0BD99">
            <w:pPr>
              <w:jc w:val="center"/>
            </w:pPr>
          </w:p>
        </w:tc>
        <w:tc>
          <w:tcPr>
            <w:tcW w:w="985" w:type="dxa"/>
            <w:vAlign w:val="center"/>
          </w:tcPr>
          <w:p w14:paraId="6D35C300">
            <w:pPr>
              <w:jc w:val="center"/>
            </w:pPr>
            <w:r>
              <w:rPr>
                <w:rFonts w:hint="eastAsia"/>
              </w:rPr>
              <w:t>设计开发输入评审报告</w:t>
            </w:r>
          </w:p>
        </w:tc>
      </w:tr>
      <w:tr w14:paraId="1389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05" w:type="dxa"/>
            <w:vMerge w:val="restart"/>
            <w:vAlign w:val="center"/>
          </w:tcPr>
          <w:p w14:paraId="17BB835B">
            <w:pPr>
              <w:ind w:firstLine="120" w:firstLineChars="50"/>
              <w:rPr>
                <w:sz w:val="24"/>
              </w:rPr>
            </w:pPr>
            <w:r>
              <w:rPr>
                <w:sz w:val="24"/>
              </w:rPr>
              <w:t>5</w:t>
            </w:r>
          </w:p>
        </w:tc>
        <w:tc>
          <w:tcPr>
            <w:tcW w:w="1648" w:type="dxa"/>
            <w:vAlign w:val="center"/>
          </w:tcPr>
          <w:p w14:paraId="0528F8A5">
            <w:pPr>
              <w:jc w:val="center"/>
            </w:pPr>
            <w:r>
              <mc:AlternateContent>
                <mc:Choice Requires="wps">
                  <w:drawing>
                    <wp:anchor distT="0" distB="0" distL="114300" distR="114300" simplePos="0" relativeHeight="251691008" behindDoc="0" locked="0" layoutInCell="1" allowOverlap="1">
                      <wp:simplePos x="0" y="0"/>
                      <wp:positionH relativeFrom="column">
                        <wp:posOffset>490220</wp:posOffset>
                      </wp:positionH>
                      <wp:positionV relativeFrom="paragraph">
                        <wp:posOffset>737870</wp:posOffset>
                      </wp:positionV>
                      <wp:extent cx="10160" cy="1631950"/>
                      <wp:effectExtent l="58420" t="12065" r="45720" b="22860"/>
                      <wp:wrapNone/>
                      <wp:docPr id="35" name="直线 2258"/>
                      <wp:cNvGraphicFramePr/>
                      <a:graphic xmlns:a="http://schemas.openxmlformats.org/drawingml/2006/main">
                        <a:graphicData uri="http://schemas.microsoft.com/office/word/2010/wordprocessingShape">
                          <wps:wsp>
                            <wps:cNvCnPr>
                              <a:cxnSpLocks noChangeShapeType="1"/>
                            </wps:cNvCnPr>
                            <wps:spPr bwMode="auto">
                              <a:xfrm flipH="1">
                                <a:off x="0" y="0"/>
                                <a:ext cx="10160" cy="1631950"/>
                              </a:xfrm>
                              <a:prstGeom prst="line">
                                <a:avLst/>
                              </a:prstGeom>
                              <a:noFill/>
                              <a:ln w="9525" cmpd="sng">
                                <a:solidFill>
                                  <a:srgbClr val="000000"/>
                                </a:solidFill>
                                <a:round/>
                                <a:tailEnd type="triangle" w="med" len="med"/>
                              </a:ln>
                            </wps:spPr>
                            <wps:bodyPr/>
                          </wps:wsp>
                        </a:graphicData>
                      </a:graphic>
                    </wp:anchor>
                  </w:drawing>
                </mc:Choice>
                <mc:Fallback>
                  <w:pict>
                    <v:line id="直线 2258" o:spid="_x0000_s1026" o:spt="20" style="position:absolute;left:0pt;flip:x;margin-left:38.6pt;margin-top:58.1pt;height:128.5pt;width:0.8pt;z-index:251691008;mso-width-relative:page;mso-height-relative:page;" filled="f" stroked="t" coordsize="21600,21600" o:gfxdata="UEsDBAoAAAAAAIdO4kAAAAAAAAAAAAAAAAAEAAAAZHJzL1BLAwQUAAAACACHTuJAshZGJdoAAAAJ&#10;AQAADwAAAGRycy9kb3ducmV2LnhtbE2PQU/DMAyF70j7D5GRuLG03VhHabrDBBKnCTaExC1rTFvW&#10;OCXJ1sGvx5zgZvs9PX+vXJ1tL07oQ+dIQTpNQCDVznTUKHjZPVwvQYSoyejeESr4wgCranJR6sK4&#10;kZ7xtI2N4BAKhVbQxjgUUoa6RavD1A1IrL07b3Xk1TfSeD1yuO1lliQLaXVH/KHVA65brA/bo1Vw&#10;uxtv3JM/vM7T7vPt+/4jDo+bqNTVZZrcgYh4jn9m+MVndKiYae+OZILoFeR5xk6+pwse2JAvucpe&#10;wSyfZSCrUv5vUP0AUEsDBBQAAAAIAIdO4kABsBmvBwIAAOwDAAAOAAAAZHJzL2Uyb0RvYy54bWyt&#10;U8FuGyEQvVfqPyDu9Xod2UpWXudgN+0hbSMl+QAMrBcVGATYa39Lf6OnXvo5+Y3OYMtJ00sO5YCA&#10;mXkz780wv947y3Y6JgO+5fVozJn2EpTxm5Y/Ptx8uOQsZeGVsOB1yw868evF+3fzITR6Aj1YpSND&#10;EJ+aIbS8zzk0VZVkr51IIwjao7GD6ETGa9xUKooB0Z2tJuPxrBogqhBB6pTwdXU08hNifAsgdJ2R&#10;egVy67TPR9SorchIKfUmJL4o1Xadlvlb1yWdmW05Ms1lxyR4XtNeLeai2UQReiNPJYi3lPCKkxPG&#10;Y9Iz1EpkwbbR/APljIyQoMsjCa46EimKIIt6/Eqb+14EXbig1CmcRU//D1Z+3d1FZlTLL6aceeGw&#10;408/fj79+s0mk+kl6TOE1KDb0t9FYij3/j7cgvyemIdlL/xGlzofDgFja4qo/gqhSwqYZT18AYU+&#10;YpuhiLXvomOdNeEzBRI4CsL2pTuHc3f0PjOJj/W4nmHbJFrq2UV9NS3dq0RDMBQcYsqfNDhGh5Zb&#10;40k80YjdbcpU1rMLPXu4MdaWAbCeDS2/mk5QA+kCqpH8psQmsEaRH0WkuFkvbWQ7QdNUVqGLlpdu&#10;EbZeFdwsjP3oFctFmxwNqmU1p2ROK86sxi9Ip2N11p+0I7mOwq9BHe4imUlGHIJC4zSwNGUv78Xr&#10;+ZM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FkYl2gAAAAkBAAAPAAAAAAAAAAEAIAAAACIA&#10;AABkcnMvZG93bnJldi54bWxQSwECFAAUAAAACACHTuJAAbAZrwcCAADsAwAADgAAAAAAAAABACAA&#10;AAAp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84455</wp:posOffset>
                      </wp:positionH>
                      <wp:positionV relativeFrom="paragraph">
                        <wp:posOffset>245745</wp:posOffset>
                      </wp:positionV>
                      <wp:extent cx="800100" cy="495300"/>
                      <wp:effectExtent l="5080" t="5715" r="13970" b="13335"/>
                      <wp:wrapNone/>
                      <wp:docPr id="34" name="文本框 2257"/>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43731591">
                                  <w:pPr>
                                    <w:jc w:val="center"/>
                                  </w:pPr>
                                  <w:r>
                                    <w:rPr>
                                      <w:rFonts w:hint="eastAsia"/>
                                    </w:rPr>
                                    <w:t>设计开发输出</w:t>
                                  </w:r>
                                </w:p>
                              </w:txbxContent>
                            </wps:txbx>
                            <wps:bodyPr rot="0" vert="horz" wrap="square" lIns="91440" tIns="45720" rIns="91440" bIns="45720" anchor="t" anchorCtr="0" upright="1">
                              <a:noAutofit/>
                            </wps:bodyPr>
                          </wps:wsp>
                        </a:graphicData>
                      </a:graphic>
                    </wp:anchor>
                  </w:drawing>
                </mc:Choice>
                <mc:Fallback>
                  <w:pict>
                    <v:shape id="文本框 2257" o:spid="_x0000_s1026" o:spt="202" type="#_x0000_t202" style="position:absolute;left:0pt;margin-left:6.65pt;margin-top:19.35pt;height:39pt;width:63pt;z-index:251689984;mso-width-relative:page;mso-height-relative:page;" fillcolor="#FFFFFF" filled="t" stroked="t" coordsize="21600,21600" o:gfxdata="UEsDBAoAAAAAAIdO4kAAAAAAAAAAAAAAAAAEAAAAZHJzL1BLAwQUAAAACACHTuJAPAv+stcAAAAJ&#10;AQAADwAAAGRycy9kb3ducmV2LnhtbE2PzU7DMBCE70i8g7VIXFDrBKMkDXF6QALBDQoqVzfeJhH+&#10;Cbablrdne4Lbzs5o9ttmfbKGzRji6J2EfJkBQ9d5Pbpewsf746ICFpNyWhnvUMIPRli3lxeNqrU/&#10;ujecN6lnVOJirSQMKU0157Eb0Kq49BM68vY+WJVIhp7roI5Ubg2/zbKCWzU6ujCoCR8G7L42Byuh&#10;unueP+OLeN12xd6s0k05P30HKa+v8uweWMJT+gvDGZ/QoSWmnT84HZkhLQQlJYiqBHb2xYoWOxry&#10;ogTeNvz/B+0vUEsDBBQAAAAIAIdO4kDCjcvlSQIAAJUEAAAOAAAAZHJzL2Uyb0RvYy54bWytVM1u&#10;2zAMvg/YOwi6L07SZG2COkXXIsOA7gfo9gCKLNvCJFGjlNjdA6xvsNMuu++58hyjZbfLug3oYT4Y&#10;okl9JL+P9OlZaw3bKQwaXM4nozFnykkotKty/uH9+tkJZyEKVwgDTuX8RgV+tnr65LTxSzWFGkyh&#10;kBGIC8vG57yO0S+zLMhaWRFG4JUjZwloRSQTq6xA0RC6Ndl0PH6eNYCFR5AqBPp62Tv5gIiPAYSy&#10;1FJdgtxa5WKPisqISC2FWvvAV6naslQyvi3LoCIzOadOY3pTEjpvune2OhXLCoWvtRxKEI8p4UFP&#10;VmhHSe+hLkUUbIv6DyirJUKAMo4k2KxvJDFCXUzGD7i5roVXqReiOvh70sP/g5Vvdu+Q6SLnRzPO&#10;nLCk+P7r7f7bj/33L2w6nR93FDU+LCny2lNsbF9AS4OT2g3+CuTHwBxc1MJV6hwRmlqJgkqcdDez&#10;g6s9TuhANs1rKCiV2EZIQG2JtuOPGGGETvLc3Muj2sgkfTwZE0XkkeSaLeZHdO4yiOXdZY8hvlRg&#10;WXfIOZL6CVzsrkLsQ+9CulwBjC7W2phkYLW5MMh2giZlnZ4B/bcw41iT88V8Oqc6rCfegqt6Kv6J&#10;Nk7P39CsjrRLRtvUHIUNQcYNzHVk9bTFdtMOSmyguCEOEfpppl2mQw34mbOGJplK+rQVqDgzrxzp&#10;sJjMZt3oJ2M2P56SgYeezaFHOElQOY+c9ceL2K/L1qOuasrUK+/gnLQrdeK1E7mvaqibpjUpM2xW&#10;tw6Hdor69Td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C/6y1wAAAAkBAAAPAAAAAAAAAAEA&#10;IAAAACIAAABkcnMvZG93bnJldi54bWxQSwECFAAUAAAACACHTuJAwo3L5UkCAACVBAAADgAAAAAA&#10;AAABACAAAAAmAQAAZHJzL2Uyb0RvYy54bWxQSwUGAAAAAAYABgBZAQAA4QUAAAAA&#10;">
                      <v:fill on="t" focussize="0,0"/>
                      <v:stroke color="#000000" miterlimit="8" joinstyle="miter"/>
                      <v:imagedata o:title=""/>
                      <o:lock v:ext="edit" aspectratio="f"/>
                      <v:textbox>
                        <w:txbxContent>
                          <w:p w14:paraId="43731591">
                            <w:pPr>
                              <w:jc w:val="center"/>
                            </w:pPr>
                            <w:r>
                              <w:rPr>
                                <w:rFonts w:hint="eastAsia"/>
                              </w:rPr>
                              <w:t>设计开发输出</w:t>
                            </w:r>
                          </w:p>
                        </w:txbxContent>
                      </v:textbox>
                    </v:shape>
                  </w:pict>
                </mc:Fallback>
              </mc:AlternateContent>
            </w:r>
          </w:p>
        </w:tc>
        <w:tc>
          <w:tcPr>
            <w:tcW w:w="3878" w:type="dxa"/>
            <w:vAlign w:val="center"/>
          </w:tcPr>
          <w:p w14:paraId="1518D2E2">
            <w:r>
              <w:t>1</w:t>
            </w:r>
            <w:r>
              <w:rPr>
                <w:rFonts w:hint="eastAsia"/>
              </w:rPr>
              <w:t>、工程师依据设计开发方案开展设计开发工作。编制相应的设计开发输出文件。</w:t>
            </w:r>
          </w:p>
          <w:p w14:paraId="7AE7E9CF">
            <w:r>
              <w:t>2</w:t>
            </w:r>
            <w:r>
              <w:rPr>
                <w:rFonts w:hint="eastAsia"/>
              </w:rPr>
              <w:t>、输出文件因产品不同而不同。</w:t>
            </w:r>
          </w:p>
        </w:tc>
        <w:tc>
          <w:tcPr>
            <w:tcW w:w="994" w:type="dxa"/>
            <w:vAlign w:val="center"/>
          </w:tcPr>
          <w:p w14:paraId="52403BFF">
            <w:pPr>
              <w:jc w:val="center"/>
            </w:pPr>
            <w:r>
              <w:rPr>
                <w:rFonts w:hint="eastAsia"/>
              </w:rPr>
              <w:t>设计</w:t>
            </w:r>
          </w:p>
          <w:p w14:paraId="09F0CC4D">
            <w:pPr>
              <w:jc w:val="center"/>
            </w:pPr>
            <w:r>
              <w:rPr>
                <w:rFonts w:hint="eastAsia"/>
              </w:rPr>
              <w:t>工程师</w:t>
            </w:r>
          </w:p>
        </w:tc>
        <w:tc>
          <w:tcPr>
            <w:tcW w:w="1134" w:type="dxa"/>
            <w:vAlign w:val="center"/>
          </w:tcPr>
          <w:p w14:paraId="537588ED">
            <w:pPr>
              <w:jc w:val="center"/>
            </w:pPr>
            <w:r>
              <w:rPr>
                <w:rFonts w:hint="eastAsia"/>
              </w:rPr>
              <w:t>成文信息控制规范</w:t>
            </w:r>
          </w:p>
        </w:tc>
        <w:tc>
          <w:tcPr>
            <w:tcW w:w="985" w:type="dxa"/>
            <w:vAlign w:val="center"/>
          </w:tcPr>
          <w:p w14:paraId="6B692965">
            <w:pPr>
              <w:jc w:val="center"/>
            </w:pPr>
            <w:r>
              <w:rPr>
                <w:rFonts w:hint="eastAsia"/>
              </w:rPr>
              <w:t>产品规格书、</w:t>
            </w:r>
          </w:p>
          <w:p w14:paraId="638D2146">
            <w:pPr>
              <w:jc w:val="center"/>
            </w:pPr>
            <w:r>
              <w:rPr>
                <w:rFonts w:hint="eastAsia"/>
              </w:rPr>
              <w:t>产品包装规格书等</w:t>
            </w:r>
          </w:p>
        </w:tc>
      </w:tr>
      <w:tr w14:paraId="6131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5" w:type="dxa"/>
            <w:vMerge w:val="continue"/>
            <w:vAlign w:val="center"/>
          </w:tcPr>
          <w:p w14:paraId="3DFB4B6A">
            <w:pPr>
              <w:ind w:firstLine="240" w:firstLineChars="100"/>
              <w:rPr>
                <w:sz w:val="24"/>
              </w:rPr>
            </w:pPr>
          </w:p>
        </w:tc>
        <w:tc>
          <w:tcPr>
            <w:tcW w:w="1648" w:type="dxa"/>
            <w:vAlign w:val="center"/>
          </w:tcPr>
          <w:p w14:paraId="3B165569">
            <w:pPr>
              <w:jc w:val="center"/>
            </w:pPr>
          </w:p>
        </w:tc>
        <w:tc>
          <w:tcPr>
            <w:tcW w:w="3878" w:type="dxa"/>
            <w:vAlign w:val="center"/>
          </w:tcPr>
          <w:p w14:paraId="18621CA6">
            <w:r>
              <w:t>3</w:t>
            </w:r>
            <w:r>
              <w:rPr>
                <w:rFonts w:hint="eastAsia"/>
              </w:rPr>
              <w:t>、设计开发输出文件主要有：产品规格书、产品包装规格书﹑原理图﹑接线图﹑零件图﹑爆炸图﹑生产作业指导书﹑零件批核表和工艺流程图等。</w:t>
            </w:r>
          </w:p>
          <w:p w14:paraId="348C08DD">
            <w:r>
              <w:t>4</w:t>
            </w:r>
            <w:r>
              <w:rPr>
                <w:rFonts w:hint="eastAsia"/>
              </w:rPr>
              <w:t>、由工程师填写设计开发输出清单，由</w:t>
            </w:r>
            <w:r>
              <w:rPr>
                <w:rFonts w:hint="eastAsia"/>
                <w:lang w:eastAsia="zh-CN"/>
              </w:rPr>
              <w:t>生产技术部</w:t>
            </w:r>
            <w:r>
              <w:rPr>
                <w:rFonts w:hint="eastAsia"/>
              </w:rPr>
              <w:t>主管批准后输出文件，并按文件管理的规定发放。</w:t>
            </w:r>
          </w:p>
        </w:tc>
        <w:tc>
          <w:tcPr>
            <w:tcW w:w="994" w:type="dxa"/>
            <w:vAlign w:val="center"/>
          </w:tcPr>
          <w:p w14:paraId="65966DE0">
            <w:pPr>
              <w:jc w:val="center"/>
            </w:pPr>
          </w:p>
        </w:tc>
        <w:tc>
          <w:tcPr>
            <w:tcW w:w="1134" w:type="dxa"/>
            <w:vAlign w:val="center"/>
          </w:tcPr>
          <w:p w14:paraId="4CA82C63">
            <w:pPr>
              <w:jc w:val="center"/>
            </w:pPr>
          </w:p>
        </w:tc>
        <w:tc>
          <w:tcPr>
            <w:tcW w:w="985" w:type="dxa"/>
            <w:vAlign w:val="center"/>
          </w:tcPr>
          <w:p w14:paraId="2B3B1066">
            <w:pPr>
              <w:jc w:val="center"/>
            </w:pPr>
            <w:r>
              <w:rPr>
                <w:rFonts w:hint="eastAsia"/>
              </w:rPr>
              <w:t>设计开发输出清单</w:t>
            </w:r>
          </w:p>
        </w:tc>
      </w:tr>
      <w:tr w14:paraId="1953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5" w:type="dxa"/>
            <w:vAlign w:val="center"/>
          </w:tcPr>
          <w:p w14:paraId="3695856E">
            <w:pPr>
              <w:jc w:val="center"/>
              <w:rPr>
                <w:sz w:val="24"/>
              </w:rPr>
            </w:pPr>
            <w:r>
              <w:rPr>
                <w:sz w:val="24"/>
              </w:rPr>
              <w:t>6</w:t>
            </w:r>
          </w:p>
        </w:tc>
        <w:tc>
          <w:tcPr>
            <w:tcW w:w="1648" w:type="dxa"/>
            <w:vAlign w:val="center"/>
          </w:tcPr>
          <w:p w14:paraId="4594A567">
            <w:pPr>
              <w:jc w:val="center"/>
            </w:pPr>
            <w:r>
              <mc:AlternateContent>
                <mc:Choice Requires="wps">
                  <w:drawing>
                    <wp:anchor distT="0" distB="0" distL="114300" distR="114300" simplePos="0" relativeHeight="251683840" behindDoc="0" locked="0" layoutInCell="1" allowOverlap="1">
                      <wp:simplePos x="0" y="0"/>
                      <wp:positionH relativeFrom="column">
                        <wp:posOffset>423545</wp:posOffset>
                      </wp:positionH>
                      <wp:positionV relativeFrom="paragraph">
                        <wp:posOffset>594360</wp:posOffset>
                      </wp:positionV>
                      <wp:extent cx="2540" cy="1332230"/>
                      <wp:effectExtent l="58420" t="12065" r="53340" b="17780"/>
                      <wp:wrapNone/>
                      <wp:docPr id="33" name="直线 2251"/>
                      <wp:cNvGraphicFramePr/>
                      <a:graphic xmlns:a="http://schemas.openxmlformats.org/drawingml/2006/main">
                        <a:graphicData uri="http://schemas.microsoft.com/office/word/2010/wordprocessingShape">
                          <wps:wsp>
                            <wps:cNvCnPr>
                              <a:cxnSpLocks noChangeShapeType="1"/>
                            </wps:cNvCnPr>
                            <wps:spPr bwMode="auto">
                              <a:xfrm flipH="1">
                                <a:off x="0" y="0"/>
                                <a:ext cx="2540" cy="1332230"/>
                              </a:xfrm>
                              <a:prstGeom prst="line">
                                <a:avLst/>
                              </a:prstGeom>
                              <a:noFill/>
                              <a:ln w="9525" cmpd="sng">
                                <a:solidFill>
                                  <a:srgbClr val="000000"/>
                                </a:solidFill>
                                <a:round/>
                                <a:tailEnd type="triangle" w="med" len="med"/>
                              </a:ln>
                            </wps:spPr>
                            <wps:bodyPr/>
                          </wps:wsp>
                        </a:graphicData>
                      </a:graphic>
                    </wp:anchor>
                  </w:drawing>
                </mc:Choice>
                <mc:Fallback>
                  <w:pict>
                    <v:line id="直线 2251" o:spid="_x0000_s1026" o:spt="20" style="position:absolute;left:0pt;flip:x;margin-left:33.35pt;margin-top:46.8pt;height:104.9pt;width:0.2pt;z-index:251683840;mso-width-relative:page;mso-height-relative:page;" filled="f" stroked="t" coordsize="21600,21600" o:gfxdata="UEsDBAoAAAAAAIdO4kAAAAAAAAAAAAAAAAAEAAAAZHJzL1BLAwQUAAAACACHTuJAfTnW9dgAAAAI&#10;AQAADwAAAGRycy9kb3ducmV2LnhtbE2PwU7DMBBE70j8g7VI3KgdUlIIcXpAIHFCtEVI3Nx4SULj&#10;dbDdpvD1LCc4rmb05m21PLpBHDDE3pOGbKZAIDXe9tRqeNk8XFyDiMmQNYMn1PCFEZb16UllSusn&#10;WuFhnVrBEIql0dClNJZSxqZDZ+LMj0icvfvgTOIztNIGMzHcDfJSqUI60xMvdGbEuw6b3XrvNNxs&#10;piv/HHav86z/fPu+/0jj41PS+vwsU7cgEh7TXxl+9Vkdanba+j3ZKAYNRbHgJrPyAgTnxSIDsdWQ&#10;q3wOsq7k/wfqH1BLAwQUAAAACACHTuJAxYbT6gUCAADrAwAADgAAAGRycy9lMm9Eb2MueG1srVNL&#10;jhMxEN0jcQfLe9JJhyBopTOLhIHFAJFmOIBju9MWtstyOenkLFyDFRuOM9eg7GQCM2xmQS9adn1e&#10;1XtVnl8dnGV7HdGAb/lkNOZMewnK+G3Lv95dv3rLGSbhlbDgdcuPGvnV4uWL+RAaXUMPVunICMRj&#10;M4SW9ymFpqpQ9toJHEHQnpwdRCcSXeO2UlEMhO5sVY/Hb6oBogoRpEYk6+rk5GfE+BxA6Doj9Qrk&#10;zmmfTqhRW5GIEvYmIF+UbrtOy/Sl61AnZltOTFP5UxE6b/K/WsxFs40i9EaeWxDPaeEJJyeMp6IX&#10;qJVIgu2i+QfKGRkBoUsjCa46ESmKEIvJ+Ik2t70IunAhqTFcRMf/Bys/79eRGdXy6ZQzLxxN/P77&#10;j/ufv1hdzyZZnyFgQ2FLv46ZoTz423AD8hsyD8te+K0ufd4dA+WWjOpRSr5goCqb4RMoihG7BEWs&#10;Qxcd66wJH3NiBidB2KFM53iZjj4kJslYz17T1CQ5JtNpXU/L8CrRZJScGyKmDxocy4eWW+OzdqIR&#10;+xtMxINCH0Ky2cO1sbbM33o2tPzdrJ4RvgskBvptyUWwRuW4nIFxu1nayPYiL1P5sj6E+ygsws6r&#10;gpuEse+9YqlIk6IhsazmuZjTijOr6QXm0wnFegJ7UOuk+wbUcR2zO9tpB0q5877mJfv7XqL+vNH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051vXYAAAACAEAAA8AAAAAAAAAAQAgAAAAIgAAAGRy&#10;cy9kb3ducmV2LnhtbFBLAQIUABQAAAAIAIdO4kDFhtPqBQIAAO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100965</wp:posOffset>
                      </wp:positionV>
                      <wp:extent cx="800100" cy="495300"/>
                      <wp:effectExtent l="5080" t="13970" r="13970" b="5080"/>
                      <wp:wrapNone/>
                      <wp:docPr id="32" name="文本框 2244"/>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0BE5CE5C">
                                  <w:pPr>
                                    <w:jc w:val="center"/>
                                  </w:pPr>
                                  <w:r>
                                    <w:rPr>
                                      <w:rFonts w:hint="eastAsia"/>
                                    </w:rPr>
                                    <w:t>设计开发评审</w:t>
                                  </w:r>
                                </w:p>
                              </w:txbxContent>
                            </wps:txbx>
                            <wps:bodyPr rot="0" vert="horz" wrap="square" lIns="91440" tIns="45720" rIns="91440" bIns="45720" anchor="t" anchorCtr="0" upright="1">
                              <a:noAutofit/>
                            </wps:bodyPr>
                          </wps:wsp>
                        </a:graphicData>
                      </a:graphic>
                    </wp:anchor>
                  </w:drawing>
                </mc:Choice>
                <mc:Fallback>
                  <w:pict>
                    <v:shape id="文本框 2244" o:spid="_x0000_s1026" o:spt="202" type="#_x0000_t202" style="position:absolute;left:0pt;margin-left:1.4pt;margin-top:7.95pt;height:39pt;width:63pt;z-index:251676672;mso-width-relative:page;mso-height-relative:page;" fillcolor="#FFFFFF" filled="t" stroked="t" coordsize="21600,21600" o:gfxdata="UEsDBAoAAAAAAIdO4kAAAAAAAAAAAAAAAAAEAAAAZHJzL1BLAwQUAAAACACHTuJAyaY6KNUAAAAH&#10;AQAADwAAAGRycy9kb3ducmV2LnhtbE2OzU7DMBCE70i8g7VIXBB1mkJJQpwekEBwKwXB1Y23SYS9&#10;Drablrdne4Lj/Gjmq1dHZ8WEIQ6eFMxnGQik1puBOgXvb4/XBYiYNBltPaGCH4ywas7Pal0Zf6BX&#10;nDapEzxCsdIK+pTGSsrY9uh0nPkRibOdD04nlqGTJugDjzsr8yxbSqcH4odej/jQY/u12TsFxc3z&#10;9BlfFuuPdrmzZbq6m56+g1KXF/PsHkTCY/orwwmf0aFhpq3fk4nCKsgZPLF9W4I4xXnBxlZBuShB&#10;NrX8z9/8AlBLAwQUAAAACACHTuJAL2jyEUgCAACVBAAADgAAAGRycy9lMm9Eb2MueG1srVTNbtQw&#10;EL4j8Q6W7zS76S60q81WZasipPIjFR7A6ziJhe0xY+8m5QHgDThx4c5z7XMwcdKyFJB6IIfIkxl/&#10;M/N9M1meddawncKgwRV8ejThTDkJpXZ1wd+/u3xywlmIwpXCgFMFv1GBn60eP1q2fqFyaMCUChmB&#10;uLBofcGbGP0iy4JslBXhCLxy5KwArYhkYp2VKFpCtybLJ5OnWQtYegSpQqCvF4OTj4j4EECoKi3V&#10;BcitVS4OqKiMiNRSaLQPfJWqrSol45uqCioyU3DqNKY3JaHzpn9nq6VY1Ch8o+VYgnhICfd6skI7&#10;SnoHdSGiYFvUf0BZLRECVPFIgs2GRhIj1MV0co+b60Z4lXohqoO/Iz38P1j5evcWmS4Lfpxz5oQl&#10;xfdfv+y//dh//8zyfDbrKWp9WFDktafY2D2HjgYntRv8FcgPgTlYN8LV6hwR2kaJkkqc9jezg6sD&#10;TuhBNu0rKCmV2EZIQF2FtuePGGGETvLc3MmjusgkfTyZEEXkkeSanc6P6dxnEIvbyx5DfKHAsv5Q&#10;cCT1E7jYXYU4hN6G9LkCGF1eamOSgfVmbZDtBE3KZXpG9N/CjGNtwU/n+ZzqsJ54C64eqPgn2iQ9&#10;f0OzOtIuGW1TcxQ2Bhk3MteTNdAWu003KrGB8oY4RBimmXaZDg3gJ85ammQq6eNWoOLMvHSkw+l0&#10;NutHPxmz+bOcDDz0bA49wkmCKnjkbDiu47AuW4+6bijToLyDc9Ku0onXXuShqrFumtakzLhZ/Toc&#10;2inq199k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pjoo1QAAAAcBAAAPAAAAAAAAAAEAIAAA&#10;ACIAAABkcnMvZG93bnJldi54bWxQSwECFAAUAAAACACHTuJAL2jyEUgCAACVBAAADgAAAAAAAAAB&#10;ACAAAAAkAQAAZHJzL2Uyb0RvYy54bWxQSwUGAAAAAAYABgBZAQAA3gUAAAAA&#10;">
                      <v:fill on="t" focussize="0,0"/>
                      <v:stroke color="#000000" miterlimit="8" joinstyle="miter"/>
                      <v:imagedata o:title=""/>
                      <o:lock v:ext="edit" aspectratio="f"/>
                      <v:textbox>
                        <w:txbxContent>
                          <w:p w14:paraId="0BE5CE5C">
                            <w:pPr>
                              <w:jc w:val="center"/>
                            </w:pPr>
                            <w:r>
                              <w:rPr>
                                <w:rFonts w:hint="eastAsia"/>
                              </w:rPr>
                              <w:t>设计开发评审</w:t>
                            </w:r>
                          </w:p>
                        </w:txbxContent>
                      </v:textbox>
                    </v:shape>
                  </w:pict>
                </mc:Fallback>
              </mc:AlternateContent>
            </w:r>
          </w:p>
        </w:tc>
        <w:tc>
          <w:tcPr>
            <w:tcW w:w="3878" w:type="dxa"/>
            <w:vAlign w:val="center"/>
          </w:tcPr>
          <w:p w14:paraId="4E2E928A">
            <w:r>
              <w:t>1</w:t>
            </w:r>
            <w:r>
              <w:rPr>
                <w:rFonts w:hint="eastAsia"/>
              </w:rPr>
              <w:t>、在适宜的阶段，对设计开发进行系统的评审，评审的内容包括：</w:t>
            </w:r>
          </w:p>
          <w:p w14:paraId="63CEC193">
            <w:r>
              <w:t xml:space="preserve">A: </w:t>
            </w:r>
            <w:r>
              <w:rPr>
                <w:rFonts w:hint="eastAsia"/>
              </w:rPr>
              <w:t>是否违反相关法律法规</w:t>
            </w:r>
            <w:r>
              <w:t xml:space="preserve">B: </w:t>
            </w:r>
            <w:r>
              <w:rPr>
                <w:rFonts w:hint="eastAsia"/>
              </w:rPr>
              <w:t>是否侵犯他人专利</w:t>
            </w:r>
            <w:r>
              <w:t xml:space="preserve">C: </w:t>
            </w:r>
            <w:r>
              <w:rPr>
                <w:rFonts w:hint="eastAsia"/>
              </w:rPr>
              <w:t>功能和性能等是否达到产品规格书要求</w:t>
            </w:r>
            <w:r>
              <w:t xml:space="preserve">D: </w:t>
            </w:r>
            <w:r>
              <w:rPr>
                <w:rFonts w:hint="eastAsia"/>
              </w:rPr>
              <w:t>包装是否达到产品包装规格书要求</w:t>
            </w:r>
            <w:r>
              <w:t xml:space="preserve">E: </w:t>
            </w:r>
            <w:r>
              <w:rPr>
                <w:rFonts w:hint="eastAsia"/>
              </w:rPr>
              <w:t>是否达到工艺要求</w:t>
            </w:r>
            <w:r>
              <w:t xml:space="preserve">F: </w:t>
            </w:r>
            <w:r>
              <w:rPr>
                <w:rFonts w:hint="eastAsia"/>
              </w:rPr>
              <w:t>是否达到其它特殊要求</w:t>
            </w:r>
          </w:p>
          <w:p w14:paraId="0B097ED8">
            <w:r>
              <w:t>2</w:t>
            </w:r>
            <w:r>
              <w:rPr>
                <w:rFonts w:hint="eastAsia"/>
              </w:rPr>
              <w:t>、评审的人员应由参加《设计开发方案》评审的人员构成。并把评审的结果及必要的措施记录于《设计开发评审报告》中。由评审人员签名确认后，归档保存。</w:t>
            </w:r>
          </w:p>
        </w:tc>
        <w:tc>
          <w:tcPr>
            <w:tcW w:w="994" w:type="dxa"/>
            <w:vAlign w:val="center"/>
          </w:tcPr>
          <w:p w14:paraId="7349222F">
            <w:pPr>
              <w:jc w:val="center"/>
            </w:pPr>
            <w:r>
              <w:rPr>
                <w:rFonts w:hint="eastAsia"/>
              </w:rPr>
              <w:t>相关设计人员和相关部门</w:t>
            </w:r>
          </w:p>
        </w:tc>
        <w:tc>
          <w:tcPr>
            <w:tcW w:w="1134" w:type="dxa"/>
            <w:vAlign w:val="center"/>
          </w:tcPr>
          <w:p w14:paraId="2F4AAD6E">
            <w:pPr>
              <w:jc w:val="center"/>
            </w:pPr>
          </w:p>
        </w:tc>
        <w:tc>
          <w:tcPr>
            <w:tcW w:w="985" w:type="dxa"/>
            <w:vAlign w:val="center"/>
          </w:tcPr>
          <w:p w14:paraId="0C9695D8">
            <w:pPr>
              <w:jc w:val="center"/>
            </w:pPr>
            <w:r>
              <w:rPr>
                <w:rFonts w:hint="eastAsia"/>
              </w:rPr>
              <w:t>设计开发输出评审报告</w:t>
            </w:r>
          </w:p>
        </w:tc>
      </w:tr>
      <w:tr w14:paraId="519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705" w:type="dxa"/>
            <w:vAlign w:val="center"/>
          </w:tcPr>
          <w:p w14:paraId="5578A82D">
            <w:pPr>
              <w:jc w:val="center"/>
              <w:rPr>
                <w:sz w:val="24"/>
              </w:rPr>
            </w:pPr>
            <w:r>
              <w:rPr>
                <w:sz w:val="24"/>
              </w:rPr>
              <w:t>7</w:t>
            </w:r>
          </w:p>
        </w:tc>
        <w:tc>
          <w:tcPr>
            <w:tcW w:w="1648" w:type="dxa"/>
            <w:vAlign w:val="center"/>
          </w:tcPr>
          <w:p w14:paraId="39CF2A3C">
            <w:pPr>
              <w:jc w:val="center"/>
            </w:pPr>
            <w:r>
              <mc:AlternateContent>
                <mc:Choice Requires="wps">
                  <w:drawing>
                    <wp:anchor distT="0" distB="0" distL="114300" distR="114300" simplePos="0" relativeHeight="251686912" behindDoc="0" locked="0" layoutInCell="1" allowOverlap="1">
                      <wp:simplePos x="0" y="0"/>
                      <wp:positionH relativeFrom="column">
                        <wp:posOffset>459105</wp:posOffset>
                      </wp:positionH>
                      <wp:positionV relativeFrom="paragraph">
                        <wp:posOffset>107950</wp:posOffset>
                      </wp:positionV>
                      <wp:extent cx="2540" cy="1087755"/>
                      <wp:effectExtent l="55880" t="5080" r="55880" b="21590"/>
                      <wp:wrapNone/>
                      <wp:docPr id="31" name="直线 2254"/>
                      <wp:cNvGraphicFramePr/>
                      <a:graphic xmlns:a="http://schemas.openxmlformats.org/drawingml/2006/main">
                        <a:graphicData uri="http://schemas.microsoft.com/office/word/2010/wordprocessingShape">
                          <wps:wsp>
                            <wps:cNvCnPr>
                              <a:cxnSpLocks noChangeShapeType="1"/>
                            </wps:cNvCnPr>
                            <wps:spPr bwMode="auto">
                              <a:xfrm>
                                <a:off x="0" y="0"/>
                                <a:ext cx="2540" cy="1087755"/>
                              </a:xfrm>
                              <a:prstGeom prst="line">
                                <a:avLst/>
                              </a:prstGeom>
                              <a:noFill/>
                              <a:ln w="9525" cmpd="sng">
                                <a:solidFill>
                                  <a:srgbClr val="000000"/>
                                </a:solidFill>
                                <a:round/>
                                <a:tailEnd type="triangle" w="med" len="med"/>
                              </a:ln>
                            </wps:spPr>
                            <wps:bodyPr/>
                          </wps:wsp>
                        </a:graphicData>
                      </a:graphic>
                    </wp:anchor>
                  </w:drawing>
                </mc:Choice>
                <mc:Fallback>
                  <w:pict>
                    <v:line id="直线 2254" o:spid="_x0000_s1026" o:spt="20" style="position:absolute;left:0pt;margin-left:36.15pt;margin-top:8.5pt;height:85.65pt;width:0.2pt;z-index:251686912;mso-width-relative:page;mso-height-relative:page;" filled="f" stroked="t" coordsize="21600,21600" o:gfxdata="UEsDBAoAAAAAAIdO4kAAAAAAAAAAAAAAAAAEAAAAZHJzL1BLAwQUAAAACACHTuJA+XQgHdgAAAAI&#10;AQAADwAAAGRycy9kb3ducmV2LnhtbE2PwU7DMBBE70j8g7VI3KiTVCJWiNMDUrm0gNoiBDc3XpKI&#10;eB3FThv+nuVUjrMzmn1TrmbXixOOofOkIV0kIJBqbztqNLwd1ncKRIiGrOk9oYYfDLCqrq9KU1h/&#10;ph2e9rERXEKhMBraGIdCylC36ExY+AGJvS8/OhNZjo20ozlzuetlliT30pmO+ENrBnxssf7eT07D&#10;brveqPfNNNfj51P6cnjdPn8EpfXtTZo8gIg4x0sY/vAZHSpmOvqJbBC9hjxbcpLvOU9iP89yEEfW&#10;Si1BVqX8P6D6BVBLAwQUAAAACACHTuJAtdGSF/4BAADhAwAADgAAAGRycy9lMm9Eb2MueG1srVNB&#10;chMxELxTxR9UuuO1DSZhy+scbMIlgKsSHiBL2l0Vkkalkb32W/gGJy48J9/ISHYMCZcc2MOWpJnp&#10;6e6R5ld7Z9lORzTgGz4ZjTnTXoIyvmv4t7vrN5ecYRJeCQteN/ygkV8tXr+aD6HWU+jBKh0ZgXis&#10;h9DwPqVQVxXKXjuBIwjaU7CF6ESibewqFcVA6M5W0/H4fTVAVCGC1Ih0ujoG+QkxvgQQ2tZIvQK5&#10;ddqnI2rUViSShL0JyBeFbdtqmb62LerEbMNJaSp/akLrTf5Xi7mouyhCb+SJgngJhWeanDCemp6h&#10;ViIJto3mHyhnZASENo0kuOoopDhCKibjZ97c9iLoooWsxnA2Hf8frPyyW0dmVMPfTjjzwtHE73/8&#10;vP/1m02ns3fZnyFgTWlLv45Zodz723AD8jsyD8te+E4XnneHQLWTXFE9KckbDNRlM3wGRTlim6CY&#10;tW+jy5BkA9uXmRzOM9H7xCQdEgmalaTAZHx5cTGblQaifqwNEdMnDY7lRcOt8dkxUYvdDabMRdSP&#10;KfnYw7WxtkzdejY0/MNsOiN8F8gC9F2pRbBG5bxcgbHbLG1kO5GvUPlOFJ6kRdh6VXCTMPajVywV&#10;Q1I0ZJHVPDdzWnFmNb27vDqys/5kWPbo6PYG1GEdczh7R5MvMk63NF+tv/cl68/LXD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QgHdgAAAAIAQAADwAAAAAAAAABACAAAAAiAAAAZHJzL2Rvd25y&#10;ZXYueG1sUEsBAhQAFAAAAAgAh07iQLXRkhf+AQAA4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466090</wp:posOffset>
                      </wp:positionH>
                      <wp:positionV relativeFrom="paragraph">
                        <wp:posOffset>1756410</wp:posOffset>
                      </wp:positionV>
                      <wp:extent cx="2540" cy="2609850"/>
                      <wp:effectExtent l="53340" t="5715" r="58420" b="22860"/>
                      <wp:wrapNone/>
                      <wp:docPr id="30" name="直线 2253"/>
                      <wp:cNvGraphicFramePr/>
                      <a:graphic xmlns:a="http://schemas.openxmlformats.org/drawingml/2006/main">
                        <a:graphicData uri="http://schemas.microsoft.com/office/word/2010/wordprocessingShape">
                          <wps:wsp>
                            <wps:cNvCnPr>
                              <a:cxnSpLocks noChangeShapeType="1"/>
                            </wps:cNvCnPr>
                            <wps:spPr bwMode="auto">
                              <a:xfrm>
                                <a:off x="0" y="0"/>
                                <a:ext cx="2540" cy="2609850"/>
                              </a:xfrm>
                              <a:prstGeom prst="line">
                                <a:avLst/>
                              </a:prstGeom>
                              <a:noFill/>
                              <a:ln w="9525" cmpd="sng">
                                <a:solidFill>
                                  <a:srgbClr val="000000"/>
                                </a:solidFill>
                                <a:round/>
                                <a:tailEnd type="triangle" w="med" len="med"/>
                              </a:ln>
                            </wps:spPr>
                            <wps:bodyPr/>
                          </wps:wsp>
                        </a:graphicData>
                      </a:graphic>
                    </wp:anchor>
                  </w:drawing>
                </mc:Choice>
                <mc:Fallback>
                  <w:pict>
                    <v:line id="直线 2253" o:spid="_x0000_s1026" o:spt="20" style="position:absolute;left:0pt;margin-left:36.7pt;margin-top:138.3pt;height:205.5pt;width:0.2pt;z-index:251685888;mso-width-relative:page;mso-height-relative:page;" filled="f" stroked="t" coordsize="21600,21600" o:gfxdata="UEsDBAoAAAAAAIdO4kAAAAAAAAAAAAAAAAAEAAAAZHJzL1BLAwQUAAAACACHTuJAzNU4rtoAAAAJ&#10;AQAADwAAAGRycy9kb3ducmV2LnhtbE2PwU7DMBBE70j8g7VI3KiTFjlRGqcHpHJpAbVFiN7ceEki&#10;YjuynTb8PcupHFf7NPOmXE2mZ2f0oXNWQjpLgKGtne5sI+H9sH7IgYWorFa9syjhBwOsqtubUhXa&#10;XewOz/vYMAqxoVAS2hiHgvNQt2hUmLkBLf2+nDcq0ukbrr26ULjp+TxJBDeqs9TQqgGfWqy/96OR&#10;sNuuN/nHZpxqf3xOXw9v25fPkEt5f5cmS2ARp3iF4U+f1KEip5MbrQ6sl5AtHomUMM+EAEZAtqAp&#10;JwkizwTwquT/F1S/UEsDBBQAAAAIAIdO4kBGRoFE/wEAAOEDAAAOAAAAZHJzL2Uyb0RvYy54bWyt&#10;U0FyGyEQvKcqf6C4RyutI5e9pZUPUpyLk6jKzgNGwGqpAEMB0kpvyTdyyiXP8TcyIFlxnIsP2cMW&#10;MDM93T0wu9lbw3YqRI2u5ZPRmDPlBErtNi3/+nD77oqzmMBJMOhUyw8q8pv52zezwTeqxh6NVIER&#10;iIvN4Fvep+SbqoqiVxbiCL1yFOwwWEi0DZtKBhgI3ZqqHo8vqwGD9AGFipFOl8cgPyGG1wBi12mh&#10;lii2Vrl0RA3KQCJJsdc+8nlh23VKpC9dF1VipuWkNJU/NaH1Ov+r+QyaTQDfa3GiAK+h8EKTBe2o&#10;6RlqCQnYNuh/oKwWASN2aSTQVkchxRFSMRm/8Oa+B6+KFrI6+rPp8f/Bis+7VWBatvyCLHFgaeKP&#10;3388/vzF6np6kf0ZfGwobeFWISsUe3fv71B8i8zhoge3UYXnw8FT7SRXVH+V5E301GU9fEJJObBN&#10;WMzad8FmSLKB7ctMDueZqH1igg7r6XsiJihQX46vr6ZlZBU0T7U+xPRRoWV50XKjXXYMGtjdxZS5&#10;QPOUko8d3mpjytSNY0PLr6f1lPCtJwui25TaiEbLnJcrYtisFyawHeQrVL6ikSLP0wJunSy4CbT5&#10;4CRLxZAUNFlkFM/NrJKcGUXvLq+O7Iw7GZY9Orq9RnlYhRzO3tHki4zTLc1X6/m+ZP15m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NU4rtoAAAAJAQAADwAAAAAAAAABACAAAAAiAAAAZHJzL2Rv&#10;d25yZXYueG1sUEsBAhQAFAAAAAgAh07iQEZGgUT/AQAA4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1255395</wp:posOffset>
                      </wp:positionV>
                      <wp:extent cx="800100" cy="495300"/>
                      <wp:effectExtent l="7620" t="9525" r="11430" b="9525"/>
                      <wp:wrapNone/>
                      <wp:docPr id="29" name="文本框 2252"/>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6E8ED2E0">
                                  <w:pPr>
                                    <w:jc w:val="center"/>
                                  </w:pPr>
                                  <w:r>
                                    <w:rPr>
                                      <w:rFonts w:hint="eastAsia"/>
                                    </w:rPr>
                                    <w:t>设计开发验证</w:t>
                                  </w:r>
                                </w:p>
                              </w:txbxContent>
                            </wps:txbx>
                            <wps:bodyPr rot="0" vert="horz" wrap="square" lIns="91440" tIns="45720" rIns="91440" bIns="45720" anchor="t" anchorCtr="0" upright="1">
                              <a:noAutofit/>
                            </wps:bodyPr>
                          </wps:wsp>
                        </a:graphicData>
                      </a:graphic>
                    </wp:anchor>
                  </w:drawing>
                </mc:Choice>
                <mc:Fallback>
                  <w:pict>
                    <v:shape id="文本框 2252" o:spid="_x0000_s1026" o:spt="202" type="#_x0000_t202" style="position:absolute;left:0pt;margin-left:4.6pt;margin-top:98.85pt;height:39pt;width:63pt;z-index:251684864;mso-width-relative:page;mso-height-relative:page;" fillcolor="#FFFFFF" filled="t" stroked="t" coordsize="21600,21600" o:gfxdata="UEsDBAoAAAAAAIdO4kAAAAAAAAAAAAAAAAAEAAAAZHJzL1BLAwQUAAAACACHTuJAJXqBU9gAAAAJ&#10;AQAADwAAAGRycy9kb3ducmV2LnhtbE2PzU7DMBCE70i8g7VIXBB1mtK6CXF6QALBrZSqXN14m0T4&#10;J9huWt6e7QmOOzOa/aZana1hI4bYeydhOsmAoWu87l0rYfvxfL8EFpNyWhnvUMIPRljV11eVKrU/&#10;uXccN6llVOJiqSR0KQ0l57Hp0Ko48QM68g4+WJXoDC3XQZ2o3BqeZ9mCW9U7+tCpAZ86bL42Ryth&#10;+fA6fsa32XrXLA6mSHdifPkOUt7eTLNHYAnP6S8MF3xCh5qY9v7odGRGQpFTkORCCGAXfzYnZS8h&#10;F3MBvK74/wX1L1BLAwQUAAAACACHTuJAuSgDLEgCAACVBAAADgAAAGRycy9lMm9Eb2MueG1srVTN&#10;btQwEL4j8Q6W7zS7YRe6q81WZasipPIjFR7A6ziJhe0xY+8m5QHoG3Diwp3n6nMwcdKyFJB6IIfI&#10;kxl/M/N9M1mddNawvcKgwRV8ejThTDkJpXZ1wT+8P39yzFmIwpXCgFMFv1KBn6wfP1q1fqlyaMCU&#10;ChmBuLBsfcGbGP0yy4JslBXhCLxy5KwArYhkYp2VKFpCtybLJ5NnWQtYegSpQqCvZ4OTj4j4EECo&#10;Ki3VGcidVS4OqKiMiNRSaLQPfJ2qrSol49uqCioyU3DqNKY3JaHztn9n65VY1ih8o+VYgnhICfd6&#10;skI7SnoHdSaiYDvUf0BZLRECVPFIgs2GRhIj1MV0co+by0Z4lXohqoO/Iz38P1j5Zv8OmS4Lni84&#10;c8KS4jdfr2++/bj5/oXl+TzvKWp9WFLkpafY2L2AjgYntRv8BciPgTnYNMLV6hQR2kaJkkqc9jez&#10;g6sDTuhBtu1rKCmV2EVIQF2FtuePGGGETvJc3cmjusgkfTyeEEXkkeSaLeZP6dxnEMvbyx5DfKnA&#10;sv5QcCT1E7jYX4Q4hN6G9LkCGF2ea2OSgfV2Y5DtBU3KeXpG9N/CjGNtwRfzfE51WE+8BVcPVPwT&#10;bZKev6FZHWmXjLapOQobg4wbmevJGmiL3bYbldhCeUUcIgzTTLtMhwbwM2ctTTKV9GknUHFmXjnS&#10;YTGdzfrRT8Zs/jwnAw8920OPcJKgCh45G46bOKzLzqOuG8o0KO/glLSrdOK1F3moaqybpjUpM25W&#10;vw6Hdor69TdZ/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eoFT2AAAAAkBAAAPAAAAAAAAAAEA&#10;IAAAACIAAABkcnMvZG93bnJldi54bWxQSwECFAAUAAAACACHTuJAuSgDLEgCAACVBAAADgAAAAAA&#10;AAABACAAAAAnAQAAZHJzL2Uyb0RvYy54bWxQSwUGAAAAAAYABgBZAQAA4QUAAAAA&#10;">
                      <v:fill on="t" focussize="0,0"/>
                      <v:stroke color="#000000" miterlimit="8" joinstyle="miter"/>
                      <v:imagedata o:title=""/>
                      <o:lock v:ext="edit" aspectratio="f"/>
                      <v:textbox>
                        <w:txbxContent>
                          <w:p w14:paraId="6E8ED2E0">
                            <w:pPr>
                              <w:jc w:val="center"/>
                            </w:pPr>
                            <w:r>
                              <w:rPr>
                                <w:rFonts w:hint="eastAsia"/>
                              </w:rPr>
                              <w:t>设计开发验证</w:t>
                            </w:r>
                          </w:p>
                        </w:txbxContent>
                      </v:textbox>
                    </v:shape>
                  </w:pict>
                </mc:Fallback>
              </mc:AlternateContent>
            </w:r>
          </w:p>
        </w:tc>
        <w:tc>
          <w:tcPr>
            <w:tcW w:w="3878" w:type="dxa"/>
            <w:vAlign w:val="center"/>
          </w:tcPr>
          <w:p w14:paraId="41EE70FD">
            <w:r>
              <w:t>1</w:t>
            </w:r>
            <w:r>
              <w:rPr>
                <w:rFonts w:hint="eastAsia"/>
              </w:rPr>
              <w:t>、在适宜的阶段，工程师依据《设计开发计划书》的安排</w:t>
            </w:r>
            <w:r>
              <w:t>,</w:t>
            </w:r>
            <w:r>
              <w:rPr>
                <w:rFonts w:hint="eastAsia"/>
              </w:rPr>
              <w:t>根据《产品规格书》的要求对设计开发验证的过程和结果进行评审，评审的内容包括：</w:t>
            </w:r>
          </w:p>
          <w:p w14:paraId="1DDF77D3">
            <w:r>
              <w:t xml:space="preserve">A: </w:t>
            </w:r>
            <w:r>
              <w:rPr>
                <w:rFonts w:hint="eastAsia"/>
              </w:rPr>
              <w:t>验证过程是否符合相关要求</w:t>
            </w:r>
            <w:r>
              <w:t>.</w:t>
            </w:r>
          </w:p>
          <w:p w14:paraId="11D525FD">
            <w:r>
              <w:t xml:space="preserve">B: </w:t>
            </w:r>
            <w:r>
              <w:rPr>
                <w:rFonts w:hint="eastAsia"/>
              </w:rPr>
              <w:t>验证的结果是否达产品的要求</w:t>
            </w:r>
          </w:p>
          <w:p w14:paraId="480B6C41">
            <w:r>
              <w:t xml:space="preserve">C: </w:t>
            </w:r>
            <w:r>
              <w:rPr>
                <w:rFonts w:hint="eastAsia"/>
              </w:rPr>
              <w:t>设计开发验证的内容是否有遗漏。</w:t>
            </w:r>
          </w:p>
          <w:p w14:paraId="0EE84DD0">
            <w:r>
              <w:t>2</w:t>
            </w:r>
            <w:r>
              <w:rPr>
                <w:rFonts w:hint="eastAsia"/>
              </w:rPr>
              <w:t>、工程师把设计开发验证的结果记录于《设计开发验证评审报告》</w:t>
            </w:r>
            <w:r>
              <w:t>,</w:t>
            </w:r>
            <w:r>
              <w:rPr>
                <w:rFonts w:hint="eastAsia"/>
              </w:rPr>
              <w:t>由工程</w:t>
            </w:r>
            <w:r>
              <w:rPr>
                <w:rFonts w:hint="eastAsia"/>
                <w:lang w:eastAsia="zh-CN"/>
              </w:rPr>
              <w:t>生产技术部</w:t>
            </w:r>
            <w:r>
              <w:rPr>
                <w:rFonts w:hint="eastAsia"/>
              </w:rPr>
              <w:t>负责人审核后归档保存。</w:t>
            </w:r>
          </w:p>
        </w:tc>
        <w:tc>
          <w:tcPr>
            <w:tcW w:w="994" w:type="dxa"/>
            <w:vAlign w:val="center"/>
          </w:tcPr>
          <w:p w14:paraId="2A4319E1">
            <w:pPr>
              <w:jc w:val="center"/>
            </w:pPr>
            <w:r>
              <w:rPr>
                <w:rFonts w:hint="eastAsia"/>
              </w:rPr>
              <w:t>设计</w:t>
            </w:r>
          </w:p>
          <w:p w14:paraId="3C8B8334">
            <w:pPr>
              <w:jc w:val="center"/>
            </w:pPr>
            <w:r>
              <w:rPr>
                <w:rFonts w:hint="eastAsia"/>
              </w:rPr>
              <w:t>工程师</w:t>
            </w:r>
          </w:p>
        </w:tc>
        <w:tc>
          <w:tcPr>
            <w:tcW w:w="1134" w:type="dxa"/>
            <w:vAlign w:val="center"/>
          </w:tcPr>
          <w:p w14:paraId="2B9D7C51">
            <w:pPr>
              <w:jc w:val="center"/>
            </w:pPr>
          </w:p>
        </w:tc>
        <w:tc>
          <w:tcPr>
            <w:tcW w:w="985" w:type="dxa"/>
            <w:vAlign w:val="center"/>
          </w:tcPr>
          <w:p w14:paraId="0A777925">
            <w:pPr>
              <w:jc w:val="center"/>
            </w:pPr>
            <w:r>
              <w:rPr>
                <w:rFonts w:hint="eastAsia"/>
              </w:rPr>
              <w:t>设计开发验证报告</w:t>
            </w:r>
          </w:p>
        </w:tc>
      </w:tr>
      <w:tr w14:paraId="51A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705" w:type="dxa"/>
            <w:vMerge w:val="restart"/>
            <w:vAlign w:val="center"/>
          </w:tcPr>
          <w:p w14:paraId="1772B73F">
            <w:pPr>
              <w:jc w:val="center"/>
              <w:rPr>
                <w:sz w:val="24"/>
              </w:rPr>
            </w:pPr>
            <w:r>
              <w:rPr>
                <w:sz w:val="24"/>
              </w:rPr>
              <w:t>8</w:t>
            </w:r>
          </w:p>
          <w:p w14:paraId="350C34E0">
            <w:pPr>
              <w:rPr>
                <w:sz w:val="24"/>
              </w:rPr>
            </w:pPr>
          </w:p>
        </w:tc>
        <w:tc>
          <w:tcPr>
            <w:tcW w:w="1648" w:type="dxa"/>
            <w:vMerge w:val="restart"/>
            <w:vAlign w:val="center"/>
          </w:tcPr>
          <w:p w14:paraId="7FA94345">
            <w:pPr>
              <w:jc w:val="center"/>
            </w:pPr>
            <w:r>
              <mc:AlternateContent>
                <mc:Choice Requires="wps">
                  <w:drawing>
                    <wp:anchor distT="0" distB="0" distL="114300" distR="114300" simplePos="0" relativeHeight="251688960" behindDoc="0" locked="0" layoutInCell="1" allowOverlap="1">
                      <wp:simplePos x="0" y="0"/>
                      <wp:positionH relativeFrom="column">
                        <wp:posOffset>399415</wp:posOffset>
                      </wp:positionH>
                      <wp:positionV relativeFrom="paragraph">
                        <wp:posOffset>2100580</wp:posOffset>
                      </wp:positionV>
                      <wp:extent cx="7620" cy="3436620"/>
                      <wp:effectExtent l="53340" t="13335" r="53340" b="17145"/>
                      <wp:wrapNone/>
                      <wp:docPr id="28" name="直线 2256"/>
                      <wp:cNvGraphicFramePr/>
                      <a:graphic xmlns:a="http://schemas.openxmlformats.org/drawingml/2006/main">
                        <a:graphicData uri="http://schemas.microsoft.com/office/word/2010/wordprocessingShape">
                          <wps:wsp>
                            <wps:cNvCnPr>
                              <a:cxnSpLocks noChangeShapeType="1"/>
                            </wps:cNvCnPr>
                            <wps:spPr bwMode="auto">
                              <a:xfrm flipH="1">
                                <a:off x="0" y="0"/>
                                <a:ext cx="7620" cy="3436620"/>
                              </a:xfrm>
                              <a:prstGeom prst="line">
                                <a:avLst/>
                              </a:prstGeom>
                              <a:noFill/>
                              <a:ln w="9525" cmpd="sng">
                                <a:solidFill>
                                  <a:srgbClr val="000000"/>
                                </a:solidFill>
                                <a:round/>
                                <a:tailEnd type="triangle" w="med" len="med"/>
                              </a:ln>
                            </wps:spPr>
                            <wps:bodyPr/>
                          </wps:wsp>
                        </a:graphicData>
                      </a:graphic>
                    </wp:anchor>
                  </w:drawing>
                </mc:Choice>
                <mc:Fallback>
                  <w:pict>
                    <v:line id="直线 2256" o:spid="_x0000_s1026" o:spt="20" style="position:absolute;left:0pt;flip:x;margin-left:31.45pt;margin-top:165.4pt;height:270.6pt;width:0.6pt;z-index:251688960;mso-width-relative:page;mso-height-relative:page;" filled="f" stroked="t" coordsize="21600,21600" o:gfxdata="UEsDBAoAAAAAAIdO4kAAAAAAAAAAAAAAAAAEAAAAZHJzL1BLAwQUAAAACACHTuJAUKwsBNoAAAAJ&#10;AQAADwAAAGRycy9kb3ducmV2LnhtbE2PwU7DMBBE70j8g7VI3KidtKRtyKYHBBInRFtUiZsbL0lo&#10;vA6x2xS+HnOC42qfZt4Uq7PtxIkG3zpGSCYKBHHlTMs1wuv28WYBwgfNRneOCeGLPKzKy4tC58aN&#10;vKbTJtQihrDPNUITQp9L6auGrPYT1xPH37sbrA7xHGppBj3GcNvJVKlMWt1ybGh0T/cNVYfN0SIs&#10;t+OtexkOu1nSfr59P3yE/uk5IF5fJeoORKBz+IPhVz+qQxmd9u7IxosOIUuXkUSYTlWcEIFsloDY&#10;IyzmqQJZFvL/gvIHUEsDBBQAAAAIAIdO4kCDIHccBQIAAOsDAAAOAAAAZHJzL2Uyb0RvYy54bWyt&#10;U8Fy0zAQvTPDP2h0J05dEsATp4eEwqFAZlo+QJFlW4Ok1UhKnHwLv8GJC5/T3+iuHAItlx7wwaPd&#10;fft29620uDpYw/YqRA2u5heTKWfKSWi062r+9e761VvOYhKuEQacqvlRRX61fPliMfhKldCDaVRg&#10;SOJiNfia9yn5qiii7JUVcQJeOQy2EKxIaIauaIIYkN2aopxO58UAofEBpIoRvesxyE+M4TmE0LZa&#10;qjXInVUujaxBGZFwpNhrH/kyd9u2SqYvbRtVYqbmOGnKfyyC5y39i+VCVF0Qvtfy1IJ4TgtPZrJC&#10;Oyx6plqLJNgu6H+orJYBIrRpIsEW4yBZEZziYvpEm9teeJVnQamjP4se/x+t/LzfBKabmpe4dycs&#10;bvz++4/7n79YWc7mpM/gY4WwldsEmlAe3K2/AfktMgerXrhO5T7vjh5zLyijeJRCRvRYZTt8ggYx&#10;Ypcgi3Vog2Wt0f4jJRI5CsIOeTvH83bUITGJzjfzErcmMXD5+nJOBpUSFbFQrg8xfVBgGR1qbrQj&#10;7UQl9jcxjdDfEHI7uNbGoF9UxrGh5u9m5Qz5rUcxoutybgSjG8IRLIZuuzKB7QVdpvydWngEC7Bz&#10;TeZNQpv3rmEpS5OCRrGM4lTMqoYzo/AF0mnszriTdKTWqPsWmuMmUJhUxDuQJz7dV7pkf9sZ9eeN&#10;L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wsBNoAAAAJAQAADwAAAAAAAAABACAAAAAiAAAA&#10;ZHJzL2Rvd25yZXYueG1sUEsBAhQAFAAAAAgAh07iQIMgdxwFAgAA6w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58420</wp:posOffset>
                      </wp:positionH>
                      <wp:positionV relativeFrom="paragraph">
                        <wp:posOffset>1495425</wp:posOffset>
                      </wp:positionV>
                      <wp:extent cx="800100" cy="495300"/>
                      <wp:effectExtent l="7620" t="8255" r="11430" b="10795"/>
                      <wp:wrapNone/>
                      <wp:docPr id="27" name="文本框 2255"/>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356E3AF1">
                                  <w:pPr>
                                    <w:jc w:val="center"/>
                                  </w:pPr>
                                  <w:r>
                                    <w:rPr>
                                      <w:rFonts w:hint="eastAsia"/>
                                    </w:rPr>
                                    <w:t>设计开发确认</w:t>
                                  </w:r>
                                </w:p>
                              </w:txbxContent>
                            </wps:txbx>
                            <wps:bodyPr rot="0" vert="horz" wrap="square" lIns="91440" tIns="45720" rIns="91440" bIns="45720" anchor="t" anchorCtr="0" upright="1">
                              <a:noAutofit/>
                            </wps:bodyPr>
                          </wps:wsp>
                        </a:graphicData>
                      </a:graphic>
                    </wp:anchor>
                  </w:drawing>
                </mc:Choice>
                <mc:Fallback>
                  <w:pict>
                    <v:shape id="文本框 2255" o:spid="_x0000_s1026" o:spt="202" type="#_x0000_t202" style="position:absolute;left:0pt;margin-left:4.6pt;margin-top:117.75pt;height:39pt;width:63pt;z-index:251687936;mso-width-relative:page;mso-height-relative:page;" fillcolor="#FFFFFF" filled="t" stroked="t" coordsize="21600,21600" o:gfxdata="UEsDBAoAAAAAAIdO4kAAAAAAAAAAAAAAAAAEAAAAZHJzL1BLAwQUAAAACACHTuJArKWH9tgAAAAJ&#10;AQAADwAAAGRycy9kb3ducmV2LnhtbE2PQU/DMAyF70j8h8hIXBBL19Kxlbo7IIHgBgPBNWuytiJx&#10;SpJ149/jneBm+z09f69eH50Vkwlx8IQwn2UgDLVeD9QhvL89XC9BxKRIK+vJIPyYCOvm/KxWlfYH&#10;ejXTJnWCQyhWCqFPaaykjG1vnIozPxpibeeDU4nX0Ekd1IHDnZV5li2kUwPxh16N5r437ddm7xCW&#10;N0/TZ3wuXj7axc6u0tXt9PgdEC8v5tkdiGSO6c8MJ3xGh4aZtn5POgqLsMrZiJAXZQnipBclX7YI&#10;BU8gm1r+b9D8AlBLAwQUAAAACACHTuJAfmw5pEgCAACVBAAADgAAAGRycy9lMm9Eb2MueG1srVTN&#10;btQwEL4j8Q6W7zS7YZe2q81WZasipPIjFR7A6ziJhe0xY+8m5QHgDThx4c5z7XMwcdKyFJB6IIfI&#10;kxl/M/N9M1meddawncKgwRV8ejThTDkJpXZ1wd+/u3xywlmIwpXCgFMFv1GBn60eP1q2fqFyaMCU&#10;ChmBuLBofcGbGP0iy4JslBXhCLxy5KwArYhkYp2VKFpCtybLJ5NnWQtYegSpQqCvF4OTj4j4EECo&#10;Ki3VBcitVS4OqKiMiNRSaLQPfJWqrSol45uqCioyU3DqNKY3JaHzpn9nq6VY1Ch8o+VYgnhICfd6&#10;skI7SnoHdSGiYFvUf0BZLRECVPFIgs2GRhIj1MV0co+b60Z4lXohqoO/Iz38P1j5evcWmS4Lnh9z&#10;5oQlxfdfv+y//dh//8zyfD7vKWp9WFDktafY2D2HjgYntRv8FcgPgTlYN8LV6hwR2kaJkkqc9jez&#10;g6sDTuhBNu0rKCmV2EZIQF2FtuePGGGETvLc3MmjusgkfTyZEEXkkeSanc6f0rnPIBa3lz2G+EKB&#10;Zf2h4EjqJ3CxuwpxCL0N6XMFMLq81MYkA+vN2iDbCZqUy/SM6L+FGcfagp/O8znVYT3xFlw9UPFP&#10;tEl6/oZmdaRdMtqm5ihsDDJuZK4na6AtdptuVGID5Q1xiDBMM+0yHRrAT5y1NMlU0setQMWZeelI&#10;h9PpbNaPfjJm8+OcDDz0bA49wkmCKnjkbDiu47AuW4+6bijToLyDc9Ku0onXXuShqrFumtakzLhZ&#10;/Toc2inq199k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pYf22AAAAAkBAAAPAAAAAAAAAAEA&#10;IAAAACIAAABkcnMvZG93bnJldi54bWxQSwECFAAUAAAACACHTuJAfmw5pEgCAACVBAAADgAAAAAA&#10;AAABACAAAAAnAQAAZHJzL2Uyb0RvYy54bWxQSwUGAAAAAAYABgBZAQAA4QUAAAAA&#10;">
                      <v:fill on="t" focussize="0,0"/>
                      <v:stroke color="#000000" miterlimit="8" joinstyle="miter"/>
                      <v:imagedata o:title=""/>
                      <o:lock v:ext="edit" aspectratio="f"/>
                      <v:textbox>
                        <w:txbxContent>
                          <w:p w14:paraId="356E3AF1">
                            <w:pPr>
                              <w:jc w:val="center"/>
                            </w:pPr>
                            <w:r>
                              <w:rPr>
                                <w:rFonts w:hint="eastAsia"/>
                              </w:rPr>
                              <w:t>设计开发确认</w:t>
                            </w:r>
                          </w:p>
                        </w:txbxContent>
                      </v:textbox>
                    </v:shape>
                  </w:pict>
                </mc:Fallback>
              </mc:AlternateContent>
            </w:r>
          </w:p>
        </w:tc>
        <w:tc>
          <w:tcPr>
            <w:tcW w:w="3878" w:type="dxa"/>
            <w:vAlign w:val="center"/>
          </w:tcPr>
          <w:p w14:paraId="686D9933">
            <w:r>
              <w:t>1</w:t>
            </w:r>
            <w:r>
              <w:rPr>
                <w:rFonts w:hint="eastAsia"/>
              </w:rPr>
              <w:t>、为确保产品能够满足规定的使用要求或已知预期用途的要求，工程师依据《设计开发计划书》的安排发出试产《联络单》进行试产。</w:t>
            </w:r>
          </w:p>
          <w:p w14:paraId="4C8F0239">
            <w:r>
              <w:t>2</w:t>
            </w:r>
            <w:r>
              <w:rPr>
                <w:rFonts w:hint="eastAsia"/>
              </w:rPr>
              <w:t>、工程师在试产前要召集</w:t>
            </w:r>
            <w:r>
              <w:rPr>
                <w:rFonts w:hint="eastAsia"/>
                <w:lang w:eastAsia="zh-CN"/>
              </w:rPr>
              <w:t>市场部</w:t>
            </w:r>
            <w:r>
              <w:rPr>
                <w:rFonts w:hint="eastAsia"/>
              </w:rPr>
              <w:t>、</w:t>
            </w:r>
            <w:r>
              <w:rPr>
                <w:rFonts w:hint="eastAsia"/>
                <w:lang w:eastAsia="zh-CN"/>
              </w:rPr>
              <w:t>生产技术部</w:t>
            </w:r>
            <w:r>
              <w:rPr>
                <w:rFonts w:hint="eastAsia"/>
              </w:rPr>
              <w:t>、</w:t>
            </w:r>
            <w:r>
              <w:rPr>
                <w:rFonts w:hint="eastAsia"/>
                <w:lang w:eastAsia="zh-CN"/>
              </w:rPr>
              <w:t>研发部</w:t>
            </w:r>
            <w:r>
              <w:rPr>
                <w:rFonts w:hint="eastAsia"/>
              </w:rPr>
              <w:t>等部门进行试产前会议，会议的内容包括：</w:t>
            </w:r>
          </w:p>
          <w:p w14:paraId="6E75CF87">
            <w:r>
              <w:t xml:space="preserve">A: </w:t>
            </w:r>
            <w:r>
              <w:rPr>
                <w:rFonts w:hint="eastAsia"/>
              </w:rPr>
              <w:t>产品介绍</w:t>
            </w:r>
          </w:p>
          <w:p w14:paraId="0FC8DBB2">
            <w:r>
              <w:t xml:space="preserve">B: </w:t>
            </w:r>
            <w:r>
              <w:rPr>
                <w:rFonts w:hint="eastAsia"/>
              </w:rPr>
              <w:t>试产的数量和预计日期</w:t>
            </w:r>
          </w:p>
          <w:p w14:paraId="4C6CA1BC">
            <w:r>
              <w:t xml:space="preserve">C: </w:t>
            </w:r>
            <w:r>
              <w:rPr>
                <w:rFonts w:hint="eastAsia"/>
              </w:rPr>
              <w:t>试产物料准备情况</w:t>
            </w:r>
          </w:p>
          <w:p w14:paraId="3D8180A2">
            <w:r>
              <w:t xml:space="preserve">D: </w:t>
            </w:r>
            <w:r>
              <w:rPr>
                <w:rFonts w:hint="eastAsia"/>
              </w:rPr>
              <w:t>组装和测试和工具准备情况</w:t>
            </w:r>
          </w:p>
          <w:p w14:paraId="0972DE85">
            <w:pPr>
              <w:ind w:left="525" w:hanging="525" w:hangingChars="250"/>
            </w:pPr>
            <w:r>
              <w:t xml:space="preserve">E: </w:t>
            </w:r>
            <w:r>
              <w:rPr>
                <w:rFonts w:hint="eastAsia"/>
              </w:rPr>
              <w:t>试产和技术资料是否齐备</w:t>
            </w:r>
          </w:p>
          <w:p w14:paraId="2DECB5F9">
            <w:pPr>
              <w:ind w:left="525" w:hanging="525" w:hangingChars="250"/>
            </w:pPr>
            <w:r>
              <w:t xml:space="preserve">F: </w:t>
            </w:r>
            <w:r>
              <w:rPr>
                <w:rFonts w:hint="eastAsia"/>
              </w:rPr>
              <w:t>确定最终试产日期</w:t>
            </w:r>
          </w:p>
          <w:p w14:paraId="1552BAC2">
            <w:r>
              <w:t>3</w:t>
            </w:r>
            <w:r>
              <w:rPr>
                <w:rFonts w:hint="eastAsia"/>
              </w:rPr>
              <w:t>、按试产前会议确定的时间进行试产。</w:t>
            </w:r>
          </w:p>
        </w:tc>
        <w:tc>
          <w:tcPr>
            <w:tcW w:w="994" w:type="dxa"/>
            <w:vAlign w:val="center"/>
          </w:tcPr>
          <w:p w14:paraId="35F76C34">
            <w:pPr>
              <w:jc w:val="center"/>
            </w:pPr>
            <w:r>
              <w:rPr>
                <w:rFonts w:hint="eastAsia"/>
              </w:rPr>
              <w:t>设计</w:t>
            </w:r>
          </w:p>
          <w:p w14:paraId="5FF2152E">
            <w:pPr>
              <w:jc w:val="center"/>
            </w:pPr>
            <w:r>
              <w:rPr>
                <w:rFonts w:hint="eastAsia"/>
              </w:rPr>
              <w:t>工程师</w:t>
            </w:r>
          </w:p>
          <w:p w14:paraId="48096F0C">
            <w:pPr>
              <w:jc w:val="center"/>
            </w:pPr>
          </w:p>
          <w:p w14:paraId="3BB75F9F">
            <w:pPr>
              <w:jc w:val="center"/>
            </w:pPr>
            <w:r>
              <w:rPr>
                <w:rFonts w:hint="eastAsia"/>
              </w:rPr>
              <w:t>生产</w:t>
            </w:r>
          </w:p>
          <w:p w14:paraId="32C9132B">
            <w:pPr>
              <w:jc w:val="center"/>
            </w:pPr>
            <w:r>
              <w:rPr>
                <w:rFonts w:hint="eastAsia"/>
              </w:rPr>
              <w:t>保证部</w:t>
            </w:r>
          </w:p>
          <w:p w14:paraId="74018BDB">
            <w:pPr>
              <w:jc w:val="center"/>
            </w:pPr>
          </w:p>
          <w:p w14:paraId="0ED7E881">
            <w:pPr>
              <w:jc w:val="center"/>
            </w:pPr>
            <w:r>
              <w:rPr>
                <w:rFonts w:hint="eastAsia"/>
              </w:rPr>
              <w:t>技术</w:t>
            </w:r>
          </w:p>
          <w:p w14:paraId="1DE26CE2">
            <w:pPr>
              <w:jc w:val="center"/>
            </w:pPr>
            <w:r>
              <w:rPr>
                <w:rFonts w:hint="eastAsia"/>
              </w:rPr>
              <w:t>中心</w:t>
            </w:r>
          </w:p>
        </w:tc>
        <w:tc>
          <w:tcPr>
            <w:tcW w:w="1134" w:type="dxa"/>
            <w:vAlign w:val="center"/>
          </w:tcPr>
          <w:p w14:paraId="2DCDB5EA">
            <w:pPr>
              <w:jc w:val="center"/>
            </w:pPr>
          </w:p>
        </w:tc>
        <w:tc>
          <w:tcPr>
            <w:tcW w:w="985" w:type="dxa"/>
            <w:vMerge w:val="restart"/>
            <w:vAlign w:val="center"/>
          </w:tcPr>
          <w:p w14:paraId="3B8AE935">
            <w:pPr>
              <w:jc w:val="center"/>
            </w:pPr>
            <w:r>
              <w:rPr>
                <w:rFonts w:hint="eastAsia"/>
              </w:rPr>
              <w:t>新产品确认（鉴定）报告</w:t>
            </w:r>
          </w:p>
        </w:tc>
      </w:tr>
      <w:tr w14:paraId="7F2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705" w:type="dxa"/>
            <w:vMerge w:val="continue"/>
            <w:vAlign w:val="center"/>
          </w:tcPr>
          <w:p w14:paraId="3FDD8E4A">
            <w:pPr>
              <w:rPr>
                <w:sz w:val="24"/>
              </w:rPr>
            </w:pPr>
          </w:p>
        </w:tc>
        <w:tc>
          <w:tcPr>
            <w:tcW w:w="1648" w:type="dxa"/>
            <w:vMerge w:val="continue"/>
            <w:vAlign w:val="center"/>
          </w:tcPr>
          <w:p w14:paraId="690369AA"/>
        </w:tc>
        <w:tc>
          <w:tcPr>
            <w:tcW w:w="3878" w:type="dxa"/>
            <w:vAlign w:val="center"/>
          </w:tcPr>
          <w:p w14:paraId="2847C730">
            <w:r>
              <w:t xml:space="preserve">C: </w:t>
            </w:r>
            <w:r>
              <w:rPr>
                <w:rFonts w:hint="eastAsia"/>
              </w:rPr>
              <w:t>不良原因分析</w:t>
            </w:r>
          </w:p>
          <w:p w14:paraId="37ED35C6">
            <w:r>
              <w:t xml:space="preserve">D: </w:t>
            </w:r>
            <w:r>
              <w:rPr>
                <w:rFonts w:hint="eastAsia"/>
              </w:rPr>
              <w:t>不良项目统计</w:t>
            </w:r>
          </w:p>
          <w:p w14:paraId="3589B07B">
            <w:r>
              <w:t>2</w:t>
            </w:r>
            <w:r>
              <w:rPr>
                <w:rFonts w:hint="eastAsia"/>
              </w:rPr>
              <w:t>、试产完成后，生产部需发出“新产品试产报告”，报告必须包涵以下内容：</w:t>
            </w:r>
          </w:p>
          <w:p w14:paraId="3E79B51F">
            <w:r>
              <w:t xml:space="preserve">A: </w:t>
            </w:r>
            <w:r>
              <w:rPr>
                <w:rFonts w:hint="eastAsia"/>
              </w:rPr>
              <w:t>装配的不良情况描述</w:t>
            </w:r>
          </w:p>
          <w:p w14:paraId="493FC3DF">
            <w:r>
              <w:t xml:space="preserve">B: </w:t>
            </w:r>
            <w:r>
              <w:rPr>
                <w:rFonts w:hint="eastAsia"/>
              </w:rPr>
              <w:t>不良情况的原因分析</w:t>
            </w:r>
          </w:p>
          <w:p w14:paraId="210217DD">
            <w:r>
              <w:t xml:space="preserve">C: </w:t>
            </w:r>
            <w:r>
              <w:rPr>
                <w:rFonts w:hint="eastAsia"/>
              </w:rPr>
              <w:t>改进措施建议</w:t>
            </w:r>
          </w:p>
          <w:p w14:paraId="09340A3C">
            <w:r>
              <w:t>3</w:t>
            </w:r>
            <w:r>
              <w:rPr>
                <w:rFonts w:hint="eastAsia"/>
              </w:rPr>
              <w:t>、若是客户要求设计开发的产品</w:t>
            </w:r>
            <w:r>
              <w:t>,</w:t>
            </w:r>
            <w:r>
              <w:rPr>
                <w:rFonts w:hint="eastAsia"/>
              </w:rPr>
              <w:t>试产合格的产品需由客户进行确认。</w:t>
            </w:r>
          </w:p>
          <w:p w14:paraId="52916866">
            <w:r>
              <w:t>4</w:t>
            </w:r>
            <w:r>
              <w:rPr>
                <w:rFonts w:hint="eastAsia"/>
              </w:rPr>
              <w:t>、由工程师召集相关设计人员和部门进行产品进行新产品鉴定会议</w:t>
            </w:r>
            <w:r>
              <w:t>,</w:t>
            </w:r>
            <w:r>
              <w:rPr>
                <w:rFonts w:hint="eastAsia"/>
              </w:rPr>
              <w:t>会议的内容必须包括产品功能和性能</w:t>
            </w:r>
            <w:r>
              <w:t>,</w:t>
            </w:r>
            <w:r>
              <w:rPr>
                <w:rFonts w:hint="eastAsia"/>
              </w:rPr>
              <w:t>装配</w:t>
            </w:r>
            <w:r>
              <w:t>,</w:t>
            </w:r>
            <w:r>
              <w:rPr>
                <w:rFonts w:hint="eastAsia"/>
              </w:rPr>
              <w:t>环保等是否满足设计和生产的要求等。</w:t>
            </w:r>
          </w:p>
          <w:p w14:paraId="60BD4DD2">
            <w:r>
              <w:t>5</w:t>
            </w:r>
            <w:r>
              <w:rPr>
                <w:rFonts w:hint="eastAsia"/>
              </w:rPr>
              <w:t>、鉴定会议完成后由于工程师填写新品确认报告，并由所有参加的人员签名确认鉴定结果。</w:t>
            </w:r>
          </w:p>
        </w:tc>
        <w:tc>
          <w:tcPr>
            <w:tcW w:w="994" w:type="dxa"/>
            <w:vAlign w:val="center"/>
          </w:tcPr>
          <w:p w14:paraId="4F801610">
            <w:pPr>
              <w:jc w:val="center"/>
            </w:pPr>
            <w:r>
              <w:rPr>
                <w:rFonts w:hint="eastAsia"/>
              </w:rPr>
              <w:t>设计</w:t>
            </w:r>
          </w:p>
          <w:p w14:paraId="7A2A12FD">
            <w:pPr>
              <w:jc w:val="center"/>
            </w:pPr>
            <w:r>
              <w:rPr>
                <w:rFonts w:hint="eastAsia"/>
              </w:rPr>
              <w:t>工程师</w:t>
            </w:r>
          </w:p>
          <w:p w14:paraId="74D3C3EC">
            <w:pPr>
              <w:jc w:val="center"/>
            </w:pPr>
          </w:p>
        </w:tc>
        <w:tc>
          <w:tcPr>
            <w:tcW w:w="1134" w:type="dxa"/>
            <w:vAlign w:val="center"/>
          </w:tcPr>
          <w:p w14:paraId="3046DF32">
            <w:pPr>
              <w:jc w:val="center"/>
            </w:pPr>
          </w:p>
        </w:tc>
        <w:tc>
          <w:tcPr>
            <w:tcW w:w="985" w:type="dxa"/>
            <w:vMerge w:val="continue"/>
            <w:vAlign w:val="center"/>
          </w:tcPr>
          <w:p w14:paraId="0FB3CEB4">
            <w:pPr>
              <w:jc w:val="center"/>
            </w:pPr>
          </w:p>
        </w:tc>
      </w:tr>
      <w:tr w14:paraId="3FF8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5" w:type="dxa"/>
            <w:vAlign w:val="center"/>
          </w:tcPr>
          <w:p w14:paraId="0A410918">
            <w:pPr>
              <w:jc w:val="center"/>
              <w:rPr>
                <w:sz w:val="24"/>
              </w:rPr>
            </w:pPr>
            <w:r>
              <w:rPr>
                <w:sz w:val="24"/>
              </w:rPr>
              <w:t>9</w:t>
            </w:r>
          </w:p>
        </w:tc>
        <w:tc>
          <w:tcPr>
            <w:tcW w:w="1648" w:type="dxa"/>
            <w:vAlign w:val="center"/>
          </w:tcPr>
          <w:p w14:paraId="709B8733">
            <w:pPr>
              <w:jc w:val="center"/>
            </w:pPr>
          </w:p>
        </w:tc>
        <w:tc>
          <w:tcPr>
            <w:tcW w:w="3878" w:type="dxa"/>
            <w:vAlign w:val="center"/>
          </w:tcPr>
          <w:p w14:paraId="1E4696CC">
            <w:r>
              <w:t>1</w:t>
            </w:r>
            <w:r>
              <w:rPr>
                <w:rFonts w:hint="eastAsia"/>
              </w:rPr>
              <w:t>、设计开发的更改发生在设计开发</w:t>
            </w:r>
            <w:r>
              <w:t>,</w:t>
            </w:r>
            <w:r>
              <w:rPr>
                <w:rFonts w:hint="eastAsia"/>
              </w:rPr>
              <w:t>生产和保障的整个周期中</w:t>
            </w:r>
            <w:r>
              <w:t>,</w:t>
            </w:r>
            <w:r>
              <w:rPr>
                <w:rFonts w:hint="eastAsia"/>
              </w:rPr>
              <w:t>设计开发人员应正确识别和评估设计变更对产品的原材料使用</w:t>
            </w:r>
            <w:r>
              <w:t>,</w:t>
            </w:r>
            <w:r>
              <w:rPr>
                <w:rFonts w:hint="eastAsia"/>
              </w:rPr>
              <w:t>生产过程</w:t>
            </w:r>
            <w:r>
              <w:t>,</w:t>
            </w:r>
            <w:r>
              <w:rPr>
                <w:rFonts w:hint="eastAsia"/>
              </w:rPr>
              <w:t>使用性能</w:t>
            </w:r>
            <w:r>
              <w:t>,</w:t>
            </w:r>
            <w:r>
              <w:rPr>
                <w:rFonts w:hint="eastAsia"/>
              </w:rPr>
              <w:t>安全性</w:t>
            </w:r>
            <w:r>
              <w:t>,</w:t>
            </w:r>
            <w:r>
              <w:rPr>
                <w:rFonts w:hint="eastAsia"/>
              </w:rPr>
              <w:t>可靠性等方面带来的影响</w:t>
            </w:r>
            <w:r>
              <w:t>.</w:t>
            </w:r>
          </w:p>
          <w:p w14:paraId="24AB6ADE">
            <w:r>
              <w:t>2</w:t>
            </w:r>
            <w:r>
              <w:rPr>
                <w:rFonts w:hint="eastAsia"/>
              </w:rPr>
              <w:t>、在设计过程中的产品</w:t>
            </w:r>
            <w:r>
              <w:t>,</w:t>
            </w:r>
            <w:r>
              <w:rPr>
                <w:rFonts w:hint="eastAsia"/>
              </w:rPr>
              <w:t>设计人员可在技术文件和资料上直接进行修改</w:t>
            </w:r>
            <w:r>
              <w:t>(</w:t>
            </w:r>
            <w:r>
              <w:rPr>
                <w:rFonts w:hint="eastAsia"/>
              </w:rPr>
              <w:t>需签名</w:t>
            </w:r>
            <w:r>
              <w:t>)</w:t>
            </w:r>
            <w:r>
              <w:rPr>
                <w:rFonts w:hint="eastAsia"/>
              </w:rPr>
              <w:t>或重新编制并发放相应的技术文件</w:t>
            </w:r>
            <w:r>
              <w:t>.</w:t>
            </w:r>
          </w:p>
          <w:p w14:paraId="0AD68985">
            <w:r>
              <mc:AlternateContent>
                <mc:Choice Requires="wps">
                  <w:drawing>
                    <wp:anchor distT="0" distB="0" distL="114300" distR="114300" simplePos="0" relativeHeight="251679744" behindDoc="0" locked="0" layoutInCell="1" allowOverlap="1">
                      <wp:simplePos x="0" y="0"/>
                      <wp:positionH relativeFrom="column">
                        <wp:posOffset>-1027430</wp:posOffset>
                      </wp:positionH>
                      <wp:positionV relativeFrom="paragraph">
                        <wp:posOffset>21590</wp:posOffset>
                      </wp:positionV>
                      <wp:extent cx="800100" cy="495300"/>
                      <wp:effectExtent l="7620" t="8255" r="11430" b="10795"/>
                      <wp:wrapNone/>
                      <wp:docPr id="26" name="文本框 2247"/>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14:paraId="3B0399A4">
                                  <w:pPr>
                                    <w:jc w:val="center"/>
                                  </w:pPr>
                                  <w:r>
                                    <w:rPr>
                                      <w:rFonts w:hint="eastAsia"/>
                                    </w:rPr>
                                    <w:t>设计开发更改</w:t>
                                  </w:r>
                                </w:p>
                              </w:txbxContent>
                            </wps:txbx>
                            <wps:bodyPr rot="0" vert="horz" wrap="square" lIns="91440" tIns="45720" rIns="91440" bIns="45720" anchor="t" anchorCtr="0" upright="1">
                              <a:noAutofit/>
                            </wps:bodyPr>
                          </wps:wsp>
                        </a:graphicData>
                      </a:graphic>
                    </wp:anchor>
                  </w:drawing>
                </mc:Choice>
                <mc:Fallback>
                  <w:pict>
                    <v:shape id="文本框 2247" o:spid="_x0000_s1026" o:spt="202" type="#_x0000_t202" style="position:absolute;left:0pt;margin-left:-80.9pt;margin-top:1.7pt;height:39pt;width:63pt;z-index:251679744;mso-width-relative:page;mso-height-relative:page;" fillcolor="#FFFFFF" filled="t" stroked="t" coordsize="21600,21600" o:gfxdata="UEsDBAoAAAAAAIdO4kAAAAAAAAAAAAAAAAAEAAAAZHJzL1BLAwQUAAAACACHTuJAKbwSLNgAAAAJ&#10;AQAADwAAAGRycy9kb3ducmV2LnhtbE2Py07DMBBF90j8gzVIbFDqmIS0hDhdIIFgBwXRrRtPkwg/&#10;gu2m5e8ZVrC8mqtzzzTrkzVsxhBH7ySIRQ4MXef16HoJ728P2QpYTMppZbxDCd8YYd2enzWq1v7o&#10;XnHepJ4RxMVaSRhSmmrOYzegVXHhJ3R02/tgVaIYeq6DOhLcGn6d5xW3anS0MKgJ7wfsPjcHK2FV&#10;Ps3b+Fy8fHTV3tymq+X8+BWkvLwQ+R2whKf0V4ZffVKHlpx2/uB0ZEZCJipB7klCUQKjQlbcUN4R&#10;XZTA24b//6D9AVBLAwQUAAAACACHTuJA15oqdkgCAACVBAAADgAAAGRycy9lMm9Eb2MueG1srVTN&#10;btQwEL4j8Q6W7zS7Ybc/q2arsqsipPIjFR7A6ziJhe0xY+8m5QHoG3Diwp3n6nMwcdKyFJB6IIfI&#10;kxl/M/N9Mzk966xhO4VBgyv49GDCmXISSu3qgn94f/HsmLMQhSuFAacKfq0CP1s+fXLa+oXKoQFT&#10;KmQE4sKi9QVvYvSLLAuyUVaEA/DKkbMCtCKSiXVWomgJ3Zosn0wOsxaw9AhShUBf14OTj4j4GECo&#10;Ki3VGuTWKhcHVFRGRGopNNoHvkzVVpWS8W1VBRWZKTh1GtObktB507+z5alY1Ch8o+VYgnhMCQ96&#10;skI7SnoPtRZRsC3qP6CslggBqnggwWZDI4kR6mI6ecDNVSO8Sr0Q1cHfkx7+H6x8s3uHTJcFzw85&#10;c8KS4rdfb26//bj9/oXl+eyop6j1YUGRV55iY/cCOhqc1G7wlyA/BuZg1QhXq3NEaBslSipx2t/M&#10;9q4OOKEH2bSvoaRUYhshAXUV2p4/YoQROslzfS+P6iKT9PF4QhSRR5JrdjJ/Tuc+g1jcXfYY4ksF&#10;lvWHgiOpn8DF7jLEIfQupM8VwOjyQhuTDKw3K4NsJ2hSLtIzov8WZhxrC34yz+dUh/XEW3D1QMU/&#10;0Sbp+Rua1ZF2yWibmqOwMci4kbmerIG22G26UYkNlNfEIcIwzbTLdGgAP3PW0iRTSZ+2AhVn5pUj&#10;HU6ms1k/+smYzY9yMnDfs9n3CCcJquCRs+G4isO6bD3quqFMg/IOzkm7Sidee5GHqsa6aVqTMuNm&#10;9euwb6eoX3+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vBIs2AAAAAkBAAAPAAAAAAAAAAEA&#10;IAAAACIAAABkcnMvZG93bnJldi54bWxQSwECFAAUAAAACACHTuJA15oqdkgCAACVBAAADgAAAAAA&#10;AAABACAAAAAnAQAAZHJzL2Uyb0RvYy54bWxQSwUGAAAAAAYABgBZAQAA4QUAAAAA&#10;">
                      <v:fill on="t" focussize="0,0"/>
                      <v:stroke color="#000000" miterlimit="8" joinstyle="miter"/>
                      <v:imagedata o:title=""/>
                      <o:lock v:ext="edit" aspectratio="f"/>
                      <v:textbox>
                        <w:txbxContent>
                          <w:p w14:paraId="3B0399A4">
                            <w:pPr>
                              <w:jc w:val="center"/>
                            </w:pPr>
                            <w:r>
                              <w:rPr>
                                <w:rFonts w:hint="eastAsia"/>
                              </w:rPr>
                              <w:t>设计开发更改</w:t>
                            </w:r>
                          </w:p>
                        </w:txbxContent>
                      </v:textbox>
                    </v:shape>
                  </w:pict>
                </mc:Fallback>
              </mc:AlternateContent>
            </w:r>
            <w:r>
              <w:t>3</w:t>
            </w:r>
            <w:r>
              <w:rPr>
                <w:rFonts w:hint="eastAsia"/>
              </w:rPr>
              <w:t>、已经生产过的产品</w:t>
            </w:r>
            <w:r>
              <w:t>,</w:t>
            </w:r>
            <w:r>
              <w:rPr>
                <w:rFonts w:hint="eastAsia"/>
              </w:rPr>
              <w:t>由相关建议人通知给</w:t>
            </w:r>
            <w:r>
              <w:rPr>
                <w:rFonts w:hint="eastAsia"/>
                <w:lang w:eastAsia="zh-CN"/>
              </w:rPr>
              <w:t>生产技术部</w:t>
            </w:r>
            <w:r>
              <w:t>,</w:t>
            </w:r>
            <w:r>
              <w:rPr>
                <w:rFonts w:hint="eastAsia"/>
              </w:rPr>
              <w:t>由相关设计人员根据可行性和必要性填写变更通知单并附上相关资料</w:t>
            </w:r>
            <w:r>
              <w:t>,</w:t>
            </w:r>
            <w:r>
              <w:rPr>
                <w:rFonts w:hint="eastAsia"/>
              </w:rPr>
              <w:t>由主管审核。</w:t>
            </w:r>
          </w:p>
          <w:p w14:paraId="42C0F64F">
            <w:r>
              <w:t>4</w:t>
            </w:r>
            <w:r>
              <w:rPr>
                <w:rFonts w:hint="eastAsia"/>
              </w:rPr>
              <w:t>、设计开发更改的执行需按</w:t>
            </w:r>
            <w:bookmarkStart w:id="22" w:name="OLE_LINK1"/>
            <w:r>
              <w:rPr>
                <w:rFonts w:hint="eastAsia"/>
              </w:rPr>
              <w:t>《工程变更控制程序》</w:t>
            </w:r>
            <w:bookmarkEnd w:id="22"/>
            <w:r>
              <w:rPr>
                <w:rFonts w:hint="eastAsia"/>
              </w:rPr>
              <w:t>和《文件管理程序》执行</w:t>
            </w:r>
            <w:r>
              <w:t>.</w:t>
            </w:r>
          </w:p>
          <w:p w14:paraId="5281F52D">
            <w:r>
              <w:t>5</w:t>
            </w:r>
            <w:r>
              <w:rPr>
                <w:rFonts w:hint="eastAsia"/>
              </w:rPr>
              <w:t>、更改涉及到主要技术指标的改变</w:t>
            </w:r>
            <w:r>
              <w:t>,</w:t>
            </w:r>
            <w:r>
              <w:rPr>
                <w:rFonts w:hint="eastAsia"/>
              </w:rPr>
              <w:t>或涉及到人身安全及和环保相关法律法规要求时</w:t>
            </w:r>
            <w:r>
              <w:t>,</w:t>
            </w:r>
            <w:r>
              <w:rPr>
                <w:rFonts w:hint="eastAsia"/>
              </w:rPr>
              <w:t>应对更改进行适当的验证和确认</w:t>
            </w:r>
            <w:r>
              <w:t>,</w:t>
            </w:r>
            <w:r>
              <w:rPr>
                <w:rFonts w:hint="eastAsia"/>
              </w:rPr>
              <w:t>经主管审核后方可实施</w:t>
            </w:r>
            <w:r>
              <w:t>.</w:t>
            </w:r>
            <w:r>
              <w:rPr>
                <w:rFonts w:hint="eastAsia"/>
              </w:rPr>
              <w:t>。</w:t>
            </w:r>
          </w:p>
        </w:tc>
        <w:tc>
          <w:tcPr>
            <w:tcW w:w="994" w:type="dxa"/>
            <w:vAlign w:val="center"/>
          </w:tcPr>
          <w:p w14:paraId="32D13B81">
            <w:pPr>
              <w:jc w:val="center"/>
            </w:pPr>
            <w:r>
              <w:rPr>
                <w:rFonts w:hint="eastAsia"/>
              </w:rPr>
              <w:t>相关设计人员和相关部门</w:t>
            </w:r>
          </w:p>
        </w:tc>
        <w:tc>
          <w:tcPr>
            <w:tcW w:w="1134" w:type="dxa"/>
            <w:vAlign w:val="center"/>
          </w:tcPr>
          <w:p w14:paraId="136D0CA6">
            <w:pPr>
              <w:jc w:val="center"/>
            </w:pPr>
            <w:r>
              <w:rPr>
                <w:rFonts w:hint="eastAsia"/>
              </w:rPr>
              <w:t>变更控制规范</w:t>
            </w:r>
          </w:p>
        </w:tc>
        <w:tc>
          <w:tcPr>
            <w:tcW w:w="985" w:type="dxa"/>
            <w:vAlign w:val="center"/>
          </w:tcPr>
          <w:p w14:paraId="1C9F9BB1">
            <w:pPr>
              <w:jc w:val="center"/>
            </w:pPr>
            <w:r>
              <w:rPr>
                <w:rFonts w:hint="eastAsia"/>
              </w:rPr>
              <w:t>更改通知单</w:t>
            </w:r>
          </w:p>
        </w:tc>
      </w:tr>
    </w:tbl>
    <w:p w14:paraId="50648D86">
      <w:pPr>
        <w:ind w:firstLine="194" w:firstLineChars="81"/>
        <w:rPr>
          <w:rFonts w:ascii="宋体"/>
          <w:sz w:val="24"/>
        </w:rPr>
      </w:pPr>
    </w:p>
    <w:p w14:paraId="699142F4">
      <w:pPr>
        <w:spacing w:line="360" w:lineRule="auto"/>
        <w:rPr>
          <w:rFonts w:ascii="宋体"/>
          <w:sz w:val="24"/>
        </w:rPr>
      </w:pPr>
      <w:r>
        <w:rPr>
          <w:rFonts w:ascii="宋体" w:hAnsi="宋体"/>
          <w:sz w:val="24"/>
        </w:rPr>
        <w:t xml:space="preserve">6  </w:t>
      </w:r>
      <w:r>
        <w:rPr>
          <w:rFonts w:hint="eastAsia" w:ascii="宋体" w:hAnsi="宋体"/>
          <w:sz w:val="24"/>
        </w:rPr>
        <w:t>文件化信息</w:t>
      </w:r>
    </w:p>
    <w:p w14:paraId="6C20BAF2">
      <w:pPr>
        <w:spacing w:line="360" w:lineRule="auto"/>
        <w:rPr>
          <w:rFonts w:ascii="宋体"/>
          <w:sz w:val="24"/>
        </w:rPr>
      </w:pPr>
      <w:r>
        <w:rPr>
          <w:rFonts w:ascii="宋体" w:hAnsi="宋体"/>
          <w:sz w:val="24"/>
        </w:rPr>
        <w:t>6.1</w:t>
      </w:r>
      <w:r>
        <w:rPr>
          <w:rFonts w:hint="eastAsia" w:ascii="宋体" w:hAnsi="宋体"/>
          <w:sz w:val="24"/>
        </w:rPr>
        <w:t>《项目可行性评审报告》</w:t>
      </w:r>
      <w:r>
        <w:rPr>
          <w:rFonts w:ascii="宋体" w:hAnsi="宋体"/>
          <w:sz w:val="24"/>
        </w:rPr>
        <w:t xml:space="preserve"> </w:t>
      </w:r>
    </w:p>
    <w:p w14:paraId="681C8593">
      <w:pPr>
        <w:spacing w:line="360" w:lineRule="auto"/>
        <w:rPr>
          <w:rFonts w:ascii="宋体"/>
          <w:sz w:val="24"/>
        </w:rPr>
      </w:pPr>
      <w:r>
        <w:rPr>
          <w:rFonts w:ascii="宋体" w:hAnsi="宋体"/>
          <w:sz w:val="24"/>
        </w:rPr>
        <w:t>6.2</w:t>
      </w:r>
      <w:r>
        <w:rPr>
          <w:rFonts w:hint="eastAsia" w:ascii="宋体" w:hAnsi="宋体"/>
          <w:sz w:val="24"/>
        </w:rPr>
        <w:t>《市场调研和立项申请单》</w:t>
      </w:r>
    </w:p>
    <w:p w14:paraId="282E618D">
      <w:pPr>
        <w:spacing w:line="360" w:lineRule="auto"/>
        <w:jc w:val="left"/>
        <w:rPr>
          <w:rFonts w:ascii="宋体"/>
          <w:sz w:val="24"/>
        </w:rPr>
      </w:pPr>
      <w:r>
        <w:rPr>
          <w:rFonts w:ascii="宋体" w:hAnsi="宋体"/>
          <w:sz w:val="24"/>
        </w:rPr>
        <w:t>6.3</w:t>
      </w:r>
      <w:r>
        <w:rPr>
          <w:rFonts w:hint="eastAsia" w:ascii="宋体" w:hAnsi="宋体"/>
          <w:sz w:val="24"/>
        </w:rPr>
        <w:t>《设计开发计划》</w:t>
      </w:r>
      <w:r>
        <w:rPr>
          <w:rFonts w:ascii="宋体" w:hAnsi="宋体"/>
          <w:sz w:val="24"/>
        </w:rPr>
        <w:t xml:space="preserve"> </w:t>
      </w:r>
    </w:p>
    <w:p w14:paraId="34CA2C41">
      <w:pPr>
        <w:spacing w:line="360" w:lineRule="auto"/>
        <w:jc w:val="left"/>
        <w:rPr>
          <w:rFonts w:ascii="宋体"/>
          <w:sz w:val="24"/>
        </w:rPr>
      </w:pPr>
      <w:r>
        <w:rPr>
          <w:rFonts w:ascii="宋体" w:hAnsi="宋体"/>
          <w:sz w:val="24"/>
        </w:rPr>
        <w:t>6.4</w:t>
      </w:r>
      <w:r>
        <w:rPr>
          <w:rFonts w:hint="eastAsia" w:ascii="宋体" w:hAnsi="宋体"/>
          <w:sz w:val="24"/>
        </w:rPr>
        <w:t>《设计开发输入清单》</w:t>
      </w:r>
    </w:p>
    <w:p w14:paraId="7C9E686F">
      <w:pPr>
        <w:spacing w:line="360" w:lineRule="auto"/>
        <w:jc w:val="left"/>
        <w:rPr>
          <w:rFonts w:ascii="宋体"/>
          <w:sz w:val="24"/>
        </w:rPr>
      </w:pPr>
      <w:r>
        <w:rPr>
          <w:rFonts w:ascii="宋体" w:hAnsi="宋体"/>
          <w:sz w:val="24"/>
        </w:rPr>
        <w:t>6.5</w:t>
      </w:r>
      <w:r>
        <w:rPr>
          <w:rFonts w:hint="eastAsia" w:ascii="宋体" w:hAnsi="宋体"/>
          <w:sz w:val="24"/>
        </w:rPr>
        <w:t>《设计开发评审报告》</w:t>
      </w:r>
      <w:r>
        <w:rPr>
          <w:rFonts w:ascii="宋体" w:hAnsi="宋体"/>
          <w:sz w:val="24"/>
        </w:rPr>
        <w:t xml:space="preserve">  </w:t>
      </w:r>
    </w:p>
    <w:p w14:paraId="4864E3F5">
      <w:pPr>
        <w:spacing w:line="360" w:lineRule="auto"/>
        <w:jc w:val="left"/>
        <w:rPr>
          <w:rFonts w:ascii="宋体"/>
          <w:sz w:val="24"/>
        </w:rPr>
      </w:pPr>
      <w:r>
        <w:rPr>
          <w:rFonts w:ascii="宋体" w:hAnsi="宋体"/>
          <w:sz w:val="24"/>
        </w:rPr>
        <w:t>6.6</w:t>
      </w:r>
      <w:r>
        <w:rPr>
          <w:rFonts w:hint="eastAsia" w:ascii="宋体" w:hAnsi="宋体"/>
          <w:sz w:val="24"/>
        </w:rPr>
        <w:t>《设计开发验证报告》</w:t>
      </w:r>
    </w:p>
    <w:p w14:paraId="4D93FC05">
      <w:pPr>
        <w:spacing w:line="360" w:lineRule="auto"/>
        <w:jc w:val="left"/>
        <w:rPr>
          <w:rFonts w:ascii="宋体"/>
          <w:sz w:val="24"/>
        </w:rPr>
      </w:pPr>
      <w:r>
        <w:rPr>
          <w:rFonts w:ascii="宋体" w:hAnsi="宋体"/>
          <w:sz w:val="24"/>
        </w:rPr>
        <w:t>6.7</w:t>
      </w:r>
      <w:r>
        <w:rPr>
          <w:rFonts w:hint="eastAsia" w:ascii="宋体" w:hAnsi="宋体"/>
          <w:sz w:val="24"/>
        </w:rPr>
        <w:t>《设计开发确认报告》</w:t>
      </w:r>
      <w:r>
        <w:rPr>
          <w:rFonts w:ascii="宋体" w:hAnsi="宋体"/>
          <w:sz w:val="24"/>
        </w:rPr>
        <w:t xml:space="preserve">    </w:t>
      </w:r>
    </w:p>
    <w:p w14:paraId="41E1D5F5">
      <w:pPr>
        <w:spacing w:line="360" w:lineRule="auto"/>
        <w:jc w:val="left"/>
        <w:rPr>
          <w:rFonts w:ascii="宋体"/>
          <w:sz w:val="24"/>
        </w:rPr>
      </w:pPr>
      <w:r>
        <w:rPr>
          <w:rFonts w:ascii="宋体" w:hAnsi="宋体"/>
          <w:sz w:val="24"/>
        </w:rPr>
        <w:t>6.8</w:t>
      </w:r>
      <w:r>
        <w:rPr>
          <w:rFonts w:hint="eastAsia" w:ascii="宋体" w:hAnsi="宋体"/>
          <w:sz w:val="24"/>
        </w:rPr>
        <w:t>《设计开发输出清单》</w:t>
      </w:r>
    </w:p>
    <w:p w14:paraId="667DD87F">
      <w:pPr>
        <w:spacing w:line="360" w:lineRule="auto"/>
        <w:rPr>
          <w:sz w:val="24"/>
        </w:rPr>
      </w:pPr>
      <w:r>
        <w:rPr>
          <w:rFonts w:ascii="宋体" w:hAnsi="宋体"/>
          <w:sz w:val="24"/>
        </w:rPr>
        <w:t>6.9</w:t>
      </w:r>
      <w:r>
        <w:rPr>
          <w:rFonts w:hint="eastAsia" w:ascii="宋体" w:hAnsi="宋体"/>
          <w:sz w:val="24"/>
        </w:rPr>
        <w:t>《设计开发更改通知》</w:t>
      </w:r>
      <w:r>
        <w:rPr>
          <w:rFonts w:ascii="宋体" w:hAnsi="宋体"/>
          <w:sz w:val="24"/>
        </w:rPr>
        <w:t xml:space="preserve">   </w:t>
      </w:r>
    </w:p>
    <w:p w14:paraId="6BE2A793">
      <w:pPr>
        <w:spacing w:line="360" w:lineRule="auto"/>
        <w:rPr>
          <w:sz w:val="24"/>
        </w:rPr>
      </w:pPr>
      <w:r>
        <w:rPr>
          <w:rFonts w:ascii="宋体" w:hAnsi="宋体"/>
          <w:sz w:val="24"/>
        </w:rPr>
        <w:t>6.10</w:t>
      </w:r>
      <w:r>
        <w:rPr>
          <w:rFonts w:hint="eastAsia" w:ascii="宋体" w:hAnsi="宋体"/>
          <w:sz w:val="24"/>
        </w:rPr>
        <w:t>《客户确认报告》</w:t>
      </w:r>
    </w:p>
    <w:p w14:paraId="6A6AD576">
      <w:pPr>
        <w:spacing w:line="360" w:lineRule="auto"/>
        <w:rPr>
          <w:rFonts w:ascii="宋体" w:hAnsi="宋体"/>
          <w:sz w:val="24"/>
        </w:rPr>
      </w:pPr>
      <w:r>
        <w:rPr>
          <w:rFonts w:ascii="宋体" w:hAnsi="宋体"/>
          <w:sz w:val="24"/>
        </w:rPr>
        <w:t>6.11</w:t>
      </w:r>
      <w:r>
        <w:rPr>
          <w:rFonts w:hint="eastAsia" w:ascii="宋体" w:hAnsi="宋体"/>
          <w:sz w:val="24"/>
        </w:rPr>
        <w:t>《项目总结报告》</w:t>
      </w:r>
    </w:p>
    <w:p w14:paraId="6AD77AD7">
      <w:pPr>
        <w:spacing w:line="360" w:lineRule="auto"/>
        <w:rPr>
          <w:rFonts w:ascii="宋体" w:hAnsi="宋体"/>
          <w:sz w:val="24"/>
        </w:rPr>
      </w:pPr>
    </w:p>
    <w:p w14:paraId="1B01657D">
      <w:pPr>
        <w:widowControl/>
        <w:jc w:val="left"/>
        <w:rPr>
          <w:rFonts w:ascii="宋体" w:hAnsi="宋体"/>
          <w:sz w:val="24"/>
        </w:rPr>
      </w:pPr>
      <w:r>
        <w:rPr>
          <w:rFonts w:ascii="宋体" w:hAnsi="宋体"/>
          <w:sz w:val="24"/>
        </w:rPr>
        <w:br w:type="page"/>
      </w:r>
    </w:p>
    <w:p w14:paraId="617E83A5">
      <w:pPr>
        <w:pStyle w:val="2"/>
        <w:spacing w:before="156" w:beforeLines="50" w:after="156" w:afterLines="50" w:line="720" w:lineRule="auto"/>
        <w:jc w:val="left"/>
        <w:rPr>
          <w:sz w:val="28"/>
          <w:szCs w:val="28"/>
        </w:rPr>
      </w:pPr>
      <w:r>
        <w:rPr>
          <w:rFonts w:hint="eastAsia"/>
          <w:sz w:val="28"/>
          <w:szCs w:val="28"/>
        </w:rPr>
        <w:t>二十三、风险和机遇应对控制程序    编号：</w:t>
      </w:r>
      <w:r>
        <w:rPr>
          <w:rFonts w:hint="eastAsia"/>
          <w:sz w:val="28"/>
          <w:szCs w:val="28"/>
          <w:lang w:eastAsia="zh-CN"/>
        </w:rPr>
        <w:t>ZBHY</w:t>
      </w:r>
      <w:r>
        <w:rPr>
          <w:rFonts w:hint="eastAsia"/>
          <w:sz w:val="28"/>
          <w:szCs w:val="28"/>
        </w:rPr>
        <w:t>/</w:t>
      </w:r>
      <w:r>
        <w:rPr>
          <w:rFonts w:hint="eastAsia"/>
          <w:sz w:val="28"/>
          <w:szCs w:val="28"/>
          <w:lang w:eastAsia="zh-CN"/>
        </w:rPr>
        <w:t>CX-B</w:t>
      </w:r>
      <w:r>
        <w:rPr>
          <w:rFonts w:hint="eastAsia"/>
          <w:sz w:val="28"/>
          <w:szCs w:val="28"/>
        </w:rPr>
        <w:t>-</w:t>
      </w:r>
      <w:r>
        <w:rPr>
          <w:rFonts w:hint="eastAsia"/>
          <w:sz w:val="28"/>
          <w:szCs w:val="28"/>
          <w:lang w:eastAsia="zh-CN"/>
        </w:rPr>
        <w:t>2024</w:t>
      </w:r>
      <w:r>
        <w:rPr>
          <w:rFonts w:hint="eastAsia"/>
          <w:sz w:val="28"/>
          <w:szCs w:val="28"/>
        </w:rPr>
        <w:t>-023</w:t>
      </w:r>
    </w:p>
    <w:p w14:paraId="33D130D8">
      <w:pPr>
        <w:spacing w:line="360" w:lineRule="auto"/>
        <w:rPr>
          <w:rFonts w:ascii="宋体" w:hAnsi="宋体"/>
          <w:sz w:val="24"/>
        </w:rPr>
      </w:pPr>
      <w:r>
        <w:rPr>
          <w:rFonts w:hint="eastAsia" w:ascii="宋体" w:hAnsi="宋体"/>
          <w:sz w:val="24"/>
        </w:rPr>
        <w:t>1.目的</w:t>
      </w:r>
    </w:p>
    <w:p w14:paraId="48E109C6">
      <w:pPr>
        <w:spacing w:line="360" w:lineRule="auto"/>
        <w:ind w:firstLine="480" w:firstLineChars="200"/>
        <w:rPr>
          <w:rFonts w:ascii="宋体" w:hAnsi="宋体"/>
          <w:sz w:val="24"/>
        </w:rPr>
      </w:pPr>
      <w:r>
        <w:rPr>
          <w:rFonts w:hint="eastAsia" w:ascii="宋体" w:hAnsi="宋体"/>
          <w:sz w:val="24"/>
        </w:rPr>
        <w:t>为建立风险和机遇的应对措施，明确包括风险应对措施风险规避、风险降低和风险接受在内的操作要求，建立全面的风险和机遇管理措施和内部控制的建设，增强抗风险能力，并为在质量、环境、职业健康安全、HSF管理体系中纳入和应用这些措施及评价这些措施的有效性提供操作指导。</w:t>
      </w:r>
    </w:p>
    <w:p w14:paraId="49DC82F0">
      <w:pPr>
        <w:spacing w:line="360" w:lineRule="auto"/>
        <w:rPr>
          <w:rFonts w:ascii="宋体" w:hAnsi="宋体"/>
          <w:sz w:val="24"/>
        </w:rPr>
      </w:pPr>
      <w:r>
        <w:rPr>
          <w:rFonts w:hint="eastAsia" w:ascii="宋体" w:hAnsi="宋体"/>
          <w:sz w:val="24"/>
        </w:rPr>
        <w:t>2.范围</w:t>
      </w:r>
    </w:p>
    <w:p w14:paraId="5D555BEF">
      <w:pPr>
        <w:spacing w:line="360" w:lineRule="auto"/>
        <w:rPr>
          <w:rFonts w:ascii="宋体" w:hAnsi="宋体"/>
          <w:sz w:val="24"/>
        </w:rPr>
      </w:pPr>
      <w:r>
        <w:rPr>
          <w:rFonts w:hint="eastAsia" w:ascii="宋体" w:hAnsi="宋体"/>
          <w:sz w:val="24"/>
        </w:rPr>
        <w:t>本程序适用于在公司质量、环境、职业健康安全管理体系活动中应对风险和机遇的方法及要求的控制提供操作依据，这些活动包括不限于：</w:t>
      </w:r>
    </w:p>
    <w:p w14:paraId="1D5DDEE2">
      <w:pPr>
        <w:spacing w:line="360" w:lineRule="auto"/>
        <w:rPr>
          <w:rFonts w:ascii="宋体" w:hAnsi="宋体"/>
          <w:sz w:val="24"/>
        </w:rPr>
      </w:pPr>
      <w:r>
        <w:rPr>
          <w:rFonts w:hint="eastAsia" w:ascii="宋体" w:hAnsi="宋体"/>
          <w:sz w:val="24"/>
        </w:rPr>
        <w:t>2.1业务开发、市场调查及客户满意度测评过程的风险和机遇管理。</w:t>
      </w:r>
    </w:p>
    <w:p w14:paraId="36D629EF">
      <w:pPr>
        <w:spacing w:line="360" w:lineRule="auto"/>
        <w:rPr>
          <w:rFonts w:ascii="宋体" w:hAnsi="宋体"/>
          <w:sz w:val="24"/>
        </w:rPr>
      </w:pPr>
      <w:r>
        <w:rPr>
          <w:rFonts w:hint="eastAsia" w:ascii="宋体" w:hAnsi="宋体"/>
          <w:sz w:val="24"/>
        </w:rPr>
        <w:t>2.2产品的设计开发、设计开发的变更控制过程的风险和机遇管理。</w:t>
      </w:r>
    </w:p>
    <w:p w14:paraId="1486718C">
      <w:pPr>
        <w:spacing w:line="360" w:lineRule="auto"/>
        <w:rPr>
          <w:rFonts w:ascii="宋体" w:hAnsi="宋体"/>
          <w:sz w:val="24"/>
        </w:rPr>
      </w:pPr>
      <w:r>
        <w:rPr>
          <w:rFonts w:hint="eastAsia" w:ascii="宋体" w:hAnsi="宋体"/>
          <w:sz w:val="24"/>
        </w:rPr>
        <w:t>2.3供应商评审和采购控制过程的风险和机遇管理。</w:t>
      </w:r>
    </w:p>
    <w:p w14:paraId="736D07D7">
      <w:pPr>
        <w:spacing w:line="360" w:lineRule="auto"/>
        <w:rPr>
          <w:rFonts w:ascii="宋体" w:hAnsi="宋体"/>
          <w:sz w:val="24"/>
        </w:rPr>
      </w:pPr>
      <w:r>
        <w:rPr>
          <w:rFonts w:hint="eastAsia" w:ascii="宋体" w:hAnsi="宋体"/>
          <w:sz w:val="24"/>
        </w:rPr>
        <w:t>2.4生产经营过程的风险和机遇管理。</w:t>
      </w:r>
    </w:p>
    <w:p w14:paraId="4F70DB13">
      <w:pPr>
        <w:spacing w:line="360" w:lineRule="auto"/>
        <w:rPr>
          <w:rFonts w:ascii="宋体" w:hAnsi="宋体"/>
          <w:sz w:val="24"/>
        </w:rPr>
      </w:pPr>
      <w:r>
        <w:rPr>
          <w:rFonts w:hint="eastAsia" w:ascii="宋体" w:hAnsi="宋体"/>
          <w:sz w:val="24"/>
        </w:rPr>
        <w:t>2.5过程检验和监视测量设备的管理过程的风险和机遇管理。</w:t>
      </w:r>
    </w:p>
    <w:p w14:paraId="0983DC65">
      <w:pPr>
        <w:spacing w:line="360" w:lineRule="auto"/>
        <w:rPr>
          <w:rFonts w:ascii="宋体" w:hAnsi="宋体"/>
          <w:sz w:val="24"/>
        </w:rPr>
      </w:pPr>
      <w:r>
        <w:rPr>
          <w:rFonts w:hint="eastAsia" w:ascii="宋体" w:hAnsi="宋体"/>
          <w:sz w:val="24"/>
        </w:rPr>
        <w:t>2.6设备和工装夹具的维护和保养管理过程的风险和机遇管理。</w:t>
      </w:r>
    </w:p>
    <w:p w14:paraId="302AD011">
      <w:pPr>
        <w:spacing w:line="360" w:lineRule="auto"/>
        <w:rPr>
          <w:rFonts w:ascii="宋体" w:hAnsi="宋体"/>
          <w:sz w:val="24"/>
        </w:rPr>
      </w:pPr>
      <w:r>
        <w:rPr>
          <w:rFonts w:hint="eastAsia" w:ascii="宋体" w:hAnsi="宋体"/>
          <w:sz w:val="24"/>
        </w:rPr>
        <w:t>2.7不合格品的处置及纠正预防措施的执行和验证过程的风险和机遇管理。</w:t>
      </w:r>
    </w:p>
    <w:p w14:paraId="0434D4F1">
      <w:pPr>
        <w:spacing w:line="360" w:lineRule="auto"/>
        <w:rPr>
          <w:rFonts w:ascii="宋体" w:hAnsi="宋体"/>
          <w:sz w:val="24"/>
        </w:rPr>
      </w:pPr>
      <w:r>
        <w:rPr>
          <w:rFonts w:hint="eastAsia" w:ascii="宋体" w:hAnsi="宋体"/>
          <w:sz w:val="24"/>
        </w:rPr>
        <w:t>2.8持续改进过程的风险和机遇管理。</w:t>
      </w:r>
    </w:p>
    <w:p w14:paraId="790C5836">
      <w:pPr>
        <w:spacing w:line="360" w:lineRule="auto"/>
        <w:rPr>
          <w:rFonts w:ascii="宋体" w:hAnsi="宋体"/>
          <w:sz w:val="24"/>
        </w:rPr>
      </w:pPr>
      <w:r>
        <w:rPr>
          <w:rFonts w:hint="eastAsia" w:ascii="宋体" w:hAnsi="宋体"/>
          <w:sz w:val="24"/>
        </w:rPr>
        <w:t>2.9环境/有害物质/职业健康安全管理过程的风险和机遇管理。</w:t>
      </w:r>
    </w:p>
    <w:p w14:paraId="7B99B6A3">
      <w:pPr>
        <w:spacing w:line="360" w:lineRule="auto"/>
        <w:rPr>
          <w:rFonts w:ascii="宋体" w:hAnsi="宋体"/>
          <w:sz w:val="24"/>
        </w:rPr>
      </w:pPr>
      <w:r>
        <w:rPr>
          <w:rFonts w:hint="eastAsia" w:ascii="宋体" w:hAnsi="宋体"/>
          <w:sz w:val="24"/>
        </w:rPr>
        <w:t>2.10当适用时，也可适用于对公司管理过程中应对风险和机遇的控制提供操作指南。</w:t>
      </w:r>
    </w:p>
    <w:p w14:paraId="30D50156">
      <w:pPr>
        <w:spacing w:line="360" w:lineRule="auto"/>
        <w:rPr>
          <w:rFonts w:ascii="宋体" w:hAnsi="宋体"/>
          <w:sz w:val="24"/>
        </w:rPr>
      </w:pPr>
      <w:r>
        <w:rPr>
          <w:rFonts w:hint="eastAsia" w:ascii="宋体" w:hAnsi="宋体"/>
          <w:sz w:val="24"/>
        </w:rPr>
        <w:t>3.定义</w:t>
      </w:r>
    </w:p>
    <w:p w14:paraId="4503FD4C">
      <w:pPr>
        <w:spacing w:line="360" w:lineRule="auto"/>
        <w:rPr>
          <w:rFonts w:ascii="宋体" w:hAnsi="宋体"/>
          <w:sz w:val="24"/>
        </w:rPr>
      </w:pPr>
      <w:r>
        <w:rPr>
          <w:rFonts w:hint="eastAsia" w:ascii="宋体" w:hAnsi="宋体"/>
          <w:sz w:val="24"/>
        </w:rPr>
        <w:t>3.1风险：在一定环境下和一定限期内</w:t>
      </w:r>
      <w:r>
        <w:fldChar w:fldCharType="begin"/>
      </w:r>
      <w:r>
        <w:instrText xml:space="preserve"> HYPERLINK "http://baike.baidu.com/view/176048.htm" \t "_blank" </w:instrText>
      </w:r>
      <w:r>
        <w:fldChar w:fldCharType="separate"/>
      </w:r>
      <w:r>
        <w:rPr>
          <w:rFonts w:hint="eastAsia" w:ascii="宋体" w:hAnsi="宋体"/>
          <w:sz w:val="24"/>
        </w:rPr>
        <w:t>客观</w:t>
      </w:r>
      <w:r>
        <w:rPr>
          <w:rFonts w:hint="eastAsia" w:ascii="宋体" w:hAnsi="宋体"/>
          <w:sz w:val="24"/>
        </w:rPr>
        <w:fldChar w:fldCharType="end"/>
      </w:r>
      <w:r>
        <w:rPr>
          <w:rFonts w:hint="eastAsia" w:ascii="宋体" w:hAnsi="宋体"/>
          <w:sz w:val="24"/>
        </w:rPr>
        <w:t>存在的、影响企业目标实现的各种不确定性事件。</w:t>
      </w:r>
    </w:p>
    <w:p w14:paraId="12897CAB">
      <w:pPr>
        <w:spacing w:line="360" w:lineRule="auto"/>
        <w:rPr>
          <w:rFonts w:ascii="宋体" w:hAnsi="宋体"/>
          <w:sz w:val="24"/>
        </w:rPr>
      </w:pPr>
      <w:r>
        <w:rPr>
          <w:rFonts w:hint="eastAsia" w:ascii="宋体" w:hAnsi="宋体"/>
          <w:sz w:val="24"/>
        </w:rPr>
        <w:t>3.2机遇：对企业有正面影响的条件和事件,包括某些突发事件等。</w:t>
      </w:r>
    </w:p>
    <w:p w14:paraId="0FF23C32">
      <w:pPr>
        <w:spacing w:line="360" w:lineRule="auto"/>
        <w:rPr>
          <w:rFonts w:ascii="宋体" w:hAnsi="宋体"/>
          <w:sz w:val="24"/>
        </w:rPr>
      </w:pPr>
      <w:r>
        <w:rPr>
          <w:rFonts w:hint="eastAsia" w:ascii="宋体" w:hAnsi="宋体"/>
          <w:sz w:val="24"/>
        </w:rPr>
        <w:t>3.3风险评估：在</w:t>
      </w:r>
      <w:r>
        <w:fldChar w:fldCharType="begin"/>
      </w:r>
      <w:r>
        <w:instrText xml:space="preserve"> HYPERLINK "http://baike.baidu.com/view/3589747.htm" \t "_blank" </w:instrText>
      </w:r>
      <w:r>
        <w:fldChar w:fldCharType="separate"/>
      </w:r>
      <w:r>
        <w:rPr>
          <w:rFonts w:hint="eastAsia" w:ascii="宋体" w:hAnsi="宋体"/>
          <w:sz w:val="24"/>
        </w:rPr>
        <w:t>风险事件</w:t>
      </w:r>
      <w:r>
        <w:rPr>
          <w:rFonts w:hint="eastAsia" w:ascii="宋体" w:hAnsi="宋体"/>
          <w:sz w:val="24"/>
        </w:rPr>
        <w:fldChar w:fldCharType="end"/>
      </w:r>
      <w:r>
        <w:rPr>
          <w:rFonts w:hint="eastAsia" w:ascii="宋体" w:hAnsi="宋体"/>
          <w:sz w:val="24"/>
        </w:rPr>
        <w:t>发生之前或之后（但还没有结束），该事件给各个方面造成的影响和损失的可能性进行量化评估的工作。即，</w:t>
      </w:r>
      <w:r>
        <w:fldChar w:fldCharType="begin"/>
      </w:r>
      <w:r>
        <w:instrText xml:space="preserve"> HYPERLINK "http://baike.baidu.com/view/863635.htm" \t "_blank" </w:instrText>
      </w:r>
      <w:r>
        <w:fldChar w:fldCharType="separate"/>
      </w:r>
      <w:r>
        <w:rPr>
          <w:rFonts w:hint="eastAsia" w:ascii="宋体" w:hAnsi="宋体"/>
          <w:sz w:val="24"/>
        </w:rPr>
        <w:t>风险评估</w:t>
      </w:r>
      <w:r>
        <w:rPr>
          <w:rFonts w:hint="eastAsia" w:ascii="宋体" w:hAnsi="宋体"/>
          <w:sz w:val="24"/>
        </w:rPr>
        <w:fldChar w:fldCharType="end"/>
      </w:r>
      <w:r>
        <w:rPr>
          <w:rFonts w:hint="eastAsia" w:ascii="宋体" w:hAnsi="宋体"/>
          <w:sz w:val="24"/>
        </w:rPr>
        <w:t>就是量化</w:t>
      </w:r>
      <w:r>
        <w:fldChar w:fldCharType="begin"/>
      </w:r>
      <w:r>
        <w:instrText xml:space="preserve"> HYPERLINK "http://baike.baidu.com/view/166459.htm" \t "_blank" </w:instrText>
      </w:r>
      <w:r>
        <w:fldChar w:fldCharType="separate"/>
      </w:r>
      <w:r>
        <w:rPr>
          <w:rFonts w:hint="eastAsia" w:ascii="宋体" w:hAnsi="宋体"/>
          <w:sz w:val="24"/>
        </w:rPr>
        <w:t>测评</w:t>
      </w:r>
      <w:r>
        <w:rPr>
          <w:rFonts w:hint="eastAsia" w:ascii="宋体" w:hAnsi="宋体"/>
          <w:sz w:val="24"/>
        </w:rPr>
        <w:fldChar w:fldCharType="end"/>
      </w:r>
      <w:r>
        <w:rPr>
          <w:rFonts w:hint="eastAsia" w:ascii="宋体" w:hAnsi="宋体"/>
          <w:sz w:val="24"/>
        </w:rPr>
        <w:t>某一事件或事物带来的影响或损失的可能程度。</w:t>
      </w:r>
    </w:p>
    <w:p w14:paraId="49077FFD">
      <w:pPr>
        <w:spacing w:line="360" w:lineRule="auto"/>
        <w:rPr>
          <w:rFonts w:ascii="宋体" w:hAnsi="宋体"/>
          <w:sz w:val="24"/>
        </w:rPr>
      </w:pPr>
      <w:r>
        <w:rPr>
          <w:rFonts w:hint="eastAsia" w:ascii="宋体" w:hAnsi="宋体"/>
          <w:sz w:val="24"/>
        </w:rPr>
        <w:t>3.4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w:t>
      </w:r>
      <w:r>
        <w:fldChar w:fldCharType="begin"/>
      </w:r>
      <w:r>
        <w:instrText xml:space="preserve"> HYPERLINK "http://baike.baidu.com/view/2123458.htm" \t "_blank" </w:instrText>
      </w:r>
      <w:r>
        <w:fldChar w:fldCharType="separate"/>
      </w:r>
      <w:r>
        <w:rPr>
          <w:rFonts w:hint="eastAsia" w:ascii="宋体" w:hAnsi="宋体"/>
          <w:sz w:val="24"/>
        </w:rPr>
        <w:t>损失程度</w:t>
      </w:r>
      <w:r>
        <w:rPr>
          <w:rFonts w:hint="eastAsia" w:ascii="宋体" w:hAnsi="宋体"/>
          <w:sz w:val="24"/>
        </w:rPr>
        <w:fldChar w:fldCharType="end"/>
      </w:r>
      <w:r>
        <w:rPr>
          <w:rFonts w:hint="eastAsia" w:ascii="宋体" w:hAnsi="宋体"/>
          <w:sz w:val="24"/>
        </w:rPr>
        <w:t>，这主要包括事先控制、事后补救两个方面。</w:t>
      </w:r>
    </w:p>
    <w:p w14:paraId="565DAE07">
      <w:pPr>
        <w:spacing w:line="360" w:lineRule="auto"/>
        <w:rPr>
          <w:rFonts w:ascii="宋体" w:hAnsi="宋体"/>
          <w:sz w:val="24"/>
        </w:rPr>
      </w:pPr>
      <w:r>
        <w:rPr>
          <w:rFonts w:hint="eastAsia" w:ascii="宋体" w:hAnsi="宋体"/>
          <w:sz w:val="24"/>
        </w:rPr>
        <w:t>3.5风险降低：通过采取措施以达到降低风险的效果。一般情况下，若采取的措施能够有效的降低所遭受的风险，应将采取措施的记录进行保留或者写入文件进行归档，以便后期重复发生时作为改善的依据。</w:t>
      </w:r>
    </w:p>
    <w:p w14:paraId="347D385D">
      <w:pPr>
        <w:spacing w:line="360" w:lineRule="auto"/>
        <w:rPr>
          <w:rFonts w:ascii="宋体" w:hAnsi="宋体"/>
          <w:sz w:val="24"/>
        </w:rPr>
      </w:pPr>
      <w:r>
        <w:rPr>
          <w:rFonts w:hint="eastAsia" w:ascii="宋体" w:hAnsi="宋体"/>
          <w:sz w:val="24"/>
        </w:rPr>
        <w:t>3.6风险接受：是指企业承担风险造成的损失。风险接受一般适用于那些造成损失较小、重复性较高的风险、最适合于自留的风险事件。</w:t>
      </w:r>
    </w:p>
    <w:p w14:paraId="25EFCB36">
      <w:pPr>
        <w:spacing w:line="360" w:lineRule="auto"/>
        <w:rPr>
          <w:rFonts w:ascii="宋体" w:hAnsi="宋体"/>
          <w:sz w:val="24"/>
        </w:rPr>
      </w:pPr>
      <w:r>
        <w:rPr>
          <w:rFonts w:hint="eastAsia" w:ascii="宋体" w:hAnsi="宋体"/>
          <w:sz w:val="24"/>
        </w:rPr>
        <w:t>3.7内部风险：企业内部形成的风险，例如战略决策风险、环境风险、财务风险、管理风险、经营风险、法律风险、职业健康安全风险等。</w:t>
      </w:r>
    </w:p>
    <w:p w14:paraId="4535983B">
      <w:pPr>
        <w:spacing w:line="360" w:lineRule="auto"/>
        <w:rPr>
          <w:rFonts w:ascii="宋体" w:hAnsi="宋体"/>
          <w:sz w:val="24"/>
        </w:rPr>
      </w:pPr>
      <w:r>
        <w:rPr>
          <w:rFonts w:hint="eastAsia" w:ascii="宋体" w:hAnsi="宋体"/>
          <w:sz w:val="24"/>
        </w:rPr>
        <w:t>3.8外部风险：由外部影响因素导致的风险，例如政策风险、市场需求和业务风险等。</w:t>
      </w:r>
    </w:p>
    <w:p w14:paraId="49C6FAB3">
      <w:pPr>
        <w:spacing w:line="360" w:lineRule="auto"/>
        <w:rPr>
          <w:rFonts w:ascii="宋体" w:hAnsi="宋体"/>
          <w:sz w:val="24"/>
        </w:rPr>
      </w:pPr>
      <w:r>
        <w:rPr>
          <w:rFonts w:hint="eastAsia" w:ascii="宋体" w:hAnsi="宋体"/>
          <w:sz w:val="24"/>
        </w:rPr>
        <w:t>3.9风险严重度：风险发生后其所产生的影响的严重程度。</w:t>
      </w:r>
    </w:p>
    <w:p w14:paraId="07D79F9F">
      <w:pPr>
        <w:spacing w:line="360" w:lineRule="auto"/>
        <w:rPr>
          <w:rFonts w:ascii="宋体" w:hAnsi="宋体"/>
          <w:sz w:val="24"/>
        </w:rPr>
      </w:pPr>
      <w:r>
        <w:rPr>
          <w:rFonts w:hint="eastAsia" w:ascii="宋体" w:hAnsi="宋体"/>
          <w:sz w:val="24"/>
        </w:rPr>
        <w:t>3.10风险发生频率：风险出现的频率或者概率。</w:t>
      </w:r>
    </w:p>
    <w:p w14:paraId="4277AAFC">
      <w:pPr>
        <w:spacing w:line="360" w:lineRule="auto"/>
        <w:rPr>
          <w:rFonts w:ascii="宋体" w:hAnsi="宋体"/>
          <w:sz w:val="24"/>
        </w:rPr>
      </w:pPr>
      <w:r>
        <w:rPr>
          <w:rFonts w:hint="eastAsia" w:ascii="宋体" w:hAnsi="宋体"/>
          <w:sz w:val="24"/>
        </w:rPr>
        <w:t>3.11风险系数：风险系数用于评定是否对已识别的风险采取措施，风险系数=风险严重程度*风险发生频率。</w:t>
      </w:r>
    </w:p>
    <w:p w14:paraId="01B57CEC">
      <w:pPr>
        <w:spacing w:line="360" w:lineRule="auto"/>
        <w:rPr>
          <w:rFonts w:ascii="宋体" w:hAnsi="宋体"/>
          <w:sz w:val="24"/>
        </w:rPr>
      </w:pPr>
      <w:r>
        <w:rPr>
          <w:rFonts w:hint="eastAsia" w:ascii="宋体" w:hAnsi="宋体"/>
          <w:sz w:val="24"/>
        </w:rPr>
        <w:t>4.职责</w:t>
      </w:r>
    </w:p>
    <w:p w14:paraId="51A2B23C">
      <w:pPr>
        <w:spacing w:line="360" w:lineRule="auto"/>
        <w:rPr>
          <w:rFonts w:ascii="宋体" w:hAnsi="宋体"/>
          <w:sz w:val="24"/>
        </w:rPr>
      </w:pPr>
      <w:r>
        <w:rPr>
          <w:rFonts w:hint="eastAsia" w:ascii="宋体" w:hAnsi="宋体"/>
          <w:sz w:val="24"/>
        </w:rPr>
        <w:t>4.1管理者代表</w:t>
      </w:r>
    </w:p>
    <w:p w14:paraId="0B523D58">
      <w:pPr>
        <w:spacing w:line="360" w:lineRule="auto"/>
        <w:rPr>
          <w:rFonts w:ascii="宋体" w:hAnsi="宋体"/>
          <w:sz w:val="24"/>
        </w:rPr>
      </w:pPr>
      <w:r>
        <w:rPr>
          <w:rFonts w:hint="eastAsia" w:ascii="宋体" w:hAnsi="宋体"/>
          <w:sz w:val="24"/>
        </w:rPr>
        <w:t>4.1.1负责风险管理所需资源的提供，包括人员资格、必要的培训、信息获取等。</w:t>
      </w:r>
    </w:p>
    <w:p w14:paraId="39C3BE19">
      <w:pPr>
        <w:spacing w:line="360" w:lineRule="auto"/>
        <w:rPr>
          <w:rFonts w:ascii="宋体" w:hAnsi="宋体"/>
          <w:sz w:val="24"/>
        </w:rPr>
      </w:pPr>
      <w:r>
        <w:rPr>
          <w:rFonts w:hint="eastAsia" w:ascii="宋体" w:hAnsi="宋体"/>
          <w:sz w:val="24"/>
        </w:rPr>
        <w:t>4.1.2负责风险可接受准则方针确定，并按制定评审周期保持对风险和机遇管理的评审。</w:t>
      </w:r>
    </w:p>
    <w:p w14:paraId="06FDD6EB">
      <w:pPr>
        <w:spacing w:line="360" w:lineRule="auto"/>
        <w:rPr>
          <w:rFonts w:ascii="宋体" w:hAnsi="宋体"/>
          <w:sz w:val="24"/>
        </w:rPr>
      </w:pPr>
      <w:r>
        <w:rPr>
          <w:rFonts w:hint="eastAsia" w:ascii="宋体" w:hAnsi="宋体"/>
          <w:sz w:val="24"/>
        </w:rPr>
        <w:t>4.1.3负责按所要求的周期组织实施风险和机遇的评审，落实跟进风险和机遇评估中所采取措施的完成情况并跟进落实措施的有效性。</w:t>
      </w:r>
    </w:p>
    <w:p w14:paraId="076B46B0">
      <w:pPr>
        <w:spacing w:line="360" w:lineRule="auto"/>
        <w:rPr>
          <w:rFonts w:ascii="宋体" w:hAnsi="宋体"/>
          <w:sz w:val="24"/>
        </w:rPr>
      </w:pPr>
      <w:r>
        <w:rPr>
          <w:rFonts w:hint="eastAsia" w:ascii="宋体" w:hAnsi="宋体"/>
          <w:sz w:val="24"/>
        </w:rPr>
        <w:t>4.2 销售中心：负责收集产品售后的风险信息及本部门的风险识别，负责制定相应的措施以规避或者降低风险并落实执行。</w:t>
      </w:r>
    </w:p>
    <w:p w14:paraId="31EB8785">
      <w:pPr>
        <w:spacing w:line="360" w:lineRule="auto"/>
        <w:rPr>
          <w:rFonts w:ascii="宋体" w:hAnsi="宋体"/>
          <w:sz w:val="24"/>
        </w:rPr>
      </w:pPr>
      <w:r>
        <w:rPr>
          <w:rFonts w:hint="eastAsia" w:ascii="宋体" w:hAnsi="宋体"/>
          <w:sz w:val="24"/>
        </w:rPr>
        <w:t>4.3采购中心：负责收集供应链相关风险信息及本部门的风险识别，负责制定相应的措施以规避或者降低风险并落实执行。</w:t>
      </w:r>
    </w:p>
    <w:p w14:paraId="4B96937B">
      <w:pPr>
        <w:spacing w:line="360" w:lineRule="auto"/>
        <w:rPr>
          <w:rFonts w:ascii="宋体" w:hAnsi="宋体"/>
          <w:sz w:val="24"/>
        </w:rPr>
      </w:pPr>
      <w:r>
        <w:rPr>
          <w:rFonts w:hint="eastAsia" w:ascii="宋体" w:hAnsi="宋体"/>
          <w:sz w:val="24"/>
        </w:rPr>
        <w:t>4.4 各部门：负责本部门职能相关风险和机遇评估，并制定相应的措施以规避或者降低风险并落实执行。</w:t>
      </w:r>
    </w:p>
    <w:p w14:paraId="6780D44E">
      <w:pPr>
        <w:spacing w:line="360" w:lineRule="auto"/>
        <w:rPr>
          <w:rFonts w:ascii="宋体" w:hAnsi="宋体"/>
          <w:sz w:val="24"/>
        </w:rPr>
      </w:pPr>
      <w:r>
        <w:rPr>
          <w:rFonts w:hint="eastAsia" w:ascii="宋体" w:hAnsi="宋体"/>
          <w:sz w:val="24"/>
        </w:rPr>
        <w:t xml:space="preserve">5.内容      </w:t>
      </w:r>
    </w:p>
    <w:p w14:paraId="0C1039CF">
      <w:pPr>
        <w:spacing w:line="360" w:lineRule="auto"/>
        <w:rPr>
          <w:rFonts w:ascii="宋体" w:hAnsi="宋体"/>
          <w:sz w:val="24"/>
        </w:rPr>
      </w:pPr>
      <w:r>
        <w:rPr>
          <w:rFonts w:hint="eastAsia" w:ascii="宋体" w:hAnsi="宋体"/>
          <w:sz w:val="24"/>
        </w:rPr>
        <w:t>5.1应对风险和机遇的策划</w:t>
      </w:r>
    </w:p>
    <w:p w14:paraId="1319B580">
      <w:pPr>
        <w:spacing w:line="360" w:lineRule="auto"/>
        <w:rPr>
          <w:rFonts w:ascii="宋体" w:hAnsi="宋体"/>
          <w:sz w:val="24"/>
        </w:rPr>
      </w:pPr>
      <w:r>
        <w:rPr>
          <w:rFonts w:hint="eastAsia" w:ascii="宋体" w:hAnsi="宋体"/>
          <w:sz w:val="24"/>
        </w:rPr>
        <w:t>5.1.1为全面识别和应对各部门在生产和管理活动中存在的风险和机遇，各部门应建立识别和应对的方法，确认本部门存在的风险，并将评估的结果记录在【风险和机遇分析和评估表】。</w:t>
      </w:r>
    </w:p>
    <w:p w14:paraId="1E18225A">
      <w:pPr>
        <w:spacing w:line="360" w:lineRule="auto"/>
        <w:rPr>
          <w:rFonts w:ascii="宋体" w:hAnsi="宋体"/>
          <w:sz w:val="24"/>
        </w:rPr>
      </w:pPr>
      <w:r>
        <w:rPr>
          <w:rFonts w:hint="eastAsia" w:ascii="宋体" w:hAnsi="宋体"/>
          <w:sz w:val="24"/>
        </w:rPr>
        <w:t>5.1.2在风险和机遇的识别和应对过程中，责任部门应对可能存在风险的车间、生产过程和人员存在的风险进行逐一的筛选识别，风险识别过程中应识别包括但不限于以下方面的风险：</w:t>
      </w:r>
    </w:p>
    <w:p w14:paraId="73C93170">
      <w:pPr>
        <w:spacing w:line="360" w:lineRule="auto"/>
        <w:rPr>
          <w:rFonts w:ascii="宋体" w:hAnsi="宋体"/>
          <w:sz w:val="24"/>
        </w:rPr>
      </w:pPr>
      <w:r>
        <w:rPr>
          <w:rFonts w:hint="eastAsia" w:ascii="宋体" w:hAnsi="宋体"/>
          <w:sz w:val="24"/>
        </w:rPr>
        <w:t>1）对适用的法律法规、客户要求的变更造成的风险。2）生产作业过程中的安全风险。</w:t>
      </w:r>
    </w:p>
    <w:p w14:paraId="3BED857E">
      <w:pPr>
        <w:spacing w:line="360" w:lineRule="auto"/>
        <w:rPr>
          <w:rFonts w:ascii="宋体" w:hAnsi="宋体"/>
          <w:sz w:val="24"/>
        </w:rPr>
      </w:pPr>
      <w:r>
        <w:rPr>
          <w:rFonts w:hint="eastAsia" w:ascii="宋体" w:hAnsi="宋体"/>
          <w:sz w:val="24"/>
        </w:rPr>
        <w:t>3）设备、工装夹具、刀具对产品质量造成的风险。4）产品售后的风险。5）产品设计开发阶段的设计失效风险。6）过程失效的风险。7）环境、职业健康安全、HSF管理运行活动的风险。 (至少应包括：潜在的和实际的反馈、现场返回及修理、投诉、报废以及任何返工，环境排放超标，人身伤害，有害物质超标等）。</w:t>
      </w:r>
    </w:p>
    <w:p w14:paraId="6B2D4C1B">
      <w:pPr>
        <w:spacing w:line="360" w:lineRule="auto"/>
        <w:rPr>
          <w:rFonts w:ascii="宋体" w:hAnsi="宋体"/>
          <w:sz w:val="24"/>
        </w:rPr>
      </w:pPr>
      <w:r>
        <w:rPr>
          <w:rFonts w:hint="eastAsia" w:ascii="宋体" w:hAnsi="宋体"/>
          <w:sz w:val="24"/>
        </w:rPr>
        <w:t>注：可参考DFMEA设计失效模式分析和PFMEA过程失效模式分析的方法对设计和生产过程存在的风险进行评估，若选用其结果应按要求得到控制。</w:t>
      </w:r>
    </w:p>
    <w:p w14:paraId="548AE0DA">
      <w:pPr>
        <w:spacing w:line="360" w:lineRule="auto"/>
        <w:rPr>
          <w:rFonts w:ascii="宋体" w:hAnsi="宋体"/>
          <w:sz w:val="24"/>
        </w:rPr>
      </w:pPr>
      <w:r>
        <w:rPr>
          <w:rFonts w:hint="eastAsia" w:ascii="宋体" w:hAnsi="宋体"/>
          <w:sz w:val="24"/>
        </w:rPr>
        <w:t>5.2建立风险和机遇管理团队</w:t>
      </w:r>
    </w:p>
    <w:p w14:paraId="0CB87047">
      <w:pPr>
        <w:spacing w:line="360" w:lineRule="auto"/>
        <w:rPr>
          <w:rFonts w:ascii="宋体" w:hAnsi="宋体"/>
          <w:sz w:val="24"/>
        </w:rPr>
      </w:pPr>
      <w:r>
        <w:rPr>
          <w:rFonts w:hint="eastAsia" w:ascii="宋体" w:hAnsi="宋体"/>
          <w:sz w:val="24"/>
        </w:rPr>
        <w:t>5.2.1建立分风险和机遇评估小组</w:t>
      </w:r>
    </w:p>
    <w:p w14:paraId="17F79742">
      <w:pPr>
        <w:spacing w:line="360" w:lineRule="auto"/>
        <w:rPr>
          <w:rFonts w:ascii="宋体" w:hAnsi="宋体"/>
          <w:sz w:val="24"/>
        </w:rPr>
      </w:pPr>
      <w:r>
        <w:rPr>
          <w:rFonts w:hint="eastAsia" w:ascii="宋体" w:hAnsi="宋体"/>
          <w:sz w:val="24"/>
        </w:rPr>
        <w:t>1)风险识别活动的开展应是一次团体的活动，各部门在进行风险识别和评估过程中应通过集思广益和有效的分析判断下进行的，在此之前应建立一个“风险和机遇评估小组”，总经理应通过授权，赋予该“风险和机遇评估小组”以下的职责：</w:t>
      </w:r>
    </w:p>
    <w:p w14:paraId="49E87E35">
      <w:pPr>
        <w:spacing w:line="360" w:lineRule="auto"/>
        <w:rPr>
          <w:rFonts w:ascii="宋体" w:hAnsi="宋体"/>
          <w:sz w:val="24"/>
        </w:rPr>
      </w:pPr>
      <w:r>
        <w:rPr>
          <w:rFonts w:hint="eastAsia" w:ascii="宋体" w:hAnsi="宋体"/>
          <w:sz w:val="24"/>
        </w:rPr>
        <w:t xml:space="preserve"> ①组织实施风险和机遇分析和评估。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制定风险和机遇应对措施并落实执行。</w:t>
      </w:r>
    </w:p>
    <w:p w14:paraId="53DD784F">
      <w:pPr>
        <w:spacing w:line="360" w:lineRule="auto"/>
        <w:rPr>
          <w:rFonts w:ascii="宋体" w:hAnsi="宋体"/>
          <w:sz w:val="24"/>
        </w:rPr>
      </w:pPr>
      <w:r>
        <w:rPr>
          <w:rFonts w:hint="eastAsia" w:ascii="宋体" w:hAnsi="宋体"/>
          <w:sz w:val="24"/>
        </w:rPr>
        <w:t xml:space="preserve">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编制风险管理计划。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组织实施风险应对措施的实施效果验证。</w:t>
      </w:r>
    </w:p>
    <w:p w14:paraId="0E2D3C89">
      <w:pPr>
        <w:spacing w:line="360" w:lineRule="auto"/>
        <w:rPr>
          <w:rFonts w:ascii="宋体" w:hAnsi="宋体"/>
          <w:sz w:val="24"/>
        </w:rPr>
      </w:pPr>
      <w:r>
        <w:rPr>
          <w:rFonts w:hint="eastAsia" w:ascii="宋体" w:hAnsi="宋体"/>
          <w:sz w:val="24"/>
        </w:rPr>
        <w:t>2)在“风险和机遇评估小组”中，总经理应指派一名人员作为该小组的组长（正常由管理者代表进行），负责规划和安排风险和机遇的识别和应对的控制。</w:t>
      </w:r>
    </w:p>
    <w:p w14:paraId="2F81FD90">
      <w:pPr>
        <w:spacing w:line="360" w:lineRule="auto"/>
        <w:rPr>
          <w:rFonts w:ascii="宋体" w:hAnsi="宋体"/>
          <w:sz w:val="24"/>
        </w:rPr>
      </w:pPr>
      <w:r>
        <w:rPr>
          <w:rFonts w:hint="eastAsia" w:ascii="宋体" w:hAnsi="宋体"/>
          <w:sz w:val="24"/>
        </w:rPr>
        <w:t>5.2.2风险管理团队人员的任职要求：为确保参与风险和机遇识别和评估的人员，其人员资质符合要求，能够胜任并且参与本部门的风险和机遇的识别和制定应对相应的应对措施，风险和机遇评估小组人员应具备以下能力：</w:t>
      </w:r>
    </w:p>
    <w:p w14:paraId="4EFD01D4">
      <w:pPr>
        <w:spacing w:line="360" w:lineRule="auto"/>
        <w:rPr>
          <w:rFonts w:ascii="宋体" w:hAnsi="宋体"/>
          <w:sz w:val="24"/>
        </w:rPr>
      </w:pPr>
      <w:r>
        <w:rPr>
          <w:rFonts w:hint="eastAsia" w:ascii="宋体" w:hAnsi="宋体"/>
          <w:sz w:val="24"/>
        </w:rPr>
        <w:t>1）熟悉其所在部门的所有流程。2）有一定的组织协调能力。 3）熟悉本标准的要求，并依据本标准内容策划风险分析和评估。</w:t>
      </w:r>
    </w:p>
    <w:p w14:paraId="5CDAC572">
      <w:pPr>
        <w:spacing w:line="360" w:lineRule="auto"/>
        <w:rPr>
          <w:rFonts w:ascii="宋体" w:hAnsi="宋体"/>
          <w:sz w:val="24"/>
        </w:rPr>
      </w:pPr>
      <w:r>
        <w:rPr>
          <w:rFonts w:hint="eastAsia" w:ascii="宋体" w:hAnsi="宋体"/>
          <w:sz w:val="24"/>
        </w:rPr>
        <w:t>5.3风险评估：对已识别的风险的严重度和发生频率进行评价，其评价的要求应依据本程序所规定的评价准则进行评价确认，风险的严重度和发生频率的确认用以确定风险系数，之后根据风险系数确定对风险应采取的措施。</w:t>
      </w:r>
    </w:p>
    <w:p w14:paraId="2A6DC0A0">
      <w:pPr>
        <w:spacing w:line="360" w:lineRule="auto"/>
        <w:rPr>
          <w:rFonts w:ascii="宋体" w:hAnsi="宋体"/>
          <w:sz w:val="24"/>
        </w:rPr>
      </w:pPr>
      <w:r>
        <w:rPr>
          <w:rFonts w:hint="eastAsia" w:ascii="宋体" w:hAnsi="宋体"/>
          <w:sz w:val="24"/>
        </w:rPr>
        <w:t>5.3.1风险的严重程度（S）评价准则</w:t>
      </w:r>
    </w:p>
    <w:p w14:paraId="30DD0287">
      <w:pPr>
        <w:spacing w:line="360" w:lineRule="auto"/>
        <w:rPr>
          <w:rFonts w:ascii="宋体" w:hAnsi="宋体"/>
          <w:sz w:val="24"/>
        </w:rPr>
      </w:pPr>
      <w:r>
        <w:rPr>
          <w:rFonts w:hint="eastAsia" w:ascii="宋体" w:hAnsi="宋体"/>
          <w:sz w:val="24"/>
        </w:rPr>
        <w:t xml:space="preserve">1)风险严重度用于评价潜在风险可能造成的损害程度，根据对潜在风险的评估量化,若潜在风险发生后，其会导致的各方面的影响以及危害程度，以下包括但不限于风险产生后会导致的危害：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法律法规、产品及客户要求。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风险发生时导致的人身伤害。</w:t>
      </w:r>
    </w:p>
    <w:p w14:paraId="0B865740">
      <w:pPr>
        <w:spacing w:line="360" w:lineRule="auto"/>
        <w:rPr>
          <w:rFonts w:ascii="宋体" w:hAnsi="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财产损失的多少;</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是否会导致停工/停产。</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对企业形象的损害程度。</w:t>
      </w:r>
    </w:p>
    <w:p w14:paraId="5B5697EA">
      <w:pPr>
        <w:spacing w:line="360" w:lineRule="auto"/>
        <w:rPr>
          <w:rFonts w:ascii="宋体" w:hAnsi="宋体"/>
          <w:sz w:val="24"/>
        </w:rPr>
      </w:pPr>
      <w:r>
        <w:rPr>
          <w:rFonts w:hint="eastAsia" w:ascii="宋体" w:hAnsi="宋体"/>
          <w:sz w:val="24"/>
        </w:rPr>
        <w:t>注：在对风险进行严重程度判定时，推荐扩大分析风险所带来的危害层面，以便于更有效的对潜在的风险采取措施，以达到减少或部分消除风险乃至完全消除的目的。</w:t>
      </w:r>
    </w:p>
    <w:p w14:paraId="22D375F7">
      <w:pPr>
        <w:spacing w:line="360" w:lineRule="auto"/>
        <w:rPr>
          <w:rFonts w:ascii="宋体" w:hAnsi="宋体"/>
          <w:sz w:val="24"/>
        </w:rPr>
      </w:pPr>
      <w:r>
        <w:rPr>
          <w:rFonts w:hint="eastAsia" w:ascii="宋体" w:hAnsi="宋体"/>
          <w:sz w:val="24"/>
        </w:rPr>
        <w:t xml:space="preserve">2)为便于识别风险所带来的危害程度，对风险的严重程度进行区分，风险严重度分为以下五类：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非常严重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严重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较严重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 xml:space="preserve">一般   </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轻微</w:t>
      </w:r>
    </w:p>
    <w:p w14:paraId="09F6229B">
      <w:pPr>
        <w:spacing w:line="360" w:lineRule="auto"/>
        <w:rPr>
          <w:rFonts w:ascii="宋体" w:hAnsi="宋体"/>
          <w:sz w:val="24"/>
        </w:rPr>
      </w:pPr>
      <w:r>
        <w:rPr>
          <w:rFonts w:hint="eastAsia" w:ascii="宋体" w:hAnsi="宋体"/>
          <w:sz w:val="24"/>
        </w:rPr>
        <w:t>3)依据定义的风险影响和影响程度的多少进行量化，在对风险的严重程度进行评价时，下表作为评价风险严重度的准则：</w:t>
      </w:r>
    </w:p>
    <w:tbl>
      <w:tblPr>
        <w:tblStyle w:val="44"/>
        <w:tblW w:w="9344" w:type="dxa"/>
        <w:jc w:val="center"/>
        <w:tblLayout w:type="fixed"/>
        <w:tblCellMar>
          <w:top w:w="0" w:type="dxa"/>
          <w:left w:w="108" w:type="dxa"/>
          <w:bottom w:w="0" w:type="dxa"/>
          <w:right w:w="108" w:type="dxa"/>
        </w:tblCellMar>
      </w:tblPr>
      <w:tblGrid>
        <w:gridCol w:w="890"/>
        <w:gridCol w:w="2514"/>
        <w:gridCol w:w="1559"/>
        <w:gridCol w:w="1559"/>
        <w:gridCol w:w="1170"/>
        <w:gridCol w:w="1146"/>
        <w:gridCol w:w="506"/>
      </w:tblGrid>
      <w:tr w14:paraId="56A0D5F3">
        <w:tblPrEx>
          <w:tblCellMar>
            <w:top w:w="0" w:type="dxa"/>
            <w:left w:w="108" w:type="dxa"/>
            <w:bottom w:w="0" w:type="dxa"/>
            <w:right w:w="108" w:type="dxa"/>
          </w:tblCellMar>
        </w:tblPrEx>
        <w:trPr>
          <w:trHeight w:val="327" w:hRule="atLeast"/>
          <w:jc w:val="center"/>
        </w:trPr>
        <w:tc>
          <w:tcPr>
            <w:tcW w:w="890" w:type="dxa"/>
            <w:vMerge w:val="restart"/>
            <w:tcBorders>
              <w:top w:val="single" w:color="auto" w:sz="4" w:space="0"/>
              <w:left w:val="single" w:color="auto" w:sz="4" w:space="0"/>
              <w:bottom w:val="single" w:color="000000" w:sz="4" w:space="0"/>
              <w:right w:val="single" w:color="auto" w:sz="4" w:space="0"/>
            </w:tcBorders>
            <w:vAlign w:val="center"/>
          </w:tcPr>
          <w:p w14:paraId="0AF40F78">
            <w:pPr>
              <w:spacing w:line="360" w:lineRule="auto"/>
              <w:rPr>
                <w:rFonts w:ascii="宋体" w:hAnsi="宋体"/>
                <w:sz w:val="24"/>
              </w:rPr>
            </w:pPr>
            <w:r>
              <w:rPr>
                <w:rFonts w:hint="eastAsia" w:ascii="宋体" w:hAnsi="宋体"/>
                <w:sz w:val="24"/>
              </w:rPr>
              <w:t>严重</w:t>
            </w:r>
          </w:p>
          <w:p w14:paraId="0D970E39">
            <w:pPr>
              <w:spacing w:line="360" w:lineRule="auto"/>
              <w:rPr>
                <w:rFonts w:ascii="宋体" w:hAnsi="宋体"/>
                <w:sz w:val="24"/>
              </w:rPr>
            </w:pPr>
            <w:r>
              <w:rPr>
                <w:rFonts w:hint="eastAsia" w:ascii="宋体" w:hAnsi="宋体"/>
                <w:sz w:val="24"/>
              </w:rPr>
              <w:t>程度</w:t>
            </w:r>
          </w:p>
        </w:tc>
        <w:tc>
          <w:tcPr>
            <w:tcW w:w="7948" w:type="dxa"/>
            <w:gridSpan w:val="5"/>
            <w:tcBorders>
              <w:top w:val="single" w:color="auto" w:sz="4" w:space="0"/>
              <w:left w:val="nil"/>
              <w:bottom w:val="nil"/>
              <w:right w:val="single" w:color="000000" w:sz="4" w:space="0"/>
            </w:tcBorders>
            <w:vAlign w:val="center"/>
          </w:tcPr>
          <w:p w14:paraId="49C2DBC1">
            <w:pPr>
              <w:spacing w:line="360" w:lineRule="auto"/>
              <w:rPr>
                <w:rFonts w:ascii="宋体" w:hAnsi="宋体"/>
                <w:sz w:val="24"/>
              </w:rPr>
            </w:pPr>
            <w:r>
              <w:rPr>
                <w:rFonts w:hint="eastAsia" w:ascii="宋体" w:hAnsi="宋体"/>
                <w:sz w:val="24"/>
              </w:rPr>
              <w:t>描述</w:t>
            </w:r>
          </w:p>
        </w:tc>
        <w:tc>
          <w:tcPr>
            <w:tcW w:w="506" w:type="dxa"/>
            <w:vMerge w:val="restart"/>
            <w:tcBorders>
              <w:top w:val="single" w:color="auto" w:sz="4" w:space="0"/>
              <w:left w:val="single" w:color="auto" w:sz="4" w:space="0"/>
              <w:bottom w:val="single" w:color="000000" w:sz="4" w:space="0"/>
              <w:right w:val="single" w:color="auto" w:sz="4" w:space="0"/>
            </w:tcBorders>
            <w:vAlign w:val="center"/>
          </w:tcPr>
          <w:p w14:paraId="5655DD6D">
            <w:pPr>
              <w:spacing w:line="360" w:lineRule="auto"/>
              <w:rPr>
                <w:rFonts w:ascii="宋体" w:hAnsi="宋体"/>
                <w:sz w:val="24"/>
              </w:rPr>
            </w:pPr>
            <w:r>
              <w:rPr>
                <w:rFonts w:hint="eastAsia" w:ascii="宋体" w:hAnsi="宋体"/>
                <w:sz w:val="24"/>
              </w:rPr>
              <w:t>等</w:t>
            </w:r>
          </w:p>
          <w:p w14:paraId="522ED16A">
            <w:pPr>
              <w:spacing w:line="360" w:lineRule="auto"/>
              <w:rPr>
                <w:rFonts w:ascii="宋体" w:hAnsi="宋体"/>
                <w:sz w:val="24"/>
              </w:rPr>
            </w:pPr>
            <w:r>
              <w:rPr>
                <w:rFonts w:hint="eastAsia" w:ascii="宋体" w:hAnsi="宋体"/>
                <w:sz w:val="24"/>
              </w:rPr>
              <w:t>级</w:t>
            </w:r>
          </w:p>
        </w:tc>
      </w:tr>
      <w:tr w14:paraId="3940DDCF">
        <w:tblPrEx>
          <w:tblCellMar>
            <w:top w:w="0" w:type="dxa"/>
            <w:left w:w="108" w:type="dxa"/>
            <w:bottom w:w="0" w:type="dxa"/>
            <w:right w:w="108" w:type="dxa"/>
          </w:tblCellMar>
        </w:tblPrEx>
        <w:trPr>
          <w:trHeight w:val="940" w:hRule="atLeast"/>
          <w:jc w:val="center"/>
        </w:trPr>
        <w:tc>
          <w:tcPr>
            <w:tcW w:w="890" w:type="dxa"/>
            <w:vMerge w:val="continue"/>
            <w:tcBorders>
              <w:top w:val="nil"/>
              <w:left w:val="single" w:color="auto" w:sz="4" w:space="0"/>
              <w:bottom w:val="single" w:color="000000" w:sz="4" w:space="0"/>
              <w:right w:val="single" w:color="auto" w:sz="4" w:space="0"/>
            </w:tcBorders>
            <w:vAlign w:val="center"/>
          </w:tcPr>
          <w:p w14:paraId="60D962B3">
            <w:pPr>
              <w:spacing w:line="360" w:lineRule="auto"/>
              <w:rPr>
                <w:rFonts w:ascii="宋体" w:hAnsi="宋体"/>
                <w:sz w:val="24"/>
              </w:rPr>
            </w:pPr>
          </w:p>
        </w:tc>
        <w:tc>
          <w:tcPr>
            <w:tcW w:w="2514" w:type="dxa"/>
            <w:tcBorders>
              <w:top w:val="single" w:color="auto" w:sz="4" w:space="0"/>
              <w:left w:val="nil"/>
              <w:bottom w:val="single" w:color="auto" w:sz="4" w:space="0"/>
              <w:right w:val="single" w:color="auto" w:sz="4" w:space="0"/>
            </w:tcBorders>
            <w:vAlign w:val="center"/>
          </w:tcPr>
          <w:p w14:paraId="5206E9FC">
            <w:pPr>
              <w:spacing w:line="360" w:lineRule="auto"/>
              <w:rPr>
                <w:rFonts w:ascii="宋体" w:hAnsi="宋体"/>
                <w:sz w:val="24"/>
              </w:rPr>
            </w:pPr>
            <w:r>
              <w:rPr>
                <w:rFonts w:hint="eastAsia" w:ascii="宋体" w:hAnsi="宋体"/>
                <w:sz w:val="24"/>
              </w:rPr>
              <w:t>合规义务/产品/顾客要求及顾客影响</w:t>
            </w:r>
          </w:p>
        </w:tc>
        <w:tc>
          <w:tcPr>
            <w:tcW w:w="1559" w:type="dxa"/>
            <w:tcBorders>
              <w:top w:val="single" w:color="auto" w:sz="4" w:space="0"/>
              <w:left w:val="nil"/>
              <w:bottom w:val="single" w:color="auto" w:sz="4" w:space="0"/>
              <w:right w:val="single" w:color="auto" w:sz="4" w:space="0"/>
            </w:tcBorders>
            <w:vAlign w:val="center"/>
          </w:tcPr>
          <w:p w14:paraId="23277591">
            <w:pPr>
              <w:spacing w:line="360" w:lineRule="auto"/>
              <w:rPr>
                <w:rFonts w:ascii="宋体" w:hAnsi="宋体"/>
                <w:sz w:val="24"/>
              </w:rPr>
            </w:pPr>
            <w:r>
              <w:rPr>
                <w:rFonts w:hint="eastAsia" w:ascii="宋体" w:hAnsi="宋体"/>
                <w:sz w:val="24"/>
              </w:rPr>
              <w:t>人身伤害</w:t>
            </w:r>
          </w:p>
        </w:tc>
        <w:tc>
          <w:tcPr>
            <w:tcW w:w="1559" w:type="dxa"/>
            <w:tcBorders>
              <w:top w:val="single" w:color="auto" w:sz="4" w:space="0"/>
              <w:left w:val="nil"/>
              <w:bottom w:val="single" w:color="auto" w:sz="4" w:space="0"/>
              <w:right w:val="single" w:color="auto" w:sz="4" w:space="0"/>
            </w:tcBorders>
            <w:vAlign w:val="center"/>
          </w:tcPr>
          <w:p w14:paraId="2FA1BDAA">
            <w:pPr>
              <w:spacing w:line="360" w:lineRule="auto"/>
              <w:rPr>
                <w:rFonts w:ascii="宋体" w:hAnsi="宋体"/>
                <w:sz w:val="24"/>
              </w:rPr>
            </w:pPr>
            <w:r>
              <w:rPr>
                <w:rFonts w:hint="eastAsia" w:ascii="宋体" w:hAnsi="宋体"/>
                <w:sz w:val="24"/>
              </w:rPr>
              <w:t>财产损失（万元）</w:t>
            </w:r>
          </w:p>
        </w:tc>
        <w:tc>
          <w:tcPr>
            <w:tcW w:w="1170" w:type="dxa"/>
            <w:tcBorders>
              <w:top w:val="single" w:color="auto" w:sz="4" w:space="0"/>
              <w:left w:val="nil"/>
              <w:bottom w:val="single" w:color="auto" w:sz="4" w:space="0"/>
              <w:right w:val="single" w:color="auto" w:sz="4" w:space="0"/>
            </w:tcBorders>
            <w:vAlign w:val="center"/>
          </w:tcPr>
          <w:p w14:paraId="6D306F00">
            <w:pPr>
              <w:spacing w:line="360" w:lineRule="auto"/>
              <w:rPr>
                <w:rFonts w:ascii="宋体" w:hAnsi="宋体"/>
                <w:sz w:val="24"/>
              </w:rPr>
            </w:pPr>
            <w:r>
              <w:rPr>
                <w:rFonts w:hint="eastAsia" w:ascii="宋体" w:hAnsi="宋体"/>
                <w:sz w:val="24"/>
              </w:rPr>
              <w:t>停工/停产</w:t>
            </w:r>
          </w:p>
        </w:tc>
        <w:tc>
          <w:tcPr>
            <w:tcW w:w="1146" w:type="dxa"/>
            <w:tcBorders>
              <w:top w:val="single" w:color="auto" w:sz="4" w:space="0"/>
              <w:left w:val="nil"/>
              <w:bottom w:val="single" w:color="auto" w:sz="4" w:space="0"/>
              <w:right w:val="single" w:color="auto" w:sz="4" w:space="0"/>
            </w:tcBorders>
            <w:vAlign w:val="center"/>
          </w:tcPr>
          <w:p w14:paraId="3F965741">
            <w:pPr>
              <w:spacing w:line="360" w:lineRule="auto"/>
              <w:rPr>
                <w:rFonts w:ascii="宋体" w:hAnsi="宋体"/>
                <w:sz w:val="24"/>
              </w:rPr>
            </w:pPr>
            <w:r>
              <w:rPr>
                <w:rFonts w:hint="eastAsia" w:ascii="宋体" w:hAnsi="宋体"/>
                <w:sz w:val="24"/>
              </w:rPr>
              <w:t>企业形象</w:t>
            </w:r>
          </w:p>
        </w:tc>
        <w:tc>
          <w:tcPr>
            <w:tcW w:w="506" w:type="dxa"/>
            <w:vMerge w:val="continue"/>
            <w:tcBorders>
              <w:top w:val="nil"/>
              <w:left w:val="single" w:color="auto" w:sz="4" w:space="0"/>
              <w:bottom w:val="single" w:color="000000" w:sz="4" w:space="0"/>
              <w:right w:val="single" w:color="auto" w:sz="4" w:space="0"/>
            </w:tcBorders>
            <w:vAlign w:val="center"/>
          </w:tcPr>
          <w:p w14:paraId="12CE22DA">
            <w:pPr>
              <w:spacing w:line="360" w:lineRule="auto"/>
              <w:rPr>
                <w:rFonts w:ascii="宋体" w:hAnsi="宋体"/>
                <w:sz w:val="24"/>
              </w:rPr>
            </w:pPr>
          </w:p>
        </w:tc>
      </w:tr>
      <w:tr w14:paraId="0AEC2EC8">
        <w:tblPrEx>
          <w:tblCellMar>
            <w:top w:w="0" w:type="dxa"/>
            <w:left w:w="108" w:type="dxa"/>
            <w:bottom w:w="0" w:type="dxa"/>
            <w:right w:w="108" w:type="dxa"/>
          </w:tblCellMar>
        </w:tblPrEx>
        <w:trPr>
          <w:trHeight w:val="820" w:hRule="atLeast"/>
          <w:jc w:val="center"/>
        </w:trPr>
        <w:tc>
          <w:tcPr>
            <w:tcW w:w="890" w:type="dxa"/>
            <w:tcBorders>
              <w:top w:val="nil"/>
              <w:left w:val="single" w:color="auto" w:sz="4" w:space="0"/>
              <w:bottom w:val="single" w:color="auto" w:sz="4" w:space="0"/>
              <w:right w:val="single" w:color="auto" w:sz="4" w:space="0"/>
            </w:tcBorders>
            <w:vAlign w:val="center"/>
          </w:tcPr>
          <w:p w14:paraId="5A14E320">
            <w:pPr>
              <w:spacing w:line="360" w:lineRule="auto"/>
              <w:rPr>
                <w:rFonts w:ascii="宋体" w:hAnsi="宋体"/>
                <w:sz w:val="24"/>
              </w:rPr>
            </w:pPr>
            <w:r>
              <w:rPr>
                <w:rFonts w:hint="eastAsia" w:ascii="宋体" w:hAnsi="宋体"/>
                <w:sz w:val="24"/>
              </w:rPr>
              <w:t>非常</w:t>
            </w:r>
          </w:p>
          <w:p w14:paraId="57B27DB0">
            <w:pPr>
              <w:spacing w:line="360" w:lineRule="auto"/>
              <w:rPr>
                <w:rFonts w:ascii="宋体" w:hAnsi="宋体"/>
                <w:sz w:val="24"/>
              </w:rPr>
            </w:pPr>
            <w:r>
              <w:rPr>
                <w:rFonts w:hint="eastAsia" w:ascii="宋体" w:hAnsi="宋体"/>
                <w:sz w:val="24"/>
              </w:rPr>
              <w:t>严重</w:t>
            </w:r>
          </w:p>
        </w:tc>
        <w:tc>
          <w:tcPr>
            <w:tcW w:w="2514" w:type="dxa"/>
            <w:tcBorders>
              <w:top w:val="nil"/>
              <w:left w:val="nil"/>
              <w:bottom w:val="single" w:color="auto" w:sz="4" w:space="0"/>
              <w:right w:val="single" w:color="auto" w:sz="4" w:space="0"/>
            </w:tcBorders>
            <w:vAlign w:val="center"/>
          </w:tcPr>
          <w:p w14:paraId="00778B3D">
            <w:pPr>
              <w:spacing w:line="360" w:lineRule="auto"/>
              <w:rPr>
                <w:rFonts w:ascii="宋体" w:hAnsi="宋体"/>
                <w:sz w:val="24"/>
              </w:rPr>
            </w:pPr>
            <w:r>
              <w:rPr>
                <w:rFonts w:hint="eastAsia" w:ascii="宋体" w:hAnsi="宋体"/>
                <w:sz w:val="24"/>
              </w:rPr>
              <w:t>违反国家标准/客户标准/对客户影响非常严重（会造成客户停产/停线/停止交货）</w:t>
            </w:r>
          </w:p>
        </w:tc>
        <w:tc>
          <w:tcPr>
            <w:tcW w:w="1559" w:type="dxa"/>
            <w:tcBorders>
              <w:top w:val="nil"/>
              <w:left w:val="nil"/>
              <w:bottom w:val="single" w:color="auto" w:sz="4" w:space="0"/>
              <w:right w:val="single" w:color="auto" w:sz="4" w:space="0"/>
            </w:tcBorders>
            <w:vAlign w:val="center"/>
          </w:tcPr>
          <w:p w14:paraId="021235EA">
            <w:pPr>
              <w:spacing w:line="360" w:lineRule="auto"/>
              <w:rPr>
                <w:rFonts w:ascii="宋体" w:hAnsi="宋体"/>
                <w:sz w:val="24"/>
              </w:rPr>
            </w:pPr>
            <w:r>
              <w:rPr>
                <w:rFonts w:hint="eastAsia" w:ascii="宋体" w:hAnsi="宋体"/>
                <w:sz w:val="24"/>
              </w:rPr>
              <w:t>死亡、截肢、骨折、听力丧失、慢性病等</w:t>
            </w:r>
          </w:p>
        </w:tc>
        <w:tc>
          <w:tcPr>
            <w:tcW w:w="1559" w:type="dxa"/>
            <w:tcBorders>
              <w:top w:val="nil"/>
              <w:left w:val="nil"/>
              <w:bottom w:val="single" w:color="auto" w:sz="4" w:space="0"/>
              <w:right w:val="single" w:color="auto" w:sz="4" w:space="0"/>
            </w:tcBorders>
            <w:vAlign w:val="center"/>
          </w:tcPr>
          <w:p w14:paraId="135B9DC3">
            <w:pPr>
              <w:spacing w:line="360" w:lineRule="auto"/>
              <w:rPr>
                <w:rFonts w:ascii="宋体" w:hAnsi="宋体"/>
                <w:sz w:val="24"/>
              </w:rPr>
            </w:pPr>
            <w:r>
              <w:rPr>
                <w:rFonts w:hint="eastAsia" w:ascii="宋体" w:hAnsi="宋体"/>
                <w:sz w:val="24"/>
              </w:rPr>
              <w:t>10≤财产损失</w:t>
            </w:r>
          </w:p>
        </w:tc>
        <w:tc>
          <w:tcPr>
            <w:tcW w:w="1170" w:type="dxa"/>
            <w:tcBorders>
              <w:top w:val="nil"/>
              <w:left w:val="nil"/>
              <w:bottom w:val="single" w:color="auto" w:sz="4" w:space="0"/>
              <w:right w:val="single" w:color="auto" w:sz="4" w:space="0"/>
            </w:tcBorders>
            <w:vAlign w:val="center"/>
          </w:tcPr>
          <w:p w14:paraId="3A4AC03A">
            <w:pPr>
              <w:spacing w:line="360" w:lineRule="auto"/>
              <w:rPr>
                <w:rFonts w:ascii="宋体" w:hAnsi="宋体"/>
                <w:sz w:val="24"/>
              </w:rPr>
            </w:pPr>
            <w:r>
              <w:rPr>
                <w:rFonts w:hint="eastAsia" w:ascii="宋体" w:hAnsi="宋体"/>
                <w:sz w:val="24"/>
              </w:rPr>
              <w:t>不可恢复</w:t>
            </w:r>
          </w:p>
        </w:tc>
        <w:tc>
          <w:tcPr>
            <w:tcW w:w="1146" w:type="dxa"/>
            <w:tcBorders>
              <w:top w:val="nil"/>
              <w:left w:val="nil"/>
              <w:bottom w:val="single" w:color="auto" w:sz="4" w:space="0"/>
              <w:right w:val="single" w:color="auto" w:sz="4" w:space="0"/>
            </w:tcBorders>
            <w:vAlign w:val="center"/>
          </w:tcPr>
          <w:p w14:paraId="0C6F1727">
            <w:pPr>
              <w:spacing w:line="360" w:lineRule="auto"/>
              <w:rPr>
                <w:rFonts w:ascii="宋体" w:hAnsi="宋体"/>
                <w:sz w:val="24"/>
              </w:rPr>
            </w:pPr>
            <w:r>
              <w:rPr>
                <w:rFonts w:hint="eastAsia" w:ascii="宋体" w:hAnsi="宋体"/>
                <w:sz w:val="24"/>
              </w:rPr>
              <w:t>重大国际、</w:t>
            </w:r>
          </w:p>
          <w:p w14:paraId="49D15E0E">
            <w:pPr>
              <w:spacing w:line="360" w:lineRule="auto"/>
              <w:rPr>
                <w:rFonts w:ascii="宋体" w:hAnsi="宋体"/>
                <w:sz w:val="24"/>
              </w:rPr>
            </w:pPr>
            <w:r>
              <w:rPr>
                <w:rFonts w:hint="eastAsia" w:ascii="宋体" w:hAnsi="宋体"/>
                <w:sz w:val="24"/>
              </w:rPr>
              <w:t>国内影响</w:t>
            </w:r>
          </w:p>
        </w:tc>
        <w:tc>
          <w:tcPr>
            <w:tcW w:w="506" w:type="dxa"/>
            <w:tcBorders>
              <w:top w:val="nil"/>
              <w:left w:val="nil"/>
              <w:bottom w:val="single" w:color="auto" w:sz="4" w:space="0"/>
              <w:right w:val="single" w:color="auto" w:sz="4" w:space="0"/>
            </w:tcBorders>
            <w:vAlign w:val="center"/>
          </w:tcPr>
          <w:p w14:paraId="57472C7F">
            <w:pPr>
              <w:spacing w:line="360" w:lineRule="auto"/>
              <w:rPr>
                <w:rFonts w:ascii="宋体" w:hAnsi="宋体"/>
                <w:sz w:val="24"/>
              </w:rPr>
            </w:pPr>
            <w:r>
              <w:rPr>
                <w:rFonts w:hint="eastAsia" w:ascii="宋体" w:hAnsi="宋体"/>
                <w:sz w:val="24"/>
              </w:rPr>
              <w:t>5</w:t>
            </w:r>
          </w:p>
        </w:tc>
      </w:tr>
      <w:tr w14:paraId="41730678">
        <w:tblPrEx>
          <w:tblCellMar>
            <w:top w:w="0" w:type="dxa"/>
            <w:left w:w="108" w:type="dxa"/>
            <w:bottom w:w="0" w:type="dxa"/>
            <w:right w:w="108" w:type="dxa"/>
          </w:tblCellMar>
        </w:tblPrEx>
        <w:trPr>
          <w:trHeight w:val="920" w:hRule="atLeast"/>
          <w:jc w:val="center"/>
        </w:trPr>
        <w:tc>
          <w:tcPr>
            <w:tcW w:w="890" w:type="dxa"/>
            <w:tcBorders>
              <w:top w:val="nil"/>
              <w:left w:val="single" w:color="auto" w:sz="4" w:space="0"/>
              <w:bottom w:val="single" w:color="auto" w:sz="4" w:space="0"/>
              <w:right w:val="single" w:color="auto" w:sz="4" w:space="0"/>
            </w:tcBorders>
            <w:vAlign w:val="center"/>
          </w:tcPr>
          <w:p w14:paraId="553E6615">
            <w:pPr>
              <w:spacing w:line="360" w:lineRule="auto"/>
              <w:rPr>
                <w:rFonts w:ascii="宋体" w:hAnsi="宋体"/>
                <w:sz w:val="24"/>
              </w:rPr>
            </w:pPr>
            <w:r>
              <w:rPr>
                <w:rFonts w:hint="eastAsia" w:ascii="宋体" w:hAnsi="宋体"/>
                <w:sz w:val="24"/>
              </w:rPr>
              <w:t>严重</w:t>
            </w:r>
          </w:p>
        </w:tc>
        <w:tc>
          <w:tcPr>
            <w:tcW w:w="2514" w:type="dxa"/>
            <w:tcBorders>
              <w:top w:val="nil"/>
              <w:left w:val="nil"/>
              <w:bottom w:val="single" w:color="auto" w:sz="4" w:space="0"/>
              <w:right w:val="single" w:color="auto" w:sz="4" w:space="0"/>
            </w:tcBorders>
            <w:vAlign w:val="center"/>
          </w:tcPr>
          <w:p w14:paraId="4597AB1B">
            <w:pPr>
              <w:spacing w:line="360" w:lineRule="auto"/>
              <w:rPr>
                <w:rFonts w:ascii="宋体" w:hAnsi="宋体"/>
                <w:sz w:val="24"/>
              </w:rPr>
            </w:pPr>
            <w:r>
              <w:rPr>
                <w:rFonts w:hint="eastAsia" w:ascii="宋体" w:hAnsi="宋体"/>
                <w:sz w:val="24"/>
              </w:rPr>
              <w:t>违反省内或行业标准/对客户影响严重（会造成客户短暂缺料）</w:t>
            </w:r>
          </w:p>
        </w:tc>
        <w:tc>
          <w:tcPr>
            <w:tcW w:w="1559" w:type="dxa"/>
            <w:tcBorders>
              <w:top w:val="nil"/>
              <w:left w:val="nil"/>
              <w:bottom w:val="single" w:color="auto" w:sz="4" w:space="0"/>
              <w:right w:val="single" w:color="auto" w:sz="4" w:space="0"/>
            </w:tcBorders>
            <w:vAlign w:val="center"/>
          </w:tcPr>
          <w:p w14:paraId="3F1B070F">
            <w:pPr>
              <w:spacing w:line="360" w:lineRule="auto"/>
              <w:rPr>
                <w:rFonts w:ascii="宋体" w:hAnsi="宋体"/>
                <w:sz w:val="24"/>
              </w:rPr>
            </w:pPr>
            <w:r>
              <w:rPr>
                <w:rFonts w:hint="eastAsia" w:ascii="宋体" w:hAnsi="宋体"/>
                <w:sz w:val="24"/>
              </w:rPr>
              <w:t>受伤需要停工疗养，且停工时间≥3个月</w:t>
            </w:r>
          </w:p>
        </w:tc>
        <w:tc>
          <w:tcPr>
            <w:tcW w:w="1559" w:type="dxa"/>
            <w:tcBorders>
              <w:top w:val="nil"/>
              <w:left w:val="nil"/>
              <w:bottom w:val="single" w:color="auto" w:sz="4" w:space="0"/>
              <w:right w:val="single" w:color="auto" w:sz="4" w:space="0"/>
            </w:tcBorders>
            <w:vAlign w:val="center"/>
          </w:tcPr>
          <w:p w14:paraId="234D3A0E">
            <w:pPr>
              <w:spacing w:line="360" w:lineRule="auto"/>
              <w:rPr>
                <w:rFonts w:ascii="宋体" w:hAnsi="宋体"/>
                <w:sz w:val="24"/>
              </w:rPr>
            </w:pPr>
            <w:r>
              <w:rPr>
                <w:rFonts w:hint="eastAsia" w:ascii="宋体" w:hAnsi="宋体"/>
                <w:sz w:val="24"/>
              </w:rPr>
              <w:t>5≤财产损失＜10</w:t>
            </w:r>
          </w:p>
        </w:tc>
        <w:tc>
          <w:tcPr>
            <w:tcW w:w="1170" w:type="dxa"/>
            <w:tcBorders>
              <w:top w:val="nil"/>
              <w:left w:val="nil"/>
              <w:bottom w:val="single" w:color="auto" w:sz="4" w:space="0"/>
              <w:right w:val="single" w:color="auto" w:sz="4" w:space="0"/>
            </w:tcBorders>
            <w:vAlign w:val="center"/>
          </w:tcPr>
          <w:p w14:paraId="2AC778DA">
            <w:pPr>
              <w:spacing w:line="360" w:lineRule="auto"/>
              <w:rPr>
                <w:rFonts w:ascii="宋体" w:hAnsi="宋体"/>
                <w:sz w:val="24"/>
              </w:rPr>
            </w:pPr>
            <w:r>
              <w:rPr>
                <w:rFonts w:hint="eastAsia" w:ascii="宋体" w:hAnsi="宋体"/>
                <w:sz w:val="24"/>
              </w:rPr>
              <w:t>需较长时间调整后才可恢复</w:t>
            </w:r>
          </w:p>
        </w:tc>
        <w:tc>
          <w:tcPr>
            <w:tcW w:w="1146" w:type="dxa"/>
            <w:tcBorders>
              <w:top w:val="nil"/>
              <w:left w:val="nil"/>
              <w:bottom w:val="single" w:color="auto" w:sz="4" w:space="0"/>
              <w:right w:val="single" w:color="auto" w:sz="4" w:space="0"/>
            </w:tcBorders>
            <w:vAlign w:val="center"/>
          </w:tcPr>
          <w:p w14:paraId="1C4CA4F5">
            <w:pPr>
              <w:spacing w:line="360" w:lineRule="auto"/>
              <w:rPr>
                <w:rFonts w:ascii="宋体" w:hAnsi="宋体"/>
                <w:sz w:val="24"/>
              </w:rPr>
            </w:pPr>
            <w:r>
              <w:rPr>
                <w:rFonts w:hint="eastAsia" w:ascii="宋体" w:hAnsi="宋体"/>
                <w:sz w:val="24"/>
              </w:rPr>
              <w:t>省内、行业影响</w:t>
            </w:r>
          </w:p>
        </w:tc>
        <w:tc>
          <w:tcPr>
            <w:tcW w:w="506" w:type="dxa"/>
            <w:tcBorders>
              <w:top w:val="nil"/>
              <w:left w:val="nil"/>
              <w:bottom w:val="single" w:color="auto" w:sz="4" w:space="0"/>
              <w:right w:val="single" w:color="auto" w:sz="4" w:space="0"/>
            </w:tcBorders>
            <w:vAlign w:val="center"/>
          </w:tcPr>
          <w:p w14:paraId="572E5803">
            <w:pPr>
              <w:spacing w:line="360" w:lineRule="auto"/>
              <w:rPr>
                <w:rFonts w:ascii="宋体" w:hAnsi="宋体"/>
                <w:sz w:val="24"/>
              </w:rPr>
            </w:pPr>
            <w:r>
              <w:rPr>
                <w:rFonts w:hint="eastAsia" w:ascii="宋体" w:hAnsi="宋体"/>
                <w:sz w:val="24"/>
              </w:rPr>
              <w:t>4</w:t>
            </w:r>
          </w:p>
        </w:tc>
      </w:tr>
      <w:tr w14:paraId="4A134F4F">
        <w:tblPrEx>
          <w:tblCellMar>
            <w:top w:w="0" w:type="dxa"/>
            <w:left w:w="108" w:type="dxa"/>
            <w:bottom w:w="0" w:type="dxa"/>
            <w:right w:w="108" w:type="dxa"/>
          </w:tblCellMar>
        </w:tblPrEx>
        <w:trPr>
          <w:trHeight w:val="860" w:hRule="atLeast"/>
          <w:jc w:val="center"/>
        </w:trPr>
        <w:tc>
          <w:tcPr>
            <w:tcW w:w="890" w:type="dxa"/>
            <w:tcBorders>
              <w:top w:val="nil"/>
              <w:left w:val="single" w:color="auto" w:sz="4" w:space="0"/>
              <w:bottom w:val="single" w:color="auto" w:sz="4" w:space="0"/>
              <w:right w:val="single" w:color="auto" w:sz="4" w:space="0"/>
            </w:tcBorders>
            <w:vAlign w:val="center"/>
          </w:tcPr>
          <w:p w14:paraId="43686140">
            <w:pPr>
              <w:spacing w:line="360" w:lineRule="auto"/>
              <w:rPr>
                <w:rFonts w:ascii="宋体" w:hAnsi="宋体"/>
                <w:sz w:val="24"/>
              </w:rPr>
            </w:pPr>
            <w:r>
              <w:rPr>
                <w:rFonts w:hint="eastAsia" w:ascii="宋体" w:hAnsi="宋体"/>
                <w:sz w:val="24"/>
              </w:rPr>
              <w:t>较严重</w:t>
            </w:r>
          </w:p>
        </w:tc>
        <w:tc>
          <w:tcPr>
            <w:tcW w:w="2514" w:type="dxa"/>
            <w:tcBorders>
              <w:top w:val="nil"/>
              <w:left w:val="nil"/>
              <w:bottom w:val="single" w:color="auto" w:sz="4" w:space="0"/>
              <w:right w:val="single" w:color="auto" w:sz="4" w:space="0"/>
            </w:tcBorders>
            <w:vAlign w:val="center"/>
          </w:tcPr>
          <w:p w14:paraId="61FC0706">
            <w:pPr>
              <w:spacing w:line="360" w:lineRule="auto"/>
              <w:rPr>
                <w:rFonts w:ascii="宋体" w:hAnsi="宋体"/>
                <w:sz w:val="24"/>
              </w:rPr>
            </w:pPr>
            <w:r>
              <w:rPr>
                <w:rFonts w:hint="eastAsia" w:ascii="宋体" w:hAnsi="宋体"/>
                <w:sz w:val="24"/>
              </w:rPr>
              <w:t>违反地区标准/对客户影响较严重（会有客户投诉/批量退货）</w:t>
            </w:r>
          </w:p>
        </w:tc>
        <w:tc>
          <w:tcPr>
            <w:tcW w:w="1559" w:type="dxa"/>
            <w:tcBorders>
              <w:top w:val="nil"/>
              <w:left w:val="nil"/>
              <w:bottom w:val="single" w:color="auto" w:sz="4" w:space="0"/>
              <w:right w:val="single" w:color="auto" w:sz="4" w:space="0"/>
            </w:tcBorders>
            <w:vAlign w:val="center"/>
          </w:tcPr>
          <w:p w14:paraId="01555ED5">
            <w:pPr>
              <w:spacing w:line="360" w:lineRule="auto"/>
              <w:rPr>
                <w:rFonts w:ascii="宋体" w:hAnsi="宋体"/>
                <w:sz w:val="24"/>
              </w:rPr>
            </w:pPr>
            <w:r>
              <w:rPr>
                <w:rFonts w:hint="eastAsia" w:ascii="宋体" w:hAnsi="宋体"/>
                <w:sz w:val="24"/>
              </w:rPr>
              <w:t>受伤需要停工疗养，且停工时间＜3个月</w:t>
            </w:r>
          </w:p>
        </w:tc>
        <w:tc>
          <w:tcPr>
            <w:tcW w:w="1559" w:type="dxa"/>
            <w:tcBorders>
              <w:top w:val="nil"/>
              <w:left w:val="nil"/>
              <w:bottom w:val="single" w:color="auto" w:sz="4" w:space="0"/>
              <w:right w:val="single" w:color="auto" w:sz="4" w:space="0"/>
            </w:tcBorders>
            <w:vAlign w:val="center"/>
          </w:tcPr>
          <w:p w14:paraId="2DB095FC">
            <w:pPr>
              <w:spacing w:line="360" w:lineRule="auto"/>
              <w:rPr>
                <w:rFonts w:ascii="宋体" w:hAnsi="宋体"/>
                <w:sz w:val="24"/>
              </w:rPr>
            </w:pPr>
            <w:r>
              <w:rPr>
                <w:rFonts w:hint="eastAsia" w:ascii="宋体" w:hAnsi="宋体"/>
                <w:sz w:val="24"/>
              </w:rPr>
              <w:t>1≤财产损失＜5</w:t>
            </w:r>
          </w:p>
        </w:tc>
        <w:tc>
          <w:tcPr>
            <w:tcW w:w="1170" w:type="dxa"/>
            <w:tcBorders>
              <w:top w:val="nil"/>
              <w:left w:val="nil"/>
              <w:bottom w:val="single" w:color="auto" w:sz="4" w:space="0"/>
              <w:right w:val="single" w:color="auto" w:sz="4" w:space="0"/>
            </w:tcBorders>
            <w:vAlign w:val="center"/>
          </w:tcPr>
          <w:p w14:paraId="21C63678">
            <w:pPr>
              <w:spacing w:line="360" w:lineRule="auto"/>
              <w:rPr>
                <w:rFonts w:ascii="宋体" w:hAnsi="宋体"/>
                <w:sz w:val="24"/>
              </w:rPr>
            </w:pPr>
            <w:r>
              <w:rPr>
                <w:rFonts w:hint="eastAsia" w:ascii="宋体" w:hAnsi="宋体"/>
                <w:sz w:val="24"/>
              </w:rPr>
              <w:t>间歇性恢复</w:t>
            </w:r>
          </w:p>
        </w:tc>
        <w:tc>
          <w:tcPr>
            <w:tcW w:w="1146" w:type="dxa"/>
            <w:tcBorders>
              <w:top w:val="nil"/>
              <w:left w:val="nil"/>
              <w:bottom w:val="single" w:color="auto" w:sz="4" w:space="0"/>
              <w:right w:val="single" w:color="auto" w:sz="4" w:space="0"/>
            </w:tcBorders>
            <w:vAlign w:val="center"/>
          </w:tcPr>
          <w:p w14:paraId="0C62792A">
            <w:pPr>
              <w:spacing w:line="360" w:lineRule="auto"/>
              <w:rPr>
                <w:rFonts w:ascii="宋体" w:hAnsi="宋体"/>
                <w:sz w:val="24"/>
              </w:rPr>
            </w:pPr>
            <w:r>
              <w:rPr>
                <w:rFonts w:hint="eastAsia" w:ascii="宋体" w:hAnsi="宋体"/>
                <w:sz w:val="24"/>
              </w:rPr>
              <w:t>地区性影响</w:t>
            </w:r>
          </w:p>
        </w:tc>
        <w:tc>
          <w:tcPr>
            <w:tcW w:w="506" w:type="dxa"/>
            <w:tcBorders>
              <w:top w:val="nil"/>
              <w:left w:val="nil"/>
              <w:bottom w:val="single" w:color="auto" w:sz="4" w:space="0"/>
              <w:right w:val="single" w:color="auto" w:sz="4" w:space="0"/>
            </w:tcBorders>
            <w:vAlign w:val="center"/>
          </w:tcPr>
          <w:p w14:paraId="260AD78C">
            <w:pPr>
              <w:spacing w:line="360" w:lineRule="auto"/>
              <w:rPr>
                <w:rFonts w:ascii="宋体" w:hAnsi="宋体"/>
                <w:sz w:val="24"/>
              </w:rPr>
            </w:pPr>
            <w:r>
              <w:rPr>
                <w:rFonts w:hint="eastAsia" w:ascii="宋体" w:hAnsi="宋体"/>
                <w:sz w:val="24"/>
              </w:rPr>
              <w:t>3</w:t>
            </w:r>
          </w:p>
        </w:tc>
      </w:tr>
      <w:tr w14:paraId="091E79A4">
        <w:tblPrEx>
          <w:tblCellMar>
            <w:top w:w="0" w:type="dxa"/>
            <w:left w:w="108" w:type="dxa"/>
            <w:bottom w:w="0" w:type="dxa"/>
            <w:right w:w="108" w:type="dxa"/>
          </w:tblCellMar>
        </w:tblPrEx>
        <w:trPr>
          <w:trHeight w:val="727" w:hRule="atLeast"/>
          <w:jc w:val="center"/>
        </w:trPr>
        <w:tc>
          <w:tcPr>
            <w:tcW w:w="890" w:type="dxa"/>
            <w:tcBorders>
              <w:top w:val="nil"/>
              <w:left w:val="single" w:color="auto" w:sz="4" w:space="0"/>
              <w:bottom w:val="single" w:color="auto" w:sz="4" w:space="0"/>
              <w:right w:val="single" w:color="auto" w:sz="4" w:space="0"/>
            </w:tcBorders>
            <w:vAlign w:val="center"/>
          </w:tcPr>
          <w:p w14:paraId="216DD9BA">
            <w:pPr>
              <w:spacing w:line="360" w:lineRule="auto"/>
              <w:rPr>
                <w:rFonts w:ascii="宋体" w:hAnsi="宋体"/>
                <w:sz w:val="24"/>
              </w:rPr>
            </w:pPr>
            <w:r>
              <w:rPr>
                <w:rFonts w:hint="eastAsia" w:ascii="宋体" w:hAnsi="宋体"/>
                <w:sz w:val="24"/>
              </w:rPr>
              <w:t>一般</w:t>
            </w:r>
          </w:p>
        </w:tc>
        <w:tc>
          <w:tcPr>
            <w:tcW w:w="2514" w:type="dxa"/>
            <w:tcBorders>
              <w:top w:val="nil"/>
              <w:left w:val="nil"/>
              <w:bottom w:val="single" w:color="auto" w:sz="4" w:space="0"/>
              <w:right w:val="single" w:color="auto" w:sz="4" w:space="0"/>
            </w:tcBorders>
            <w:vAlign w:val="center"/>
          </w:tcPr>
          <w:p w14:paraId="13BC694D">
            <w:pPr>
              <w:spacing w:line="360" w:lineRule="auto"/>
              <w:rPr>
                <w:rFonts w:ascii="宋体" w:hAnsi="宋体"/>
                <w:sz w:val="24"/>
              </w:rPr>
            </w:pPr>
            <w:r>
              <w:rPr>
                <w:rFonts w:hint="eastAsia" w:ascii="宋体" w:hAnsi="宋体"/>
                <w:sz w:val="24"/>
              </w:rPr>
              <w:t>违反企业标准/对客户影响一般(会造成客户的少量退货）</w:t>
            </w:r>
          </w:p>
        </w:tc>
        <w:tc>
          <w:tcPr>
            <w:tcW w:w="1559" w:type="dxa"/>
            <w:tcBorders>
              <w:top w:val="nil"/>
              <w:left w:val="nil"/>
              <w:bottom w:val="single" w:color="auto" w:sz="4" w:space="0"/>
              <w:right w:val="single" w:color="auto" w:sz="4" w:space="0"/>
            </w:tcBorders>
            <w:vAlign w:val="center"/>
          </w:tcPr>
          <w:p w14:paraId="42104D0A">
            <w:pPr>
              <w:spacing w:line="360" w:lineRule="auto"/>
              <w:rPr>
                <w:rFonts w:ascii="宋体" w:hAnsi="宋体"/>
                <w:sz w:val="24"/>
              </w:rPr>
            </w:pPr>
            <w:r>
              <w:rPr>
                <w:rFonts w:hint="eastAsia" w:ascii="宋体" w:hAnsi="宋体"/>
                <w:sz w:val="24"/>
              </w:rPr>
              <w:t>轻微受伤,包扎即可</w:t>
            </w:r>
          </w:p>
        </w:tc>
        <w:tc>
          <w:tcPr>
            <w:tcW w:w="1559" w:type="dxa"/>
            <w:tcBorders>
              <w:top w:val="nil"/>
              <w:left w:val="nil"/>
              <w:bottom w:val="single" w:color="auto" w:sz="4" w:space="0"/>
              <w:right w:val="single" w:color="auto" w:sz="4" w:space="0"/>
            </w:tcBorders>
            <w:vAlign w:val="center"/>
          </w:tcPr>
          <w:p w14:paraId="736AF9C5">
            <w:pPr>
              <w:spacing w:line="360" w:lineRule="auto"/>
              <w:rPr>
                <w:rFonts w:ascii="宋体" w:hAnsi="宋体"/>
                <w:sz w:val="24"/>
              </w:rPr>
            </w:pPr>
            <w:r>
              <w:rPr>
                <w:rFonts w:hint="eastAsia" w:ascii="宋体" w:hAnsi="宋体"/>
                <w:sz w:val="24"/>
              </w:rPr>
              <w:t>0.5≤财产损失＜1</w:t>
            </w:r>
          </w:p>
        </w:tc>
        <w:tc>
          <w:tcPr>
            <w:tcW w:w="1170" w:type="dxa"/>
            <w:tcBorders>
              <w:top w:val="nil"/>
              <w:left w:val="nil"/>
              <w:bottom w:val="single" w:color="auto" w:sz="4" w:space="0"/>
              <w:right w:val="single" w:color="auto" w:sz="4" w:space="0"/>
            </w:tcBorders>
            <w:vAlign w:val="center"/>
          </w:tcPr>
          <w:p w14:paraId="42CF50D4">
            <w:pPr>
              <w:spacing w:line="360" w:lineRule="auto"/>
              <w:rPr>
                <w:rFonts w:ascii="宋体" w:hAnsi="宋体"/>
                <w:sz w:val="24"/>
              </w:rPr>
            </w:pPr>
            <w:r>
              <w:rPr>
                <w:rFonts w:hint="eastAsia" w:ascii="宋体" w:hAnsi="宋体"/>
                <w:sz w:val="24"/>
              </w:rPr>
              <w:t>可短时恢复</w:t>
            </w:r>
          </w:p>
        </w:tc>
        <w:tc>
          <w:tcPr>
            <w:tcW w:w="1146" w:type="dxa"/>
            <w:tcBorders>
              <w:top w:val="nil"/>
              <w:left w:val="nil"/>
              <w:bottom w:val="single" w:color="auto" w:sz="4" w:space="0"/>
              <w:right w:val="single" w:color="auto" w:sz="4" w:space="0"/>
            </w:tcBorders>
            <w:vAlign w:val="center"/>
          </w:tcPr>
          <w:p w14:paraId="2BEEC2AB">
            <w:pPr>
              <w:spacing w:line="360" w:lineRule="auto"/>
              <w:rPr>
                <w:rFonts w:ascii="宋体" w:hAnsi="宋体"/>
                <w:sz w:val="24"/>
              </w:rPr>
            </w:pPr>
            <w:r>
              <w:rPr>
                <w:rFonts w:hint="eastAsia" w:ascii="宋体" w:hAnsi="宋体"/>
                <w:sz w:val="24"/>
              </w:rPr>
              <w:t>企业及周边范围</w:t>
            </w:r>
          </w:p>
        </w:tc>
        <w:tc>
          <w:tcPr>
            <w:tcW w:w="506" w:type="dxa"/>
            <w:tcBorders>
              <w:top w:val="nil"/>
              <w:left w:val="nil"/>
              <w:bottom w:val="single" w:color="auto" w:sz="4" w:space="0"/>
              <w:right w:val="single" w:color="auto" w:sz="4" w:space="0"/>
            </w:tcBorders>
            <w:vAlign w:val="center"/>
          </w:tcPr>
          <w:p w14:paraId="1029ED9B">
            <w:pPr>
              <w:spacing w:line="360" w:lineRule="auto"/>
              <w:rPr>
                <w:rFonts w:ascii="宋体" w:hAnsi="宋体"/>
                <w:sz w:val="24"/>
              </w:rPr>
            </w:pPr>
            <w:r>
              <w:rPr>
                <w:rFonts w:hint="eastAsia" w:ascii="宋体" w:hAnsi="宋体"/>
                <w:sz w:val="24"/>
              </w:rPr>
              <w:t>2</w:t>
            </w:r>
          </w:p>
        </w:tc>
      </w:tr>
      <w:tr w14:paraId="33EF3036">
        <w:tblPrEx>
          <w:tblCellMar>
            <w:top w:w="0" w:type="dxa"/>
            <w:left w:w="108" w:type="dxa"/>
            <w:bottom w:w="0" w:type="dxa"/>
            <w:right w:w="108" w:type="dxa"/>
          </w:tblCellMar>
        </w:tblPrEx>
        <w:trPr>
          <w:trHeight w:val="337" w:hRule="atLeast"/>
          <w:jc w:val="center"/>
        </w:trPr>
        <w:tc>
          <w:tcPr>
            <w:tcW w:w="890" w:type="dxa"/>
            <w:tcBorders>
              <w:top w:val="nil"/>
              <w:left w:val="single" w:color="auto" w:sz="4" w:space="0"/>
              <w:bottom w:val="single" w:color="auto" w:sz="4" w:space="0"/>
              <w:right w:val="single" w:color="auto" w:sz="4" w:space="0"/>
            </w:tcBorders>
            <w:vAlign w:val="center"/>
          </w:tcPr>
          <w:p w14:paraId="082A0178">
            <w:pPr>
              <w:spacing w:line="360" w:lineRule="auto"/>
              <w:rPr>
                <w:rFonts w:ascii="宋体" w:hAnsi="宋体"/>
                <w:sz w:val="24"/>
              </w:rPr>
            </w:pPr>
            <w:r>
              <w:rPr>
                <w:rFonts w:hint="eastAsia" w:ascii="宋体" w:hAnsi="宋体"/>
                <w:sz w:val="24"/>
              </w:rPr>
              <w:t>轻微</w:t>
            </w:r>
          </w:p>
        </w:tc>
        <w:tc>
          <w:tcPr>
            <w:tcW w:w="2514" w:type="dxa"/>
            <w:tcBorders>
              <w:top w:val="nil"/>
              <w:left w:val="nil"/>
              <w:bottom w:val="single" w:color="auto" w:sz="4" w:space="0"/>
              <w:right w:val="single" w:color="auto" w:sz="4" w:space="0"/>
            </w:tcBorders>
            <w:vAlign w:val="center"/>
          </w:tcPr>
          <w:p w14:paraId="4AC4260B">
            <w:pPr>
              <w:spacing w:line="360" w:lineRule="auto"/>
              <w:rPr>
                <w:rFonts w:ascii="宋体" w:hAnsi="宋体"/>
                <w:sz w:val="24"/>
              </w:rPr>
            </w:pPr>
            <w:r>
              <w:rPr>
                <w:rFonts w:hint="eastAsia" w:ascii="宋体" w:hAnsi="宋体"/>
                <w:sz w:val="24"/>
              </w:rPr>
              <w:t>不违反合规义务/对客户影响轻微</w:t>
            </w:r>
          </w:p>
        </w:tc>
        <w:tc>
          <w:tcPr>
            <w:tcW w:w="1559" w:type="dxa"/>
            <w:tcBorders>
              <w:top w:val="nil"/>
              <w:left w:val="nil"/>
              <w:bottom w:val="single" w:color="auto" w:sz="4" w:space="0"/>
              <w:right w:val="single" w:color="auto" w:sz="4" w:space="0"/>
            </w:tcBorders>
            <w:vAlign w:val="center"/>
          </w:tcPr>
          <w:p w14:paraId="10A926A7">
            <w:pPr>
              <w:spacing w:line="360" w:lineRule="auto"/>
              <w:rPr>
                <w:rFonts w:ascii="宋体" w:hAnsi="宋体"/>
                <w:sz w:val="24"/>
              </w:rPr>
            </w:pPr>
            <w:r>
              <w:rPr>
                <w:rFonts w:hint="eastAsia" w:ascii="宋体" w:hAnsi="宋体"/>
                <w:sz w:val="24"/>
              </w:rPr>
              <w:t>无伤亡</w:t>
            </w:r>
          </w:p>
        </w:tc>
        <w:tc>
          <w:tcPr>
            <w:tcW w:w="1559" w:type="dxa"/>
            <w:tcBorders>
              <w:top w:val="nil"/>
              <w:left w:val="nil"/>
              <w:bottom w:val="single" w:color="auto" w:sz="4" w:space="0"/>
              <w:right w:val="single" w:color="auto" w:sz="4" w:space="0"/>
            </w:tcBorders>
            <w:vAlign w:val="center"/>
          </w:tcPr>
          <w:p w14:paraId="67387321">
            <w:pPr>
              <w:spacing w:line="360" w:lineRule="auto"/>
              <w:rPr>
                <w:rFonts w:ascii="宋体" w:hAnsi="宋体"/>
                <w:sz w:val="24"/>
              </w:rPr>
            </w:pPr>
            <w:r>
              <w:rPr>
                <w:rFonts w:hint="eastAsia" w:ascii="宋体" w:hAnsi="宋体"/>
                <w:sz w:val="24"/>
              </w:rPr>
              <w:t>财产损失＜0.5</w:t>
            </w:r>
          </w:p>
        </w:tc>
        <w:tc>
          <w:tcPr>
            <w:tcW w:w="1170" w:type="dxa"/>
            <w:tcBorders>
              <w:top w:val="nil"/>
              <w:left w:val="nil"/>
              <w:bottom w:val="single" w:color="auto" w:sz="4" w:space="0"/>
              <w:right w:val="single" w:color="auto" w:sz="4" w:space="0"/>
            </w:tcBorders>
            <w:vAlign w:val="center"/>
          </w:tcPr>
          <w:p w14:paraId="5DDEFE32">
            <w:pPr>
              <w:spacing w:line="360" w:lineRule="auto"/>
              <w:rPr>
                <w:rFonts w:ascii="宋体" w:hAnsi="宋体"/>
                <w:sz w:val="24"/>
              </w:rPr>
            </w:pPr>
            <w:r>
              <w:rPr>
                <w:rFonts w:hint="eastAsia" w:ascii="宋体" w:hAnsi="宋体"/>
                <w:sz w:val="24"/>
              </w:rPr>
              <w:t>没有停工</w:t>
            </w:r>
          </w:p>
        </w:tc>
        <w:tc>
          <w:tcPr>
            <w:tcW w:w="1146" w:type="dxa"/>
            <w:tcBorders>
              <w:top w:val="nil"/>
              <w:left w:val="nil"/>
              <w:bottom w:val="single" w:color="auto" w:sz="4" w:space="0"/>
              <w:right w:val="single" w:color="auto" w:sz="4" w:space="0"/>
            </w:tcBorders>
            <w:vAlign w:val="center"/>
          </w:tcPr>
          <w:p w14:paraId="1E5106BC">
            <w:pPr>
              <w:spacing w:line="360" w:lineRule="auto"/>
              <w:rPr>
                <w:rFonts w:ascii="宋体" w:hAnsi="宋体"/>
                <w:sz w:val="24"/>
              </w:rPr>
            </w:pPr>
            <w:r>
              <w:rPr>
                <w:rFonts w:hint="eastAsia" w:ascii="宋体" w:hAnsi="宋体"/>
                <w:sz w:val="24"/>
              </w:rPr>
              <w:t>不影响</w:t>
            </w:r>
          </w:p>
        </w:tc>
        <w:tc>
          <w:tcPr>
            <w:tcW w:w="506" w:type="dxa"/>
            <w:tcBorders>
              <w:top w:val="nil"/>
              <w:left w:val="nil"/>
              <w:bottom w:val="single" w:color="auto" w:sz="4" w:space="0"/>
              <w:right w:val="single" w:color="auto" w:sz="4" w:space="0"/>
            </w:tcBorders>
            <w:vAlign w:val="center"/>
          </w:tcPr>
          <w:p w14:paraId="446BD270">
            <w:pPr>
              <w:spacing w:line="360" w:lineRule="auto"/>
              <w:rPr>
                <w:rFonts w:ascii="宋体" w:hAnsi="宋体"/>
                <w:sz w:val="24"/>
              </w:rPr>
            </w:pPr>
            <w:r>
              <w:rPr>
                <w:rFonts w:hint="eastAsia" w:ascii="宋体" w:hAnsi="宋体"/>
                <w:sz w:val="24"/>
              </w:rPr>
              <w:t>1</w:t>
            </w:r>
          </w:p>
        </w:tc>
      </w:tr>
    </w:tbl>
    <w:p w14:paraId="4F481630">
      <w:pPr>
        <w:spacing w:line="360" w:lineRule="auto"/>
        <w:rPr>
          <w:rFonts w:ascii="宋体" w:hAnsi="宋体"/>
          <w:sz w:val="24"/>
        </w:rPr>
      </w:pPr>
      <w:r>
        <w:rPr>
          <w:rFonts w:hint="eastAsia" w:ascii="宋体" w:hAnsi="宋体"/>
          <w:sz w:val="24"/>
        </w:rPr>
        <w:t>4) 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程度等级数字填入【风险和机遇分析和评估表】中。</w:t>
      </w:r>
    </w:p>
    <w:p w14:paraId="2E21C1C7">
      <w:pPr>
        <w:spacing w:line="360" w:lineRule="auto"/>
        <w:rPr>
          <w:rFonts w:ascii="宋体" w:hAnsi="宋体"/>
          <w:sz w:val="24"/>
        </w:rPr>
      </w:pPr>
      <w:r>
        <w:rPr>
          <w:rFonts w:hint="eastAsia" w:ascii="宋体" w:hAnsi="宋体"/>
          <w:sz w:val="24"/>
        </w:rPr>
        <w:t>5.3.2风险的发生频率(O)评价准则</w:t>
      </w:r>
    </w:p>
    <w:p w14:paraId="585DF4BC">
      <w:pPr>
        <w:spacing w:line="360" w:lineRule="auto"/>
        <w:rPr>
          <w:rFonts w:ascii="宋体" w:hAnsi="宋体"/>
          <w:sz w:val="24"/>
        </w:rPr>
      </w:pPr>
      <w:r>
        <w:rPr>
          <w:rFonts w:hint="eastAsia" w:ascii="宋体" w:hAnsi="宋体"/>
          <w:sz w:val="24"/>
        </w:rPr>
        <w:t xml:space="preserve">1)风险的发生频率是指潜在风险出现的频率， 为便于识别和定义，将风险频度定义为5级， 如下所示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极少发生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很少发生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偶尔发生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 xml:space="preserve">有时发生 </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经常发生。</w:t>
      </w:r>
    </w:p>
    <w:p w14:paraId="34C9179D">
      <w:pPr>
        <w:spacing w:line="360" w:lineRule="auto"/>
        <w:rPr>
          <w:rFonts w:ascii="宋体" w:hAnsi="宋体"/>
          <w:sz w:val="24"/>
        </w:rPr>
      </w:pPr>
      <w:r>
        <w:rPr>
          <w:rFonts w:hint="eastAsia" w:ascii="宋体" w:hAnsi="宋体"/>
          <w:sz w:val="24"/>
        </w:rPr>
        <w:t>2)通过对上述的不确定因素进行评价风险发生的频度，风险的发生频率的评价以其可能发生的频率进行量化确认作为风险的发生频率的评价准则：</w:t>
      </w:r>
    </w:p>
    <w:tbl>
      <w:tblPr>
        <w:tblStyle w:val="44"/>
        <w:tblW w:w="7780" w:type="dxa"/>
        <w:jc w:val="center"/>
        <w:tblLayout w:type="fixed"/>
        <w:tblCellMar>
          <w:top w:w="0" w:type="dxa"/>
          <w:left w:w="108" w:type="dxa"/>
          <w:bottom w:w="0" w:type="dxa"/>
          <w:right w:w="108" w:type="dxa"/>
        </w:tblCellMar>
      </w:tblPr>
      <w:tblGrid>
        <w:gridCol w:w="2056"/>
        <w:gridCol w:w="4384"/>
        <w:gridCol w:w="1340"/>
      </w:tblGrid>
      <w:tr w14:paraId="28647F64">
        <w:tblPrEx>
          <w:tblCellMar>
            <w:top w:w="0" w:type="dxa"/>
            <w:left w:w="108" w:type="dxa"/>
            <w:bottom w:w="0" w:type="dxa"/>
            <w:right w:w="108" w:type="dxa"/>
          </w:tblCellMar>
        </w:tblPrEx>
        <w:trPr>
          <w:trHeight w:val="28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3B0B25E0">
            <w:pPr>
              <w:spacing w:line="360" w:lineRule="auto"/>
              <w:rPr>
                <w:rFonts w:ascii="宋体" w:hAnsi="宋体"/>
                <w:sz w:val="24"/>
              </w:rPr>
            </w:pPr>
            <w:r>
              <w:rPr>
                <w:rFonts w:hint="eastAsia" w:ascii="宋体" w:hAnsi="宋体"/>
                <w:sz w:val="24"/>
              </w:rPr>
              <w:t>发生频率</w:t>
            </w:r>
          </w:p>
        </w:tc>
        <w:tc>
          <w:tcPr>
            <w:tcW w:w="4384" w:type="dxa"/>
            <w:tcBorders>
              <w:top w:val="single" w:color="auto" w:sz="4" w:space="0"/>
              <w:left w:val="nil"/>
              <w:bottom w:val="single" w:color="auto" w:sz="4" w:space="0"/>
              <w:right w:val="single" w:color="000000" w:sz="4" w:space="0"/>
            </w:tcBorders>
            <w:vAlign w:val="center"/>
          </w:tcPr>
          <w:p w14:paraId="5CB6730D">
            <w:pPr>
              <w:spacing w:line="360" w:lineRule="auto"/>
              <w:rPr>
                <w:rFonts w:ascii="宋体" w:hAnsi="宋体"/>
                <w:sz w:val="24"/>
              </w:rPr>
            </w:pPr>
            <w:r>
              <w:rPr>
                <w:rFonts w:hint="eastAsia" w:ascii="宋体" w:hAnsi="宋体"/>
                <w:sz w:val="24"/>
              </w:rPr>
              <w:t>描述</w:t>
            </w:r>
          </w:p>
        </w:tc>
        <w:tc>
          <w:tcPr>
            <w:tcW w:w="1340" w:type="dxa"/>
            <w:tcBorders>
              <w:top w:val="single" w:color="auto" w:sz="4" w:space="0"/>
              <w:left w:val="nil"/>
              <w:bottom w:val="single" w:color="auto" w:sz="4" w:space="0"/>
              <w:right w:val="single" w:color="auto" w:sz="4" w:space="0"/>
            </w:tcBorders>
            <w:vAlign w:val="center"/>
          </w:tcPr>
          <w:p w14:paraId="077414BE">
            <w:pPr>
              <w:spacing w:line="360" w:lineRule="auto"/>
              <w:rPr>
                <w:rFonts w:ascii="宋体" w:hAnsi="宋体"/>
                <w:sz w:val="24"/>
              </w:rPr>
            </w:pPr>
            <w:r>
              <w:rPr>
                <w:rFonts w:hint="eastAsia" w:ascii="宋体" w:hAnsi="宋体"/>
                <w:sz w:val="24"/>
              </w:rPr>
              <w:t>等级</w:t>
            </w:r>
          </w:p>
        </w:tc>
      </w:tr>
      <w:tr w14:paraId="0A5CA7FC">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14:paraId="062D4B40">
            <w:pPr>
              <w:spacing w:line="360" w:lineRule="auto"/>
              <w:rPr>
                <w:rFonts w:ascii="宋体" w:hAnsi="宋体"/>
                <w:sz w:val="24"/>
              </w:rPr>
            </w:pPr>
            <w:r>
              <w:rPr>
                <w:rFonts w:hint="eastAsia" w:ascii="宋体" w:hAnsi="宋体"/>
                <w:sz w:val="24"/>
              </w:rPr>
              <w:t>非常少发生</w:t>
            </w:r>
          </w:p>
        </w:tc>
        <w:tc>
          <w:tcPr>
            <w:tcW w:w="4384" w:type="dxa"/>
            <w:tcBorders>
              <w:top w:val="single" w:color="auto" w:sz="4" w:space="0"/>
              <w:left w:val="nil"/>
              <w:bottom w:val="single" w:color="auto" w:sz="4" w:space="0"/>
              <w:right w:val="single" w:color="000000" w:sz="4" w:space="0"/>
            </w:tcBorders>
            <w:vAlign w:val="center"/>
          </w:tcPr>
          <w:p w14:paraId="2C830BF0">
            <w:pPr>
              <w:spacing w:line="360" w:lineRule="auto"/>
              <w:rPr>
                <w:rFonts w:ascii="宋体" w:hAnsi="宋体"/>
                <w:sz w:val="24"/>
              </w:rPr>
            </w:pPr>
            <w:r>
              <w:rPr>
                <w:rFonts w:hint="eastAsia" w:ascii="宋体" w:hAnsi="宋体"/>
                <w:sz w:val="24"/>
              </w:rPr>
              <w:t>可能每2年发生</w:t>
            </w:r>
          </w:p>
        </w:tc>
        <w:tc>
          <w:tcPr>
            <w:tcW w:w="1340" w:type="dxa"/>
            <w:tcBorders>
              <w:top w:val="nil"/>
              <w:left w:val="nil"/>
              <w:bottom w:val="single" w:color="auto" w:sz="4" w:space="0"/>
              <w:right w:val="single" w:color="auto" w:sz="4" w:space="0"/>
            </w:tcBorders>
            <w:vAlign w:val="center"/>
          </w:tcPr>
          <w:p w14:paraId="03B4A36F">
            <w:pPr>
              <w:spacing w:line="360" w:lineRule="auto"/>
              <w:rPr>
                <w:rFonts w:ascii="宋体" w:hAnsi="宋体"/>
                <w:sz w:val="24"/>
              </w:rPr>
            </w:pPr>
            <w:r>
              <w:rPr>
                <w:rFonts w:hint="eastAsia" w:ascii="宋体" w:hAnsi="宋体"/>
                <w:sz w:val="24"/>
              </w:rPr>
              <w:t>1</w:t>
            </w:r>
          </w:p>
        </w:tc>
      </w:tr>
      <w:tr w14:paraId="4F936824">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14:paraId="674AD281">
            <w:pPr>
              <w:spacing w:line="360" w:lineRule="auto"/>
              <w:rPr>
                <w:rFonts w:ascii="宋体" w:hAnsi="宋体"/>
                <w:sz w:val="24"/>
              </w:rPr>
            </w:pPr>
            <w:r>
              <w:rPr>
                <w:rFonts w:hint="eastAsia" w:ascii="宋体" w:hAnsi="宋体"/>
                <w:sz w:val="24"/>
              </w:rPr>
              <w:t>很少发生</w:t>
            </w:r>
          </w:p>
        </w:tc>
        <w:tc>
          <w:tcPr>
            <w:tcW w:w="4384" w:type="dxa"/>
            <w:tcBorders>
              <w:top w:val="single" w:color="auto" w:sz="4" w:space="0"/>
              <w:left w:val="nil"/>
              <w:bottom w:val="single" w:color="auto" w:sz="4" w:space="0"/>
              <w:right w:val="single" w:color="000000" w:sz="4" w:space="0"/>
            </w:tcBorders>
            <w:vAlign w:val="center"/>
          </w:tcPr>
          <w:p w14:paraId="38A1A7B2">
            <w:pPr>
              <w:spacing w:line="360" w:lineRule="auto"/>
              <w:rPr>
                <w:rFonts w:ascii="宋体" w:hAnsi="宋体"/>
                <w:sz w:val="24"/>
              </w:rPr>
            </w:pPr>
            <w:r>
              <w:rPr>
                <w:rFonts w:hint="eastAsia" w:ascii="宋体" w:hAnsi="宋体"/>
                <w:sz w:val="24"/>
              </w:rPr>
              <w:t>可能每年发生/每年1次以上</w:t>
            </w:r>
          </w:p>
        </w:tc>
        <w:tc>
          <w:tcPr>
            <w:tcW w:w="1340" w:type="dxa"/>
            <w:tcBorders>
              <w:top w:val="nil"/>
              <w:left w:val="nil"/>
              <w:bottom w:val="single" w:color="auto" w:sz="4" w:space="0"/>
              <w:right w:val="single" w:color="auto" w:sz="4" w:space="0"/>
            </w:tcBorders>
            <w:vAlign w:val="center"/>
          </w:tcPr>
          <w:p w14:paraId="0B77AAB2">
            <w:pPr>
              <w:spacing w:line="360" w:lineRule="auto"/>
              <w:rPr>
                <w:rFonts w:ascii="宋体" w:hAnsi="宋体"/>
                <w:sz w:val="24"/>
              </w:rPr>
            </w:pPr>
            <w:r>
              <w:rPr>
                <w:rFonts w:hint="eastAsia" w:ascii="宋体" w:hAnsi="宋体"/>
                <w:sz w:val="24"/>
              </w:rPr>
              <w:t>2</w:t>
            </w:r>
          </w:p>
        </w:tc>
      </w:tr>
      <w:tr w14:paraId="73B6C1DF">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14:paraId="33F7F9FC">
            <w:pPr>
              <w:spacing w:line="360" w:lineRule="auto"/>
              <w:rPr>
                <w:rFonts w:ascii="宋体" w:hAnsi="宋体"/>
                <w:sz w:val="24"/>
              </w:rPr>
            </w:pPr>
            <w:r>
              <w:rPr>
                <w:rFonts w:hint="eastAsia" w:ascii="宋体" w:hAnsi="宋体"/>
                <w:sz w:val="24"/>
              </w:rPr>
              <w:t>偶尔发生</w:t>
            </w:r>
          </w:p>
        </w:tc>
        <w:tc>
          <w:tcPr>
            <w:tcW w:w="4384" w:type="dxa"/>
            <w:tcBorders>
              <w:top w:val="single" w:color="auto" w:sz="4" w:space="0"/>
              <w:left w:val="nil"/>
              <w:bottom w:val="single" w:color="auto" w:sz="4" w:space="0"/>
              <w:right w:val="single" w:color="000000" w:sz="4" w:space="0"/>
            </w:tcBorders>
            <w:vAlign w:val="center"/>
          </w:tcPr>
          <w:p w14:paraId="49E37447">
            <w:pPr>
              <w:spacing w:line="360" w:lineRule="auto"/>
              <w:rPr>
                <w:rFonts w:ascii="宋体" w:hAnsi="宋体"/>
                <w:sz w:val="24"/>
              </w:rPr>
            </w:pPr>
            <w:r>
              <w:rPr>
                <w:rFonts w:hint="eastAsia" w:ascii="宋体" w:hAnsi="宋体"/>
                <w:sz w:val="24"/>
              </w:rPr>
              <w:t>可能每季发生/每年3次以上</w:t>
            </w:r>
          </w:p>
        </w:tc>
        <w:tc>
          <w:tcPr>
            <w:tcW w:w="1340" w:type="dxa"/>
            <w:tcBorders>
              <w:top w:val="nil"/>
              <w:left w:val="nil"/>
              <w:bottom w:val="single" w:color="auto" w:sz="4" w:space="0"/>
              <w:right w:val="single" w:color="auto" w:sz="4" w:space="0"/>
            </w:tcBorders>
            <w:vAlign w:val="center"/>
          </w:tcPr>
          <w:p w14:paraId="45DC86EE">
            <w:pPr>
              <w:spacing w:line="360" w:lineRule="auto"/>
              <w:rPr>
                <w:rFonts w:ascii="宋体" w:hAnsi="宋体"/>
                <w:sz w:val="24"/>
              </w:rPr>
            </w:pPr>
            <w:r>
              <w:rPr>
                <w:rFonts w:hint="eastAsia" w:ascii="宋体" w:hAnsi="宋体"/>
                <w:sz w:val="24"/>
              </w:rPr>
              <w:t>3</w:t>
            </w:r>
          </w:p>
        </w:tc>
      </w:tr>
      <w:tr w14:paraId="1BE588DB">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14:paraId="70527EAE">
            <w:pPr>
              <w:spacing w:line="360" w:lineRule="auto"/>
              <w:rPr>
                <w:rFonts w:ascii="宋体" w:hAnsi="宋体"/>
                <w:sz w:val="24"/>
              </w:rPr>
            </w:pPr>
            <w:r>
              <w:rPr>
                <w:rFonts w:hint="eastAsia" w:ascii="宋体" w:hAnsi="宋体"/>
                <w:sz w:val="24"/>
              </w:rPr>
              <w:t>有时发生</w:t>
            </w:r>
          </w:p>
        </w:tc>
        <w:tc>
          <w:tcPr>
            <w:tcW w:w="4384" w:type="dxa"/>
            <w:tcBorders>
              <w:top w:val="single" w:color="auto" w:sz="4" w:space="0"/>
              <w:left w:val="nil"/>
              <w:bottom w:val="single" w:color="auto" w:sz="4" w:space="0"/>
              <w:right w:val="single" w:color="000000" w:sz="4" w:space="0"/>
            </w:tcBorders>
            <w:vAlign w:val="center"/>
          </w:tcPr>
          <w:p w14:paraId="2FED4D13">
            <w:pPr>
              <w:spacing w:line="360" w:lineRule="auto"/>
              <w:rPr>
                <w:rFonts w:ascii="宋体" w:hAnsi="宋体"/>
                <w:sz w:val="24"/>
              </w:rPr>
            </w:pPr>
            <w:r>
              <w:rPr>
                <w:rFonts w:hint="eastAsia" w:ascii="宋体" w:hAnsi="宋体"/>
                <w:sz w:val="24"/>
              </w:rPr>
              <w:t>可能每月发生/每年10次以上</w:t>
            </w:r>
          </w:p>
        </w:tc>
        <w:tc>
          <w:tcPr>
            <w:tcW w:w="1340" w:type="dxa"/>
            <w:tcBorders>
              <w:top w:val="nil"/>
              <w:left w:val="nil"/>
              <w:bottom w:val="single" w:color="auto" w:sz="4" w:space="0"/>
              <w:right w:val="single" w:color="auto" w:sz="4" w:space="0"/>
            </w:tcBorders>
            <w:vAlign w:val="center"/>
          </w:tcPr>
          <w:p w14:paraId="65E938FE">
            <w:pPr>
              <w:spacing w:line="360" w:lineRule="auto"/>
              <w:rPr>
                <w:rFonts w:ascii="宋体" w:hAnsi="宋体"/>
                <w:sz w:val="24"/>
              </w:rPr>
            </w:pPr>
            <w:r>
              <w:rPr>
                <w:rFonts w:hint="eastAsia" w:ascii="宋体" w:hAnsi="宋体"/>
                <w:sz w:val="24"/>
              </w:rPr>
              <w:t>4</w:t>
            </w:r>
          </w:p>
        </w:tc>
      </w:tr>
      <w:tr w14:paraId="5373DB60">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14:paraId="628E5BBE">
            <w:pPr>
              <w:spacing w:line="360" w:lineRule="auto"/>
              <w:rPr>
                <w:rFonts w:ascii="宋体" w:hAnsi="宋体"/>
                <w:sz w:val="24"/>
              </w:rPr>
            </w:pPr>
            <w:r>
              <w:rPr>
                <w:rFonts w:hint="eastAsia" w:ascii="宋体" w:hAnsi="宋体"/>
                <w:sz w:val="24"/>
              </w:rPr>
              <w:t>经常发生</w:t>
            </w:r>
          </w:p>
        </w:tc>
        <w:tc>
          <w:tcPr>
            <w:tcW w:w="4384" w:type="dxa"/>
            <w:tcBorders>
              <w:top w:val="single" w:color="auto" w:sz="4" w:space="0"/>
              <w:left w:val="nil"/>
              <w:bottom w:val="single" w:color="auto" w:sz="4" w:space="0"/>
              <w:right w:val="single" w:color="000000" w:sz="4" w:space="0"/>
            </w:tcBorders>
            <w:vAlign w:val="center"/>
          </w:tcPr>
          <w:p w14:paraId="5B378FED">
            <w:pPr>
              <w:spacing w:line="360" w:lineRule="auto"/>
              <w:rPr>
                <w:rFonts w:ascii="宋体" w:hAnsi="宋体"/>
                <w:sz w:val="24"/>
              </w:rPr>
            </w:pPr>
            <w:r>
              <w:rPr>
                <w:rFonts w:hint="eastAsia" w:ascii="宋体" w:hAnsi="宋体"/>
                <w:sz w:val="24"/>
              </w:rPr>
              <w:t>可能每周发生/每年50次以上</w:t>
            </w:r>
          </w:p>
        </w:tc>
        <w:tc>
          <w:tcPr>
            <w:tcW w:w="1340" w:type="dxa"/>
            <w:tcBorders>
              <w:top w:val="nil"/>
              <w:left w:val="nil"/>
              <w:bottom w:val="single" w:color="auto" w:sz="4" w:space="0"/>
              <w:right w:val="single" w:color="auto" w:sz="4" w:space="0"/>
            </w:tcBorders>
            <w:vAlign w:val="center"/>
          </w:tcPr>
          <w:p w14:paraId="6F2F67CF">
            <w:pPr>
              <w:spacing w:line="360" w:lineRule="auto"/>
              <w:rPr>
                <w:rFonts w:ascii="宋体" w:hAnsi="宋体"/>
                <w:sz w:val="24"/>
              </w:rPr>
            </w:pPr>
            <w:r>
              <w:rPr>
                <w:rFonts w:hint="eastAsia" w:ascii="宋体" w:hAnsi="宋体"/>
                <w:sz w:val="24"/>
              </w:rPr>
              <w:t>5</w:t>
            </w:r>
          </w:p>
        </w:tc>
      </w:tr>
    </w:tbl>
    <w:p w14:paraId="76680141">
      <w:pPr>
        <w:spacing w:line="360" w:lineRule="auto"/>
        <w:rPr>
          <w:rFonts w:ascii="宋体" w:hAnsi="宋体"/>
          <w:sz w:val="24"/>
        </w:rPr>
      </w:pPr>
      <w:r>
        <w:rPr>
          <w:rFonts w:hint="eastAsia" w:ascii="宋体" w:hAnsi="宋体"/>
          <w:sz w:val="24"/>
        </w:rPr>
        <w:t>3)发生频率判定过程中，当一个或多个因素在判定过程中其发生频率不一致时，应遵循从严原则进行判定，即当多个因素中仅其中一个或部分因素其发生较为频繁时，依据发生频率较高的因素作为风险发生频率进行判定。根据上表内容确定风险的发生频率后，将发生频率等级数字填入【风险和机遇分析和评估表】中。</w:t>
      </w:r>
    </w:p>
    <w:p w14:paraId="4A403589">
      <w:pPr>
        <w:spacing w:line="360" w:lineRule="auto"/>
        <w:rPr>
          <w:rFonts w:ascii="宋体" w:hAnsi="宋体"/>
          <w:sz w:val="24"/>
        </w:rPr>
      </w:pPr>
      <w:r>
        <w:rPr>
          <w:rFonts w:hint="eastAsia" w:ascii="宋体" w:hAnsi="宋体"/>
          <w:sz w:val="24"/>
        </w:rPr>
        <w:t>5.3.3风险的探测率(D)评价准则</w:t>
      </w:r>
    </w:p>
    <w:p w14:paraId="7B9E9156">
      <w:pPr>
        <w:spacing w:line="360" w:lineRule="auto"/>
        <w:rPr>
          <w:rFonts w:ascii="宋体" w:hAnsi="宋体"/>
          <w:sz w:val="24"/>
        </w:rPr>
      </w:pPr>
      <w:r>
        <w:rPr>
          <w:rFonts w:hint="eastAsia" w:ascii="宋体" w:hAnsi="宋体"/>
          <w:sz w:val="24"/>
        </w:rPr>
        <w:t>5.3.3.1风险的探测率是指潜在风险出现时探测的可能性， 为便于识别和定义，将风险探测率定义为5级， 如下所示：①非常高②高③一般④低⑤极低。</w:t>
      </w:r>
    </w:p>
    <w:p w14:paraId="44211AC9">
      <w:pPr>
        <w:spacing w:line="360" w:lineRule="auto"/>
        <w:rPr>
          <w:rFonts w:ascii="宋体" w:hAnsi="宋体"/>
          <w:sz w:val="24"/>
        </w:rPr>
      </w:pPr>
      <w:r>
        <w:rPr>
          <w:rFonts w:hint="eastAsia" w:ascii="宋体" w:hAnsi="宋体"/>
          <w:sz w:val="24"/>
        </w:rPr>
        <w:t>5.3.3.2通过对上述的不确定因素进行评价风险的探测可能性，风险的探测率的评价以其可能发现的可能性进行量化确认作为风险的探测率的评价准则：</w:t>
      </w:r>
    </w:p>
    <w:tbl>
      <w:tblPr>
        <w:tblStyle w:val="44"/>
        <w:tblW w:w="8241" w:type="dxa"/>
        <w:jc w:val="center"/>
        <w:tblLayout w:type="fixed"/>
        <w:tblCellMar>
          <w:top w:w="0" w:type="dxa"/>
          <w:left w:w="108" w:type="dxa"/>
          <w:bottom w:w="0" w:type="dxa"/>
          <w:right w:w="108" w:type="dxa"/>
        </w:tblCellMar>
      </w:tblPr>
      <w:tblGrid>
        <w:gridCol w:w="2056"/>
        <w:gridCol w:w="4845"/>
        <w:gridCol w:w="1340"/>
      </w:tblGrid>
      <w:tr w14:paraId="18B3BB73">
        <w:tblPrEx>
          <w:tblCellMar>
            <w:top w:w="0" w:type="dxa"/>
            <w:left w:w="108" w:type="dxa"/>
            <w:bottom w:w="0" w:type="dxa"/>
            <w:right w:w="108" w:type="dxa"/>
          </w:tblCellMar>
        </w:tblPrEx>
        <w:trPr>
          <w:trHeight w:val="454"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40F955CB">
            <w:pPr>
              <w:spacing w:line="360" w:lineRule="auto"/>
              <w:rPr>
                <w:rFonts w:ascii="宋体" w:hAnsi="宋体"/>
                <w:sz w:val="24"/>
              </w:rPr>
            </w:pPr>
            <w:r>
              <w:rPr>
                <w:rFonts w:hint="eastAsia" w:ascii="宋体" w:hAnsi="宋体"/>
                <w:sz w:val="24"/>
              </w:rPr>
              <w:t>探测可能性</w:t>
            </w:r>
          </w:p>
        </w:tc>
        <w:tc>
          <w:tcPr>
            <w:tcW w:w="4845" w:type="dxa"/>
            <w:tcBorders>
              <w:top w:val="single" w:color="auto" w:sz="4" w:space="0"/>
              <w:left w:val="nil"/>
              <w:bottom w:val="single" w:color="auto" w:sz="4" w:space="0"/>
              <w:right w:val="single" w:color="000000" w:sz="4" w:space="0"/>
            </w:tcBorders>
            <w:vAlign w:val="center"/>
          </w:tcPr>
          <w:p w14:paraId="419B605F">
            <w:pPr>
              <w:spacing w:line="360" w:lineRule="auto"/>
              <w:rPr>
                <w:rFonts w:ascii="宋体" w:hAnsi="宋体"/>
                <w:sz w:val="24"/>
              </w:rPr>
            </w:pPr>
            <w:r>
              <w:rPr>
                <w:rFonts w:hint="eastAsia" w:ascii="宋体" w:hAnsi="宋体"/>
                <w:sz w:val="24"/>
              </w:rPr>
              <w:t>描述</w:t>
            </w:r>
          </w:p>
        </w:tc>
        <w:tc>
          <w:tcPr>
            <w:tcW w:w="1340" w:type="dxa"/>
            <w:tcBorders>
              <w:top w:val="single" w:color="auto" w:sz="4" w:space="0"/>
              <w:left w:val="nil"/>
              <w:bottom w:val="single" w:color="auto" w:sz="4" w:space="0"/>
              <w:right w:val="single" w:color="auto" w:sz="4" w:space="0"/>
            </w:tcBorders>
            <w:vAlign w:val="center"/>
          </w:tcPr>
          <w:p w14:paraId="7501BAC0">
            <w:pPr>
              <w:spacing w:line="360" w:lineRule="auto"/>
              <w:rPr>
                <w:rFonts w:ascii="宋体" w:hAnsi="宋体"/>
                <w:sz w:val="24"/>
              </w:rPr>
            </w:pPr>
            <w:r>
              <w:rPr>
                <w:rFonts w:hint="eastAsia" w:ascii="宋体" w:hAnsi="宋体"/>
                <w:sz w:val="24"/>
              </w:rPr>
              <w:t>等级</w:t>
            </w:r>
          </w:p>
        </w:tc>
      </w:tr>
      <w:tr w14:paraId="65B95856">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14:paraId="3BFBB4CA">
            <w:pPr>
              <w:spacing w:line="360" w:lineRule="auto"/>
              <w:rPr>
                <w:rFonts w:ascii="宋体" w:hAnsi="宋体"/>
                <w:sz w:val="24"/>
              </w:rPr>
            </w:pPr>
            <w:r>
              <w:rPr>
                <w:rFonts w:hint="eastAsia" w:ascii="宋体" w:hAnsi="宋体"/>
                <w:sz w:val="24"/>
              </w:rPr>
              <w:t>非常高</w:t>
            </w:r>
          </w:p>
        </w:tc>
        <w:tc>
          <w:tcPr>
            <w:tcW w:w="4845" w:type="dxa"/>
            <w:tcBorders>
              <w:top w:val="single" w:color="auto" w:sz="4" w:space="0"/>
              <w:left w:val="nil"/>
              <w:bottom w:val="single" w:color="auto" w:sz="4" w:space="0"/>
              <w:right w:val="single" w:color="000000" w:sz="4" w:space="0"/>
            </w:tcBorders>
            <w:vAlign w:val="center"/>
          </w:tcPr>
          <w:p w14:paraId="10728507">
            <w:pPr>
              <w:spacing w:line="360" w:lineRule="auto"/>
              <w:rPr>
                <w:rFonts w:ascii="宋体" w:hAnsi="宋体"/>
                <w:sz w:val="24"/>
              </w:rPr>
            </w:pPr>
            <w:r>
              <w:rPr>
                <w:rFonts w:hint="eastAsia" w:ascii="宋体" w:hAnsi="宋体"/>
                <w:sz w:val="24"/>
              </w:rPr>
              <w:t>有自动报警/提醒机制</w:t>
            </w:r>
          </w:p>
        </w:tc>
        <w:tc>
          <w:tcPr>
            <w:tcW w:w="1340" w:type="dxa"/>
            <w:tcBorders>
              <w:top w:val="nil"/>
              <w:left w:val="nil"/>
              <w:bottom w:val="single" w:color="auto" w:sz="4" w:space="0"/>
              <w:right w:val="single" w:color="auto" w:sz="4" w:space="0"/>
            </w:tcBorders>
            <w:vAlign w:val="center"/>
          </w:tcPr>
          <w:p w14:paraId="0DBA671A">
            <w:pPr>
              <w:spacing w:line="360" w:lineRule="auto"/>
              <w:rPr>
                <w:rFonts w:ascii="宋体" w:hAnsi="宋体"/>
                <w:sz w:val="24"/>
              </w:rPr>
            </w:pPr>
            <w:r>
              <w:rPr>
                <w:rFonts w:hint="eastAsia" w:ascii="宋体" w:hAnsi="宋体"/>
                <w:sz w:val="24"/>
              </w:rPr>
              <w:t>1</w:t>
            </w:r>
          </w:p>
        </w:tc>
      </w:tr>
      <w:tr w14:paraId="78D8650C">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14:paraId="109B61DE">
            <w:pPr>
              <w:spacing w:line="360" w:lineRule="auto"/>
              <w:rPr>
                <w:rFonts w:ascii="宋体" w:hAnsi="宋体"/>
                <w:sz w:val="24"/>
              </w:rPr>
            </w:pPr>
            <w:r>
              <w:rPr>
                <w:rFonts w:hint="eastAsia" w:ascii="宋体" w:hAnsi="宋体"/>
                <w:sz w:val="24"/>
              </w:rPr>
              <w:t>高</w:t>
            </w:r>
          </w:p>
        </w:tc>
        <w:tc>
          <w:tcPr>
            <w:tcW w:w="4845" w:type="dxa"/>
            <w:tcBorders>
              <w:top w:val="single" w:color="auto" w:sz="4" w:space="0"/>
              <w:left w:val="nil"/>
              <w:bottom w:val="single" w:color="auto" w:sz="4" w:space="0"/>
              <w:right w:val="single" w:color="000000" w:sz="4" w:space="0"/>
            </w:tcBorders>
            <w:vAlign w:val="center"/>
          </w:tcPr>
          <w:p w14:paraId="1E088DE0">
            <w:pPr>
              <w:spacing w:line="360" w:lineRule="auto"/>
              <w:rPr>
                <w:rFonts w:ascii="宋体" w:hAnsi="宋体"/>
                <w:sz w:val="24"/>
              </w:rPr>
            </w:pPr>
            <w:r>
              <w:rPr>
                <w:rFonts w:hint="eastAsia" w:ascii="宋体" w:hAnsi="宋体"/>
                <w:sz w:val="24"/>
              </w:rPr>
              <w:t>通过定期检查或审批可以探测到</w:t>
            </w:r>
          </w:p>
        </w:tc>
        <w:tc>
          <w:tcPr>
            <w:tcW w:w="1340" w:type="dxa"/>
            <w:tcBorders>
              <w:top w:val="nil"/>
              <w:left w:val="nil"/>
              <w:bottom w:val="single" w:color="auto" w:sz="4" w:space="0"/>
              <w:right w:val="single" w:color="auto" w:sz="4" w:space="0"/>
            </w:tcBorders>
            <w:vAlign w:val="center"/>
          </w:tcPr>
          <w:p w14:paraId="35C843CD">
            <w:pPr>
              <w:spacing w:line="360" w:lineRule="auto"/>
              <w:rPr>
                <w:rFonts w:ascii="宋体" w:hAnsi="宋体"/>
                <w:sz w:val="24"/>
              </w:rPr>
            </w:pPr>
            <w:r>
              <w:rPr>
                <w:rFonts w:hint="eastAsia" w:ascii="宋体" w:hAnsi="宋体"/>
                <w:sz w:val="24"/>
              </w:rPr>
              <w:t>2</w:t>
            </w:r>
          </w:p>
        </w:tc>
      </w:tr>
      <w:tr w14:paraId="7ADE4C34">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14:paraId="054D9171">
            <w:pPr>
              <w:spacing w:line="360" w:lineRule="auto"/>
              <w:rPr>
                <w:rFonts w:ascii="宋体" w:hAnsi="宋体"/>
                <w:sz w:val="24"/>
              </w:rPr>
            </w:pPr>
            <w:r>
              <w:rPr>
                <w:rFonts w:hint="eastAsia" w:ascii="宋体" w:hAnsi="宋体"/>
                <w:sz w:val="24"/>
              </w:rPr>
              <w:t>一般</w:t>
            </w:r>
          </w:p>
        </w:tc>
        <w:tc>
          <w:tcPr>
            <w:tcW w:w="4845" w:type="dxa"/>
            <w:tcBorders>
              <w:top w:val="single" w:color="auto" w:sz="4" w:space="0"/>
              <w:left w:val="nil"/>
              <w:bottom w:val="single" w:color="auto" w:sz="4" w:space="0"/>
              <w:right w:val="single" w:color="000000" w:sz="4" w:space="0"/>
            </w:tcBorders>
            <w:vAlign w:val="center"/>
          </w:tcPr>
          <w:p w14:paraId="2E3C3C23">
            <w:pPr>
              <w:spacing w:line="360" w:lineRule="auto"/>
              <w:rPr>
                <w:rFonts w:ascii="宋体" w:hAnsi="宋体"/>
                <w:sz w:val="24"/>
              </w:rPr>
            </w:pPr>
            <w:r>
              <w:rPr>
                <w:rFonts w:hint="eastAsia" w:ascii="宋体" w:hAnsi="宋体"/>
                <w:sz w:val="24"/>
              </w:rPr>
              <w:t>尚未流入下一个过程或客户端时探测到</w:t>
            </w:r>
          </w:p>
        </w:tc>
        <w:tc>
          <w:tcPr>
            <w:tcW w:w="1340" w:type="dxa"/>
            <w:tcBorders>
              <w:top w:val="nil"/>
              <w:left w:val="nil"/>
              <w:bottom w:val="single" w:color="auto" w:sz="4" w:space="0"/>
              <w:right w:val="single" w:color="auto" w:sz="4" w:space="0"/>
            </w:tcBorders>
            <w:vAlign w:val="center"/>
          </w:tcPr>
          <w:p w14:paraId="2E207F7A">
            <w:pPr>
              <w:spacing w:line="360" w:lineRule="auto"/>
              <w:rPr>
                <w:rFonts w:ascii="宋体" w:hAnsi="宋体"/>
                <w:sz w:val="24"/>
              </w:rPr>
            </w:pPr>
            <w:r>
              <w:rPr>
                <w:rFonts w:hint="eastAsia" w:ascii="宋体" w:hAnsi="宋体"/>
                <w:sz w:val="24"/>
              </w:rPr>
              <w:t>3</w:t>
            </w:r>
          </w:p>
        </w:tc>
      </w:tr>
      <w:tr w14:paraId="59CE04CC">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14:paraId="59268C64">
            <w:pPr>
              <w:spacing w:line="360" w:lineRule="auto"/>
              <w:rPr>
                <w:rFonts w:ascii="宋体" w:hAnsi="宋体"/>
                <w:sz w:val="24"/>
              </w:rPr>
            </w:pPr>
            <w:r>
              <w:rPr>
                <w:rFonts w:hint="eastAsia" w:ascii="宋体" w:hAnsi="宋体"/>
                <w:sz w:val="24"/>
              </w:rPr>
              <w:t>低</w:t>
            </w:r>
          </w:p>
        </w:tc>
        <w:tc>
          <w:tcPr>
            <w:tcW w:w="4845" w:type="dxa"/>
            <w:tcBorders>
              <w:top w:val="single" w:color="auto" w:sz="4" w:space="0"/>
              <w:left w:val="nil"/>
              <w:bottom w:val="single" w:color="auto" w:sz="4" w:space="0"/>
              <w:right w:val="single" w:color="000000" w:sz="4" w:space="0"/>
            </w:tcBorders>
            <w:vAlign w:val="center"/>
          </w:tcPr>
          <w:p w14:paraId="3B8EC603">
            <w:pPr>
              <w:spacing w:line="360" w:lineRule="auto"/>
              <w:rPr>
                <w:rFonts w:ascii="宋体" w:hAnsi="宋体"/>
                <w:sz w:val="24"/>
              </w:rPr>
            </w:pPr>
            <w:r>
              <w:rPr>
                <w:rFonts w:hint="eastAsia" w:ascii="宋体" w:hAnsi="宋体"/>
                <w:sz w:val="24"/>
              </w:rPr>
              <w:t>流入下一个过程或客户端时才探测到</w:t>
            </w:r>
          </w:p>
        </w:tc>
        <w:tc>
          <w:tcPr>
            <w:tcW w:w="1340" w:type="dxa"/>
            <w:tcBorders>
              <w:top w:val="nil"/>
              <w:left w:val="nil"/>
              <w:bottom w:val="single" w:color="auto" w:sz="4" w:space="0"/>
              <w:right w:val="single" w:color="auto" w:sz="4" w:space="0"/>
            </w:tcBorders>
            <w:vAlign w:val="center"/>
          </w:tcPr>
          <w:p w14:paraId="4CD7D46E">
            <w:pPr>
              <w:spacing w:line="360" w:lineRule="auto"/>
              <w:rPr>
                <w:rFonts w:ascii="宋体" w:hAnsi="宋体"/>
                <w:sz w:val="24"/>
              </w:rPr>
            </w:pPr>
            <w:r>
              <w:rPr>
                <w:rFonts w:hint="eastAsia" w:ascii="宋体" w:hAnsi="宋体"/>
                <w:sz w:val="24"/>
              </w:rPr>
              <w:t>4</w:t>
            </w:r>
          </w:p>
        </w:tc>
      </w:tr>
      <w:tr w14:paraId="775DA1D4">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14:paraId="43702B26">
            <w:pPr>
              <w:spacing w:line="360" w:lineRule="auto"/>
              <w:rPr>
                <w:rFonts w:ascii="宋体" w:hAnsi="宋体"/>
                <w:sz w:val="24"/>
              </w:rPr>
            </w:pPr>
            <w:r>
              <w:rPr>
                <w:rFonts w:hint="eastAsia" w:ascii="宋体" w:hAnsi="宋体"/>
                <w:sz w:val="24"/>
              </w:rPr>
              <w:t>极低</w:t>
            </w:r>
          </w:p>
        </w:tc>
        <w:tc>
          <w:tcPr>
            <w:tcW w:w="4845" w:type="dxa"/>
            <w:tcBorders>
              <w:top w:val="single" w:color="auto" w:sz="4" w:space="0"/>
              <w:left w:val="nil"/>
              <w:bottom w:val="single" w:color="auto" w:sz="4" w:space="0"/>
              <w:right w:val="single" w:color="000000" w:sz="4" w:space="0"/>
            </w:tcBorders>
            <w:vAlign w:val="center"/>
          </w:tcPr>
          <w:p w14:paraId="056FCC07">
            <w:pPr>
              <w:spacing w:line="360" w:lineRule="auto"/>
              <w:rPr>
                <w:rFonts w:ascii="宋体" w:hAnsi="宋体"/>
                <w:sz w:val="24"/>
              </w:rPr>
            </w:pPr>
            <w:r>
              <w:rPr>
                <w:rFonts w:hint="eastAsia" w:ascii="宋体" w:hAnsi="宋体"/>
                <w:sz w:val="24"/>
              </w:rPr>
              <w:t>没有现有控制措施或不能探测到</w:t>
            </w:r>
          </w:p>
        </w:tc>
        <w:tc>
          <w:tcPr>
            <w:tcW w:w="1340" w:type="dxa"/>
            <w:tcBorders>
              <w:top w:val="nil"/>
              <w:left w:val="nil"/>
              <w:bottom w:val="single" w:color="auto" w:sz="4" w:space="0"/>
              <w:right w:val="single" w:color="auto" w:sz="4" w:space="0"/>
            </w:tcBorders>
            <w:vAlign w:val="center"/>
          </w:tcPr>
          <w:p w14:paraId="2ADDC78A">
            <w:pPr>
              <w:spacing w:line="360" w:lineRule="auto"/>
              <w:rPr>
                <w:rFonts w:ascii="宋体" w:hAnsi="宋体"/>
                <w:sz w:val="24"/>
              </w:rPr>
            </w:pPr>
            <w:r>
              <w:rPr>
                <w:rFonts w:hint="eastAsia" w:ascii="宋体" w:hAnsi="宋体"/>
                <w:sz w:val="24"/>
              </w:rPr>
              <w:t>5</w:t>
            </w:r>
          </w:p>
        </w:tc>
      </w:tr>
    </w:tbl>
    <w:p w14:paraId="2BACA9C3">
      <w:pPr>
        <w:spacing w:line="360" w:lineRule="auto"/>
        <w:rPr>
          <w:rFonts w:ascii="宋体" w:hAnsi="宋体"/>
          <w:sz w:val="24"/>
        </w:rPr>
      </w:pPr>
      <w:r>
        <w:rPr>
          <w:rFonts w:hint="eastAsia" w:ascii="宋体" w:hAnsi="宋体"/>
          <w:sz w:val="24"/>
        </w:rPr>
        <w:t>5.3.3.3探测率判定过程中，当一个或多个因素在判定过程中其探测可能性不一致时，应遵循从严原则进行判定，即当多个因素中仅其中一个或部分因素其探测不出来时，依据探测可能性较高的因素作为风险探测率进行判定。根据上表内容确定风险的探测率后，将探测率（D）的等级数字填入【风险和机遇分析和评估表】中。</w:t>
      </w:r>
    </w:p>
    <w:p w14:paraId="18B61B8D">
      <w:pPr>
        <w:spacing w:line="360" w:lineRule="auto"/>
        <w:rPr>
          <w:rFonts w:ascii="宋体" w:hAnsi="宋体"/>
          <w:sz w:val="24"/>
        </w:rPr>
      </w:pPr>
      <w:r>
        <w:rPr>
          <w:rFonts w:hint="eastAsia" w:ascii="宋体" w:hAnsi="宋体"/>
          <w:sz w:val="24"/>
        </w:rPr>
        <w:t>5.3.4风险的可接受准则</w:t>
      </w:r>
    </w:p>
    <w:p w14:paraId="014B7EA5">
      <w:pPr>
        <w:spacing w:line="360" w:lineRule="auto"/>
        <w:rPr>
          <w:rFonts w:ascii="宋体" w:hAnsi="宋体"/>
          <w:sz w:val="24"/>
        </w:rPr>
      </w:pPr>
      <w:r>
        <w:rPr>
          <w:rFonts w:hint="eastAsia" w:ascii="宋体" w:hAnsi="宋体"/>
          <w:sz w:val="24"/>
        </w:rPr>
        <w:t>5.3.4.1风险可接受准则是通过计算得出的风险系数来判定风险是否可接受，通过对风险的严重度和风险的发生率评价后，通过计算风险系数确定是否对风险采取措施。风险系数的计算如下公式：风险优先顺序系数（RPN）=严重度（S）*发生率（O）*探测率（D）</w:t>
      </w:r>
    </w:p>
    <w:p w14:paraId="2FCE9722">
      <w:pPr>
        <w:spacing w:line="360" w:lineRule="auto"/>
        <w:rPr>
          <w:rFonts w:ascii="宋体" w:hAnsi="宋体"/>
          <w:sz w:val="24"/>
        </w:rPr>
      </w:pPr>
      <w:r>
        <w:rPr>
          <w:rFonts w:hint="eastAsia" w:ascii="宋体" w:hAnsi="宋体"/>
          <w:sz w:val="24"/>
        </w:rPr>
        <w:t>5.3.4.2使用风险系数作为参考值，下表为风险风险系数的范围及当风险系数达到一定值时应对风险采取的措施：</w:t>
      </w:r>
    </w:p>
    <w:tbl>
      <w:tblPr>
        <w:tblStyle w:val="4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14"/>
        <w:gridCol w:w="6351"/>
      </w:tblGrid>
      <w:tr w14:paraId="3837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Merge w:val="restart"/>
            <w:vAlign w:val="center"/>
          </w:tcPr>
          <w:p w14:paraId="66CA4B9E">
            <w:pPr>
              <w:spacing w:line="360" w:lineRule="auto"/>
              <w:rPr>
                <w:rFonts w:ascii="宋体" w:hAnsi="宋体"/>
                <w:sz w:val="24"/>
              </w:rPr>
            </w:pPr>
            <w:r>
              <w:rPr>
                <w:rFonts w:hint="eastAsia" w:ascii="宋体" w:hAnsi="宋体"/>
                <w:sz w:val="24"/>
              </w:rPr>
              <w:t>风险系数</w:t>
            </w:r>
          </w:p>
        </w:tc>
        <w:tc>
          <w:tcPr>
            <w:tcW w:w="7765" w:type="dxa"/>
            <w:gridSpan w:val="2"/>
            <w:vAlign w:val="center"/>
          </w:tcPr>
          <w:p w14:paraId="4B74D0D7">
            <w:pPr>
              <w:spacing w:line="360" w:lineRule="auto"/>
              <w:rPr>
                <w:rFonts w:ascii="宋体" w:hAnsi="宋体"/>
                <w:sz w:val="24"/>
              </w:rPr>
            </w:pPr>
            <w:r>
              <w:rPr>
                <w:rFonts w:hint="eastAsia" w:ascii="宋体" w:hAnsi="宋体"/>
                <w:sz w:val="24"/>
              </w:rPr>
              <w:t>风险等级及应采取的措施</w:t>
            </w:r>
          </w:p>
        </w:tc>
      </w:tr>
      <w:tr w14:paraId="3B21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Merge w:val="continue"/>
            <w:vAlign w:val="center"/>
          </w:tcPr>
          <w:p w14:paraId="74E9D8F0">
            <w:pPr>
              <w:spacing w:line="360" w:lineRule="auto"/>
              <w:rPr>
                <w:rFonts w:ascii="宋体" w:hAnsi="宋体"/>
                <w:sz w:val="24"/>
              </w:rPr>
            </w:pPr>
          </w:p>
        </w:tc>
        <w:tc>
          <w:tcPr>
            <w:tcW w:w="1414" w:type="dxa"/>
            <w:vAlign w:val="center"/>
          </w:tcPr>
          <w:p w14:paraId="3A51124F">
            <w:pPr>
              <w:spacing w:line="360" w:lineRule="auto"/>
              <w:rPr>
                <w:rFonts w:ascii="宋体" w:hAnsi="宋体"/>
                <w:sz w:val="24"/>
              </w:rPr>
            </w:pPr>
            <w:r>
              <w:rPr>
                <w:rFonts w:hint="eastAsia" w:ascii="宋体" w:hAnsi="宋体"/>
                <w:sz w:val="24"/>
              </w:rPr>
              <w:t>风险等级</w:t>
            </w:r>
          </w:p>
        </w:tc>
        <w:tc>
          <w:tcPr>
            <w:tcW w:w="6351" w:type="dxa"/>
            <w:vAlign w:val="center"/>
          </w:tcPr>
          <w:p w14:paraId="02479313">
            <w:pPr>
              <w:spacing w:line="360" w:lineRule="auto"/>
              <w:rPr>
                <w:rFonts w:ascii="宋体" w:hAnsi="宋体"/>
                <w:sz w:val="24"/>
              </w:rPr>
            </w:pPr>
            <w:r>
              <w:rPr>
                <w:rFonts w:hint="eastAsia" w:ascii="宋体" w:hAnsi="宋体"/>
                <w:sz w:val="24"/>
              </w:rPr>
              <w:t>风险措施</w:t>
            </w:r>
          </w:p>
        </w:tc>
      </w:tr>
      <w:tr w14:paraId="7434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14:paraId="2FD07FAE">
            <w:pPr>
              <w:spacing w:line="360" w:lineRule="auto"/>
              <w:rPr>
                <w:rFonts w:ascii="宋体" w:hAnsi="宋体"/>
                <w:sz w:val="24"/>
              </w:rPr>
            </w:pPr>
            <w:r>
              <w:rPr>
                <w:rFonts w:hint="eastAsia" w:ascii="宋体" w:hAnsi="宋体"/>
                <w:sz w:val="24"/>
              </w:rPr>
              <w:t>37-125</w:t>
            </w:r>
          </w:p>
        </w:tc>
        <w:tc>
          <w:tcPr>
            <w:tcW w:w="1414" w:type="dxa"/>
            <w:vAlign w:val="center"/>
          </w:tcPr>
          <w:p w14:paraId="351459E8">
            <w:pPr>
              <w:spacing w:line="360" w:lineRule="auto"/>
              <w:rPr>
                <w:rFonts w:ascii="宋体" w:hAnsi="宋体"/>
                <w:sz w:val="24"/>
              </w:rPr>
            </w:pPr>
            <w:r>
              <w:rPr>
                <w:rFonts w:hint="eastAsia" w:ascii="宋体" w:hAnsi="宋体"/>
                <w:sz w:val="24"/>
              </w:rPr>
              <w:t>高风险</w:t>
            </w:r>
          </w:p>
        </w:tc>
        <w:tc>
          <w:tcPr>
            <w:tcW w:w="6351" w:type="dxa"/>
            <w:vAlign w:val="center"/>
          </w:tcPr>
          <w:p w14:paraId="50E508C4">
            <w:pPr>
              <w:spacing w:line="360" w:lineRule="auto"/>
              <w:rPr>
                <w:rFonts w:ascii="宋体" w:hAnsi="宋体"/>
                <w:sz w:val="24"/>
              </w:rPr>
            </w:pPr>
            <w:r>
              <w:rPr>
                <w:rFonts w:hint="eastAsia" w:ascii="宋体" w:hAnsi="宋体"/>
                <w:sz w:val="24"/>
              </w:rPr>
              <w:t>应立即采取措施规避或降低风险</w:t>
            </w:r>
          </w:p>
        </w:tc>
      </w:tr>
      <w:tr w14:paraId="4CF3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14:paraId="7D6D5466">
            <w:pPr>
              <w:spacing w:line="360" w:lineRule="auto"/>
              <w:rPr>
                <w:rFonts w:ascii="宋体" w:hAnsi="宋体"/>
                <w:sz w:val="24"/>
              </w:rPr>
            </w:pPr>
            <w:r>
              <w:rPr>
                <w:rFonts w:hint="eastAsia" w:ascii="宋体" w:hAnsi="宋体"/>
                <w:sz w:val="24"/>
              </w:rPr>
              <w:t>18-36</w:t>
            </w:r>
          </w:p>
        </w:tc>
        <w:tc>
          <w:tcPr>
            <w:tcW w:w="1414" w:type="dxa"/>
            <w:vAlign w:val="center"/>
          </w:tcPr>
          <w:p w14:paraId="2D671A2E">
            <w:pPr>
              <w:spacing w:line="360" w:lineRule="auto"/>
              <w:rPr>
                <w:rFonts w:ascii="宋体" w:hAnsi="宋体"/>
                <w:sz w:val="24"/>
              </w:rPr>
            </w:pPr>
            <w:r>
              <w:rPr>
                <w:rFonts w:hint="eastAsia" w:ascii="宋体" w:hAnsi="宋体"/>
                <w:sz w:val="24"/>
              </w:rPr>
              <w:t>一般风险</w:t>
            </w:r>
          </w:p>
        </w:tc>
        <w:tc>
          <w:tcPr>
            <w:tcW w:w="6351" w:type="dxa"/>
            <w:vAlign w:val="center"/>
          </w:tcPr>
          <w:p w14:paraId="74DBA076">
            <w:pPr>
              <w:spacing w:line="360" w:lineRule="auto"/>
              <w:rPr>
                <w:rFonts w:ascii="宋体" w:hAnsi="宋体"/>
                <w:sz w:val="24"/>
              </w:rPr>
            </w:pPr>
            <w:r>
              <w:rPr>
                <w:rFonts w:hint="eastAsia" w:ascii="宋体" w:hAnsi="宋体"/>
                <w:sz w:val="24"/>
              </w:rPr>
              <w:t>需采取措施降低风险</w:t>
            </w:r>
          </w:p>
        </w:tc>
      </w:tr>
      <w:tr w14:paraId="7DA3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14:paraId="71F6494B">
            <w:pPr>
              <w:spacing w:line="360" w:lineRule="auto"/>
              <w:rPr>
                <w:rFonts w:ascii="宋体" w:hAnsi="宋体"/>
                <w:sz w:val="24"/>
              </w:rPr>
            </w:pPr>
            <w:r>
              <w:rPr>
                <w:rFonts w:hint="eastAsia" w:ascii="宋体" w:hAnsi="宋体"/>
                <w:sz w:val="24"/>
              </w:rPr>
              <w:t>1-17</w:t>
            </w:r>
          </w:p>
        </w:tc>
        <w:tc>
          <w:tcPr>
            <w:tcW w:w="1414" w:type="dxa"/>
            <w:vAlign w:val="center"/>
          </w:tcPr>
          <w:p w14:paraId="03FA7CB6">
            <w:pPr>
              <w:spacing w:line="360" w:lineRule="auto"/>
              <w:rPr>
                <w:rFonts w:ascii="宋体" w:hAnsi="宋体"/>
                <w:sz w:val="24"/>
              </w:rPr>
            </w:pPr>
            <w:r>
              <w:rPr>
                <w:rFonts w:hint="eastAsia" w:ascii="宋体" w:hAnsi="宋体"/>
                <w:sz w:val="24"/>
              </w:rPr>
              <w:t>低风险</w:t>
            </w:r>
          </w:p>
        </w:tc>
        <w:tc>
          <w:tcPr>
            <w:tcW w:w="6351" w:type="dxa"/>
            <w:vAlign w:val="center"/>
          </w:tcPr>
          <w:p w14:paraId="706E7C4F">
            <w:pPr>
              <w:spacing w:line="360" w:lineRule="auto"/>
              <w:rPr>
                <w:rFonts w:ascii="宋体" w:hAnsi="宋体"/>
                <w:sz w:val="24"/>
              </w:rPr>
            </w:pPr>
            <w:r>
              <w:rPr>
                <w:rFonts w:hint="eastAsia" w:ascii="宋体" w:hAnsi="宋体"/>
                <w:sz w:val="24"/>
              </w:rPr>
              <w:t>风险较低,当采取措施消除风险引起的成本比风险本身引起的损失较大时,接受风险</w:t>
            </w:r>
          </w:p>
        </w:tc>
      </w:tr>
    </w:tbl>
    <w:p w14:paraId="3D64645D">
      <w:pPr>
        <w:spacing w:line="360" w:lineRule="auto"/>
        <w:rPr>
          <w:rFonts w:ascii="宋体" w:hAnsi="宋体"/>
          <w:sz w:val="24"/>
        </w:rPr>
      </w:pPr>
      <w:r>
        <w:rPr>
          <w:rFonts w:hint="eastAsia" w:ascii="宋体" w:hAnsi="宋体"/>
          <w:sz w:val="24"/>
        </w:rPr>
        <w:t>5.3.4.3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w:t>
      </w:r>
    </w:p>
    <w:p w14:paraId="6DD412DB">
      <w:pPr>
        <w:spacing w:line="360" w:lineRule="auto"/>
        <w:rPr>
          <w:rFonts w:ascii="宋体" w:hAnsi="宋体"/>
          <w:sz w:val="24"/>
        </w:rPr>
      </w:pPr>
      <w:r>
        <w:rPr>
          <w:rFonts w:hint="eastAsia" w:ascii="宋体" w:hAnsi="宋体"/>
          <w:sz w:val="24"/>
        </w:rPr>
        <w:t>5.3.4.4在进行风险分析和风险应对过程中，应保持风险措施的方案和实施结果的跟进应记录，记录的保持依据《记录控制程序》执行，风险分析和风险应对措施的详细内容应记录在【风险和机遇分析和评估表】中，便于后续的查阅和跟进。</w:t>
      </w:r>
    </w:p>
    <w:p w14:paraId="7EB48F84">
      <w:pPr>
        <w:spacing w:line="360" w:lineRule="auto"/>
        <w:rPr>
          <w:rFonts w:ascii="宋体" w:hAnsi="宋体"/>
          <w:sz w:val="24"/>
        </w:rPr>
      </w:pPr>
      <w:r>
        <w:rPr>
          <w:rFonts w:hint="eastAsia" w:ascii="宋体" w:hAnsi="宋体"/>
          <w:sz w:val="24"/>
        </w:rPr>
        <w:t>5.4风险应对</w:t>
      </w:r>
    </w:p>
    <w:p w14:paraId="3DDB2AD7">
      <w:pPr>
        <w:spacing w:line="360" w:lineRule="auto"/>
        <w:rPr>
          <w:rFonts w:ascii="宋体" w:hAnsi="宋体"/>
          <w:sz w:val="24"/>
        </w:rPr>
      </w:pPr>
      <w:r>
        <w:rPr>
          <w:rFonts w:hint="eastAsia" w:ascii="宋体" w:hAnsi="宋体"/>
          <w:sz w:val="24"/>
        </w:rPr>
        <w:t>5.4.1各实施部门应对所识别的风险进行评估，根据评估的结果对风险采取措施，从而达到降低或消除风险的目的，风险应对的方法包括：</w:t>
      </w:r>
    </w:p>
    <w:p w14:paraId="5891EB8D">
      <w:pPr>
        <w:spacing w:line="360" w:lineRule="auto"/>
        <w:rPr>
          <w:rFonts w:ascii="宋体" w:hAnsi="宋体"/>
          <w:sz w:val="24"/>
        </w:rPr>
      </w:pPr>
      <w:r>
        <w:rPr>
          <w:rFonts w:hint="eastAsia" w:ascii="宋体" w:hAnsi="宋体"/>
          <w:sz w:val="24"/>
        </w:rPr>
        <w:t>1)风险接受。2)风险降低。3)风险规避。</w:t>
      </w:r>
    </w:p>
    <w:p w14:paraId="4D92BBFE">
      <w:pPr>
        <w:spacing w:line="360" w:lineRule="auto"/>
        <w:rPr>
          <w:rFonts w:ascii="宋体" w:hAnsi="宋体"/>
          <w:sz w:val="24"/>
        </w:rPr>
      </w:pPr>
      <w:r>
        <w:rPr>
          <w:rFonts w:hint="eastAsia" w:ascii="宋体" w:hAnsi="宋体"/>
          <w:sz w:val="24"/>
        </w:rPr>
        <w:t>5.4.2对风险所采取的措施应考虑尽可能的消除风险，在无法消除或暂无有效的方法或者采取消除风险的方法的成本高出风险存在时造成损失时，再选择采取降低风险或者风险接受的风险应对方法。</w:t>
      </w:r>
    </w:p>
    <w:p w14:paraId="30D48426">
      <w:pPr>
        <w:spacing w:line="360" w:lineRule="auto"/>
        <w:rPr>
          <w:rFonts w:ascii="宋体" w:hAnsi="宋体"/>
          <w:sz w:val="24"/>
        </w:rPr>
      </w:pPr>
      <w:r>
        <w:rPr>
          <w:rFonts w:hint="eastAsia" w:ascii="宋体" w:hAnsi="宋体"/>
          <w:sz w:val="24"/>
        </w:rPr>
        <w:t>5.4.3风险接受：是指企业本身承担风险造成的损失。风险接受一般适用于那些造成损失较小、重复性较高的风险，当出现以下情况时可采取接受风险的方法：</w:t>
      </w:r>
    </w:p>
    <w:p w14:paraId="5CFAE0A7">
      <w:pPr>
        <w:spacing w:line="360" w:lineRule="auto"/>
        <w:rPr>
          <w:rFonts w:ascii="宋体" w:hAnsi="宋体"/>
          <w:sz w:val="24"/>
        </w:rPr>
      </w:pPr>
      <w:r>
        <w:rPr>
          <w:rFonts w:hint="eastAsia" w:ascii="宋体" w:hAnsi="宋体"/>
          <w:sz w:val="24"/>
        </w:rPr>
        <w:t xml:space="preserve"> 1)采取风险规避措施所带来的成本远超出潜在风险所造成的损失时。</w:t>
      </w:r>
    </w:p>
    <w:p w14:paraId="24597158">
      <w:pPr>
        <w:spacing w:line="360" w:lineRule="auto"/>
        <w:rPr>
          <w:rFonts w:ascii="宋体" w:hAnsi="宋体"/>
          <w:sz w:val="24"/>
        </w:rPr>
      </w:pPr>
      <w:r>
        <w:rPr>
          <w:rFonts w:hint="eastAsia" w:ascii="宋体" w:hAnsi="宋体"/>
          <w:sz w:val="24"/>
        </w:rPr>
        <w:t xml:space="preserve"> 2)造成的损失较小且重复性较高的风险。</w:t>
      </w:r>
    </w:p>
    <w:p w14:paraId="1CFAFCBE">
      <w:pPr>
        <w:spacing w:line="360" w:lineRule="auto"/>
        <w:rPr>
          <w:rFonts w:ascii="宋体" w:hAnsi="宋体"/>
          <w:sz w:val="24"/>
        </w:rPr>
      </w:pPr>
      <w:r>
        <w:rPr>
          <w:rFonts w:hint="eastAsia" w:ascii="宋体" w:hAnsi="宋体"/>
          <w:sz w:val="24"/>
        </w:rPr>
        <w:t xml:space="preserve"> 3)既无有效的风险降低的措施，又无有效的规避风险的方法时。</w:t>
      </w:r>
    </w:p>
    <w:p w14:paraId="60820E8B">
      <w:pPr>
        <w:spacing w:line="360" w:lineRule="auto"/>
        <w:rPr>
          <w:rFonts w:ascii="宋体" w:hAnsi="宋体"/>
          <w:sz w:val="24"/>
        </w:rPr>
      </w:pPr>
      <w:r>
        <w:rPr>
          <w:rFonts w:hint="eastAsia" w:ascii="宋体" w:hAnsi="宋体"/>
          <w:sz w:val="24"/>
        </w:rPr>
        <w:t xml:space="preserve"> 4)按本文件要求的风险评估准则中计算得出风险系数低于18的低风险。</w:t>
      </w:r>
    </w:p>
    <w:p w14:paraId="6C988620">
      <w:pPr>
        <w:spacing w:line="360" w:lineRule="auto"/>
        <w:rPr>
          <w:rFonts w:ascii="宋体" w:hAnsi="宋体"/>
          <w:sz w:val="24"/>
        </w:rPr>
      </w:pPr>
      <w:r>
        <w:rPr>
          <w:rFonts w:hint="eastAsia" w:ascii="宋体" w:hAnsi="宋体"/>
          <w:sz w:val="24"/>
        </w:rPr>
        <w:t>5.4.4风险降低:风险降低即采取措施降低潜在风险所带来的损坏或损失，风险评估实施单位应制定详细的风险降低措施降低风险，当出现以下情况时，可采取风险降低方法：</w:t>
      </w:r>
    </w:p>
    <w:p w14:paraId="14A4806F">
      <w:pPr>
        <w:spacing w:line="360" w:lineRule="auto"/>
        <w:rPr>
          <w:rFonts w:ascii="宋体" w:hAnsi="宋体"/>
          <w:sz w:val="24"/>
        </w:rPr>
      </w:pPr>
      <w:r>
        <w:rPr>
          <w:rFonts w:hint="eastAsia" w:ascii="宋体" w:hAnsi="宋体"/>
          <w:sz w:val="24"/>
        </w:rPr>
        <w:t xml:space="preserve">  1)采取风险规避措施所带来的成本远超出潜在风险所造成的损失时。</w:t>
      </w:r>
    </w:p>
    <w:p w14:paraId="3BABDC2B">
      <w:pPr>
        <w:spacing w:line="360" w:lineRule="auto"/>
        <w:ind w:firstLine="240" w:firstLineChars="100"/>
        <w:rPr>
          <w:rFonts w:ascii="宋体" w:hAnsi="宋体"/>
          <w:sz w:val="24"/>
        </w:rPr>
      </w:pPr>
      <w:r>
        <w:rPr>
          <w:rFonts w:hint="eastAsia" w:ascii="宋体" w:hAnsi="宋体"/>
          <w:sz w:val="24"/>
        </w:rPr>
        <w:t>2)无法消除风险或暂无有效的规避措施规避风险时。</w:t>
      </w:r>
    </w:p>
    <w:p w14:paraId="40D767A0">
      <w:pPr>
        <w:spacing w:line="360" w:lineRule="auto"/>
        <w:ind w:firstLine="240" w:firstLineChars="100"/>
        <w:rPr>
          <w:rFonts w:ascii="宋体" w:hAnsi="宋体"/>
          <w:sz w:val="24"/>
        </w:rPr>
      </w:pPr>
      <w:r>
        <w:rPr>
          <w:rFonts w:hint="eastAsia" w:ascii="宋体" w:hAnsi="宋体"/>
          <w:sz w:val="24"/>
        </w:rPr>
        <w:t>3)按本文件要求的风险评估准则中计算得出风险系数为18至36之间的一般性风险。</w:t>
      </w:r>
    </w:p>
    <w:p w14:paraId="67D3E5EC">
      <w:pPr>
        <w:spacing w:line="360" w:lineRule="auto"/>
        <w:rPr>
          <w:rFonts w:ascii="宋体" w:hAnsi="宋体"/>
          <w:sz w:val="24"/>
        </w:rPr>
      </w:pPr>
      <w:r>
        <w:rPr>
          <w:rFonts w:hint="eastAsia" w:ascii="宋体" w:hAnsi="宋体"/>
          <w:sz w:val="24"/>
        </w:rPr>
        <w:t>5.4.5风险规避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w:t>
      </w:r>
      <w:r>
        <w:fldChar w:fldCharType="begin"/>
      </w:r>
      <w:r>
        <w:instrText xml:space="preserve"> HYPERLINK "http://baike.baidu.com/view/2123458.htm" \t "_blank" </w:instrText>
      </w:r>
      <w:r>
        <w:fldChar w:fldCharType="separate"/>
      </w:r>
      <w:r>
        <w:rPr>
          <w:rFonts w:hint="eastAsia" w:ascii="宋体" w:hAnsi="宋体"/>
          <w:sz w:val="24"/>
        </w:rPr>
        <w:t>损失程度</w:t>
      </w:r>
      <w:r>
        <w:rPr>
          <w:rFonts w:hint="eastAsia" w:ascii="宋体" w:hAnsi="宋体"/>
          <w:sz w:val="24"/>
        </w:rPr>
        <w:fldChar w:fldCharType="end"/>
      </w:r>
      <w:r>
        <w:rPr>
          <w:rFonts w:hint="eastAsia" w:ascii="宋体" w:hAnsi="宋体"/>
          <w:sz w:val="24"/>
        </w:rPr>
        <w:t>，这主要包括事先控制、事后补救两个方面。</w:t>
      </w:r>
    </w:p>
    <w:p w14:paraId="3202F505">
      <w:pPr>
        <w:spacing w:line="360" w:lineRule="auto"/>
        <w:rPr>
          <w:rFonts w:ascii="宋体" w:hAnsi="宋体"/>
          <w:sz w:val="24"/>
        </w:rPr>
      </w:pPr>
      <w:r>
        <w:rPr>
          <w:rFonts w:hint="eastAsia" w:ascii="宋体" w:hAnsi="宋体"/>
          <w:sz w:val="24"/>
        </w:rPr>
        <w:t>5.4.6风险管理的监督与改进: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应对风险和机遇措施表】时，应考虑以下方面的内容：</w:t>
      </w:r>
    </w:p>
    <w:p w14:paraId="3B213AC5">
      <w:pPr>
        <w:spacing w:line="360" w:lineRule="auto"/>
        <w:ind w:firstLine="240" w:firstLineChars="100"/>
        <w:rPr>
          <w:rFonts w:ascii="宋体" w:hAnsi="宋体"/>
          <w:sz w:val="24"/>
        </w:rPr>
      </w:pPr>
      <w:r>
        <w:rPr>
          <w:rFonts w:hint="eastAsia" w:ascii="宋体" w:hAnsi="宋体"/>
          <w:sz w:val="24"/>
        </w:rPr>
        <w:t>1)制定的措施应是在现有条件下可执行和可落实的。</w:t>
      </w:r>
    </w:p>
    <w:p w14:paraId="56350F11">
      <w:pPr>
        <w:spacing w:line="360" w:lineRule="auto"/>
        <w:ind w:firstLine="240" w:firstLineChars="100"/>
        <w:rPr>
          <w:rFonts w:ascii="宋体" w:hAnsi="宋体"/>
          <w:sz w:val="24"/>
        </w:rPr>
      </w:pPr>
      <w:r>
        <w:rPr>
          <w:rFonts w:hint="eastAsia" w:ascii="宋体" w:hAnsi="宋体"/>
          <w:sz w:val="24"/>
        </w:rPr>
        <w:t>2)制定的措施应落实到个人，每个人应完成的内容应得到明确。</w:t>
      </w:r>
    </w:p>
    <w:p w14:paraId="35B5C95A">
      <w:pPr>
        <w:spacing w:line="360" w:lineRule="auto"/>
        <w:ind w:firstLine="240" w:firstLineChars="100"/>
        <w:rPr>
          <w:rFonts w:ascii="宋体" w:hAnsi="宋体"/>
          <w:sz w:val="24"/>
        </w:rPr>
      </w:pPr>
      <w:r>
        <w:rPr>
          <w:rFonts w:hint="eastAsia" w:ascii="宋体" w:hAnsi="宋体"/>
          <w:sz w:val="24"/>
        </w:rPr>
        <w:t>3)应指派一名负责人为措施的执行进度和效果进行跟进，确保采取措施被有效的落实。</w:t>
      </w:r>
    </w:p>
    <w:p w14:paraId="76CD92EF">
      <w:pPr>
        <w:spacing w:line="360" w:lineRule="auto"/>
        <w:rPr>
          <w:rFonts w:ascii="宋体" w:hAnsi="宋体"/>
          <w:sz w:val="24"/>
        </w:rPr>
      </w:pPr>
      <w:r>
        <w:rPr>
          <w:rFonts w:hint="eastAsia" w:ascii="宋体" w:hAnsi="宋体"/>
          <w:sz w:val="24"/>
        </w:rPr>
        <w:t>5.5风险和机遇的评审: 管理者代表应按制定的周期组织实施对风险和机遇的评审，以验证其有效性。风险和机遇的评审应包含以下方面的内容：</w:t>
      </w:r>
    </w:p>
    <w:p w14:paraId="7021FA31">
      <w:pPr>
        <w:spacing w:line="360" w:lineRule="auto"/>
        <w:rPr>
          <w:rFonts w:ascii="宋体" w:hAnsi="宋体"/>
          <w:sz w:val="24"/>
        </w:rPr>
      </w:pPr>
      <w:r>
        <w:rPr>
          <w:rFonts w:hint="eastAsia" w:ascii="宋体" w:hAnsi="宋体"/>
          <w:sz w:val="24"/>
        </w:rPr>
        <w:t>5.5.1风险和机遇的识别是否有效且完善。</w:t>
      </w:r>
    </w:p>
    <w:p w14:paraId="0E0B816C">
      <w:pPr>
        <w:spacing w:line="360" w:lineRule="auto"/>
        <w:rPr>
          <w:rFonts w:ascii="宋体" w:hAnsi="宋体"/>
          <w:sz w:val="24"/>
        </w:rPr>
      </w:pPr>
      <w:r>
        <w:rPr>
          <w:rFonts w:hint="eastAsia" w:ascii="宋体" w:hAnsi="宋体"/>
          <w:sz w:val="24"/>
        </w:rPr>
        <w:t>5.5.2风险应对措施的完成情况和进度。</w:t>
      </w:r>
    </w:p>
    <w:p w14:paraId="77B5CFB0">
      <w:pPr>
        <w:spacing w:line="360" w:lineRule="auto"/>
        <w:rPr>
          <w:rFonts w:ascii="宋体" w:hAnsi="宋体"/>
          <w:sz w:val="24"/>
        </w:rPr>
      </w:pPr>
      <w:r>
        <w:rPr>
          <w:rFonts w:hint="eastAsia" w:ascii="宋体" w:hAnsi="宋体"/>
          <w:sz w:val="24"/>
        </w:rPr>
        <w:t>5.5.3对产品和服务的符合性和顾客满意度的潜在影响。</w:t>
      </w:r>
    </w:p>
    <w:p w14:paraId="7B88A5C7">
      <w:pPr>
        <w:spacing w:line="360" w:lineRule="auto"/>
        <w:rPr>
          <w:rFonts w:ascii="宋体" w:hAnsi="宋体"/>
          <w:sz w:val="24"/>
        </w:rPr>
      </w:pPr>
      <w:r>
        <w:rPr>
          <w:rFonts w:hint="eastAsia" w:ascii="宋体" w:hAnsi="宋体"/>
          <w:sz w:val="24"/>
        </w:rPr>
        <w:t>5.5.4风险和机遇评审的策划:风险和机遇评审应每年度至少实施一次评审，以验证其有效性。当出现以下情况是，应当适当增加风险和风险评审的次数：</w:t>
      </w:r>
    </w:p>
    <w:p w14:paraId="7DDDEEC8">
      <w:pPr>
        <w:spacing w:line="360" w:lineRule="auto"/>
        <w:ind w:firstLine="240" w:firstLineChars="100"/>
        <w:rPr>
          <w:rFonts w:ascii="宋体" w:hAnsi="宋体"/>
          <w:sz w:val="24"/>
        </w:rPr>
      </w:pPr>
      <w:r>
        <w:rPr>
          <w:rFonts w:hint="eastAsia" w:ascii="宋体" w:hAnsi="宋体"/>
          <w:sz w:val="24"/>
        </w:rPr>
        <w:t>1)与质量、环境、职业健康安全有关的法律法规、标准及其他要求有变化时</w:t>
      </w:r>
    </w:p>
    <w:p w14:paraId="2E23FC2B">
      <w:pPr>
        <w:spacing w:line="360" w:lineRule="auto"/>
        <w:ind w:firstLine="240" w:firstLineChars="100"/>
        <w:rPr>
          <w:rFonts w:ascii="宋体" w:hAnsi="宋体"/>
          <w:sz w:val="24"/>
        </w:rPr>
      </w:pPr>
      <w:r>
        <w:rPr>
          <w:rFonts w:hint="eastAsia" w:ascii="宋体" w:hAnsi="宋体"/>
          <w:sz w:val="24"/>
        </w:rPr>
        <w:t>2)组织机构、产品范围、资源配置发生重大调整时</w:t>
      </w:r>
    </w:p>
    <w:p w14:paraId="7B4C9594">
      <w:pPr>
        <w:spacing w:line="360" w:lineRule="auto"/>
        <w:ind w:firstLine="240" w:firstLineChars="100"/>
        <w:rPr>
          <w:rFonts w:ascii="宋体" w:hAnsi="宋体"/>
          <w:sz w:val="24"/>
        </w:rPr>
      </w:pPr>
      <w:r>
        <w:rPr>
          <w:rFonts w:hint="eastAsia" w:ascii="宋体" w:hAnsi="宋体"/>
          <w:sz w:val="24"/>
        </w:rPr>
        <w:t>3)发生重大品质事故或相关方投诉连续发生时</w:t>
      </w:r>
    </w:p>
    <w:p w14:paraId="6740E019">
      <w:pPr>
        <w:spacing w:line="360" w:lineRule="auto"/>
        <w:ind w:firstLine="240" w:firstLineChars="100"/>
        <w:rPr>
          <w:rFonts w:ascii="宋体" w:hAnsi="宋体"/>
          <w:sz w:val="24"/>
        </w:rPr>
      </w:pPr>
      <w:r>
        <w:rPr>
          <w:rFonts w:hint="eastAsia" w:ascii="宋体" w:hAnsi="宋体"/>
          <w:sz w:val="24"/>
        </w:rPr>
        <w:t xml:space="preserve">4)第三方认证审核前或其他认为有管理评审需要时 </w:t>
      </w:r>
    </w:p>
    <w:p w14:paraId="71C79C88">
      <w:pPr>
        <w:spacing w:line="360" w:lineRule="auto"/>
        <w:ind w:firstLine="240" w:firstLineChars="100"/>
        <w:rPr>
          <w:rFonts w:ascii="宋体" w:hAnsi="宋体"/>
          <w:sz w:val="24"/>
        </w:rPr>
      </w:pPr>
      <w:r>
        <w:rPr>
          <w:rFonts w:hint="eastAsia" w:ascii="宋体" w:hAnsi="宋体"/>
          <w:sz w:val="24"/>
        </w:rPr>
        <w:t>5)其他情况需要时。</w:t>
      </w:r>
    </w:p>
    <w:p w14:paraId="1F6FBFC2">
      <w:pPr>
        <w:spacing w:line="360" w:lineRule="auto"/>
        <w:rPr>
          <w:rFonts w:ascii="宋体" w:hAnsi="宋体"/>
          <w:sz w:val="24"/>
        </w:rPr>
      </w:pPr>
      <w:r>
        <w:rPr>
          <w:rFonts w:hint="eastAsia" w:ascii="宋体" w:hAnsi="宋体"/>
          <w:sz w:val="24"/>
        </w:rPr>
        <w:t>5.5.5风险和机遇评审的实施</w:t>
      </w:r>
    </w:p>
    <w:p w14:paraId="76EF52F7">
      <w:pPr>
        <w:spacing w:line="360" w:lineRule="auto"/>
        <w:rPr>
          <w:rFonts w:ascii="宋体" w:hAnsi="宋体"/>
          <w:sz w:val="24"/>
        </w:rPr>
      </w:pPr>
      <w:r>
        <w:rPr>
          <w:rFonts w:hint="eastAsia" w:ascii="宋体" w:hAnsi="宋体"/>
          <w:sz w:val="24"/>
        </w:rPr>
        <w:t xml:space="preserve"> 1)实施前的准备：在风险和机遇评审会议之前,各部门应整理本部门对风险和机遇分析的资料,包括风险识别风险评估和风险应对的内容以及风险应对所采取措施的结果等记录进行汇总分析。</w:t>
      </w:r>
    </w:p>
    <w:p w14:paraId="28CC0F42">
      <w:pPr>
        <w:spacing w:line="360" w:lineRule="auto"/>
        <w:rPr>
          <w:rFonts w:ascii="宋体" w:hAnsi="宋体"/>
          <w:sz w:val="24"/>
        </w:rPr>
      </w:pPr>
      <w:r>
        <w:rPr>
          <w:rFonts w:hint="eastAsia" w:ascii="宋体" w:hAnsi="宋体"/>
          <w:sz w:val="24"/>
        </w:rPr>
        <w:t xml:space="preserve"> 2)应对风险和机遇措施的实施：管理者代表按策划的要求组织个部门实施对风险和机遇的评审，体系部应保留评审的记录以及评审所确定的决议，包括后续的改善机会。风险和机遇的评审应形成包含但不限于以下方面的内容：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风险和机遇分析和评估表。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持续改进的机会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剩余风险分析及改进措施。</w:t>
      </w:r>
    </w:p>
    <w:p w14:paraId="3555A374">
      <w:pPr>
        <w:spacing w:line="360" w:lineRule="auto"/>
        <w:rPr>
          <w:rFonts w:ascii="宋体" w:hAnsi="宋体"/>
          <w:sz w:val="24"/>
        </w:rPr>
      </w:pPr>
      <w:r>
        <w:rPr>
          <w:rFonts w:hint="eastAsia" w:ascii="宋体" w:hAnsi="宋体"/>
          <w:sz w:val="24"/>
        </w:rPr>
        <w:t>5.6环境/职业健康安全管理要求的控制</w:t>
      </w:r>
    </w:p>
    <w:p w14:paraId="3E7EE637">
      <w:pPr>
        <w:spacing w:line="360" w:lineRule="auto"/>
        <w:rPr>
          <w:rFonts w:ascii="宋体" w:hAnsi="宋体"/>
          <w:sz w:val="24"/>
        </w:rPr>
      </w:pPr>
      <w:r>
        <w:rPr>
          <w:rFonts w:hint="eastAsia" w:ascii="宋体" w:hAnsi="宋体"/>
          <w:sz w:val="24"/>
        </w:rPr>
        <w:t>5.6.1业务活动中所产生的废弃物、资源节约利用、职业病防护和劳动保护等按《三废及噪音防护控制程序》、《运行控制程序》的要求进行处理。</w:t>
      </w:r>
    </w:p>
    <w:p w14:paraId="0A636978">
      <w:pPr>
        <w:spacing w:line="360" w:lineRule="auto"/>
        <w:rPr>
          <w:rFonts w:ascii="宋体" w:hAnsi="宋体"/>
          <w:sz w:val="24"/>
        </w:rPr>
      </w:pPr>
      <w:r>
        <w:rPr>
          <w:rFonts w:hint="eastAsia" w:ascii="宋体" w:hAnsi="宋体"/>
          <w:sz w:val="24"/>
        </w:rPr>
        <w:t>5.6.2发生紧急情况时按《事故应急救援与调查处理控制程序》、《潜在事故和紧急情况控制程序》的要求进行处理。</w:t>
      </w:r>
    </w:p>
    <w:p w14:paraId="67345D11">
      <w:pPr>
        <w:numPr>
          <w:ilvl w:val="0"/>
          <w:numId w:val="43"/>
        </w:numPr>
        <w:spacing w:line="360" w:lineRule="auto"/>
        <w:rPr>
          <w:rFonts w:ascii="宋体" w:hAnsi="宋体"/>
          <w:sz w:val="24"/>
        </w:rPr>
      </w:pPr>
      <w:r>
        <w:rPr>
          <w:rFonts w:hint="eastAsia" w:ascii="宋体" w:hAnsi="宋体"/>
          <w:sz w:val="24"/>
        </w:rPr>
        <w:t>相关文件</w:t>
      </w:r>
    </w:p>
    <w:p w14:paraId="339BD65D">
      <w:pPr>
        <w:numPr>
          <w:ilvl w:val="1"/>
          <w:numId w:val="43"/>
        </w:numPr>
        <w:spacing w:line="360" w:lineRule="auto"/>
        <w:rPr>
          <w:rFonts w:ascii="宋体" w:hAnsi="宋体"/>
          <w:sz w:val="24"/>
        </w:rPr>
      </w:pPr>
      <w:r>
        <w:rPr>
          <w:rFonts w:hint="eastAsia" w:ascii="宋体" w:hAnsi="宋体"/>
          <w:sz w:val="24"/>
        </w:rPr>
        <w:t>《记录控制程序》</w:t>
      </w:r>
    </w:p>
    <w:p w14:paraId="163C2264">
      <w:pPr>
        <w:numPr>
          <w:ilvl w:val="1"/>
          <w:numId w:val="43"/>
        </w:numPr>
        <w:spacing w:line="360" w:lineRule="auto"/>
        <w:rPr>
          <w:rFonts w:ascii="宋体" w:hAnsi="宋体"/>
          <w:sz w:val="24"/>
        </w:rPr>
      </w:pPr>
      <w:r>
        <w:rPr>
          <w:rFonts w:hint="eastAsia" w:ascii="宋体" w:hAnsi="宋体"/>
          <w:sz w:val="24"/>
        </w:rPr>
        <w:t>《事故应急救援与调查处理控制程序》。</w:t>
      </w:r>
    </w:p>
    <w:p w14:paraId="040268B3">
      <w:pPr>
        <w:spacing w:line="360" w:lineRule="auto"/>
        <w:rPr>
          <w:rFonts w:ascii="宋体" w:hAnsi="宋体"/>
          <w:sz w:val="24"/>
        </w:rPr>
      </w:pPr>
      <w:r>
        <w:rPr>
          <w:rFonts w:hint="eastAsia" w:ascii="宋体" w:hAnsi="宋体"/>
          <w:sz w:val="24"/>
        </w:rPr>
        <w:t>6.3 《潜在事故和紧急情况控制程序》</w:t>
      </w:r>
    </w:p>
    <w:p w14:paraId="56209951">
      <w:pPr>
        <w:spacing w:line="360" w:lineRule="auto"/>
        <w:rPr>
          <w:rFonts w:ascii="宋体" w:hAnsi="宋体"/>
          <w:sz w:val="24"/>
        </w:rPr>
      </w:pPr>
      <w:r>
        <w:rPr>
          <w:rFonts w:hint="eastAsia" w:ascii="宋体" w:hAnsi="宋体"/>
          <w:sz w:val="24"/>
        </w:rPr>
        <w:t>7.相关记录</w:t>
      </w:r>
    </w:p>
    <w:p w14:paraId="2E39C3F9">
      <w:pPr>
        <w:spacing w:line="360" w:lineRule="auto"/>
        <w:rPr>
          <w:rFonts w:ascii="宋体" w:hAnsi="宋体"/>
          <w:sz w:val="24"/>
        </w:rPr>
      </w:pPr>
      <w:r>
        <w:rPr>
          <w:rFonts w:hint="eastAsia" w:ascii="宋体" w:hAnsi="宋体"/>
          <w:sz w:val="24"/>
        </w:rPr>
        <w:t xml:space="preserve">7.1【风险和机遇分析和评估表】    </w:t>
      </w:r>
    </w:p>
    <w:p w14:paraId="41308172">
      <w:pPr>
        <w:spacing w:line="360" w:lineRule="auto"/>
        <w:rPr>
          <w:rFonts w:ascii="宋体" w:hAnsi="宋体"/>
          <w:sz w:val="24"/>
        </w:rPr>
      </w:pPr>
      <w:r>
        <w:rPr>
          <w:rFonts w:hint="eastAsia" w:ascii="宋体" w:hAnsi="宋体"/>
          <w:sz w:val="24"/>
        </w:rPr>
        <w:t xml:space="preserve">7.2【应对风险和机遇措施表】   </w:t>
      </w:r>
    </w:p>
    <w:p w14:paraId="39C8A66C">
      <w:pPr>
        <w:spacing w:line="360" w:lineRule="auto"/>
        <w:rPr>
          <w:rFonts w:ascii="宋体" w:hAnsi="宋体"/>
          <w:sz w:val="24"/>
        </w:rPr>
      </w:pPr>
    </w:p>
    <w:p w14:paraId="53FB95BB">
      <w:pPr>
        <w:spacing w:line="360" w:lineRule="auto"/>
        <w:rPr>
          <w:rFonts w:ascii="宋体" w:hAnsi="宋体"/>
          <w:sz w:val="24"/>
        </w:rPr>
      </w:pPr>
    </w:p>
    <w:p w14:paraId="45F7EB1F">
      <w:pPr>
        <w:spacing w:line="360" w:lineRule="auto"/>
        <w:rPr>
          <w:rFonts w:ascii="宋体" w:hAnsi="宋体"/>
          <w:sz w:val="24"/>
        </w:rPr>
      </w:pPr>
    </w:p>
    <w:p w14:paraId="0EC407CD">
      <w:pPr>
        <w:spacing w:line="360" w:lineRule="auto"/>
        <w:rPr>
          <w:rFonts w:ascii="宋体" w:hAnsi="宋体"/>
          <w:sz w:val="24"/>
        </w:rPr>
      </w:pPr>
    </w:p>
    <w:p w14:paraId="7356A682">
      <w:pPr>
        <w:spacing w:line="360" w:lineRule="auto"/>
        <w:rPr>
          <w:rFonts w:ascii="宋体" w:hAnsi="宋体"/>
          <w:sz w:val="24"/>
        </w:rPr>
      </w:pPr>
    </w:p>
    <w:p w14:paraId="14164FCA">
      <w:pPr>
        <w:spacing w:line="360" w:lineRule="auto"/>
        <w:rPr>
          <w:rFonts w:ascii="宋体" w:hAnsi="宋体"/>
          <w:sz w:val="24"/>
        </w:rPr>
      </w:pPr>
    </w:p>
    <w:p w14:paraId="0B8A5BE0">
      <w:pPr>
        <w:spacing w:line="360" w:lineRule="auto"/>
        <w:rPr>
          <w:rFonts w:ascii="宋体" w:hAnsi="宋体"/>
          <w:sz w:val="24"/>
        </w:rPr>
      </w:pPr>
    </w:p>
    <w:p w14:paraId="0E393E45">
      <w:pPr>
        <w:spacing w:line="360" w:lineRule="auto"/>
        <w:rPr>
          <w:rFonts w:ascii="宋体" w:hAnsi="宋体"/>
          <w:sz w:val="24"/>
        </w:rPr>
      </w:pPr>
    </w:p>
    <w:p w14:paraId="47F3A473">
      <w:pPr>
        <w:spacing w:line="360" w:lineRule="auto"/>
        <w:rPr>
          <w:rFonts w:ascii="宋体" w:hAnsi="宋体"/>
          <w:sz w:val="24"/>
        </w:rPr>
      </w:pPr>
    </w:p>
    <w:p w14:paraId="1D7E5C41">
      <w:pPr>
        <w:spacing w:line="360" w:lineRule="auto"/>
        <w:rPr>
          <w:rFonts w:ascii="宋体" w:hAnsi="宋体"/>
          <w:sz w:val="24"/>
        </w:rPr>
      </w:pPr>
    </w:p>
    <w:p w14:paraId="27BB77B4">
      <w:pPr>
        <w:spacing w:line="360" w:lineRule="auto"/>
        <w:rPr>
          <w:rFonts w:ascii="宋体" w:hAnsi="宋体"/>
          <w:sz w:val="24"/>
        </w:rPr>
      </w:pPr>
    </w:p>
    <w:p w14:paraId="05717258">
      <w:pPr>
        <w:spacing w:line="360" w:lineRule="auto"/>
        <w:rPr>
          <w:rFonts w:ascii="宋体" w:hAnsi="宋体"/>
          <w:sz w:val="24"/>
        </w:rPr>
      </w:pPr>
    </w:p>
    <w:p w14:paraId="5C8EB045">
      <w:pPr>
        <w:spacing w:line="360" w:lineRule="auto"/>
        <w:rPr>
          <w:rFonts w:ascii="宋体" w:hAnsi="宋体"/>
          <w:sz w:val="24"/>
        </w:rPr>
      </w:pPr>
    </w:p>
    <w:p w14:paraId="4D74352A">
      <w:pPr>
        <w:spacing w:line="360" w:lineRule="auto"/>
        <w:rPr>
          <w:rFonts w:ascii="宋体" w:hAnsi="宋体"/>
          <w:sz w:val="24"/>
        </w:rPr>
      </w:pPr>
    </w:p>
    <w:p w14:paraId="37CC4AFE">
      <w:pPr>
        <w:spacing w:line="360" w:lineRule="auto"/>
        <w:rPr>
          <w:rFonts w:ascii="宋体" w:hAnsi="宋体"/>
          <w:sz w:val="24"/>
        </w:rPr>
      </w:pPr>
    </w:p>
    <w:p w14:paraId="77A77705">
      <w:pPr>
        <w:spacing w:line="360" w:lineRule="auto"/>
        <w:rPr>
          <w:rFonts w:ascii="宋体" w:hAnsi="宋体"/>
          <w:sz w:val="24"/>
        </w:rPr>
      </w:pPr>
      <w:r>
        <w:rPr>
          <w:rFonts w:hint="eastAsia" w:ascii="宋体" w:hAnsi="宋体"/>
          <w:sz w:val="24"/>
        </w:rPr>
        <w:t xml:space="preserve">8、流程图：   </w:t>
      </w:r>
    </w:p>
    <w:tbl>
      <w:tblPr>
        <w:tblStyle w:val="44"/>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963"/>
        <w:gridCol w:w="21"/>
        <w:gridCol w:w="2074"/>
        <w:gridCol w:w="19"/>
        <w:gridCol w:w="1813"/>
        <w:gridCol w:w="19"/>
        <w:gridCol w:w="1371"/>
        <w:gridCol w:w="21"/>
      </w:tblGrid>
      <w:tr w14:paraId="5885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5" w:hRule="atLeast"/>
        </w:trPr>
        <w:tc>
          <w:tcPr>
            <w:tcW w:w="9345" w:type="dxa"/>
            <w:gridSpan w:val="8"/>
          </w:tcPr>
          <w:p w14:paraId="7865D4FB">
            <w:pPr>
              <w:spacing w:line="360" w:lineRule="auto"/>
              <w:rPr>
                <w:rFonts w:ascii="宋体" w:hAnsi="宋体"/>
                <w:sz w:val="24"/>
              </w:rPr>
            </w:pPr>
            <w:r>
              <w:rPr>
                <w:rFonts w:hint="eastAsia" w:ascii="宋体" w:hAnsi="宋体"/>
                <w:sz w:val="24"/>
              </w:rPr>
              <w:t>应对风险和机遇措施控制流程图</w:t>
            </w:r>
          </w:p>
        </w:tc>
      </w:tr>
      <w:tr w14:paraId="729A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trPr>
        <w:tc>
          <w:tcPr>
            <w:tcW w:w="2065" w:type="dxa"/>
          </w:tcPr>
          <w:p w14:paraId="5650916F">
            <w:pPr>
              <w:spacing w:line="360" w:lineRule="auto"/>
              <w:jc w:val="center"/>
              <w:rPr>
                <w:rFonts w:ascii="宋体" w:hAnsi="宋体"/>
                <w:sz w:val="24"/>
              </w:rPr>
            </w:pPr>
            <w:r>
              <w:rPr>
                <w:rFonts w:hint="eastAsia" w:ascii="宋体" w:hAnsi="宋体"/>
                <w:sz w:val="24"/>
              </w:rPr>
              <w:t>公司高层</w:t>
            </w:r>
          </w:p>
        </w:tc>
        <w:tc>
          <w:tcPr>
            <w:tcW w:w="1963" w:type="dxa"/>
          </w:tcPr>
          <w:p w14:paraId="4CAD2ECE">
            <w:pPr>
              <w:spacing w:line="360" w:lineRule="auto"/>
              <w:jc w:val="center"/>
              <w:rPr>
                <w:rFonts w:ascii="宋体" w:hAnsi="宋体"/>
                <w:sz w:val="24"/>
              </w:rPr>
            </w:pPr>
            <w:r>
              <w:rPr>
                <w:rFonts w:hint="eastAsia" w:ascii="宋体" w:hAnsi="宋体"/>
                <w:sz w:val="24"/>
              </w:rPr>
              <w:t>贯标小组</w:t>
            </w:r>
          </w:p>
        </w:tc>
        <w:tc>
          <w:tcPr>
            <w:tcW w:w="2095" w:type="dxa"/>
            <w:gridSpan w:val="2"/>
          </w:tcPr>
          <w:p w14:paraId="19804821">
            <w:pPr>
              <w:spacing w:line="360" w:lineRule="auto"/>
              <w:jc w:val="center"/>
              <w:rPr>
                <w:rFonts w:ascii="宋体" w:hAnsi="宋体"/>
                <w:sz w:val="24"/>
              </w:rPr>
            </w:pPr>
            <w:r>
              <w:rPr>
                <w:rFonts w:hint="eastAsia" w:ascii="宋体" w:hAnsi="宋体"/>
                <w:sz w:val="24"/>
              </w:rPr>
              <w:t>各部门</w:t>
            </w:r>
          </w:p>
        </w:tc>
        <w:tc>
          <w:tcPr>
            <w:tcW w:w="1832" w:type="dxa"/>
            <w:gridSpan w:val="2"/>
          </w:tcPr>
          <w:p w14:paraId="446F5311">
            <w:pPr>
              <w:spacing w:line="360" w:lineRule="auto"/>
              <w:jc w:val="center"/>
              <w:rPr>
                <w:rFonts w:ascii="宋体" w:hAnsi="宋体"/>
                <w:sz w:val="24"/>
              </w:rPr>
            </w:pPr>
            <w:r>
              <w:rPr>
                <w:rFonts w:hint="eastAsia" w:ascii="宋体" w:hAnsi="宋体"/>
                <w:sz w:val="24"/>
              </w:rPr>
              <w:t>相关表单</w:t>
            </w:r>
          </w:p>
        </w:tc>
        <w:tc>
          <w:tcPr>
            <w:tcW w:w="1390" w:type="dxa"/>
            <w:gridSpan w:val="2"/>
          </w:tcPr>
          <w:p w14:paraId="46DFA3AC">
            <w:pPr>
              <w:spacing w:line="360" w:lineRule="auto"/>
              <w:jc w:val="center"/>
              <w:rPr>
                <w:rFonts w:ascii="宋体" w:hAnsi="宋体"/>
                <w:sz w:val="24"/>
              </w:rPr>
            </w:pPr>
            <w:r>
              <w:rPr>
                <w:rFonts w:hint="eastAsia" w:ascii="宋体" w:hAnsi="宋体"/>
                <w:sz w:val="24"/>
              </w:rPr>
              <w:t>备注</w:t>
            </w:r>
          </w:p>
        </w:tc>
      </w:tr>
      <w:tr w14:paraId="1C4C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2" w:hRule="atLeast"/>
        </w:trPr>
        <w:tc>
          <w:tcPr>
            <w:tcW w:w="2065" w:type="dxa"/>
            <w:tcBorders>
              <w:right w:val="dashed" w:color="auto" w:sz="4" w:space="0"/>
            </w:tcBorders>
          </w:tcPr>
          <w:p w14:paraId="7A593E9B">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701248" behindDoc="0" locked="0" layoutInCell="1" allowOverlap="1">
                      <wp:simplePos x="0" y="0"/>
                      <wp:positionH relativeFrom="column">
                        <wp:posOffset>855980</wp:posOffset>
                      </wp:positionH>
                      <wp:positionV relativeFrom="paragraph">
                        <wp:posOffset>5993765</wp:posOffset>
                      </wp:positionV>
                      <wp:extent cx="2371725" cy="466725"/>
                      <wp:effectExtent l="13335" t="13335" r="15240" b="15240"/>
                      <wp:wrapNone/>
                      <wp:docPr id="25" name="矩形 26"/>
                      <wp:cNvGraphicFramePr/>
                      <a:graphic xmlns:a="http://schemas.openxmlformats.org/drawingml/2006/main">
                        <a:graphicData uri="http://schemas.microsoft.com/office/word/2010/wordprocessingShape">
                          <wps:wsp>
                            <wps:cNvSpPr>
                              <a:spLocks noChangeArrowheads="1"/>
                            </wps:cNvSpPr>
                            <wps:spPr bwMode="auto">
                              <a:xfrm>
                                <a:off x="0" y="0"/>
                                <a:ext cx="237172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4AB3AEE4">
                                  <w:pPr>
                                    <w:rPr>
                                      <w:rFonts w:ascii="宋体" w:hAnsi="宋体"/>
                                      <w:szCs w:val="21"/>
                                    </w:rPr>
                                  </w:pPr>
                                  <w:r>
                                    <w:rPr>
                                      <w:rFonts w:hint="eastAsia" w:ascii="宋体" w:hAnsi="宋体"/>
                                      <w:szCs w:val="21"/>
                                    </w:rPr>
                                    <w:t>评审应对风险和机遇措施的有效性</w:t>
                                  </w:r>
                                </w:p>
                              </w:txbxContent>
                            </wps:txbx>
                            <wps:bodyPr rot="0" vert="horz" wrap="square" lIns="91440" tIns="45720" rIns="91440" bIns="45720" anchor="t" anchorCtr="0" upright="1">
                              <a:noAutofit/>
                            </wps:bodyPr>
                          </wps:wsp>
                        </a:graphicData>
                      </a:graphic>
                    </wp:anchor>
                  </w:drawing>
                </mc:Choice>
                <mc:Fallback>
                  <w:pict>
                    <v:rect id="矩形 26" o:spid="_x0000_s1026" o:spt="1" style="position:absolute;left:0pt;margin-left:67.4pt;margin-top:471.95pt;height:36.75pt;width:186.75pt;z-index:251701248;mso-width-relative:page;mso-height-relative:page;" fillcolor="#FFFFFF" filled="t" stroked="t" coordsize="21600,21600" o:gfxdata="UEsDBAoAAAAAAIdO4kAAAAAAAAAAAAAAAAAEAAAAZHJzL1BLAwQUAAAACACHTuJAKBcKqtgAAAAM&#10;AQAADwAAAGRycy9kb3ducmV2LnhtbE2PwU7DMBBE70j8g7VI3KgdEmgb4lQCCU4caEHqdRubJBCv&#10;I9tN2r9nOcFxNKOZN9Xm5AYx2RB7TxqyhQJhqfGmp1bDx/vzzQpETEgGB09Ww9lG2NSXFxWWxs+0&#10;tdMutYJLKJaooUtpLKWMTWcdxoUfLbH36YPDxDK00gScudwN8lape+mwJ17ocLRPnW2+d0enYcL9&#10;Y0znNr70ffYVaHrbutdZ6+urTD2ASPaU/sLwi8/oUDPTwR/JRDGwzgtGTxrWRb4GwYk7tcpBHNhS&#10;2bIAWVfy/4n6B1BLAwQUAAAACACHTuJAoLkolHMCAAACBQAADgAAAGRycy9lMm9Eb2MueG1srVRL&#10;btswEN0X6B0I7mtZjn8xIgeBgxQF0jZAWnRNU5RElL8OacvuZQp010P0OEWv0SElO04KFFlUC4Hk&#10;DN+8eU+ji8udVmQrwEtrCpoPhpQIw20pTV3Qjx9uXs0p8YGZkilrREH3wtPL5csXF61biJFtrCoF&#10;EAQxftG6gjYhuEWWed4IzfzAOmEwWFnQLOAW6qwE1iK6VtloOJxmrYXSgeXCezy97oK0R4TnANqq&#10;klxcW77RwoQOFYRiAVvyjXSeLhPbqhI8vK8qLwJRBcVOQ3pjEVyv4ztbXrBFDcw1kvcU2HMoPOlJ&#10;M2mw6BHqmgVGNiD/gtKSg/W2CgNuddY1khTBLvLhE23uG+ZE6gWl9u4ouv9/sPzd9g6ILAs6mlBi&#10;mEbHf3/78evndzKaRnVa5xeYdO/uIPbn3a3lnz0xdtUwU4srANs2gpXIKY/52aMLcePxKlm3b22J&#10;2GwTbBJqV4GOgCgB2SU/9kc/xC4Qjoejs1k+i7w4xsbTaVzHEmxxuO3Ah9fCahIXBQX0O6Gz7a0P&#10;XeohpXenvJFKEbDhkwxNEjiWTUGPd7oFcRb76Y491OuVArJl+AndpKcnUfvT7HwYn4T07ytIvz6U&#10;UtIQlLHvPEaAJYYRWRnSoqqT+SxKoB2a5E3dVbBKHvMelZudna9WZz1Df5qmZcDBVVIXdN5x7QRS&#10;pnctGtUZHnbrHQaje2tb7tE/FCySjD8OXDQWvlLS4tggpS8bBoIS9cagZuf5eBznLG3Gk9kIN3Aa&#10;WZ9GmOEIVdBAUYW4XIVuNjcOZN1gpTy1a+wVfjeVTJY+sOp542ikj6If4zh7p/uU9fDr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BcKqtgAAAAMAQAADwAAAAAAAAABACAAAAAiAAAAZHJzL2Rv&#10;d25yZXYueG1sUEsBAhQAFAAAAAgAh07iQKC5KJRzAgAAAgUAAA4AAAAAAAAAAQAgAAAAJw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14:paraId="4AB3AEE4">
                            <w:pPr>
                              <w:rPr>
                                <w:rFonts w:ascii="宋体" w:hAnsi="宋体"/>
                                <w:szCs w:val="21"/>
                              </w:rPr>
                            </w:pPr>
                            <w:r>
                              <w:rPr>
                                <w:rFonts w:hint="eastAsia" w:ascii="宋体" w:hAnsi="宋体"/>
                                <w:szCs w:val="21"/>
                              </w:rPr>
                              <w:t>评审应对风险和机遇措施的有效性</w:t>
                            </w:r>
                          </w:p>
                        </w:txbxContent>
                      </v:textbox>
                    </v:rect>
                  </w:pict>
                </mc:Fallback>
              </mc:AlternateContent>
            </w:r>
            <w:r>
              <w:rPr>
                <w:rFonts w:hint="eastAsia" w:ascii="宋体" w:hAnsi="宋体"/>
                <w:sz w:val="24"/>
              </w:rPr>
              <mc:AlternateContent>
                <mc:Choice Requires="wps">
                  <w:drawing>
                    <wp:anchor distT="0" distB="0" distL="114300" distR="114300" simplePos="0" relativeHeight="251698176" behindDoc="0" locked="0" layoutInCell="1" allowOverlap="1">
                      <wp:simplePos x="0" y="0"/>
                      <wp:positionH relativeFrom="column">
                        <wp:posOffset>-10795</wp:posOffset>
                      </wp:positionH>
                      <wp:positionV relativeFrom="paragraph">
                        <wp:posOffset>3486150</wp:posOffset>
                      </wp:positionV>
                      <wp:extent cx="1432560" cy="466725"/>
                      <wp:effectExtent l="13335" t="10795" r="11430" b="8255"/>
                      <wp:wrapNone/>
                      <wp:docPr id="24" name="矩形 27"/>
                      <wp:cNvGraphicFramePr/>
                      <a:graphic xmlns:a="http://schemas.openxmlformats.org/drawingml/2006/main">
                        <a:graphicData uri="http://schemas.microsoft.com/office/word/2010/wordprocessingShape">
                          <wps:wsp>
                            <wps:cNvSpPr>
                              <a:spLocks noChangeArrowheads="1"/>
                            </wps:cNvSpPr>
                            <wps:spPr bwMode="auto">
                              <a:xfrm>
                                <a:off x="0" y="0"/>
                                <a:ext cx="1432560"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75D6DD03">
                                  <w:pPr>
                                    <w:rPr>
                                      <w:rFonts w:ascii="宋体" w:hAnsi="宋体"/>
                                      <w:szCs w:val="21"/>
                                    </w:rPr>
                                  </w:pPr>
                                  <w:r>
                                    <w:rPr>
                                      <w:rFonts w:hint="eastAsia" w:ascii="宋体" w:hAnsi="宋体"/>
                                      <w:szCs w:val="21"/>
                                    </w:rPr>
                                    <w:t>风险和机遇的评审</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0.85pt;margin-top:274.5pt;height:36.75pt;width:112.8pt;z-index:251698176;mso-width-relative:page;mso-height-relative:page;" fillcolor="#FFFFFF" filled="t" stroked="t" coordsize="21600,21600" o:gfxdata="UEsDBAoAAAAAAIdO4kAAAAAAAAAAAAAAAAAEAAAAZHJzL1BLAwQUAAAACACHTuJAcACS0tgAAAAK&#10;AQAADwAAAGRycy9kb3ducmV2LnhtbE2PwU7DMBBE70j8g7VI3FonhpY2xKkEEpw40ILU6zZeEkO8&#10;jmI3af8ecyrH1T7NvCk3J9eJkYZgPWvI5xkI4toby42Gz4+X2QpEiMgGO8+k4UwBNtX1VYmF8RNv&#10;adzFRqQQDgVqaGPsCylD3ZLDMPc9cfp9+cFhTOfQSDPglMJdJ1WWLaVDy6mhxZ6eW6p/dkenYcT9&#10;U4jnJrxam38PPL5v3duk9e1Nnj2CiHSKFxj+9JM6VMnp4I9sgug0zPKHRGpY3K/TpgQodbcGcdCw&#10;VGoBsirl/wnVL1BLAwQUAAAACACHTuJAeYGP93cCAAACBQAADgAAAGRycy9lMm9Eb2MueG1srVTb&#10;btQwEH1H4h8sv9Ns0r20UbNVtVURUoFKBfHsdZzEwjfG3s2Wn0HqGx/B5yB+g7GTLtsioT6Qh8j2&#10;jM+cOSeTs/OdVmQrwEtrKpofTSgRhttamraiHz9cvTqhxAdmaqasERW9E56eL1++OOtdKQrbWVUL&#10;IAhifNm7inYhuDLLPO+EZv7IOmEw2FjQLOAW2qwG1iO6Vlkxmcyz3kLtwHLhPZ5eDkE6IsJzAG3T&#10;SC4uLd9oYcKACkKxgC35TjpPl4lt0wge3jeNF4GoimKnIb2xCK7X8Z0tz1jZAnOd5CMF9hwKT3rS&#10;TBosuoe6ZIGRDci/oLTkYL1twhG3OhsaSYpgF/nkiTa3HXMi9YJSe7cX3f8/WP5uewNE1hUtppQY&#10;ptHxX9++//xxT4pFVKd3vsSkW3cDsT/vri3/7Imxq46ZVlwA2L4TrEZOeczPHl2IG49Xybp/a2vE&#10;Zptgk1C7BnQERAnILvlxt/dD7ALheJhPj4vZHK3iGJvO54tilkqw8uG2Ax9eC6tJXFQU0O+EzrbX&#10;PkQ2rHxIGd2pr6RSBGz4JEOXBI5lU9DjnWFBnMV+hmMP7XqlgGwZfkJX6RlJtP4wO5/EJyH9+wpy&#10;ah9KKWkIyjh2HiPAEsOIrAzpUYTZyWKGEmiHJnnTDhWskvu8R+UWx6er1fHI0B+maRlwcJXUFT0Z&#10;uA4CKTO6Fo0aDA+79W70fm3rO/QPBYsk448DF52Fr5T0ODZI6cuGgaBEvTGo2Wk+ncY5S5vpbFHg&#10;Bg4j68MIMxyhKhooqhCXqzDM5saBbDuslKd2jb3A76aRydL4TQ2sRt44GsnpcYzj7B3uU9afX9f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AAktLYAAAACgEAAA8AAAAAAAAAAQAgAAAAIgAAAGRy&#10;cy9kb3ducmV2LnhtbFBLAQIUABQAAAAIAIdO4kB5gY/3dwIAAAIFAAAOAAAAAAAAAAEAIAAAACcB&#10;AABkcnMvZTJvRG9jLnhtbFBLBQYAAAAABgAGAFkBAAAQBgAAAAA=&#10;">
                      <v:fill type="gradient" on="t" color2="#FFFFFF" angle="90" focus="100%" focussize="0,0">
                        <o:fill type="gradientUnscaled" v:ext="backwardCompatible"/>
                      </v:fill>
                      <v:stroke weight="1.25pt" color="#739CC3" miterlimit="8" joinstyle="miter"/>
                      <v:imagedata o:title=""/>
                      <o:lock v:ext="edit" aspectratio="f"/>
                      <v:textbox>
                        <w:txbxContent>
                          <w:p w14:paraId="75D6DD03">
                            <w:pPr>
                              <w:rPr>
                                <w:rFonts w:ascii="宋体" w:hAnsi="宋体"/>
                                <w:szCs w:val="21"/>
                              </w:rPr>
                            </w:pPr>
                            <w:r>
                              <w:rPr>
                                <w:rFonts w:hint="eastAsia" w:ascii="宋体" w:hAnsi="宋体"/>
                                <w:szCs w:val="21"/>
                              </w:rPr>
                              <w:t>风险和机遇的评审</w:t>
                            </w:r>
                          </w:p>
                        </w:txbxContent>
                      </v:textbox>
                    </v:rect>
                  </w:pict>
                </mc:Fallback>
              </mc:AlternateContent>
            </w:r>
            <w:r>
              <w:rPr>
                <w:rFonts w:hint="eastAsia" w:ascii="宋体" w:hAnsi="宋体"/>
                <w:sz w:val="24"/>
              </w:rPr>
              <mc:AlternateContent>
                <mc:Choice Requires="wps">
                  <w:drawing>
                    <wp:anchor distT="0" distB="0" distL="114300" distR="114300" simplePos="0" relativeHeight="251716608" behindDoc="0" locked="0" layoutInCell="1" allowOverlap="1">
                      <wp:simplePos x="0" y="0"/>
                      <wp:positionH relativeFrom="column">
                        <wp:posOffset>494030</wp:posOffset>
                      </wp:positionH>
                      <wp:positionV relativeFrom="paragraph">
                        <wp:posOffset>1774825</wp:posOffset>
                      </wp:positionV>
                      <wp:extent cx="361950" cy="323215"/>
                      <wp:effectExtent l="13335" t="13970" r="15240" b="15240"/>
                      <wp:wrapNone/>
                      <wp:docPr id="23" name="自选图形 28"/>
                      <wp:cNvGraphicFramePr/>
                      <a:graphic xmlns:a="http://schemas.openxmlformats.org/drawingml/2006/main">
                        <a:graphicData uri="http://schemas.microsoft.com/office/word/2010/wordprocessingShape">
                          <wps:wsp>
                            <wps:cNvSpPr>
                              <a:spLocks noChangeArrowheads="1"/>
                            </wps:cNvSpPr>
                            <wps:spPr bwMode="auto">
                              <a:xfrm>
                                <a:off x="0" y="0"/>
                                <a:ext cx="361950" cy="323215"/>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14:paraId="11A39D7F">
                                  <w:pPr>
                                    <w:rPr>
                                      <w:rFonts w:ascii="宋体" w:hAnsi="宋体"/>
                                      <w:szCs w:val="21"/>
                                    </w:rPr>
                                  </w:pPr>
                                  <w:r>
                                    <w:rPr>
                                      <w:rFonts w:hint="eastAsia" w:ascii="宋体" w:hAnsi="宋体"/>
                                      <w:szCs w:val="21"/>
                                    </w:rPr>
                                    <w:t>NG</w:t>
                                  </w:r>
                                </w:p>
                              </w:txbxContent>
                            </wps:txbx>
                            <wps:bodyPr rot="0" vert="horz" wrap="square" lIns="91440" tIns="45720" rIns="91440" bIns="45720" anchor="t" anchorCtr="0" upright="1">
                              <a:noAutofit/>
                            </wps:bodyPr>
                          </wps:wsp>
                        </a:graphicData>
                      </a:graphic>
                    </wp:anchor>
                  </w:drawing>
                </mc:Choice>
                <mc:Fallback>
                  <w:pict>
                    <v:shape id="自选图形 28" o:spid="_x0000_s1026" o:spt="109" type="#_x0000_t109" style="position:absolute;left:0pt;margin-left:38.9pt;margin-top:139.75pt;height:25.45pt;width:28.5pt;z-index:251716608;mso-width-relative:page;mso-height-relative:page;" fillcolor="#FFFFFF" filled="t" stroked="t" coordsize="21600,21600" o:gfxdata="UEsDBAoAAAAAAIdO4kAAAAAAAAAAAAAAAAAEAAAAZHJzL1BLAwQUAAAACACHTuJAgYp1F9oAAAAK&#10;AQAADwAAAGRycy9kb3ducmV2LnhtbE2PzU7DMBCE70i8g7VI3KidpDQkZFMhEAcQBygREjc3XpKI&#10;2I7i7Q9vj3uC486OZr6p1kc7ij3NYfAOIVkoEORabwbXITTvj1c3IAJrZ/ToHSH8UIB1fX5W6dL4&#10;g3uj/YY7EUNcKDVCzzyVUoa2J6vDwk/k4u/Lz1ZzPOdOmlkfYrgdZarUSlo9uNjQ64nue2q/NzuL&#10;UDR3GT80PuHnl9UHzcUnvaZPiJcXiboFwXTkPzOc8CM61JFp63fOBDEi5HkkZ4Q0L65BnAzZMipb&#10;hCxTS5B1Jf9PqH8BUEsDBBQAAAAIAIdO4kB5x8sWggIAABMFAAAOAAAAZHJzL2Uyb0RvYy54bWyt&#10;VM1u1DAQviPxDpbvNJtst2yjZquqVRFSgUoFcfY6TmLhP8bezZYTN8QzcOPIO8DbVIK3YOyky1IE&#10;6oEcIjsz/uab7/Pk6HijFVkL8NKaiuZ7E0qE4baWpq3oq5fnj+aU+MBMzZQ1oqLXwtPjxcMHR70r&#10;RWE7q2oBBEGML3tX0S4EV2aZ553QzO9ZJwwGGwuaBdxCm9XAekTXKismk4Ost1A7sFx4j1/PhiAd&#10;EeE+gLZpJBdnlq+0MGFABaFYwJZ8J52ni8S2aQQPL5rGi0BURbHTkN5YBNfL+M4WR6xsgblO8pEC&#10;uw+FOz1pJg0W3UKdscDICuQfUFpysN42YY9bnQ2NJEWwi3xyR5urjjmRekGpvduK7v8fLH++vgQi&#10;64oWU0oM0+j49w9ffrz/ePPp283Xz6SYR41650tMvXKXELv07sLyN54Ye9ox04oTANt3gtXILI/5&#10;2W8H4sbjUbLsn9kaK7BVsEmuTQM6AqIQZJNcud66IjaBcPw4PcgPZ+gXx9C0mBb5LFVg5e1hBz48&#10;EVaTuKhoo2yPtCBcDpcsFWLrCx8iMVbepo921edSKQI2vJahS4pHBino8cywIM5ia8NnD+3yVAFZ&#10;M7xT5+kZCbV+NzufxCch/fsIcmpvSylpCCo6ihAjwBLDiKwM6VHg2fzxDOXQDl3zph0qWCW3eX8v&#10;53fTtAw4yUrqis4HroNAyowGRs8G78NmuRmvwdLW12glChZJxj8JLjoL7yjpcY6Q0tsVA0GJempQ&#10;s8N8fz8OXtrszx4XuIHdyHI3wgxHqIoGiirE5WkYhnXlQLYdVspTu8ae4BVqZLI0Xq+B1cgbZyU5&#10;Pc51HMbdfcr69S9b/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BinUX2gAAAAoBAAAPAAAAAAAA&#10;AAEAIAAAACIAAABkcnMvZG93bnJldi54bWxQSwECFAAUAAAACACHTuJAecfLFoICAAATBQAADgAA&#10;AAAAAAABACAAAAApAQAAZHJzL2Uyb0RvYy54bWxQSwUGAAAAAAYABgBZAQAAHQYAAAAA&#10;">
                      <v:fill type="gradient" on="t" color2="#FFFFFF" angle="90" focus="100%" focussize="0,0">
                        <o:fill type="gradientUnscaled" v:ext="backwardCompatible"/>
                      </v:fill>
                      <v:stroke weight="1.25pt" color="#FFFFFF" miterlimit="8" joinstyle="miter"/>
                      <v:imagedata o:title=""/>
                      <o:lock v:ext="edit" aspectratio="f"/>
                      <v:textbox>
                        <w:txbxContent>
                          <w:p w14:paraId="11A39D7F">
                            <w:pPr>
                              <w:rPr>
                                <w:rFonts w:ascii="宋体" w:hAnsi="宋体"/>
                                <w:szCs w:val="21"/>
                              </w:rPr>
                            </w:pPr>
                            <w:r>
                              <w:rPr>
                                <w:rFonts w:hint="eastAsia" w:ascii="宋体" w:hAnsi="宋体"/>
                                <w:szCs w:val="21"/>
                              </w:rPr>
                              <w:t>NG</w:t>
                            </w:r>
                          </w:p>
                        </w:txbxContent>
                      </v:textbox>
                    </v:shape>
                  </w:pict>
                </mc:Fallback>
              </mc:AlternateContent>
            </w:r>
            <w:r>
              <w:rPr>
                <w:rFonts w:hint="eastAsia" w:ascii="宋体" w:hAnsi="宋体"/>
                <w:sz w:val="24"/>
              </w:rPr>
              <mc:AlternateContent>
                <mc:Choice Requires="wps">
                  <w:drawing>
                    <wp:anchor distT="0" distB="0" distL="114300" distR="114300" simplePos="0" relativeHeight="251714560" behindDoc="0" locked="0" layoutInCell="1" allowOverlap="1">
                      <wp:simplePos x="0" y="0"/>
                      <wp:positionH relativeFrom="column">
                        <wp:posOffset>246380</wp:posOffset>
                      </wp:positionH>
                      <wp:positionV relativeFrom="paragraph">
                        <wp:posOffset>2165350</wp:posOffset>
                      </wp:positionV>
                      <wp:extent cx="0" cy="1320800"/>
                      <wp:effectExtent l="13335" t="13970" r="15240" b="8255"/>
                      <wp:wrapNone/>
                      <wp:docPr id="22" name="自选图形 29"/>
                      <wp:cNvGraphicFramePr/>
                      <a:graphic xmlns:a="http://schemas.openxmlformats.org/drawingml/2006/main">
                        <a:graphicData uri="http://schemas.microsoft.com/office/word/2010/wordprocessingShape">
                          <wps:wsp>
                            <wps:cNvCnPr>
                              <a:cxnSpLocks noChangeShapeType="1"/>
                            </wps:cNvCnPr>
                            <wps:spPr bwMode="auto">
                              <a:xfrm flipV="1">
                                <a:off x="0" y="0"/>
                                <a:ext cx="0" cy="1320800"/>
                              </a:xfrm>
                              <a:prstGeom prst="straightConnector1">
                                <a:avLst/>
                              </a:prstGeom>
                              <a:noFill/>
                              <a:ln w="15875" cmpd="sng">
                                <a:solidFill>
                                  <a:srgbClr val="739CC3"/>
                                </a:solidFill>
                                <a:round/>
                              </a:ln>
                            </wps:spPr>
                            <wps:bodyPr/>
                          </wps:wsp>
                        </a:graphicData>
                      </a:graphic>
                    </wp:anchor>
                  </w:drawing>
                </mc:Choice>
                <mc:Fallback>
                  <w:pict>
                    <v:shape id="自选图形 29" o:spid="_x0000_s1026" o:spt="32" type="#_x0000_t32" style="position:absolute;left:0pt;flip:y;margin-left:19.4pt;margin-top:170.5pt;height:104pt;width:0pt;z-index:251714560;mso-width-relative:page;mso-height-relative:page;" filled="f" stroked="t" coordsize="21600,21600" o:gfxdata="UEsDBAoAAAAAAIdO4kAAAAAAAAAAAAAAAAAEAAAAZHJzL1BLAwQUAAAACACHTuJA9F2WYtkAAAAJ&#10;AQAADwAAAGRycy9kb3ducmV2LnhtbE2PzU7DMBCE70h9B2uRuFE7pUAT4vSAVHGBQgsHjk68JFHj&#10;dRQ7/Xn7brnAabU7o9lv8uXRdWKPQ2g9aUimCgRS5W1LtYavz9XtAkSIhqzpPKGGEwZYFpOr3GTW&#10;H2iD+22sBYdQyIyGJsY+kzJUDToTpr5HYu3HD85EXoda2sEcONx1cqbUg3SmJf7QmB6fG6x229Fp&#10;eFuv/fdr/fFSvm9W/Sl9VOkYd1rfXCfqCUTEY/wzwwWf0aFgptKPZIPoNNwtmDzynCfciQ2/h1LD&#10;/TxVIItc/m9QnAFQSwMEFAAAAAgAh07iQDDiI9/+AQAAzQMAAA4AAABkcnMvZTJvRG9jLnhtbK1T&#10;zW4TMRC+I/EOlu9kNxuVpqtsetioXApEauHueL27FrbHsp1scuOGeAZuHHkHeJtK8BaMvSEt5dID&#10;F8s/830z3zfjxeVeK7ITzkswFZ1OckqE4dBI01X03e3VizklPjDTMAVGVPQgPL1cPn+2GGwpCuhB&#10;NcIRJDG+HGxF+xBsmWWe90IzPwErDD624DQLeHRd1jg2ILtWWZHnL7MBXGMdcOE93q7GR3pkdE8h&#10;hLaVXKyAb7UwYWR1QrGAknwvrafLVG3bCh7etq0XgaiKotKQVkyC+01cs+WClZ1jtpf8WAJ7SgmP&#10;NGkmDSY9Ua1YYGTr5D9UWnIHHtow4aCzUUhyBFVM80fe3PTMiqQFrfb2ZLr/f7T8zW7tiGwqWhSU&#10;GKax4z8/ffv18fPdlx9337+S4iJ6NFhfYmht1i6q5HtzY6+Bf/DEQN0z04lU6+3BIn4aEdlfkHjw&#10;FjNthtfQYAzbBkiG7VunSaukfR+BkRxNIfvUocOpQ2IfCB8vOd5OZ0U+z1P3MlZGigi0zodXAjSJ&#10;m4r64Jjs+lCDMTgH4EZ6trv2IRZ4D4hgA1dSqTQOypABc5zNz88o4dqiOd50qTYPSjYxMEK86za1&#10;cmTHcLjOZxd1PUvK8eVhmIOtacaEyhyNiV6Mrm6gOazdH8Owy6my40TGMXp4Tuj7X7j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dlmLZAAAACQEAAA8AAAAAAAAAAQAgAAAAIgAAAGRycy9kb3du&#10;cmV2LnhtbFBLAQIUABQAAAAIAIdO4kAw4iPf/gEAAM0DAAAOAAAAAAAAAAEAIAAAACgBAABkcnMv&#10;ZTJvRG9jLnhtbFBLBQYAAAAABgAGAFkBAACYBQ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5584" behindDoc="0" locked="0" layoutInCell="1" allowOverlap="1">
                      <wp:simplePos x="0" y="0"/>
                      <wp:positionH relativeFrom="column">
                        <wp:posOffset>246380</wp:posOffset>
                      </wp:positionH>
                      <wp:positionV relativeFrom="paragraph">
                        <wp:posOffset>2165350</wp:posOffset>
                      </wp:positionV>
                      <wp:extent cx="2339975" cy="0"/>
                      <wp:effectExtent l="0" t="76200" r="22225" b="95250"/>
                      <wp:wrapNone/>
                      <wp:docPr id="21" name="自选图形 30"/>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0" o:spid="_x0000_s1026" o:spt="32" type="#_x0000_t32" style="position:absolute;left:0pt;margin-left:19.4pt;margin-top:170.5pt;height:0pt;width:184.25pt;z-index:251715584;mso-width-relative:page;mso-height-relative:page;" filled="f" stroked="t" coordsize="21600,21600" o:gfxdata="UEsDBAoAAAAAAIdO4kAAAAAAAAAAAAAAAAAEAAAAZHJzL1BLAwQUAAAACACHTuJAeDto2tsAAAAK&#10;AQAADwAAAGRycy9kb3ducmV2LnhtbE2PQUvDQBCF74L/YRnBS2l301bbxmyKCApCD7WtB2/b7JgE&#10;s7Mhu2nTf+8Igp6Gmfd4871sPbhGnLALtScNyUSBQCq8ranUcNg/j5cgQjRkTeMJNVwwwDq/vspM&#10;av2Z3vC0i6XgEAqp0VDF2KZShqJCZ8LEt0isffrOmchrV0rbmTOHu0ZOlbqXztTEHyrT4lOFxdeu&#10;dxoW++nweFl9xNHrqN/al/ditb3baH17k6gHEBGH+GeGH3xGh5yZjr4nG0SjYbZk8shznnAnNszV&#10;Ygbi+HuReSb/V8i/AVBLAwQUAAAACACHTuJAuWDSMxMCAADxAwAADgAAAGRycy9lMm9Eb2MueG1s&#10;rVPNbhMxEL4j8Q6W72TzQ2lZZdNDQrkUiNTyAI7Xu2theyyPk01u3BDPwI0j7wBvUwnegrHzQymX&#10;HtjDyuOZ+Wa+b8bTy601bKMCanAVHw2GnCknodaurfj726tnF5xhFK4WBpyq+E4hv5w9fTLtfanG&#10;0IGpVWAE4rDsfcW7GH1ZFCg7ZQUOwCtHzgaCFZHM0BZ1ED2hW1OMh8MXRQ+h9gGkQqTbxd7JD4jh&#10;MYDQNFqqBci1VS7uUYMyIhIl7LRHPsvdNo2S8V3ToIrMVJyYxvynInRepX8xm4qyDcJ3Wh5aEI9p&#10;4QEnK7SjoieohYiCrYP+B8pqGQChiQMJttgTyYoQi9HwgTY3nfAqcyGp0Z9Ex/8HK99uloHpuuLj&#10;EWdOWJr4z0/ffn38fPflx933r2ySNeo9lhQ6d8uQWMqtu/HXID8gczDvhGtV7vV25yl/lFQt/kpJ&#10;BnqqtOrfQE0xYh0hC7Ztgk2QJAXb5rnsTnNR28gkXY4nz4f0cSaPvkKUx0QfML5WYFk6VBxjELrt&#10;4hyco+lDGOUyYnONMbUlymNCqurgShuTl8A41lPvZxfnZ1TIepIEXZuTEYyuU2BKwdCu5iawjaCV&#10;Op+8nM8nmS957ocFWLs6A0ehzStXs5jFiUGTXEbxVM2qmjOj6B2m07494w7iJb3SHmO5gnq3DMmd&#10;LNqEzOOwtWnV7ts56s9Ln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to2tsAAAAKAQAADwAA&#10;AAAAAAABACAAAAAiAAAAZHJzL2Rvd25yZXYueG1sUEsBAhQAFAAAAAgAh07iQLlg0jMTAgAA8QMA&#10;AA4AAAAAAAAAAQAgAAAAKgEAAGRycy9lMm9Eb2MueG1sUEsFBgAAAAAGAAYAWQEAAK8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8416" behindDoc="0" locked="0" layoutInCell="1" allowOverlap="1">
                      <wp:simplePos x="0" y="0"/>
                      <wp:positionH relativeFrom="column">
                        <wp:posOffset>617855</wp:posOffset>
                      </wp:positionH>
                      <wp:positionV relativeFrom="paragraph">
                        <wp:posOffset>2974340</wp:posOffset>
                      </wp:positionV>
                      <wp:extent cx="0" cy="511810"/>
                      <wp:effectExtent l="60960" t="13335" r="62865" b="17780"/>
                      <wp:wrapNone/>
                      <wp:docPr id="20" name="自选图形 31"/>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1" o:spid="_x0000_s1026" o:spt="32" type="#_x0000_t32" style="position:absolute;left:0pt;margin-left:48.65pt;margin-top:234.2pt;height:40.3pt;width:0pt;z-index:251708416;mso-width-relative:page;mso-height-relative:page;" filled="f" stroked="t" coordsize="21600,21600" o:gfxdata="UEsDBAoAAAAAAIdO4kAAAAAAAAAAAAAAAAAEAAAAZHJzL1BLAwQUAAAACACHTuJAN2G/kNsAAAAJ&#10;AQAADwAAAGRycy9kb3ducmV2LnhtbE2PTU/DMAyG70j8h8hIXCaWbHQfLXUnhAQSEoexwYFb1pi2&#10;onGqJt26f0/gAkfbj14/b74ZbSuO1PvGMcJsqkAQl840XCG87R9v1iB80Gx065gQzuRhU1xe5Doz&#10;7sSvdNyFSsQQ9plGqEPoMil9WZPVfuo64nj7dL3VIY59JU2vTzHctnKu1FJa3XD8UOuOHmoqv3aD&#10;RVjt5+P9Of0Ik+fJsDVP72W6XbwgXl/N1B2IQGP4g+FHP6pDEZ0ObmDjRYuQrm4jiZAs1wmICPwu&#10;DgiLJFUgi1z+b1B8A1BLAwQUAAAACACHTuJAbdVPBhECAADwAwAADgAAAGRycy9lMm9Eb2MueG1s&#10;rVNLjhMxEN0jcQfLe9LpRGFCK51ZdBg2A0Sa4QCO291tYbss20knO3aIM7BjyR2G24wEt6DsTgIz&#10;bGbBxvKn3qt6r8qLy71WZCecl2BKmo/GlAjDoZamLemH26sXc0p8YKZmCowo6UF4erl8/mzR20JM&#10;oANVC0eQxPiityXtQrBFlnneCc38CKww+NiA0yzg0bVZ7ViP7Fplk/H4ZdaDq60DLrzH29XwSI+M&#10;7imE0DSSixXwrRYmDKxOKBZQku+k9XSZqm0awcP7pvEiEFVSVBrSiklwv4lrtlywonXMdpIfS2BP&#10;KeGRJs2kwaRnqhULjGyd/IdKS+7AQxNGHHQ2CEmOoIp8/Mibm45ZkbSg1d6eTff/j5a/260dkXVJ&#10;J2iJYRo7/vPz91+fvtx//XF/941M8+hRb32BoZVZu6iS782NvQb+0RMDVcdMK1KttweL+ITIHkDi&#10;wVvMtOnfQo0xbBsgGbZvnI6UaAXZp74czn0R+0D4cMnxdpbn8zy1LGPFCWedD28EaBI3JfXBMdl2&#10;oQJjsPng8pSF7a59QB0IPAFiUgNXUqk0A8qQHkufzS9mlHBt0RFv2gT2oGQdAyPEu3ZTKUd2DCfq&#10;YvqqqqbRICR+EOZga+pEHJhUr01NQvImOIluKUFjNi1qSpTAbxh3A4sySHayazB+A/Vh7eJzvMdB&#10;SOmOQxsn7e9zivrzU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dhv5DbAAAACQEAAA8AAAAA&#10;AAAAAQAgAAAAIgAAAGRycy9kb3ducmV2LnhtbFBLAQIUABQAAAAIAIdO4kBt1U8GEQIAAPADAAAO&#10;AAAAAAAAAAEAIAAAACoBAABkcnMvZTJvRG9jLnhtbFBLBQYAAAAABgAGAFkBAACtBQ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7392" behindDoc="0" locked="0" layoutInCell="1" allowOverlap="1">
                      <wp:simplePos x="0" y="0"/>
                      <wp:positionH relativeFrom="column">
                        <wp:posOffset>617855</wp:posOffset>
                      </wp:positionH>
                      <wp:positionV relativeFrom="paragraph">
                        <wp:posOffset>2964815</wp:posOffset>
                      </wp:positionV>
                      <wp:extent cx="1943735" cy="9525"/>
                      <wp:effectExtent l="0" t="0" r="18415" b="28575"/>
                      <wp:wrapNone/>
                      <wp:docPr id="19" name="自选图形 32"/>
                      <wp:cNvGraphicFramePr/>
                      <a:graphic xmlns:a="http://schemas.openxmlformats.org/drawingml/2006/main">
                        <a:graphicData uri="http://schemas.microsoft.com/office/word/2010/wordprocessingShape">
                          <wps:wsp>
                            <wps:cNvCnPr>
                              <a:cxnSpLocks noChangeShapeType="1"/>
                            </wps:cNvCnPr>
                            <wps:spPr bwMode="auto">
                              <a:xfrm flipH="1">
                                <a:off x="0" y="0"/>
                                <a:ext cx="1944000" cy="9525"/>
                              </a:xfrm>
                              <a:prstGeom prst="straightConnector1">
                                <a:avLst/>
                              </a:prstGeom>
                              <a:noFill/>
                              <a:ln w="15875" cmpd="sng">
                                <a:solidFill>
                                  <a:srgbClr val="739CC3"/>
                                </a:solidFill>
                                <a:round/>
                              </a:ln>
                            </wps:spPr>
                            <wps:bodyPr/>
                          </wps:wsp>
                        </a:graphicData>
                      </a:graphic>
                    </wp:anchor>
                  </w:drawing>
                </mc:Choice>
                <mc:Fallback>
                  <w:pict>
                    <v:shape id="自选图形 32" o:spid="_x0000_s1026" o:spt="32" type="#_x0000_t32" style="position:absolute;left:0pt;flip:x;margin-left:48.65pt;margin-top:233.45pt;height:0.75pt;width:153.05pt;z-index:251707392;mso-width-relative:page;mso-height-relative:page;" filled="f" stroked="t" coordsize="21600,21600" o:gfxdata="UEsDBAoAAAAAAIdO4kAAAAAAAAAAAAAAAAAEAAAAZHJzL1BLAwQUAAAACACHTuJAvFed6doAAAAK&#10;AQAADwAAAGRycy9kb3ducmV2LnhtbE2PTU/DMAyG70j8h8hI3FgyVnVrqbsD0sQFBhscOKaNaas1&#10;TtWk+/j3ZCc42n70+nmL9dn24kij7xwjzGcKBHHtTMcNwtfn5mEFwgfNRveOCeFCHtbl7U2hc+NO&#10;vKPjPjQihrDPNUIbwpBL6euWrPYzNxDH248brQ5xHBtpRn2K4baXj0ql0uqO44dWD/TcUn3YTxbh&#10;bbt136/Nx0v1vtsMl2ypsikcEO/v5uoJRKBz+IPhqh/VoYxOlZvYeNEjZMtFJBGSNM1ARCBRiwRE&#10;dd2sEpBlIf9XKH8BUEsDBBQAAAAIAIdO4kCG7K17AAIAANADAAAOAAAAZHJzL2Uyb0RvYy54bWyt&#10;U01uEzEU3iNxB8t7MpOkoc0oky4mKiwKRGo5gOPxzFjYfpbtZJIdO8QZ2LHkDnCbSnALnj0hpWXT&#10;BZuR/76f9703i8u9VmQnnJdgSjoe5ZQIw6GWpi3p+9urFxeU+MBMzRQYUdKD8PRy+fzZoreFmEAH&#10;qhaOIInxRW9L2oVgiyzzvBOa+RFYYfCyAadZwK1rs9qxHtm1yiZ5/jLrwdXWARfe4+lquKRHRvcU&#10;QmgaycUK+FYLEwZWJxQLWJLvpPV0mdw2jeDhXdN4EYgqKVYa0hdFcL2J32y5YEXrmO0kP1pgT7Hw&#10;qCbNpEHRE9WKBUa2Tv5DpSV34KEJIw46GwpJiWAV4/xRNjcdsyLVglF7ewrd/z9a/na3dkTWOAlz&#10;SgzT2PGfn779+vj57suPu+9fyXQSM+qtL/BpZdYuVsn35sZeA//giYGqY6YVyevtwSJ+HBHZA0jc&#10;eItKm/4N1PiGbQOkwPaN06RR0r6OwEiOoZB96tDh1CGxD4Tj4Xh+dpbn2DyOd/PZZJakWBFZItY6&#10;H14J0CQuSuqDY7LtQgXG4CiAGxTY7tqH6PEeEMEGrqRSaSKUIT2qzS7OZ6ilLebjTZvseVCyjg8j&#10;xLt2UylHdgzn63w6r6rp0dGDZw62ph4ElTlmE+MYgt1AfVi7P5lho5Oz41DGSfp7n9D3P+L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XnenaAAAACgEAAA8AAAAAAAAAAQAgAAAAIgAAAGRycy9k&#10;b3ducmV2LnhtbFBLAQIUABQAAAAIAIdO4kCG7K17AAIAANADAAAOAAAAAAAAAAEAIAAAACkBAABk&#10;cnMvZTJvRG9jLnhtbFBLBQYAAAAABgAGAFkBAACbBQ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2272" behindDoc="0" locked="0" layoutInCell="1" allowOverlap="1">
                      <wp:simplePos x="0" y="0"/>
                      <wp:positionH relativeFrom="column">
                        <wp:posOffset>1246505</wp:posOffset>
                      </wp:positionH>
                      <wp:positionV relativeFrom="paragraph">
                        <wp:posOffset>459740</wp:posOffset>
                      </wp:positionV>
                      <wp:extent cx="683895" cy="0"/>
                      <wp:effectExtent l="0" t="0" r="0" b="0"/>
                      <wp:wrapNone/>
                      <wp:docPr id="18" name="自选图形 33"/>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15875" cmpd="sng">
                                <a:solidFill>
                                  <a:srgbClr val="739CC3"/>
                                </a:solidFill>
                                <a:round/>
                              </a:ln>
                            </wps:spPr>
                            <wps:bodyPr/>
                          </wps:wsp>
                        </a:graphicData>
                      </a:graphic>
                    </wp:anchor>
                  </w:drawing>
                </mc:Choice>
                <mc:Fallback>
                  <w:pict>
                    <v:shape id="自选图形 33" o:spid="_x0000_s1026" o:spt="32" type="#_x0000_t32" style="position:absolute;left:0pt;margin-left:98.15pt;margin-top:36.2pt;height:0pt;width:53.85pt;z-index:251702272;mso-width-relative:page;mso-height-relative:page;" filled="f" stroked="t" coordsize="21600,21600" o:gfxdata="UEsDBAoAAAAAAIdO4kAAAAAAAAAAAAAAAAAEAAAAZHJzL1BLAwQUAAAACACHTuJA87ErLNYAAAAJ&#10;AQAADwAAAGRycy9kb3ducmV2LnhtbE2PwW7CMBBE75X6D9ZW6q3YCRG0IQ4HJKReIT3AzSRLHBGv&#10;o9hA2q/vVj20x5l9mp0p1pPrxQ3H0HnSkMwUCKTaNx21Gj6q7csriBANNab3hBo+McC6fHwoTN74&#10;O+3wto+t4BAKudFgYxxyKUNt0Zkw8wMS385+dCayHFvZjObO4a6XqVIL6UxH/MGaATcW68v+6jR8&#10;XTbV4aiWyTGz6Xuyreyww0nr56dErUBEnOIfDD/1uTqU3Onkr9QE0bN+W8wZ1bBMMxAMzFXG406/&#10;hiwL+X9B+Q1QSwMEFAAAAAgAh07iQJ0CKub3AQAAwgMAAA4AAABkcnMvZTJvRG9jLnhtbK1TzW4T&#10;MRC+I/EO1t7JbhrahlU2PWxULgUitTyA4/XuWtgey+Nkkxs3xDNw48g7wNtUgrdg7PxAy6UHLpZ/&#10;5vu+mW/Gs6ut0WwjPSqwVTYeFRmTVkCjbFdl7++uX0wzhoHbhmuwssp2ErOr+fNns8GV8gx60I30&#10;jEgsloOrsj4EV+Y5il4ajiNw0tJjC97wQEff5Y3nA7EbnZ8VxUU+gG+cByER6Xaxf8wOjP4phNC2&#10;SsgFiLWRNuxZvdQ8UEnYK4fZPGXbtlKEd22LMjBdZVRpSCuJ0H4V13w+42XnueuVOKTAn5LCo5oM&#10;V5ZET1QLHjhbe/UPlVHCA0IbRgJMvi8kOUJVjItH3tz23MlUC1mN7mQ6/j9a8Xaz9Ew1NAnUd8sN&#10;dfznp2+/Pn6+//Lj/vtXNplEjwaHJYXWduljlWJrb90NiA/ILNQ9t51Mud7tHOHHEZE/gMQDOlJa&#10;DW+goRi+DpAM27beREqygm1TX3anvshtYIIuL6Yvi4I6Jo5POS+POOcxvJZgWNxUGQbPVdeHGqyl&#10;5oMfJxW+ucEQs+LlERBFLVwrrdMMaMsGSv18enlOQsaRI2i7BEbQqomBEYK+W9Xasw2nibqcvKrr&#10;ZBARPwjzsLbNXlDbgxvRgL2VK2h2S390iVqbMjuMYZydv88J/efr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7ErLNYAAAAJAQAADwAAAAAAAAABACAAAAAiAAAAZHJzL2Rvd25yZXYueG1sUEsB&#10;AhQAFAAAAAgAh07iQJ0CKub3AQAAwgMAAA4AAAAAAAAAAQAgAAAAJQEAAGRycy9lMm9Eb2MueG1s&#10;UEsFBgAAAAAGAAYAWQEAAI4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250190</wp:posOffset>
                      </wp:positionV>
                      <wp:extent cx="1209675" cy="466725"/>
                      <wp:effectExtent l="13335" t="13335" r="15240" b="15240"/>
                      <wp:wrapNone/>
                      <wp:docPr id="17" name="矩形 34"/>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2F53426A">
                                  <w:pPr>
                                    <w:rPr>
                                      <w:rFonts w:ascii="宋体" w:hAnsi="宋体"/>
                                      <w:szCs w:val="21"/>
                                    </w:rPr>
                                  </w:pPr>
                                  <w:r>
                                    <w:rPr>
                                      <w:rFonts w:hint="eastAsia" w:ascii="宋体" w:hAnsi="宋体"/>
                                      <w:szCs w:val="21"/>
                                    </w:rPr>
                                    <w:t>应对风险和机遇的策划</w:t>
                                  </w:r>
                                </w:p>
                              </w:txbxContent>
                            </wps:txbx>
                            <wps:bodyPr rot="0" vert="horz" wrap="square" lIns="91440" tIns="45720" rIns="91440" bIns="45720" anchor="t" anchorCtr="0" upright="1">
                              <a:noAutofit/>
                            </wps:bodyPr>
                          </wps:wsp>
                        </a:graphicData>
                      </a:graphic>
                    </wp:anchor>
                  </w:drawing>
                </mc:Choice>
                <mc:Fallback>
                  <w:pict>
                    <v:rect id="矩形 34" o:spid="_x0000_s1026" o:spt="1" style="position:absolute;left:0pt;margin-left:2.9pt;margin-top:19.7pt;height:36.75pt;width:95.25pt;z-index:251694080;mso-width-relative:page;mso-height-relative:page;" fillcolor="#FFFFFF" filled="t" stroked="t" coordsize="21600,21600" o:gfxdata="UEsDBAoAAAAAAIdO4kAAAAAAAAAAAAAAAAAEAAAAZHJzL1BLAwQUAAAACACHTuJAEyx9YNYAAAAI&#10;AQAADwAAAGRycy9kb3ducmV2LnhtbE2PwU7DMBBE70j8g7WVuFEnLVQkxKkEEpw4tAWJ6zZeEtN4&#10;Hdlu0v593RPcdjSjmbfV+mR7MZIPxrGCfJ6BIG6cNtwq+Pp8u38CESKyxt4xKThTgHV9e1Nhqd3E&#10;Wxp3sRWphEOJCroYh1LK0HRkMczdQJy8H+ctxiR9K7XHKZXbXi6ybCUtGk4LHQ702lFz2B2tghG/&#10;X0I8t+HdmPzX87jZ2o9JqbtZnj2DiHSKf2G44id0qBPT3h1ZB9EreEzgUcGyeABxtYvVEsQ+Hfmi&#10;AFlX8v8D9QVQSwMEFAAAAAgAh07iQOYsebd1AgAAAgUAAA4AAABkcnMvZTJvRG9jLnhtbK1U227U&#10;MBB9R+IfLL/TbPbaRs1W1a6KkApUKohnr+MkFr4x9m62/AxS3/gIPgfxG4yddNkWCfWBPER2Znzm&#10;zDmenF/stSI7AV5aU9L8ZESJMNxW0jQl/fjh6tUpJT4wUzFljSjpnfD0YvnyxXnnCjG2rVWVAIIg&#10;xhedK2kbgiuyzPNWaOZPrBMGg7UFzQJuockqYB2ia5WNR6N51lmoHFguvMev6z5IB0R4DqCta8nF&#10;2vKtFib0qCAUC9iSb6XzdJnY1rXg4X1dexGIKil2GtIbi+B6E9/Z8pwVDTDXSj5QYM+h8KQnzaTB&#10;ogeoNQuMbEH+BaUlB+ttHU641VnfSFIEu8hHT7S5bZkTqReU2ruD6P7/wfJ3uxsgssKbsKDEMI2O&#10;//r2/eePezKZRnU65wtMunU3EPvz7tryz54Yu2qZacQlgO1awSrklMf87NGBuPF4lGy6t7ZCbLYN&#10;Ngm1r0FHQJSA7JMfdwc/xD4Qjh/z8ehsvphRwjE2nc8X41kqwYqH0w58eC2sJnFRUkC/EzrbXfsQ&#10;2bDiIWVwp7qSShGw4ZMMbRI4lk1Bj2f6BXEW++k/e2g2KwVkx/AKXaVnINH44+x8FJ+E9O8jyKl5&#10;KKWkISjj0HmMAEsMI7IypEMRZqdJAu3QJG+avoJV8pD3qNxicrZaTQaG/jhNy4CDq6Qu6WnPtRdI&#10;mcG1aFRveNhv9oP3G1vdoX8oWCQZfxy4aC18paTDsUFKX7YMBCXqjUHNzvLpNM5Z2kxnizFu4Diy&#10;OY4wwxGqpIGiCnG5Cv1sbh3IpsVKeWrX2Eu8N7VMlsY71bMaeONoJKeHMY6zd7xPWX9+X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yx9YNYAAAAIAQAADwAAAAAAAAABACAAAAAiAAAAZHJzL2Rv&#10;d25yZXYueG1sUEsBAhQAFAAAAAgAh07iQOYsebd1AgAAAg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14:paraId="2F53426A">
                            <w:pPr>
                              <w:rPr>
                                <w:rFonts w:ascii="宋体" w:hAnsi="宋体"/>
                                <w:szCs w:val="21"/>
                              </w:rPr>
                            </w:pPr>
                            <w:r>
                              <w:rPr>
                                <w:rFonts w:hint="eastAsia" w:ascii="宋体" w:hAnsi="宋体"/>
                                <w:szCs w:val="21"/>
                              </w:rPr>
                              <w:t>应对风险和机遇的策划</w:t>
                            </w:r>
                          </w:p>
                        </w:txbxContent>
                      </v:textbox>
                    </v:rect>
                  </w:pict>
                </mc:Fallback>
              </mc:AlternateContent>
            </w:r>
          </w:p>
        </w:tc>
        <w:tc>
          <w:tcPr>
            <w:tcW w:w="1984" w:type="dxa"/>
            <w:gridSpan w:val="2"/>
            <w:tcBorders>
              <w:left w:val="dashed" w:color="auto" w:sz="4" w:space="0"/>
              <w:right w:val="dashed" w:color="auto" w:sz="4" w:space="0"/>
            </w:tcBorders>
          </w:tcPr>
          <w:p w14:paraId="38F86294">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709440" behindDoc="0" locked="0" layoutInCell="1" allowOverlap="1">
                      <wp:simplePos x="0" y="0"/>
                      <wp:positionH relativeFrom="column">
                        <wp:posOffset>101600</wp:posOffset>
                      </wp:positionH>
                      <wp:positionV relativeFrom="paragraph">
                        <wp:posOffset>3717290</wp:posOffset>
                      </wp:positionV>
                      <wp:extent cx="1007745" cy="635"/>
                      <wp:effectExtent l="0" t="0" r="20955" b="37465"/>
                      <wp:wrapNone/>
                      <wp:docPr id="15" name="自选图形 36"/>
                      <wp:cNvGraphicFramePr/>
                      <a:graphic xmlns:a="http://schemas.openxmlformats.org/drawingml/2006/main">
                        <a:graphicData uri="http://schemas.microsoft.com/office/word/2010/wordprocessingShape">
                          <wps:wsp>
                            <wps:cNvCnPr>
                              <a:cxnSpLocks noChangeShapeType="1"/>
                            </wps:cNvCnPr>
                            <wps:spPr bwMode="auto">
                              <a:xfrm>
                                <a:off x="0" y="0"/>
                                <a:ext cx="1008000" cy="635"/>
                              </a:xfrm>
                              <a:prstGeom prst="straightConnector1">
                                <a:avLst/>
                              </a:prstGeom>
                              <a:noFill/>
                              <a:ln w="15875" cmpd="sng">
                                <a:solidFill>
                                  <a:srgbClr val="739CC3"/>
                                </a:solidFill>
                                <a:round/>
                              </a:ln>
                            </wps:spPr>
                            <wps:bodyPr/>
                          </wps:wsp>
                        </a:graphicData>
                      </a:graphic>
                    </wp:anchor>
                  </w:drawing>
                </mc:Choice>
                <mc:Fallback>
                  <w:pict>
                    <v:shape id="自选图形 36" o:spid="_x0000_s1026" o:spt="32" type="#_x0000_t32" style="position:absolute;left:0pt;margin-left:8pt;margin-top:292.7pt;height:0.05pt;width:79.35pt;z-index:251709440;mso-width-relative:page;mso-height-relative:page;" filled="f" stroked="t" coordsize="21600,21600" o:gfxdata="UEsDBAoAAAAAAIdO4kAAAAAAAAAAAAAAAAAEAAAAZHJzL1BLAwQUAAAACACHTuJA1yAT9NYAAAAK&#10;AQAADwAAAGRycy9kb3ducmV2LnhtbE2PwW7CMBBE75X6D9ZW4lbsoISgNA4HJKReIT2Um4m3cUS8&#10;jmIDKV+P4dIeZ3Y0+6ZcT7ZnFxx950hCMhfAkBqnO2olfNXb9xUwHxRp1TtCCb/oYV29vpSq0O5K&#10;O7zsQ8tiCflCSTAhDAXnvjFolZ+7ASneftxoVYhybLke1TWW254vhFhyqzqKH4wacGOwOe3PVsLt&#10;tKm/DyJPDqlZfCbb2gw7nKScvSXiA1jAKfyF4YEf0aGKTEd3Ju1ZH/UyTgkSslWWAnsE8jQHdnw6&#10;GfCq5P8nVHdQSwMEFAAAAAgAh07iQDYRX2H6AQAAxQMAAA4AAABkcnMvZTJvRG9jLnhtbK1TzW4T&#10;MRC+I/EO1t7Jbho1LatsetioXApEankAx+vdtbA9lsfJJjduiGfgxpF3oG9TCd6CsfMDLZceuFj+&#10;me+bb74Zz662RrON9KjAVtl4VGRMWgGNsl2Vfbi7fnWZMQzcNlyDlVW2k5hdzV++mA2ulGfQg26k&#10;Z0RisRxclfUhuDLPUfTScByBk5YeW/CGBzr6Lm88H4jd6PysKKb5AL5xHoREpNvF/jE7MPrnEELb&#10;KiEXINZG2rBn9VLzQCVhrxxm86S2baUI79sWZWC6yqjSkFZKQvtVXPP5jJed565X4iCBP0fCk5oM&#10;V5aSnqgWPHC29uofKqOEB4Q2jASYfF9IcoSqGBdPvLntuZOpFrIa3cl0/H+04t1m6ZlqaBLOM2a5&#10;oY7//Pz916cvD1/vH358Y5Np9GhwWFJobZc+Vim29tbdgPiIzELdc9vJpPVu5wg/joj8ESQe0FGm&#10;1fAWGorh6wDJsG3rTaQkK9g29WV36ovcBiboclwUl0VBLRP0Np2cJ35eHqHOY3gjwbC4qTIMnquu&#10;DzVYS/0HP06J+OYGQxTGyyMg5rVwrbROY6AtG6IPlxdkhTCOTEHbJTCCVk0MjBD03arWnm04DdXF&#10;5HVdTw6KHoV5WNtmn1DbgyHRg72bK2h2S380irqblB0mMY7P3+eE/vP7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AT9NYAAAAKAQAADwAAAAAAAAABACAAAAAiAAAAZHJzL2Rvd25yZXYueG1s&#10;UEsBAhQAFAAAAAgAh07iQDYRX2H6AQAAxQMAAA4AAAAAAAAAAQAgAAAAJQEAAGRycy9lMm9Eb2Mu&#10;eG1sUEsFBgAAAAAGAAYAWQEAAJE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7632" behindDoc="0" locked="0" layoutInCell="1" allowOverlap="1">
                      <wp:simplePos x="0" y="0"/>
                      <wp:positionH relativeFrom="column">
                        <wp:posOffset>1212215</wp:posOffset>
                      </wp:positionH>
                      <wp:positionV relativeFrom="paragraph">
                        <wp:posOffset>4670425</wp:posOffset>
                      </wp:positionV>
                      <wp:extent cx="361950" cy="265430"/>
                      <wp:effectExtent l="11430" t="13970" r="17145" b="15875"/>
                      <wp:wrapNone/>
                      <wp:docPr id="16" name="自选图形 35"/>
                      <wp:cNvGraphicFramePr/>
                      <a:graphic xmlns:a="http://schemas.openxmlformats.org/drawingml/2006/main">
                        <a:graphicData uri="http://schemas.microsoft.com/office/word/2010/wordprocessingShape">
                          <wps:wsp>
                            <wps:cNvSpPr>
                              <a:spLocks noChangeArrowheads="1"/>
                            </wps:cNvSpPr>
                            <wps:spPr bwMode="auto">
                              <a:xfrm>
                                <a:off x="0" y="0"/>
                                <a:ext cx="361950" cy="265430"/>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14:paraId="3274DB79">
                                  <w:pPr>
                                    <w:rPr>
                                      <w:rFonts w:ascii="宋体" w:hAnsi="宋体"/>
                                      <w:szCs w:val="21"/>
                                    </w:rPr>
                                  </w:pPr>
                                  <w:r>
                                    <w:rPr>
                                      <w:rFonts w:hint="eastAsia" w:ascii="宋体" w:hAnsi="宋体"/>
                                      <w:szCs w:val="21"/>
                                    </w:rPr>
                                    <w:t>R1</w:t>
                                  </w:r>
                                </w:p>
                              </w:txbxContent>
                            </wps:txbx>
                            <wps:bodyPr rot="0" vert="horz" wrap="square" lIns="91440" tIns="45720" rIns="91440" bIns="45720" anchor="t" anchorCtr="0" upright="1">
                              <a:noAutofit/>
                            </wps:bodyPr>
                          </wps:wsp>
                        </a:graphicData>
                      </a:graphic>
                    </wp:anchor>
                  </w:drawing>
                </mc:Choice>
                <mc:Fallback>
                  <w:pict>
                    <v:shape id="自选图形 35" o:spid="_x0000_s1026" o:spt="109" type="#_x0000_t109" style="position:absolute;left:0pt;margin-left:95.45pt;margin-top:367.75pt;height:20.9pt;width:28.5pt;z-index:251717632;mso-width-relative:page;mso-height-relative:page;" fillcolor="#FFFFFF" filled="t" stroked="t" coordsize="21600,21600" o:gfxdata="UEsDBAoAAAAAAIdO4kAAAAAAAAAAAAAAAAAEAAAAZHJzL1BLAwQUAAAACACHTuJAfPwP8NkAAAAL&#10;AQAADwAAAGRycy9kb3ducmV2LnhtbE2PS0/DMBCE70j8B2uRuFHnQRsS4lQIxAHUA5QIiZsbL0lE&#10;vI5s98G/ZznBcWY/zc7U65OdxAF9GB0pSBcJCKTOmZF6Be3b49UNiBA1GT05QgXfGGDdnJ/VujLu&#10;SK942MZecAiFSisYYpwrKUM3oNVh4WYkvn06b3Vk6XtpvD5yuJ1kliQrafVI/GHQM94P2H1t91ZB&#10;2d7l8aF1aXzerN7Rlx/4kj0pdXmRJrcgIp7iHwy/9bk6NNxp5/ZkgphYl0nJqIIiXy5BMJFdF+zs&#10;2CmKHGRTy/8bmh9QSwMEFAAAAAgAh07iQDgCB4GEAgAAEwUAAA4AAABkcnMvZTJvRG9jLnhtbK1U&#10;wW7UMBC9I/EPlu80m+3uto2arapWRUgFViqIs9dxEgvbY2zvZsuJW8U3cOPIP8DfVIK/YOyky1IE&#10;6oEcIjszfvPmPU+OTzZakbVwXoIpab43okQYDpU0TUlfv7p4ckiJD8xUTIERJb0Wnp7MHz867mwh&#10;xtCCqoQjCGJ80dmStiHYIss8b4Vmfg+sMBiswWkWcOuarHKsQ3StsvFoNMs6cJV1wIX3+PW8D9IB&#10;0T0EEOpacnEOfKWFCT2qE4oFbMm30no6T2zrWvDwsq69CESVFDsN6Y1FcL2M72x+zIrGMdtKPlBg&#10;D6FwryfNpMGiW6hzFhhZOfkHlJbcgYc67HHQWd9IUgS7yEf3tLlqmRWpF5Ta263o/v/B8hfrhSOy&#10;wpswo8QwjY5/v/ny48PH20/fbr9+JvvTqFFnfYGpV3bhYpfeXgJ/64mBs5aZRpw6B10rWIXM8pif&#10;/XYgbjweJcvuOVRYga0CJLk2tdMREIUgm+TK9dYVsQmE48f9WX40Rb84hsaz6WQ/uZax4u6wdT48&#10;FaBJXJS0VtAhLRcW/SVLhdj60odIjBV36YNd1YVUijgIb2Rok+KRQQp6PNMviAVsrf/sXbM8U46s&#10;Gd6pi/SkltF8v5udj+KTkP59BDk1d6WUNAQVHUSIEccSw4isDOlQ4OnhwRTl0BZd86bpK4CS27y/&#10;l/O7aVoGnGQldUkPe669QMoMBkbPeu/DZrkZrsESqmu0EgWLJOOfBBctuPeUdDhHSOndijlBiXpm&#10;ULOjfDKJg5c2k+nBGDduN7LcjTDDEaqkgaIKcXkW+mFdWSebFivlqV0Dp3iFapksjderZzXwxllJ&#10;Tg9zHYdxd5+yfv3L5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PwP8NkAAAALAQAADwAAAAAA&#10;AAABACAAAAAiAAAAZHJzL2Rvd25yZXYueG1sUEsBAhQAFAAAAAgAh07iQDgCB4GEAgAAEwUAAA4A&#10;AAAAAAAAAQAgAAAAKAEAAGRycy9lMm9Eb2MueG1sUEsFBgAAAAAGAAYAWQEAAB4GAAAAAA==&#10;">
                      <v:fill type="gradient" on="t" color2="#FFFFFF" angle="90" focus="100%" focussize="0,0">
                        <o:fill type="gradientUnscaled" v:ext="backwardCompatible"/>
                      </v:fill>
                      <v:stroke weight="1.25pt" color="#FFFFFF" miterlimit="8" joinstyle="miter"/>
                      <v:imagedata o:title=""/>
                      <o:lock v:ext="edit" aspectratio="f"/>
                      <v:textbox>
                        <w:txbxContent>
                          <w:p w14:paraId="3274DB79">
                            <w:pPr>
                              <w:rPr>
                                <w:rFonts w:ascii="宋体" w:hAnsi="宋体"/>
                                <w:szCs w:val="21"/>
                              </w:rPr>
                            </w:pPr>
                            <w:r>
                              <w:rPr>
                                <w:rFonts w:hint="eastAsia" w:ascii="宋体" w:hAnsi="宋体"/>
                                <w:szCs w:val="21"/>
                              </w:rPr>
                              <w:t>R1</w:t>
                            </w:r>
                          </w:p>
                        </w:txbxContent>
                      </v:textbox>
                    </v:shape>
                  </w:pict>
                </mc:Fallback>
              </mc:AlternateContent>
            </w:r>
            <w:r>
              <w:rPr>
                <w:rFonts w:hint="eastAsia" w:ascii="宋体" w:hAnsi="宋体"/>
                <w:sz w:val="24"/>
              </w:rPr>
              <mc:AlternateContent>
                <mc:Choice Requires="wps">
                  <w:drawing>
                    <wp:anchor distT="0" distB="0" distL="114300" distR="114300" simplePos="0" relativeHeight="251713536" behindDoc="0" locked="0" layoutInCell="1" allowOverlap="1">
                      <wp:simplePos x="0" y="0"/>
                      <wp:positionH relativeFrom="column">
                        <wp:posOffset>236855</wp:posOffset>
                      </wp:positionH>
                      <wp:positionV relativeFrom="paragraph">
                        <wp:posOffset>3365500</wp:posOffset>
                      </wp:positionV>
                      <wp:extent cx="361950" cy="323215"/>
                      <wp:effectExtent l="17145" t="13970" r="11430" b="15240"/>
                      <wp:wrapNone/>
                      <wp:docPr id="14" name="自选图形 37"/>
                      <wp:cNvGraphicFramePr/>
                      <a:graphic xmlns:a="http://schemas.openxmlformats.org/drawingml/2006/main">
                        <a:graphicData uri="http://schemas.microsoft.com/office/word/2010/wordprocessingShape">
                          <wps:wsp>
                            <wps:cNvSpPr>
                              <a:spLocks noChangeArrowheads="1"/>
                            </wps:cNvSpPr>
                            <wps:spPr bwMode="auto">
                              <a:xfrm>
                                <a:off x="0" y="0"/>
                                <a:ext cx="361950" cy="323215"/>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14:paraId="1A81ADC3">
                                  <w:pPr>
                                    <w:rPr>
                                      <w:rFonts w:ascii="宋体" w:hAnsi="宋体"/>
                                      <w:szCs w:val="21"/>
                                    </w:rPr>
                                  </w:pPr>
                                  <w:r>
                                    <w:rPr>
                                      <w:rFonts w:hint="eastAsia" w:ascii="宋体" w:hAnsi="宋体"/>
                                      <w:szCs w:val="21"/>
                                    </w:rPr>
                                    <w:t>OK</w:t>
                                  </w:r>
                                </w:p>
                              </w:txbxContent>
                            </wps:txbx>
                            <wps:bodyPr rot="0" vert="horz" wrap="square" lIns="91440" tIns="45720" rIns="91440" bIns="45720" anchor="t" anchorCtr="0" upright="1">
                              <a:noAutofit/>
                            </wps:bodyPr>
                          </wps:wsp>
                        </a:graphicData>
                      </a:graphic>
                    </wp:anchor>
                  </w:drawing>
                </mc:Choice>
                <mc:Fallback>
                  <w:pict>
                    <v:shape id="自选图形 37" o:spid="_x0000_s1026" o:spt="109" type="#_x0000_t109" style="position:absolute;left:0pt;margin-left:18.65pt;margin-top:265pt;height:25.45pt;width:28.5pt;z-index:251713536;mso-width-relative:page;mso-height-relative:page;" fillcolor="#FFFFFF" filled="t" stroked="t" coordsize="21600,21600" o:gfxdata="UEsDBAoAAAAAAIdO4kAAAAAAAAAAAAAAAAAEAAAAZHJzL1BLAwQUAAAACACHTuJA4b6Xe9cAAAAJ&#10;AQAADwAAAGRycy9kb3ducmV2LnhtbE2Py07DMBBF90j8gzVI7KidBkoT4lQIxALEAkpUqTs3HpKI&#10;eBzZ7oO/Z1jBcu4c3Ue1OrlRHDDEwZOGbKZAILXeDtRpaD6erpYgYjJkzegJNXxjhFV9flaZ0voj&#10;veNhnTrBJhRLo6FPaSqljG2PzsSZn5D49+mDM4nP0EkbzJHN3SjnSi2kMwNxQm8mfOix/VrvnYai&#10;uc/TY+Oz9PK62GAotvg2f9b68iJTdyASntIfDL/1uTrU3Gnn92SjGDXktzmTGm5yxZsYKK5Z2LGw&#10;VAXIupL/F9Q/UEsDBBQAAAAIAIdO4kAX28TkggIAABMFAAAOAAAAZHJzL2Uyb0RvYy54bWytVMtu&#10;1DAU3SPxD5b3NJN59BE1U1WtipAKjFQQa4/jJBZ+ce2ZTFmxq/gGdiz5B/ibSvAXXDvpMBSBuiCL&#10;yM69Pvfcc3xzfLLRiqwFeGlNSfO9ESXCcFtJ05T09auLJ4eU+MBMxZQ1oqTXwtOT+eNHx50rxNi2&#10;VlUCCIIYX3SupG0Irsgyz1uhmd+zThgM1hY0C7iFJquAdYiuVTYejfazzkLlwHLhPX4974N0QISH&#10;ANq6llycW77SwoQeFYRiAVvyrXSezhPbuhY8vKxrLwJRJcVOQ3pjEVwv4zubH7OiAeZayQcK7CEU&#10;7vWkmTRYdAt1zgIjK5B/QGnJwXpbhz1uddY3khTBLvLRPW2uWuZE6gWl9m4ruv9/sPzFegFEVngT&#10;ppQYptHx7zdffnz4ePvp2+3Xz2RyEDXqnC8w9cotIHbp3aXlbz0x9qxlphGnALZrBauQWR7zs98O&#10;xI3Ho2TZPbcVVmCrYJNcmxp0BEQhyCa5cr11RWwC4fhxsp8fzdAvjqHJeDLOZ6kCK+4OO/DhqbCa&#10;xEVJa2U7pAVh0V+yVIitL32IxFhxlz7YVV1IpQjY8EaGNikeGaSgxzP9gjiLrfWfPTTLMwVkzfBO&#10;XaRnINT43ex8FJ+E9O8jyKm5K6WkIajoIEKMAEsMI7IypEOBZ4cHM5RDO3TNm6avYJXc5v29nN9N&#10;0zLgJCupS3rYc+0FUmYwMHrWex82y81wDZa2ukYrUbBIMv5JcNFaeE9Jh3OElN6tGAhK1DODmh3l&#10;02kcvLSZzg7GuIHdyHI3wgxHqJIGiirE5Vnoh3XlQDYtVspTu8ae4hWqZbI0Xq+e1cAbZyU5Pcx1&#10;HMbdfcr69S+b/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hvpd71wAAAAkBAAAPAAAAAAAAAAEA&#10;IAAAACIAAABkcnMvZG93bnJldi54bWxQSwECFAAUAAAACACHTuJAF9vE5IICAAATBQAADgAAAAAA&#10;AAABACAAAAAmAQAAZHJzL2Uyb0RvYy54bWxQSwUGAAAAAAYABgBZAQAAGgYAAAAA&#10;">
                      <v:fill type="gradient" on="t" color2="#FFFFFF" angle="90" focus="100%" focussize="0,0">
                        <o:fill type="gradientUnscaled" v:ext="backwardCompatible"/>
                      </v:fill>
                      <v:stroke weight="1.25pt" color="#FFFFFF" miterlimit="8" joinstyle="miter"/>
                      <v:imagedata o:title=""/>
                      <o:lock v:ext="edit" aspectratio="f"/>
                      <v:textbox>
                        <w:txbxContent>
                          <w:p w14:paraId="1A81ADC3">
                            <w:pPr>
                              <w:rPr>
                                <w:rFonts w:ascii="宋体" w:hAnsi="宋体"/>
                                <w:szCs w:val="21"/>
                              </w:rPr>
                            </w:pPr>
                            <w:r>
                              <w:rPr>
                                <w:rFonts w:hint="eastAsia" w:ascii="宋体" w:hAnsi="宋体"/>
                                <w:szCs w:val="21"/>
                              </w:rPr>
                              <w:t>OK</w:t>
                            </w:r>
                          </w:p>
                        </w:txbxContent>
                      </v:textbox>
                    </v:shape>
                  </w:pict>
                </mc:Fallback>
              </mc:AlternateContent>
            </w:r>
            <w:r>
              <w:rPr>
                <w:rFonts w:hint="eastAsia" w:ascii="宋体" w:hAnsi="宋体"/>
                <w:sz w:val="24"/>
              </w:rPr>
              <mc:AlternateContent>
                <mc:Choice Requires="wps">
                  <w:drawing>
                    <wp:anchor distT="0" distB="0" distL="114300" distR="114300" simplePos="0" relativeHeight="251712512" behindDoc="0" locked="0" layoutInCell="1" allowOverlap="1">
                      <wp:simplePos x="0" y="0"/>
                      <wp:positionH relativeFrom="column">
                        <wp:posOffset>1103630</wp:posOffset>
                      </wp:positionH>
                      <wp:positionV relativeFrom="paragraph">
                        <wp:posOffset>5536565</wp:posOffset>
                      </wp:positionV>
                      <wp:extent cx="0" cy="457200"/>
                      <wp:effectExtent l="64770" t="13335" r="59055" b="24765"/>
                      <wp:wrapNone/>
                      <wp:docPr id="13" name="自选图形 38"/>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8" o:spid="_x0000_s1026" o:spt="32" type="#_x0000_t32" style="position:absolute;left:0pt;margin-left:86.9pt;margin-top:435.95pt;height:36pt;width:0pt;z-index:251712512;mso-width-relative:page;mso-height-relative:page;" filled="f" stroked="t" coordsize="21600,21600" o:gfxdata="UEsDBAoAAAAAAIdO4kAAAAAAAAAAAAAAAAAEAAAAZHJzL1BLAwQUAAAACACHTuJAnSpQ8tsAAAAL&#10;AQAADwAAAGRycy9kb3ducmV2LnhtbE2PwW7CMBBE75X4B2uRekHgBNoGhzioqtRKlThQoIfeTLwk&#10;UeN1FDsQ/r6ml/Y4O6OZt9l6MA07Y+dqSxLiWQQMqbC6plLCYf86XQJzXpFWjSWUcEUH63x0l6lU&#10;2wt94HnnSxZKyKVKQuV9m3LuigqNcjPbIgXvZDujfJBdyXWnLqHcNHweRU/cqJrCQqVafKmw+N71&#10;RkKynw/PV/HlJ++TfqvfPguxfdxIeT+OoxUwj4P/C8MNP6BDHpiOtiftWBN0sgjoXsIyiQWwW+L3&#10;cpQgHhYCeJ7x/z/kP1BLAwQUAAAACACHTuJA+fvjIRACAADwAwAADgAAAGRycy9lMm9Eb2MueG1s&#10;rVPNbhMxEL4j8Q6W72SThpCwyqaHDeVSoFLLAzi2d9fC9li2k01u3BDPwI0j7wBvUwnegrE3DbRc&#10;euBi+Wfmm+/7Zrw83xtNdtIHBbaik9GYEmk5CGXbir6/uXi2oCREZgXTYGVFDzLQ89XTJ8velfIM&#10;OtBCeoIgNpS9q2gXoyuLIvBOGhZG4KTFxwa8YRGPvi2EZz2iG12cjccvih68cB64DAFv18MjPSL6&#10;xwBC0ygu18C3Rto4oHqpWURJoVMu0FVm2zSSx3dNE2QkuqKoNOYVi+B+k9ZitWRl65nrFD9SYI+h&#10;8ECTYcpi0RPUmkVGtl79A2UU9xCgiSMOphiEZEdQxWT8wJvrjjmZtaDVwZ1MD/8Plr/dXXmiBE7C&#10;lBLLDHb856dvvz5+vv3y4/b7VzJdJI96F0oMre2VTyr53l67S+AfArFQd8y2MnO9OTjMn6SM4l5K&#10;OgSHlTb9GxAYw7YRsmH7xpsEiVaQfe7L4dQXuY+ED5ccb5/P5jhAGZyVd3nOh/hagiFpU9EQPVNt&#10;F2uwFpsPfpKrsN1liIkVK+8SUlELF0rrPAPakh6pzxbzGSXcOHQk2DYnB9BKpMCUEny7qbUnO4YT&#10;NZ++rOvpkdG9MA9bKzJwZEq/soLE7E30Ct3SkqZqRgpKtMRvmHYDPW2P3iW7BuM3IA5XPj0nG3EQ&#10;so7j0KZJ+/uco/581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pQ8tsAAAALAQAADwAAAAAA&#10;AAABACAAAAAiAAAAZHJzL2Rvd25yZXYueG1sUEsBAhQAFAAAAAgAh07iQPn74yEQAgAA8AMAAA4A&#10;AAAAAAAAAQAgAAAAKgEAAGRycy9lMm9Eb2MueG1sUEsFBgAAAAAGAAYAWQEAAKw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1488" behindDoc="0" locked="0" layoutInCell="1" allowOverlap="1">
                      <wp:simplePos x="0" y="0"/>
                      <wp:positionH relativeFrom="column">
                        <wp:posOffset>1103630</wp:posOffset>
                      </wp:positionH>
                      <wp:positionV relativeFrom="paragraph">
                        <wp:posOffset>4612640</wp:posOffset>
                      </wp:positionV>
                      <wp:extent cx="0" cy="457200"/>
                      <wp:effectExtent l="64770" t="13335" r="59055" b="24765"/>
                      <wp:wrapNone/>
                      <wp:docPr id="12" name="自选图形 39"/>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9" o:spid="_x0000_s1026" o:spt="32" type="#_x0000_t32" style="position:absolute;left:0pt;margin-left:86.9pt;margin-top:363.2pt;height:36pt;width:0pt;z-index:251711488;mso-width-relative:page;mso-height-relative:page;" filled="f" stroked="t" coordsize="21600,21600" o:gfxdata="UEsDBAoAAAAAAIdO4kAAAAAAAAAAAAAAAAAEAAAAZHJzL1BLAwQUAAAACACHTuJAH5Oln9oAAAAL&#10;AQAADwAAAGRycy9kb3ducmV2LnhtbE2PQU/CQBCF7yb+h82YcCGypSDQ2i0hJpqYeEDQg7elO7aN&#10;3dmmu4Xy7x246PG9eXnzvWw92EYcsfO1IwXTSQQCqXCmplLBx/75fgXCB01GN45QwRk9rPPbm0yn&#10;xp3oHY+7UAouIZ9qBVUIbSqlLyq02k9ci8S3b9dZHVh2pTSdPnG5bWQcRQtpdU38odItPlVY/Ox6&#10;q2C5j4fNOfkK49dxvzUvn0WyfXhTanQ3jR5BBBzCXxgu+IwOOTMdXE/Gi4b1csbogcvixRzEJXF1&#10;DuwkqznIPJP/N+S/UEsDBBQAAAAIAIdO4kDFyV7/EQIAAPADAAAOAAAAZHJzL2Uyb0RvYy54bWyt&#10;U0tyEzEQ3VPFHVTa4/EH42TK4yzGhE0AVyUcQJY0MyoktUqSPfaOHcUZ2LHMHeA2qYJb0JIdQ8Im&#10;CzYqfbpfv/e6Nb/YGU220gcFtqKjwZASaTkIZduKfri5fHFGSYjMCqbByoruZaAXi+fP5r0r5Rg6&#10;0EJ6giA2lL2raBejK4si8E4aFgbgpMXHBrxhEY++LYRnPaIbXYyHw1dFD144D1yGgLfLwyM9Ivqn&#10;AELTKC6XwDdG2nhA9VKziJJCp1ygi8y2aSSP75smyEh0RVFpzCsWwf06rcVizsrWM9cpfqTAnkLh&#10;kSbDlMWiJ6gli4xsvPoHyijuIUATBxxMcRCSHUEVo+Ejb6475mTWglYHdzI9/D9Y/m678kQJnIQx&#10;JZYZ7PjPz7e/Pn25+/rj7vs3MjlPHvUulBha25VPKvnOXrsr4B8DsVB3zLYyc73ZO8wfpYziQUo6&#10;BIeV1v1bEBjDNhGyYbvGmwSJVpBd7sv+1Be5i4QfLjnevpzOcIAyOCvv85wP8Y0EQ9KmoiF6ptou&#10;1mAtNh/8KFdh26sQEytW3iekohYuldZ5BrQlPVKfns2mlHDj0JFg25wcQCuRAlNK8O261p5sGU7U&#10;bHJe15MjowdhHjZWZODIlH5tBYnZm+gVuqUlTdWMFJRoid8w7Q70tD16l+w6GL8GsV/59JxsxEHI&#10;Oo5Dmybt73OO+vNR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Oln9oAAAALAQAADwAAAAAA&#10;AAABACAAAAAiAAAAZHJzL2Rvd25yZXYueG1sUEsBAhQAFAAAAAgAh07iQMXJXv8RAgAA8AMAAA4A&#10;AAAAAAAAAQAgAAAAKQEAAGRycy9lMm9Eb2MueG1sUEsFBgAAAAAGAAYAWQEAAKw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0464" behindDoc="0" locked="0" layoutInCell="1" allowOverlap="1">
                      <wp:simplePos x="0" y="0"/>
                      <wp:positionH relativeFrom="column">
                        <wp:posOffset>1103630</wp:posOffset>
                      </wp:positionH>
                      <wp:positionV relativeFrom="paragraph">
                        <wp:posOffset>3717290</wp:posOffset>
                      </wp:positionV>
                      <wp:extent cx="0" cy="428625"/>
                      <wp:effectExtent l="64770" t="13335" r="59055" b="24765"/>
                      <wp:wrapNone/>
                      <wp:docPr id="11" name="自选图形 40"/>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0" o:spid="_x0000_s1026" o:spt="32" type="#_x0000_t32" style="position:absolute;left:0pt;margin-left:86.9pt;margin-top:292.7pt;height:33.75pt;width:0pt;z-index:251710464;mso-width-relative:page;mso-height-relative:page;" filled="f" stroked="t" coordsize="21600,21600" o:gfxdata="UEsDBAoAAAAAAIdO4kAAAAAAAAAAAAAAAAAEAAAAZHJzL1BLAwQUAAAACACHTuJAYqhhk9wAAAAL&#10;AQAADwAAAGRycy9kb3ducmV2LnhtbE2PzU7DMBCE70i8g7VIXCrqNJC2CXEqhAQSEofSnwM3N16S&#10;iHgdxZs2fXtcLnCcndHMt/lqtK04Yu8bRwpm0wgEUulMQ5WC3fblbgnCsyajW0eo4IweVsX1Va4z&#10;4070gccNVyKUkM+0gpq5y6T0ZY1W+6nrkIL35XqrOci+kqbXp1BuWxlH0Vxa3VBYqHWHzzWW35vB&#10;Klhs4/HpnH7y5G0yrM3rvkzXybtStzez6BEE48h/YbjgB3QoAtPBDWS8aINe3Ad0VpAskwcQl8Tv&#10;5aBgnsQpyCKX/38ofgBQSwMEFAAAAAgAh07iQMAhYzYRAgAA8AMAAA4AAABkcnMvZTJvRG9jLnht&#10;bK1TS44TMRDdI3EHy3vSSeYXWklm0WHYDBBphgM4bne3he2yXE462bFDnIEdS+4AtxkJbkHZyQRm&#10;2MyCjeVP1av3XpWnl1tr2EYF1OBmfDQYcqachFq7dsbf3169mHCGUbhaGHBqxncK+eX8+bNp70s1&#10;hg5MrQIjEIdl72e8i9GXRYGyU1bgALxy9NhAsCLSMbRFHURP6NYU4+HwvOgh1D6AVIh0u9g/8gNi&#10;eAogNI2WagFybZWLe9SgjIgkCTvtkc8z26ZRMr5rGlSRmRknpTGvVIT2q7QW86ko2yB8p+WBgngK&#10;hUearNCOih6hFiIKtg76HyirZQCEJg4k2GIvJDtCKkbDR97cdMKrrIWsRn80Hf8frHy7WQama5qE&#10;EWdOWOr4z0/ffn38fPflx933r+w0e9R7LCm0csuQVMqtu/HXID8gc1B1wrUqc73decofJVeLBynp&#10;gJ4qrfo3UFOMWEfIhm2bYBMkWcG2uS+7Y1/UNjK5v5R0ezqenI/PMrgo7/N8wPhagWVpM+MYg9Bt&#10;FytwjpoPYZSriM01xsRKlPcJqaiDK21MngHjWE/UzyYXZ5xJ68kRdG1ORjC6ToEpBUO7qkxgG0ET&#10;dXHysqpODowehAVYuzoDR6HNK1ezmL2JQZNbRvFUzaqaM6PoG6bdnp5xB++SXWmMsVxBvVuG9JxO&#10;NAhZx2Fo06T9fc5Rfz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qGGT3AAAAAsBAAAPAAAA&#10;AAAAAAEAIAAAACIAAABkcnMvZG93bnJldi54bWxQSwECFAAUAAAACACHTuJAwCFjNhECAADwAwAA&#10;DgAAAAAAAAABACAAAAArAQAAZHJzL2Uyb0RvYy54bWxQSwUGAAAAAAYABgBZAQAArgU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4320" behindDoc="0" locked="0" layoutInCell="1" allowOverlap="1">
                      <wp:simplePos x="0" y="0"/>
                      <wp:positionH relativeFrom="column">
                        <wp:posOffset>1212215</wp:posOffset>
                      </wp:positionH>
                      <wp:positionV relativeFrom="paragraph">
                        <wp:posOffset>1278890</wp:posOffset>
                      </wp:positionV>
                      <wp:extent cx="647700" cy="9525"/>
                      <wp:effectExtent l="0" t="0" r="19050" b="28575"/>
                      <wp:wrapNone/>
                      <wp:docPr id="10" name="自选图形 41"/>
                      <wp:cNvGraphicFramePr/>
                      <a:graphic xmlns:a="http://schemas.openxmlformats.org/drawingml/2006/main">
                        <a:graphicData uri="http://schemas.microsoft.com/office/word/2010/wordprocessingShape">
                          <wps:wsp>
                            <wps:cNvCnPr>
                              <a:cxnSpLocks noChangeShapeType="1"/>
                            </wps:cNvCnPr>
                            <wps:spPr bwMode="auto">
                              <a:xfrm>
                                <a:off x="0" y="0"/>
                                <a:ext cx="648000" cy="9525"/>
                              </a:xfrm>
                              <a:prstGeom prst="straightConnector1">
                                <a:avLst/>
                              </a:prstGeom>
                              <a:noFill/>
                              <a:ln w="15875" cmpd="sng">
                                <a:solidFill>
                                  <a:srgbClr val="739CC3"/>
                                </a:solidFill>
                                <a:round/>
                              </a:ln>
                            </wps:spPr>
                            <wps:bodyPr/>
                          </wps:wsp>
                        </a:graphicData>
                      </a:graphic>
                    </wp:anchor>
                  </w:drawing>
                </mc:Choice>
                <mc:Fallback>
                  <w:pict>
                    <v:shape id="自选图形 41" o:spid="_x0000_s1026" o:spt="32" type="#_x0000_t32" style="position:absolute;left:0pt;margin-left:95.45pt;margin-top:100.7pt;height:0.75pt;width:51pt;z-index:251704320;mso-width-relative:page;mso-height-relative:page;" filled="f" stroked="t" coordsize="21600,21600" o:gfxdata="UEsDBAoAAAAAAIdO4kAAAAAAAAAAAAAAAAAEAAAAZHJzL1BLAwQUAAAACACHTuJAE09zB9YAAAAL&#10;AQAADwAAAGRycy9kb3ducmV2LnhtbE2PzW7CMBCE75X6DtYi9Vb8I9Q2IQ4HJKReIT2Um4m3cURs&#10;R7GBtE/f5dTedmZHs99Wm9kP7IpT6mPQIJcCGIY22j50Gj6a3fMbsJRNsGaIATV8Y4JN/fhQmdLG&#10;W9jj9ZA7RiUhlUaDy3ksOU+tQ2/SMo4YaPcVJ28yyanjdjI3KvcDV0K8cG/6QBecGXHrsD0fLl7D&#10;z3nbfB7FqzyunHqXu8aNe5y1flpIsQaWcc5/YbjjEzrUxHSKl2ATG0gXoqCoBiXkChglVKHIOd0d&#10;Gnhd8f8/1L9QSwMEFAAAAAgAh07iQH5aFab6AQAAxQMAAA4AAABkcnMvZTJvRG9jLnhtbK1TsW7b&#10;MBDdC/QfCO61ZCdOHMFyBhnpkrYGkn4ATVESUZJHkLRlb92KfkO3jv2H9m8CtH/RI2W7Tbpk6CKQ&#10;vLt37707za93WpGtcF6CKel4lFMiDIdamrak7+9vXs0o8YGZmikwoqR74en14uWLeW8LMYEOVC0c&#10;QRDji96WtAvBFlnmeSc08yOwwmCwAadZwKtrs9qxHtG1yiZ5fpH14GrrgAvv8XU5BOkB0T0HEJpG&#10;crEEvtHChAHVCcUCSvKdtJ4uEtumETy8axovAlElRaUhfbEJntfxmy3mrGgds53kBwrsORSeaNJM&#10;Gmx6glqywMjGyX+gtOQOPDRhxEFng5DkCKoY50+8ueuYFUkLWu3tyXT//2D52+3KEVnjJqAlhmmc&#10;+M9P3359/Pzw5cfD96/kfBw96q0vMLUyKxdV8p25s7fAP3hioOqYaUXier+3WJ8qskcl8eItdlr3&#10;b6DGHLYJkAzbNU5HSLSC7NJc9qe5iF0gHB8vzmd5jvQ4hq6mk2lklLHiWGqdD68FaBIPJfXBMdl2&#10;oQJjcP7gxqkR2976MBQeC2JfAzdSqbQGypAe2U9nl1PspS2a4k2bij0oWcfEWOJdu66UI1uGS3V5&#10;dlVVZwdGj9IcbEw9NFQGCR89GNxcQ71fuRiO7zjdJOmwiXF9/r6nrD9/3+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09zB9YAAAALAQAADwAAAAAAAAABACAAAAAiAAAAZHJzL2Rvd25yZXYueG1s&#10;UEsBAhQAFAAAAAgAh07iQH5aFab6AQAAxQMAAA4AAAAAAAAAAQAgAAAAJQEAAGRycy9lMm9Eb2Mu&#10;eG1sUEsFBgAAAAAGAAYAWQEAAJE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3296" behindDoc="0" locked="0" layoutInCell="1" allowOverlap="1">
                      <wp:simplePos x="0" y="0"/>
                      <wp:positionH relativeFrom="column">
                        <wp:posOffset>598805</wp:posOffset>
                      </wp:positionH>
                      <wp:positionV relativeFrom="paragraph">
                        <wp:posOffset>459740</wp:posOffset>
                      </wp:positionV>
                      <wp:extent cx="0" cy="588010"/>
                      <wp:effectExtent l="64770" t="13335" r="59055" b="17780"/>
                      <wp:wrapNone/>
                      <wp:docPr id="9" name="自选图形 42"/>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2" o:spid="_x0000_s1026" o:spt="32" type="#_x0000_t32" style="position:absolute;left:0pt;margin-left:47.15pt;margin-top:36.2pt;height:46.3pt;width:0pt;z-index:251703296;mso-width-relative:page;mso-height-relative:page;" filled="f" stroked="t" coordsize="21600,21600" o:gfxdata="UEsDBAoAAAAAAIdO4kAAAAAAAAAAAAAAAAAEAAAAZHJzL1BLAwQUAAAACACHTuJAtzlXj9kAAAAI&#10;AQAADwAAAGRycy9kb3ducmV2LnhtbE2Py07DMBBF90j8gzVIbCpqN/RBQpwKIYGExKK0ZcHOjYck&#10;Ih5HsdOmf8/ABpZX9+rMmXw9ulYcsQ+NJw2zqQKBVHrbUKVhv3u6uQMRoiFrWk+o4YwB1sXlRW4y&#10;60/0hsdtrARDKGRGQx1jl0kZyhqdCVPfIXH36XtnIse+krY3J4a7ViZKLaUzDfGF2nT4WGP5tR2c&#10;htUuGR/O6UecvEyGjX1+L9PN4lXr66uZugcRcYx/Y/jRZ3Uo2OngB7JBtBrS+S0vmZXMQXD/mw+8&#10;Wy4UyCKX/x8ovgFQSwMEFAAAAAgAh07iQIazfWAQAgAA7wMAAA4AAABkcnMvZTJvRG9jLnhtbK1T&#10;zW4TMRC+I/EOlu9kk5TSdJVNDxvKpUCklgdwbO+uhe2xbCeb3LghnoEbx74DvE0leAvG3jTQcumB&#10;i+WfmW++75vx/GJnNNlKHxTYik5GY0qk5SCUbSv64ebyxYySEJkVTIOVFd3LQC8Wz5/Ne1fKKXSg&#10;hfQEQWwoe1fRLkZXFkXgnTQsjMBJi48NeMMiHn1bCM96RDe6mI7Hr4oevHAeuAwBb5fDIz0g+qcA&#10;QtMoLpfAN0baOKB6qVlESaFTLtBFZts0ksf3TRNkJLqiqDTmFYvgfp3WYjFnZeuZ6xQ/UGBPofBI&#10;k2HKYtEj1JJFRjZe/QNlFPcQoIkjDqYYhGRHUMVk/Mib6445mbWg1cEdTQ//D5a/2648UaKi55RY&#10;ZrDhPz/f/vr05e7rj7vv38jLabKod6HEyNqufBLJd/baXQH/GIiFumO2lZnqzd5h/iRlFA9S0iE4&#10;LLTu34LAGLaJkP3aNd4kSHSC7HJb9se2yF0kfLjkeHs6m6FFGZyV93nOh/hGgiFpU9EQPVNtF2uw&#10;FnsPfpKrsO1ViIkVK+8TUlELl0rrPALakh6pn87OTinhxqEhwbY5OYBWIgWmlODbda092TIcqLOT&#10;87o+OTB6EOZhY0UGjkzp11aQmL2JXqFbWtJUzUhBiZb4C9NuoKftwbtk12D8GsR+5dNzshHnIOs4&#10;zGwatL/POerPP13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c5V4/ZAAAACAEAAA8AAAAAAAAA&#10;AQAgAAAAIgAAAGRycy9kb3ducmV2LnhtbFBLAQIUABQAAAAIAIdO4kCGs31gEAIAAO8DAAAOAAAA&#10;AAAAAAEAIAAAACgBAABkcnMvZTJvRG9jLnhtbFBLBQYAAAAABgAGAFkBAACqBQ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99200" behindDoc="0" locked="0" layoutInCell="1" allowOverlap="1">
                      <wp:simplePos x="0" y="0"/>
                      <wp:positionH relativeFrom="column">
                        <wp:posOffset>541655</wp:posOffset>
                      </wp:positionH>
                      <wp:positionV relativeFrom="paragraph">
                        <wp:posOffset>4145915</wp:posOffset>
                      </wp:positionV>
                      <wp:extent cx="1209675" cy="466725"/>
                      <wp:effectExtent l="17145" t="13335" r="11430" b="15240"/>
                      <wp:wrapNone/>
                      <wp:docPr id="8" name="矩形 43"/>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0CAA12B7">
                                  <w:pPr>
                                    <w:rPr>
                                      <w:rFonts w:ascii="宋体" w:hAnsi="宋体"/>
                                      <w:szCs w:val="21"/>
                                    </w:rPr>
                                  </w:pPr>
                                  <w:r>
                                    <w:rPr>
                                      <w:rFonts w:hint="eastAsia" w:ascii="宋体" w:hAnsi="宋体"/>
                                      <w:szCs w:val="21"/>
                                    </w:rPr>
                                    <w:t>风险和机遇的分析和评价</w:t>
                                  </w:r>
                                </w:p>
                              </w:txbxContent>
                            </wps:txbx>
                            <wps:bodyPr rot="0" vert="horz" wrap="square" lIns="91440" tIns="45720" rIns="91440" bIns="45720" anchor="t" anchorCtr="0" upright="1">
                              <a:noAutofit/>
                            </wps:bodyPr>
                          </wps:wsp>
                        </a:graphicData>
                      </a:graphic>
                    </wp:anchor>
                  </w:drawing>
                </mc:Choice>
                <mc:Fallback>
                  <w:pict>
                    <v:rect id="矩形 43" o:spid="_x0000_s1026" o:spt="1" style="position:absolute;left:0pt;margin-left:42.65pt;margin-top:326.45pt;height:36.75pt;width:95.25pt;z-index:251699200;mso-width-relative:page;mso-height-relative:page;" fillcolor="#FFFFFF" filled="t" stroked="t" coordsize="21600,21600" o:gfxdata="UEsDBAoAAAAAAIdO4kAAAAAAAAAAAAAAAAAEAAAAZHJzL1BLAwQUAAAACACHTuJAmmsgP9gAAAAK&#10;AQAADwAAAGRycy9kb3ducmV2LnhtbE2PwU7DMBBE70j8g7VI3KiTQNI2ZFMJJDhxoAWJqxu7iSFe&#10;R7GbtH/PcirH1T7NvKk2J9eLyYzBekJIFwkIQ43XllqEz4+XuxWIEBVp1XsyCGcTYFNfX1Wq1H6m&#10;rZl2sRUcQqFUCF2MQyllaDrjVFj4wRD/Dn50KvI5tlKPauZw18ssSQrplCVu6NRgnjvT/OyODmFS&#10;X08hntvwam36PdL0vnVvM+LtTZo8gojmFC8w/OmzOtTstPdH0kH0CKv8nkmEIs/WIBjIljlv2SMs&#10;s+IBZF3J/xPqX1BLAwQUAAAACACHTuJAEKT4tXUCAAABBQAADgAAAGRycy9lMm9Eb2MueG1srVRL&#10;btswEN0X6B0I7htZjj+JYDkIbKQokLYB0qJrmqIkovx1SFtOL1Mgux6ixyl6jQ4pxXVSoMiiWggk&#10;Z/jmzXsaLS72WpGdAC+tKWl+MqJEGG4raZqSfvxw9eqMEh+YqZiyRpT0Tnh6sXz5YtG5Qoxta1Ul&#10;gCCI8UXnStqG4Ios87wVmvkT64TBYG1Bs4BbaLIKWIfoWmXj0WiWdRYqB5YL7/F03QfpgAjPAbR1&#10;LblYW77VwoQeFYRiAVvyrXSeLhPbuhY8vK9rLwJRJcVOQ3pjEVxv4jtbLljRAHOt5AMF9hwKT3rS&#10;TBoseoBas8DIFuRfUFpysN7W4YRbnfWNJEWwi3z0RJvbljmRekGpvTuI7v8fLH+3uwEiq5Ki7YZp&#10;NPzXt+8/f9yTyWkUp3O+wJxbdwOxPe+uLf/sibGrlplGXALYrhWsQkp5zM8eXYgbj1fJpntrK8Rm&#10;22CTTvsadAREBcg+2XF3sEPsA+F4mI9H57P5lBKOsclsNh9PUwlWPNx24MNrYTWJi5IC2p3Q2e7a&#10;h8iGFQ8pgznVlVSKgA2fZGiTvrFsCnq80y+Is9hPf+yh2awUkB3DL+gqPQOJxh9n56P4JKR/X0FO&#10;zUMpJQ1BGYfOYwRYYhiRlSEdijA9SxJohx550/QVrJKHvEfl5qfnq1VyDtH8cZqWAedWSY1W91x7&#10;gZQZXItG9YaH/WY/eL+x1R36h4JFkvG/gYvWwldKOpwapPRly0BQot4Y1Ow8n0zimKXNZDof4waO&#10;I5vjCDMcoUoaKKoQl6vQj+bWgWxarJSndo29xO+mlsnS+E31rAbeOBnJ6WGK4+gd71PWnz/X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aayA/2AAAAAoBAAAPAAAAAAAAAAEAIAAAACIAAABkcnMv&#10;ZG93bnJldi54bWxQSwECFAAUAAAACACHTuJAEKT4tXUCAAABBQAADgAAAAAAAAABACAAAAAnAQAA&#10;ZHJzL2Uyb0RvYy54bWxQSwUGAAAAAAYABgBZAQAADgYAAAAA&#10;">
                      <v:fill type="gradient" on="t" color2="#FFFFFF" angle="90" focus="100%" focussize="0,0">
                        <o:fill type="gradientUnscaled" v:ext="backwardCompatible"/>
                      </v:fill>
                      <v:stroke weight="1.25pt" color="#739CC3" miterlimit="8" joinstyle="miter"/>
                      <v:imagedata o:title=""/>
                      <o:lock v:ext="edit" aspectratio="f"/>
                      <v:textbox>
                        <w:txbxContent>
                          <w:p w14:paraId="0CAA12B7">
                            <w:pPr>
                              <w:rPr>
                                <w:rFonts w:ascii="宋体" w:hAnsi="宋体"/>
                                <w:szCs w:val="21"/>
                              </w:rPr>
                            </w:pPr>
                            <w:r>
                              <w:rPr>
                                <w:rFonts w:hint="eastAsia" w:ascii="宋体" w:hAnsi="宋体"/>
                                <w:szCs w:val="21"/>
                              </w:rPr>
                              <w:t>风险和机遇的分析和评价</w:t>
                            </w:r>
                          </w:p>
                        </w:txbxContent>
                      </v:textbox>
                    </v:rect>
                  </w:pict>
                </mc:Fallback>
              </mc:AlternateContent>
            </w:r>
            <w:r>
              <w:rPr>
                <w:rFonts w:hint="eastAsia" w:ascii="宋体" w:hAnsi="宋体"/>
                <w:sz w:val="24"/>
              </w:rPr>
              <mc:AlternateContent>
                <mc:Choice Requires="wps">
                  <w:drawing>
                    <wp:anchor distT="0" distB="0" distL="114300" distR="114300" simplePos="0" relativeHeight="251700224" behindDoc="0" locked="0" layoutInCell="1" allowOverlap="1">
                      <wp:simplePos x="0" y="0"/>
                      <wp:positionH relativeFrom="column">
                        <wp:posOffset>551180</wp:posOffset>
                      </wp:positionH>
                      <wp:positionV relativeFrom="paragraph">
                        <wp:posOffset>5069840</wp:posOffset>
                      </wp:positionV>
                      <wp:extent cx="1209675" cy="466725"/>
                      <wp:effectExtent l="17145" t="13335" r="11430" b="15240"/>
                      <wp:wrapNone/>
                      <wp:docPr id="7" name="矩形 44"/>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5514A225">
                                  <w:pPr>
                                    <w:rPr>
                                      <w:rFonts w:ascii="宋体" w:hAnsi="宋体"/>
                                      <w:szCs w:val="21"/>
                                    </w:rPr>
                                  </w:pPr>
                                  <w:r>
                                    <w:rPr>
                                      <w:rFonts w:hint="eastAsia" w:ascii="宋体" w:hAnsi="宋体"/>
                                      <w:szCs w:val="21"/>
                                    </w:rPr>
                                    <w:t>制定应对风险和机遇措施</w:t>
                                  </w:r>
                                </w:p>
                              </w:txbxContent>
                            </wps:txbx>
                            <wps:bodyPr rot="0" vert="horz" wrap="square" lIns="91440" tIns="45720" rIns="91440" bIns="45720" anchor="t" anchorCtr="0" upright="1">
                              <a:noAutofit/>
                            </wps:bodyPr>
                          </wps:wsp>
                        </a:graphicData>
                      </a:graphic>
                    </wp:anchor>
                  </w:drawing>
                </mc:Choice>
                <mc:Fallback>
                  <w:pict>
                    <v:rect id="矩形 44" o:spid="_x0000_s1026" o:spt="1" style="position:absolute;left:0pt;margin-left:43.4pt;margin-top:399.2pt;height:36.75pt;width:95.25pt;z-index:251700224;mso-width-relative:page;mso-height-relative:page;" fillcolor="#FFFFFF" filled="t" stroked="t" coordsize="21600,21600" o:gfxdata="UEsDBAoAAAAAAIdO4kAAAAAAAAAAAAAAAAAEAAAAZHJzL1BLAwQUAAAACACHTuJAMPg5ENcAAAAK&#10;AQAADwAAAGRycy9kb3ducmV2LnhtbE2PwU7DMBBE70j8g7VI3KiTUjVpiFMJJDj1QAsS121sEkO8&#10;jmw3af+e5QTH0Yxm3tTbsxvEZEK0nhTkiwyEodZrS52C97fnuxJETEgaB09GwcVE2DbXVzVW2s+0&#10;N9MhdYJLKFaooE9prKSMbW8cxoUfDbH36YPDxDJ0UgecudwNcplla+nQEi/0OJqn3rTfh5NTMOHH&#10;Y0yXLr5Ym38Fml73bjcrdXuTZw8gkjmnvzD84jM6NMx09CfSUQwKyjWTJwXFplyB4MCyKO5BHNkp&#10;8g3Ippb/LzQ/UEsDBBQAAAAIAIdO4kAT5VKndgIAAAEFAAAOAAAAZHJzL2Uyb0RvYy54bWytVEtu&#10;2zAQ3RfoHQjuG1mOP4kQOQhsuCiQtgHSomuaoiSi/HVIW04vUyC7HqLHKXqNDinFdVKgyKJaCCRn&#10;+ObNexpdXO61IjsBXlpT0vxkRIkw3FbSNCX9+GH96owSH5ipmLJGlPROeHq5ePnionOFGNvWqkoA&#10;QRDji86VtA3BFVnmeSs08yfWCYPB2oJmAbfQZBWwDtG1ysaj0SzrLFQOLBfe4+mqD9IBEZ4DaOta&#10;crGyfKuFCT0qCMUCtuRb6TxdJLZ1LXh4X9deBKJKip2G9MYiuN7Ed7a4YEUDzLWSDxTYcyg86Ukz&#10;abDoAWrFAiNbkH9BacnBeluHE2511jeSFMEu8tETbW5b5kTqBaX27iC6/3+w/N3uBoisSjqnxDCN&#10;hv/69v3nj3symURxOucLzLl1NxDb8+7a8s+eGLtsmWnEFYDtWsEqpJTH/OzRhbjxeJVsure2Qmy2&#10;DTbptK9BR0BUgOyTHXcHO8Q+EI6H+Xh0PptPKeEYm8xm8/E0lWDFw20HPrwWVpO4KCmg3Qmd7a59&#10;iGxY8ZAymFOtpVIEbPgkQ5v0jWVT0OOdfkGcxX76Yw/NZqmA7Bh+Qev0DCQaf5ydj+KTkP59BTk1&#10;D6WUNARlHDqPEWCJYURWhnQowvQsSaAdeuRN01ewSh7yHpWbn54vl6cDQ3+cpmXAuVVSl/Ss59oL&#10;pMzgWjSqNzzsN/vB+42t7tA/FCySjP8NXLQWvlLS4dQgpS9bBoIS9cagZuf5ZBLHLG0m0/kYN3Ac&#10;2RxHmOEIVdJAUYW4XIZ+NLcOZNNipTy1a+wVfje1TJbGb6pnNfDGyUhOD1McR+94n7L+/L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DkQ1wAAAAoBAAAPAAAAAAAAAAEAIAAAACIAAABkcnMv&#10;ZG93bnJldi54bWxQSwECFAAUAAAACACHTuJAE+VSp3YCAAABBQAADgAAAAAAAAABACAAAAAmAQAA&#10;ZHJzL2Uyb0RvYy54bWxQSwUGAAAAAAYABgBZAQAADgYAAAAA&#10;">
                      <v:fill type="gradient" on="t" color2="#FFFFFF" angle="90" focus="100%" focussize="0,0">
                        <o:fill type="gradientUnscaled" v:ext="backwardCompatible"/>
                      </v:fill>
                      <v:stroke weight="1.25pt" color="#739CC3" miterlimit="8" joinstyle="miter"/>
                      <v:imagedata o:title=""/>
                      <o:lock v:ext="edit" aspectratio="f"/>
                      <v:textbox>
                        <w:txbxContent>
                          <w:p w14:paraId="5514A225">
                            <w:pPr>
                              <w:rPr>
                                <w:rFonts w:ascii="宋体" w:hAnsi="宋体"/>
                                <w:szCs w:val="21"/>
                              </w:rPr>
                            </w:pPr>
                            <w:r>
                              <w:rPr>
                                <w:rFonts w:hint="eastAsia" w:ascii="宋体" w:hAnsi="宋体"/>
                                <w:szCs w:val="21"/>
                              </w:rPr>
                              <w:t>制定应对风险和机遇措施</w:t>
                            </w:r>
                          </w:p>
                        </w:txbxContent>
                      </v:textbox>
                    </v:rect>
                  </w:pict>
                </mc:Fallback>
              </mc:AlternateContent>
            </w:r>
            <w:r>
              <w:rPr>
                <w:rFonts w:hint="eastAsia" w:ascii="宋体" w:hAnsi="宋体"/>
                <w:sz w:val="24"/>
              </w:rPr>
              <mc:AlternateContent>
                <mc:Choice Requires="wps">
                  <w:drawing>
                    <wp:anchor distT="0" distB="0" distL="114300" distR="114300" simplePos="0" relativeHeight="251695104" behindDoc="0" locked="0" layoutInCell="1" allowOverlap="1">
                      <wp:simplePos x="0" y="0"/>
                      <wp:positionH relativeFrom="column">
                        <wp:posOffset>2540</wp:posOffset>
                      </wp:positionH>
                      <wp:positionV relativeFrom="paragraph">
                        <wp:posOffset>1047750</wp:posOffset>
                      </wp:positionV>
                      <wp:extent cx="1209675" cy="466725"/>
                      <wp:effectExtent l="11430" t="10795" r="17145" b="8255"/>
                      <wp:wrapNone/>
                      <wp:docPr id="6" name="矩形 45"/>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4D189823">
                                  <w:pPr>
                                    <w:rPr>
                                      <w:rFonts w:ascii="宋体" w:hAnsi="宋体"/>
                                      <w:szCs w:val="21"/>
                                    </w:rPr>
                                  </w:pPr>
                                  <w:r>
                                    <w:rPr>
                                      <w:rFonts w:hint="eastAsia" w:ascii="宋体" w:hAnsi="宋体"/>
                                      <w:szCs w:val="21"/>
                                    </w:rPr>
                                    <w:t>建立风险和机遇管理团队</w:t>
                                  </w:r>
                                </w:p>
                              </w:txbxContent>
                            </wps:txbx>
                            <wps:bodyPr rot="0" vert="horz" wrap="square" lIns="91440" tIns="45720" rIns="91440" bIns="45720" anchor="t" anchorCtr="0" upright="1">
                              <a:noAutofit/>
                            </wps:bodyPr>
                          </wps:wsp>
                        </a:graphicData>
                      </a:graphic>
                    </wp:anchor>
                  </w:drawing>
                </mc:Choice>
                <mc:Fallback>
                  <w:pict>
                    <v:rect id="矩形 45" o:spid="_x0000_s1026" o:spt="1" style="position:absolute;left:0pt;margin-left:0.2pt;margin-top:82.5pt;height:36.75pt;width:95.25pt;z-index:251695104;mso-width-relative:page;mso-height-relative:page;" fillcolor="#FFFFFF" filled="t" stroked="t" coordsize="21600,21600" o:gfxdata="UEsDBAoAAAAAAIdO4kAAAAAAAAAAAAAAAAAEAAAAZHJzL1BLAwQUAAAACACHTuJA0nGFOtUAAAAI&#10;AQAADwAAAGRycy9kb3ducmV2LnhtbE2PwU7DMBBE70j8g7VI3KidQqs2xKkEEpw40ILE1Y2XxBCv&#10;I9tN2r9ne6LHnRnNvqk2R9+LEWNygTQUMwUCqQnWUavh8+PlbgUiZUPW9IFQwwkTbOrrq8qUNky0&#10;xXGXW8EllEqjoct5KKVMTYfepFkYkNj7DtGbzGdspY1m4nLfy7lSS+mNI/7QmQGfO2x+dwevYTRf&#10;Tymf2vTqXPETaXzf+rdJ69ubQj2CyHjM/2E44zM61My0DweySfQaHjjH6nLBi872Wq1B7DXM71cL&#10;kHUlLwfUf1BLAwQUAAAACACHTuJA69t7JHYCAAABBQAADgAAAGRycy9lMm9Eb2MueG1srVRLbtsw&#10;EN0X6B0I7htZjj+JEDkIbLgokLYB0qJrmqIkovx1SFtOL1Mgux6ixyl6jQ4pxXVSoMiiWggkZ/jm&#10;zXsaXVzutSI7AV5aU9L8ZESJMNxW0jQl/fhh/eqMEh+YqZiyRpT0Tnh6uXj54qJzhRjb1qpKAEEQ&#10;44vOlbQNwRVZ5nkrNPMn1gmDwdqCZgG30GQVsA7RtcrGo9Es6yxUDiwX3uPpqg/SARGeA2jrWnKx&#10;snyrhQk9KgjFArbkW+k8XSS2dS14eF/XXgSiSoqdhvTGIrjexHe2uGBFA8y1kg8U2HMoPOlJM2mw&#10;6AFqxQIjW5B/QWnJwXpbhxNuddY3khTBLvLRE21uW+ZE6gWl9u4guv9/sPzd7gaIrEo6o8QwjYb/&#10;+vb95497MplGcTrnC8y5dTcQ2/Pu2vLPnhi7bJlpxBWA7VrBKqSUx/zs0YW48XiVbLq3tkJstg02&#10;6bSvQUdAVIDskx13BzvEPhCOh/l4dD6bTynhGJvMZvNxopSx4uG2Ax9eC6tJXJQU0O6EznbXPkQ2&#10;rHhIGcyp1lIpAjZ8kqFN+sayKejxTr8gzmI//bGHZrNUQHYMv6B1elKfaLU/zs5H8UlI/76CnJqH&#10;UkoagjIOnccIsMQwIitDOhRhepYk0A498qbpK1glD3mPys1Pz5fL04GhP07TMuDcKqlLetZz7QVS&#10;ZnAtGtUbHvab/eD9xlZ36B8KFknG/wYuWgtfKelwapDSly0DQYl6Y1Cz83wyiWOWNpPpfIwbOI5s&#10;jiPMcIQqaaCoQlwuQz+aWweyabFSnto19gq/m1omS+M31bMaeONkJKeHKY6jd7xPWX/+XI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nGFOtUAAAAIAQAADwAAAAAAAAABACAAAAAiAAAAZHJzL2Rv&#10;d25yZXYueG1sUEsBAhQAFAAAAAgAh07iQOvbeyR2AgAAAQ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14:paraId="4D189823">
                            <w:pPr>
                              <w:rPr>
                                <w:rFonts w:ascii="宋体" w:hAnsi="宋体"/>
                                <w:szCs w:val="21"/>
                              </w:rPr>
                            </w:pPr>
                            <w:r>
                              <w:rPr>
                                <w:rFonts w:hint="eastAsia" w:ascii="宋体" w:hAnsi="宋体"/>
                                <w:szCs w:val="21"/>
                              </w:rPr>
                              <w:t>建立风险和机遇管理团队</w:t>
                            </w:r>
                          </w:p>
                        </w:txbxContent>
                      </v:textbox>
                    </v:rect>
                  </w:pict>
                </mc:Fallback>
              </mc:AlternateContent>
            </w:r>
          </w:p>
        </w:tc>
        <w:tc>
          <w:tcPr>
            <w:tcW w:w="2093" w:type="dxa"/>
            <w:gridSpan w:val="2"/>
            <w:tcBorders>
              <w:left w:val="dashed" w:color="auto" w:sz="4" w:space="0"/>
              <w:right w:val="dashed" w:color="auto" w:sz="4" w:space="0"/>
            </w:tcBorders>
          </w:tcPr>
          <w:p w14:paraId="3BE57BDF">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1943100</wp:posOffset>
                      </wp:positionV>
                      <wp:extent cx="1209675" cy="466725"/>
                      <wp:effectExtent l="0" t="0" r="28575" b="28575"/>
                      <wp:wrapNone/>
                      <wp:docPr id="2" name="矩形 49"/>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33C17005">
                                  <w:pPr>
                                    <w:rPr>
                                      <w:rFonts w:ascii="宋体" w:hAnsi="宋体"/>
                                      <w:szCs w:val="21"/>
                                    </w:rPr>
                                  </w:pPr>
                                  <w:r>
                                    <w:rPr>
                                      <w:rFonts w:hint="eastAsia" w:ascii="宋体" w:hAnsi="宋体"/>
                                      <w:szCs w:val="21"/>
                                    </w:rPr>
                                    <w:t>应对风险和机遇的策划</w:t>
                                  </w:r>
                                </w:p>
                              </w:txbxContent>
                            </wps:txbx>
                            <wps:bodyPr rot="0" vert="horz" wrap="square" lIns="91440" tIns="45720" rIns="91440" bIns="45720" anchor="t" anchorCtr="0" upright="1">
                              <a:noAutofit/>
                            </wps:bodyPr>
                          </wps:wsp>
                        </a:graphicData>
                      </a:graphic>
                    </wp:anchor>
                  </w:drawing>
                </mc:Choice>
                <mc:Fallback>
                  <w:pict>
                    <v:rect id="矩形 49" o:spid="_x0000_s1026" o:spt="1" style="position:absolute;left:0pt;margin-left:-0.2pt;margin-top:153pt;height:36.75pt;width:95.25pt;z-index:251696128;mso-width-relative:page;mso-height-relative:page;" fillcolor="#FFFFFF" filled="t" stroked="t" coordsize="21600,21600" o:gfxdata="UEsDBAoAAAAAAIdO4kAAAAAAAAAAAAAAAAAEAAAAZHJzL1BLAwQUAAAACACHTuJAzE3NV9YAAAAJ&#10;AQAADwAAAGRycy9kb3ducmV2LnhtbE2PzU7DMBCE70i8g7VI3Fo7/LQ0xKkEEpw40ILU6zY2iSFe&#10;R7abtG/P9gTHnRnNflOtj74Xo43JBdJQzBUIS00wjloNnx8vswcQKSMZ7ANZDSebYF1fXlRYmjDR&#10;xo7b3AouoVSihi7noZQyNZ31mOZhsMTeV4geM5+xlSbixOW+lzdKLaRHR/yhw8E+d7b52R68hhF3&#10;Tymf2vTqXPEdaXzf+LdJ6+urQj2CyPaY/8Jwxmd0qJlpHw5kkug1zO44qOFWLXjS2V+pAsSeleXq&#10;HmRdyf8L6l9QSwMEFAAAAAgAh07iQOc9tKp1AgAAAQUAAA4AAABkcnMvZTJvRG9jLnhtbK1U227U&#10;MBB9R+IfLL/TbLZ7jZqtqq2KkApUKohnr+MkFr4x9m62/AxS3/gIPgfxG4yddNkWCfWBPES2Z3zm&#10;zDmZnJ3vtSI7AV5aU9L8ZESJMNxW0jQl/fjh6tWCEh+YqZiyRpT0Tnh6vnr54qxzhRjb1qpKAEEQ&#10;44vOlbQNwRVZ5nkrNPMn1gmDwdqCZgG30GQVsA7RtcrGo9Es6yxUDiwX3uPpZR+kAyI8B9DWteTi&#10;0vKtFib0qCAUC9iSb6XzdJXY1rXg4X1dexGIKil2GtIbi+B6E9/Z6owVDTDXSj5QYM+h8KQnzaTB&#10;ogeoSxYY2YL8C0pLDtbbOpxwq7O+kaQIdpGPnmhz2zInUi8otXcH0f3/g+XvdjdAZFXSMSWGaTT8&#10;17fvP3/ck8kyitM5X2DOrbuB2J5315Z/9sTYdctMIy4AbNcKViGlPOZnjy7EjcerZNO9tRVis22w&#10;Sad9DToCogJkn+y4O9gh9oFwPMzHo+VsPqWEY2wym83H01SCFQ+3HfjwWlhN4qKkgHYndLa79iGy&#10;YcVDymBOdSWVImDDJxnapG8sm4Ie7/QL4iz20x97aDZrBWTH8Au6Ss9AovHH2fkoPgnp31eQU/NQ&#10;SklDUMah8xgBlhhGZGVIhyJMF0kC7dAjb5q+glXykPeo3Px0uV6fDgz9cZqWAedWSV3SRc+1F0iZ&#10;wbVoVG942G/2g/cbW92hfyhYJBn/G7hoLXylpMOpQUpftgwEJeqNQc2W+WQSxyxtJtP5GDdwHNkc&#10;R5jhCFXSQFGFuFyHfjS3DmTTYqU8tWvsBX43tUyWxm+qZzXwxslITg9THEfveJ+y/vy5V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E3NV9YAAAAJAQAADwAAAAAAAAABACAAAAAiAAAAZHJzL2Rv&#10;d25yZXYueG1sUEsBAhQAFAAAAAgAh07iQOc9tKp1AgAAAQ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14:paraId="33C17005">
                            <w:pPr>
                              <w:rPr>
                                <w:rFonts w:ascii="宋体" w:hAnsi="宋体"/>
                                <w:szCs w:val="21"/>
                              </w:rPr>
                            </w:pPr>
                            <w:r>
                              <w:rPr>
                                <w:rFonts w:hint="eastAsia" w:ascii="宋体" w:hAnsi="宋体"/>
                                <w:szCs w:val="21"/>
                              </w:rPr>
                              <w:t>应对风险和机遇的策划</w:t>
                            </w:r>
                          </w:p>
                        </w:txbxContent>
                      </v:textbox>
                    </v:rect>
                  </w:pict>
                </mc:Fallback>
              </mc:AlternateContent>
            </w:r>
            <w:r>
              <w:rPr>
                <w:rFonts w:hint="eastAsia" w:ascii="宋体" w:hAnsi="宋体"/>
                <w:sz w:val="24"/>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2743200</wp:posOffset>
                      </wp:positionV>
                      <wp:extent cx="1209675" cy="466725"/>
                      <wp:effectExtent l="0" t="0" r="28575" b="28575"/>
                      <wp:wrapNone/>
                      <wp:docPr id="3" name="矩形 48"/>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479BD7B0">
                                  <w:pPr>
                                    <w:rPr>
                                      <w:rFonts w:ascii="宋体" w:hAnsi="宋体"/>
                                      <w:szCs w:val="21"/>
                                    </w:rPr>
                                  </w:pPr>
                                  <w:r>
                                    <w:rPr>
                                      <w:rFonts w:hint="eastAsia" w:ascii="宋体" w:hAnsi="宋体"/>
                                      <w:szCs w:val="21"/>
                                    </w:rPr>
                                    <w:t>风险和机遇的识别</w:t>
                                  </w:r>
                                </w:p>
                              </w:txbxContent>
                            </wps:txbx>
                            <wps:bodyPr rot="0" vert="horz" wrap="square" lIns="91440" tIns="45720" rIns="91440" bIns="45720" anchor="t" anchorCtr="0" upright="1">
                              <a:noAutofit/>
                            </wps:bodyPr>
                          </wps:wsp>
                        </a:graphicData>
                      </a:graphic>
                    </wp:anchor>
                  </w:drawing>
                </mc:Choice>
                <mc:Fallback>
                  <w:pict>
                    <v:rect id="矩形 48" o:spid="_x0000_s1026" o:spt="1" style="position:absolute;left:0pt;margin-left:-0.2pt;margin-top:216pt;height:36.75pt;width:95.25pt;z-index:251697152;mso-width-relative:page;mso-height-relative:page;" fillcolor="#FFFFFF" filled="t" stroked="t" coordsize="21600,21600" o:gfxdata="UEsDBAoAAAAAAIdO4kAAAAAAAAAAAAAAAAAEAAAAZHJzL1BLAwQUAAAACACHTuJAGL777dYAAAAJ&#10;AQAADwAAAGRycy9kb3ducmV2LnhtbE2PwU7DMBBE70j8g7VI3Fo7pUEQsqkEEpw40ILE1Y2XxBCv&#10;I9tN2r/HPcFxNKOZN/Xm6AYxUYjWM0KxVCCIW28sdwgf78+LOxAxaTZ68EwIJ4qwaS4val0ZP/OW&#10;pl3qRC7hWGmEPqWxkjK2PTkdl34kzt6XD06nLEMnTdBzLneDXCl1K522nBd6PdJTT+3P7uAQJv35&#10;GNOpiy/WFt+Bp7ete50Rr68K9QAi0TH9heGMn9GhyUx7f2ATxYCwWOcgwvpmlS+d/XtVgNgjlKos&#10;QTa1/P+g+QVQSwMEFAAAAAgAh07iQB8DnSl1AgAAAQUAAA4AAABkcnMvZTJvRG9jLnhtbK1U227U&#10;MBB9R+IfLL/TbLZ7jZqtqq2KkApUKohnr+MkFr4x9m62/AxS3/gIPgfxG4yddNkWCfWBPES2Z3zm&#10;zDmZnJ3vtSI7AV5aU9L8ZESJMNxW0jQl/fjh6tWCEh+YqZiyRpT0Tnh6vnr54qxzhRjb1qpKAEEQ&#10;44vOlbQNwRVZ5nkrNPMn1gmDwdqCZgG30GQVsA7RtcrGo9Es6yxUDiwX3uPpZR+kAyI8B9DWteTi&#10;0vKtFib0qCAUC9iSb6XzdJXY1rXg4X1dexGIKil2GtIbi+B6E9/Z6owVDTDXSj5QYM+h8KQnzaTB&#10;ogeoSxYY2YL8C0pLDtbbOpxwq7O+kaQIdpGPnmhz2zInUi8otXcH0f3/g+XvdjdAZFXSU0oM02j4&#10;r2/ff/64J5NFFKdzvsCcW3cDsT3vri3/7Imx65aZRlwA2K4VrEJKeczPHl2IG49XyaZ7ayvEZttg&#10;k077GnQERAXIPtlxd7BD7APheJiPR8vZfEoJx9hkNpuPp6kEKx5uO/DhtbCaxEVJAe1O6Gx37UNk&#10;w4qHlMGc6koqRcCGTzK0Sd9YNgU93ukXxFnspz/20GzWCsiO4Rd0lZ6BROOPs/NRfBLSv68gp+ah&#10;lJKGoIxD5zECLDGMyMqQDkWYLpIE2qFH3jR9BavkIe9Rufnpcr0+HRj64zQtA86tkrqki55rL5Ay&#10;g2vRqN7wsN/sB+83trpD/1CwSDL+N3DRWvhKSYdTg5S+bBkIStQbg5ot88kkjlnaTKbzMW7gOLI5&#10;jjDDEaqkgaIKcbkO/WhuHcimxUp5atfYC/xuapksjd9Uz2rgjZORnB6mOI7e8T5l/flz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L777dYAAAAJAQAADwAAAAAAAAABACAAAAAiAAAAZHJzL2Rv&#10;d25yZXYueG1sUEsBAhQAFAAAAAgAh07iQB8DnSl1AgAAAQ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14:paraId="479BD7B0">
                            <w:pPr>
                              <w:rPr>
                                <w:rFonts w:ascii="宋体" w:hAnsi="宋体"/>
                                <w:szCs w:val="21"/>
                              </w:rPr>
                            </w:pPr>
                            <w:r>
                              <w:rPr>
                                <w:rFonts w:hint="eastAsia" w:ascii="宋体" w:hAnsi="宋体"/>
                                <w:szCs w:val="21"/>
                              </w:rPr>
                              <w:t>风险和机遇的识别</w:t>
                            </w:r>
                          </w:p>
                        </w:txbxContent>
                      </v:textbox>
                    </v:rect>
                  </w:pict>
                </mc:Fallback>
              </mc:AlternateContent>
            </w:r>
            <w:r>
              <w:rPr>
                <w:rFonts w:hint="eastAsia" w:ascii="宋体" w:hAnsi="宋体"/>
                <w:sz w:val="24"/>
              </w:rPr>
              <mc:AlternateContent>
                <mc:Choice Requires="wps">
                  <w:drawing>
                    <wp:anchor distT="0" distB="0" distL="114300" distR="114300" simplePos="0" relativeHeight="251706368" behindDoc="0" locked="0" layoutInCell="1" allowOverlap="1">
                      <wp:simplePos x="0" y="0"/>
                      <wp:positionH relativeFrom="column">
                        <wp:posOffset>601345</wp:posOffset>
                      </wp:positionH>
                      <wp:positionV relativeFrom="paragraph">
                        <wp:posOffset>2409825</wp:posOffset>
                      </wp:positionV>
                      <wp:extent cx="0" cy="333375"/>
                      <wp:effectExtent l="59690" t="10795" r="64135" b="17780"/>
                      <wp:wrapNone/>
                      <wp:docPr id="5" name="自选图形 46"/>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6" o:spid="_x0000_s1026" o:spt="32" type="#_x0000_t32" style="position:absolute;left:0pt;margin-left:47.35pt;margin-top:189.75pt;height:26.25pt;width:0pt;z-index:251706368;mso-width-relative:page;mso-height-relative:page;" filled="f" stroked="t" coordsize="21600,21600" o:gfxdata="UEsDBAoAAAAAAIdO4kAAAAAAAAAAAAAAAAAEAAAAZHJzL1BLAwQUAAAACACHTuJA/4qKttsAAAAJ&#10;AQAADwAAAGRycy9kb3ducmV2LnhtbE2PwU7DMAyG70i8Q2QkLtOWrtsoLXUnhAQS0g5jGwduWWPa&#10;isapmnTr3p7ABY62P/3+/nw9mlacqHeNZYT5LAJBXFrdcIVw2D9P70E4r1ir1jIhXMjBuri+ylWm&#10;7Znf6LTzlQgh7DKFUHvfZVK6siaj3Mx2xOH2aXujfBj7SupenUO4aWUcRXfSqIbDh1p19FRT+bUb&#10;DEKyj8fHS/rhJ6+TYatf3st0u9og3t7MowcQnkb/B8OPflCHIjgd7cDaiRYhXSaBRFgk6QpEAH4X&#10;R4TlIo5AFrn836D4BlBLAwQUAAAACACHTuJAFbtyEw8CAADvAwAADgAAAGRycy9lMm9Eb2MueG1s&#10;rVPNbhMxEL4j8Q6W72SThrRllU0PG8qlQKSWB3Bs766F7bFsJ5vcuCGegRvHvgO8TSV4C8beNNBy&#10;6YE9rPwz8833fTOeX+yMJlvpgwJb0cloTIm0HISybUU/3Fy+OKckRGYF02BlRfcy0IvF82fz3pXy&#10;BDrQQnqCIDaUvatoF6MriyLwThoWRuCkxcsGvGERt74thGc9ohtdnIzHp0UPXjgPXIaAp8vhkh4Q&#10;/VMAoWkUl0vgGyNtHFC91CyipNApF+gis20ayeP7pgkyEl1RVBrzH4vgep3+xWLOytYz1yl+oMCe&#10;QuGRJsOUxaJHqCWLjGy8+gfKKO4hQBNHHEwxCMmOoIrJ+JE31x1zMmtBq4M7mh7+Hyx/t115okRF&#10;Z5RYZrDhPz/f/vr05e7rj7vv38jL02RR70KJkbVd+SSS7+y1uwL+MRALdcdsKzPVm73D/EnKKB6k&#10;pE1wWGjdvwWBMWwTIfu1a7xJkOgE2eW27I9tkbtI+HDI8XSK39ksg7PyPs/5EN9IMCQtKhqiZ6rt&#10;Yg3WYu/BT3IVtr0KMbFi5X1CKmrhUmmdR0Bb0iP12TlWINw4NCTYNicH0EqkwJQSfLuutSdbhgN1&#10;Nn1V19MDowdhHjZWZODIlH5tBYnZm+gVuqUlTdWMFJRoia8wrQZ62h68S3YNxq9B7Fc+XScbcQ6y&#10;jsPMpkH7e5+j/rzT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oq22wAAAAkBAAAPAAAAAAAA&#10;AAEAIAAAACIAAABkcnMvZG93bnJldi54bWxQSwECFAAUAAAACACHTuJAFbtyEw8CAADvAwAADgAA&#10;AAAAAAABACAAAAAqAQAAZHJzL2Uyb0RvYy54bWxQSwUGAAAAAAYABgBZAQAAqwU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5344" behindDoc="0" locked="0" layoutInCell="1" allowOverlap="1">
                      <wp:simplePos x="0" y="0"/>
                      <wp:positionH relativeFrom="column">
                        <wp:posOffset>601345</wp:posOffset>
                      </wp:positionH>
                      <wp:positionV relativeFrom="paragraph">
                        <wp:posOffset>1288415</wp:posOffset>
                      </wp:positionV>
                      <wp:extent cx="0" cy="654685"/>
                      <wp:effectExtent l="59690" t="13335" r="64135" b="17780"/>
                      <wp:wrapNone/>
                      <wp:docPr id="4" name="自选图形 47"/>
                      <wp:cNvGraphicFramePr/>
                      <a:graphic xmlns:a="http://schemas.openxmlformats.org/drawingml/2006/main">
                        <a:graphicData uri="http://schemas.microsoft.com/office/word/2010/wordprocessingShape">
                          <wps:wsp>
                            <wps:cNvCnPr>
                              <a:cxnSpLocks noChangeShapeType="1"/>
                            </wps:cNvCnPr>
                            <wps:spPr bwMode="auto">
                              <a:xfrm>
                                <a:off x="0" y="0"/>
                                <a:ext cx="0" cy="65468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7" o:spid="_x0000_s1026" o:spt="32" type="#_x0000_t32" style="position:absolute;left:0pt;margin-left:47.35pt;margin-top:101.45pt;height:51.55pt;width:0pt;z-index:251705344;mso-width-relative:page;mso-height-relative:page;" filled="f" stroked="t" coordsize="21600,21600" o:gfxdata="UEsDBAoAAAAAAIdO4kAAAAAAAAAAAAAAAAAEAAAAZHJzL1BLAwQUAAAACACHTuJAJ1BGcNoAAAAJ&#10;AQAADwAAAGRycy9kb3ducmV2LnhtbE2PwU7DMAyG70i8Q2QkLtOWrMBGS90JIYGEtMPYxoFb1pi2&#10;onGqJt26tydwgaPtT7+/P1+NthVH6n3jGGE+UyCIS2carhD2u+fpPQgfNBvdOiaEM3lYFZcXuc6M&#10;O/EbHbehEjGEfaYR6hC6TEpf1mS1n7mOON4+XW91iGNfSdPrUwy3rUyUWkirG44fat3RU03l13aw&#10;CMtdMj6e048weZ0MG/PyXqabuzXi9dVcPYAINIY/GH70ozoU0engBjZetAjp7TKSCIlKUhAR+F0c&#10;EG7UQoEscvm/QfENUEsDBBQAAAAIAIdO4kBjjC5TEQIAAO8DAAAOAAAAZHJzL2Uyb0RvYy54bWyt&#10;U81uEzEQviPxDpbvZJM2ScMqmx42lEuBSC0P4NjeXQvbY9lONrlxQzwDN468A7xNJXgLxk4aaLn0&#10;wMXyz8w33/fNeH65M5pspQ8KbEVHgyEl0nIQyrYVfX979WJGSYjMCqbByoruZaCXi+fP5r0r5Rl0&#10;oIX0BEFsKHtX0S5GVxZF4J00LAzASYuPDXjDIh59WwjPekQ3ujgbDqdFD144D1yGgLfLwyM9Ivqn&#10;AELTKC6XwDdG2nhA9VKziJJCp1ygi8y2aSSP75omyEh0RVFpzCsWwf06rcVizsrWM9cpfqTAnkLh&#10;kSbDlMWiJ6gli4xsvPoHyijuIUATBxxMcRCSHUEVo+Ejb2465mTWglYHdzI9/D9Y/na78kSJio4p&#10;scxgw39++vbr4+e7Lz/uvn8l44tkUe9CiZG1Xfkkku/sjbsG/iEQC3XHbCsz1du9w/xRyigepKRD&#10;cFho3b8BgTFsEyH7tWu8SZDoBNnltuxPbZG7SPjhkuPtdDKeziYZnJX3ec6H+FqCIWlT0RA9U20X&#10;a7AWew9+lKuw7XWIiRUr7xNSUQtXSus8AtqSHqlPZhcTSrhxaEiwbU4OoJVIgSkl+HZda0+2DAfq&#10;4vxlXZ8fGT0I87CxIgNHpvQrK0jM3kSv0C0taapmpKBES/yFaXegp+3Ru2TXwfg1iP3Kp+dkI85B&#10;1nGc2TRof59z1J9/u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1BGcNoAAAAJAQAADwAAAAAA&#10;AAABACAAAAAiAAAAZHJzL2Rvd25yZXYueG1sUEsBAhQAFAAAAAgAh07iQGOMLlMRAgAA7wMAAA4A&#10;AAAAAAAAAQAgAAAAKQEAAGRycy9lMm9Eb2MueG1sUEsFBgAAAAAGAAYAWQEAAKwFAAAAAA==&#10;">
                      <v:fill on="f" focussize="0,0"/>
                      <v:stroke weight="1.25pt" color="#739CC3" joinstyle="round" endarrow="block"/>
                      <v:imagedata o:title=""/>
                      <o:lock v:ext="edit" aspectratio="f"/>
                    </v:shape>
                  </w:pict>
                </mc:Fallback>
              </mc:AlternateContent>
            </w:r>
          </w:p>
        </w:tc>
        <w:tc>
          <w:tcPr>
            <w:tcW w:w="1832" w:type="dxa"/>
            <w:gridSpan w:val="2"/>
            <w:tcBorders>
              <w:left w:val="dashed" w:color="auto" w:sz="4" w:space="0"/>
              <w:right w:val="dashed" w:color="auto" w:sz="4" w:space="0"/>
            </w:tcBorders>
          </w:tcPr>
          <w:p w14:paraId="3968B754">
            <w:pPr>
              <w:spacing w:line="360" w:lineRule="auto"/>
              <w:rPr>
                <w:rFonts w:ascii="宋体" w:hAnsi="宋体"/>
                <w:sz w:val="24"/>
              </w:rPr>
            </w:pPr>
          </w:p>
          <w:p w14:paraId="3633E6C6">
            <w:pPr>
              <w:spacing w:line="360" w:lineRule="auto"/>
              <w:rPr>
                <w:rFonts w:ascii="宋体" w:hAnsi="宋体"/>
                <w:sz w:val="24"/>
              </w:rPr>
            </w:pPr>
          </w:p>
          <w:p w14:paraId="6EFDA19E">
            <w:pPr>
              <w:spacing w:line="360" w:lineRule="auto"/>
              <w:rPr>
                <w:rFonts w:ascii="宋体" w:hAnsi="宋体"/>
                <w:sz w:val="24"/>
              </w:rPr>
            </w:pPr>
          </w:p>
          <w:p w14:paraId="164BE723">
            <w:pPr>
              <w:spacing w:line="360" w:lineRule="auto"/>
              <w:rPr>
                <w:rFonts w:ascii="宋体" w:hAnsi="宋体"/>
                <w:sz w:val="24"/>
              </w:rPr>
            </w:pPr>
          </w:p>
          <w:p w14:paraId="725C8646">
            <w:pPr>
              <w:spacing w:line="360" w:lineRule="auto"/>
              <w:rPr>
                <w:rFonts w:ascii="宋体" w:hAnsi="宋体"/>
                <w:sz w:val="24"/>
              </w:rPr>
            </w:pPr>
          </w:p>
          <w:p w14:paraId="4D308378">
            <w:pPr>
              <w:spacing w:line="360" w:lineRule="auto"/>
              <w:rPr>
                <w:rFonts w:ascii="宋体" w:hAnsi="宋体"/>
                <w:sz w:val="24"/>
              </w:rPr>
            </w:pPr>
          </w:p>
          <w:p w14:paraId="1987EEDF">
            <w:pPr>
              <w:spacing w:line="360" w:lineRule="auto"/>
              <w:rPr>
                <w:rFonts w:ascii="宋体" w:hAnsi="宋体"/>
                <w:sz w:val="24"/>
              </w:rPr>
            </w:pPr>
          </w:p>
          <w:p w14:paraId="4D14D311">
            <w:pPr>
              <w:spacing w:line="360" w:lineRule="auto"/>
              <w:rPr>
                <w:rFonts w:ascii="宋体" w:hAnsi="宋体"/>
                <w:sz w:val="24"/>
              </w:rPr>
            </w:pPr>
          </w:p>
          <w:p w14:paraId="479CF853">
            <w:pPr>
              <w:spacing w:line="360" w:lineRule="auto"/>
              <w:rPr>
                <w:rFonts w:ascii="宋体" w:hAnsi="宋体"/>
                <w:sz w:val="24"/>
              </w:rPr>
            </w:pPr>
          </w:p>
          <w:p w14:paraId="07E08C69">
            <w:pPr>
              <w:spacing w:line="360" w:lineRule="auto"/>
              <w:rPr>
                <w:rFonts w:ascii="宋体" w:hAnsi="宋体"/>
                <w:sz w:val="24"/>
              </w:rPr>
            </w:pPr>
          </w:p>
          <w:p w14:paraId="5C37E1A2">
            <w:pPr>
              <w:spacing w:line="360" w:lineRule="auto"/>
              <w:rPr>
                <w:rFonts w:ascii="宋体" w:hAnsi="宋体"/>
                <w:sz w:val="24"/>
              </w:rPr>
            </w:pPr>
          </w:p>
          <w:p w14:paraId="02947661">
            <w:pPr>
              <w:spacing w:line="360" w:lineRule="auto"/>
              <w:rPr>
                <w:rFonts w:ascii="宋体" w:hAnsi="宋体"/>
                <w:sz w:val="24"/>
              </w:rPr>
            </w:pPr>
            <w:r>
              <w:rPr>
                <w:rFonts w:hint="eastAsia" w:ascii="宋体" w:hAnsi="宋体"/>
                <w:sz w:val="24"/>
              </w:rPr>
              <w:t>《风险和机遇分析和评估表》</w:t>
            </w:r>
          </w:p>
          <w:p w14:paraId="2C1B9C94">
            <w:pPr>
              <w:spacing w:line="360" w:lineRule="auto"/>
              <w:rPr>
                <w:rFonts w:ascii="宋体" w:hAnsi="宋体"/>
                <w:sz w:val="24"/>
              </w:rPr>
            </w:pPr>
          </w:p>
          <w:p w14:paraId="64D81E5C">
            <w:pPr>
              <w:spacing w:line="360" w:lineRule="auto"/>
              <w:rPr>
                <w:rFonts w:ascii="宋体" w:hAnsi="宋体"/>
                <w:sz w:val="24"/>
              </w:rPr>
            </w:pPr>
          </w:p>
          <w:p w14:paraId="7B70AC81">
            <w:pPr>
              <w:spacing w:line="360" w:lineRule="auto"/>
              <w:rPr>
                <w:rFonts w:ascii="宋体" w:hAnsi="宋体"/>
                <w:sz w:val="24"/>
              </w:rPr>
            </w:pPr>
          </w:p>
          <w:p w14:paraId="4D82492C">
            <w:pPr>
              <w:spacing w:line="360" w:lineRule="auto"/>
              <w:rPr>
                <w:rFonts w:ascii="宋体" w:hAnsi="宋体"/>
                <w:sz w:val="24"/>
              </w:rPr>
            </w:pPr>
          </w:p>
          <w:p w14:paraId="23BF2D34">
            <w:pPr>
              <w:spacing w:line="360" w:lineRule="auto"/>
              <w:rPr>
                <w:rFonts w:ascii="宋体" w:hAnsi="宋体"/>
                <w:sz w:val="24"/>
              </w:rPr>
            </w:pPr>
            <w:r>
              <w:rPr>
                <w:rFonts w:hint="eastAsia" w:ascii="宋体" w:hAnsi="宋体"/>
                <w:sz w:val="24"/>
              </w:rPr>
              <w:t>《风险和机遇分析和评估表》</w:t>
            </w:r>
          </w:p>
          <w:p w14:paraId="03B38DD0">
            <w:pPr>
              <w:spacing w:line="360" w:lineRule="auto"/>
              <w:rPr>
                <w:rFonts w:ascii="宋体" w:hAnsi="宋体"/>
                <w:sz w:val="24"/>
              </w:rPr>
            </w:pPr>
            <w:r>
              <w:rPr>
                <w:rFonts w:hint="eastAsia" w:ascii="宋体" w:hAnsi="宋体"/>
                <w:sz w:val="24"/>
              </w:rPr>
              <w:t xml:space="preserve"> </w:t>
            </w:r>
          </w:p>
          <w:p w14:paraId="12E0F676">
            <w:pPr>
              <w:spacing w:line="360" w:lineRule="auto"/>
              <w:rPr>
                <w:rFonts w:ascii="宋体" w:hAnsi="宋体"/>
                <w:sz w:val="24"/>
              </w:rPr>
            </w:pPr>
            <w:r>
              <w:rPr>
                <w:rFonts w:hint="eastAsia" w:ascii="宋体" w:hAnsi="宋体"/>
                <w:sz w:val="24"/>
              </w:rPr>
              <w:t>《应对风险和机遇措施表》</w:t>
            </w:r>
          </w:p>
        </w:tc>
        <w:tc>
          <w:tcPr>
            <w:tcW w:w="1392" w:type="dxa"/>
            <w:gridSpan w:val="2"/>
            <w:tcBorders>
              <w:left w:val="dashed" w:color="auto" w:sz="4" w:space="0"/>
            </w:tcBorders>
          </w:tcPr>
          <w:p w14:paraId="0FDDDE50">
            <w:pPr>
              <w:spacing w:line="360" w:lineRule="auto"/>
              <w:rPr>
                <w:rFonts w:ascii="宋体" w:hAnsi="宋体"/>
                <w:sz w:val="24"/>
              </w:rPr>
            </w:pPr>
          </w:p>
          <w:p w14:paraId="65AB342C">
            <w:pPr>
              <w:spacing w:line="360" w:lineRule="auto"/>
              <w:rPr>
                <w:rFonts w:ascii="宋体" w:hAnsi="宋体"/>
                <w:sz w:val="24"/>
              </w:rPr>
            </w:pPr>
          </w:p>
          <w:p w14:paraId="6AE68667">
            <w:pPr>
              <w:spacing w:line="360" w:lineRule="auto"/>
              <w:rPr>
                <w:rFonts w:ascii="宋体" w:hAnsi="宋体"/>
                <w:sz w:val="24"/>
              </w:rPr>
            </w:pPr>
          </w:p>
          <w:p w14:paraId="5F8C4CE2">
            <w:pPr>
              <w:spacing w:line="360" w:lineRule="auto"/>
              <w:rPr>
                <w:rFonts w:ascii="宋体" w:hAnsi="宋体"/>
                <w:sz w:val="24"/>
              </w:rPr>
            </w:pPr>
          </w:p>
          <w:p w14:paraId="2835F7FC">
            <w:pPr>
              <w:spacing w:line="360" w:lineRule="auto"/>
              <w:rPr>
                <w:rFonts w:ascii="宋体" w:hAnsi="宋体"/>
                <w:sz w:val="24"/>
              </w:rPr>
            </w:pPr>
          </w:p>
          <w:p w14:paraId="112B0A00">
            <w:pPr>
              <w:spacing w:line="360" w:lineRule="auto"/>
              <w:rPr>
                <w:rFonts w:ascii="宋体" w:hAnsi="宋体"/>
                <w:sz w:val="24"/>
              </w:rPr>
            </w:pPr>
          </w:p>
          <w:p w14:paraId="14AE0FA8">
            <w:pPr>
              <w:spacing w:line="360" w:lineRule="auto"/>
              <w:rPr>
                <w:rFonts w:ascii="宋体" w:hAnsi="宋体"/>
                <w:sz w:val="24"/>
              </w:rPr>
            </w:pPr>
          </w:p>
          <w:p w14:paraId="317F1B95">
            <w:pPr>
              <w:spacing w:line="360" w:lineRule="auto"/>
              <w:rPr>
                <w:rFonts w:ascii="宋体" w:hAnsi="宋体"/>
                <w:sz w:val="24"/>
              </w:rPr>
            </w:pPr>
          </w:p>
          <w:p w14:paraId="3FE2AEBB">
            <w:pPr>
              <w:spacing w:line="360" w:lineRule="auto"/>
              <w:rPr>
                <w:rFonts w:ascii="宋体" w:hAnsi="宋体"/>
                <w:sz w:val="24"/>
              </w:rPr>
            </w:pPr>
          </w:p>
          <w:p w14:paraId="21C941BF">
            <w:pPr>
              <w:spacing w:line="360" w:lineRule="auto"/>
              <w:rPr>
                <w:rFonts w:ascii="宋体" w:hAnsi="宋体"/>
                <w:sz w:val="24"/>
              </w:rPr>
            </w:pPr>
          </w:p>
          <w:p w14:paraId="4376A90F">
            <w:pPr>
              <w:spacing w:line="360" w:lineRule="auto"/>
              <w:rPr>
                <w:rFonts w:ascii="宋体" w:hAnsi="宋体"/>
                <w:sz w:val="24"/>
              </w:rPr>
            </w:pPr>
          </w:p>
          <w:p w14:paraId="2D5AF5A8">
            <w:pPr>
              <w:spacing w:line="360" w:lineRule="auto"/>
              <w:rPr>
                <w:rFonts w:ascii="宋体" w:hAnsi="宋体"/>
                <w:sz w:val="24"/>
              </w:rPr>
            </w:pPr>
          </w:p>
          <w:p w14:paraId="3B2F2736">
            <w:pPr>
              <w:spacing w:line="360" w:lineRule="auto"/>
              <w:rPr>
                <w:rFonts w:ascii="宋体" w:hAnsi="宋体"/>
                <w:sz w:val="24"/>
              </w:rPr>
            </w:pPr>
          </w:p>
          <w:p w14:paraId="06EE560E">
            <w:pPr>
              <w:spacing w:line="360" w:lineRule="auto"/>
              <w:rPr>
                <w:rFonts w:ascii="宋体" w:hAnsi="宋体"/>
                <w:sz w:val="24"/>
              </w:rPr>
            </w:pPr>
            <w:r>
              <w:rPr>
                <w:rFonts w:hint="eastAsia" w:ascii="宋体" w:hAnsi="宋体"/>
                <w:sz w:val="24"/>
              </w:rPr>
              <w:t>R1:按严重度S/频度O/探测度D进行评价</w:t>
            </w:r>
          </w:p>
          <w:p w14:paraId="564D23EE">
            <w:pPr>
              <w:spacing w:line="360" w:lineRule="auto"/>
              <w:rPr>
                <w:rFonts w:ascii="宋体" w:hAnsi="宋体"/>
                <w:sz w:val="24"/>
              </w:rPr>
            </w:pPr>
            <w:r>
              <w:rPr>
                <w:rFonts w:hint="eastAsia" w:ascii="宋体" w:hAnsi="宋体"/>
                <w:sz w:val="24"/>
              </w:rPr>
              <w:t>对评价结果为一般风险/高风险的，需要措施对策输出</w:t>
            </w:r>
          </w:p>
          <w:p w14:paraId="0D88C5B6">
            <w:pPr>
              <w:spacing w:line="360" w:lineRule="auto"/>
              <w:rPr>
                <w:rFonts w:ascii="宋体" w:hAnsi="宋体"/>
                <w:sz w:val="24"/>
              </w:rPr>
            </w:pPr>
          </w:p>
        </w:tc>
      </w:tr>
    </w:tbl>
    <w:p w14:paraId="3D72A124">
      <w:pPr>
        <w:spacing w:line="360" w:lineRule="auto"/>
        <w:rPr>
          <w:rFonts w:ascii="宋体" w:hAnsi="宋体"/>
          <w:sz w:val="24"/>
        </w:rPr>
      </w:pPr>
    </w:p>
    <w:p w14:paraId="11B32054">
      <w:pPr>
        <w:spacing w:line="360" w:lineRule="auto"/>
        <w:rPr>
          <w:sz w:val="24"/>
        </w:rPr>
      </w:pPr>
    </w:p>
    <w:p w14:paraId="3B595A11">
      <w:pPr>
        <w:ind w:firstLine="480"/>
        <w:jc w:val="left"/>
        <w:rPr>
          <w:sz w:val="24"/>
        </w:rPr>
      </w:pPr>
    </w:p>
    <w:p w14:paraId="032BAEA0"/>
    <w:sectPr>
      <w:headerReference r:id="rId3" w:type="default"/>
      <w:footerReference r:id="rId4" w:type="default"/>
      <w:pgSz w:w="11906" w:h="16838"/>
      <w:pgMar w:top="1134" w:right="1134" w:bottom="1134" w:left="1418" w:header="680"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³¤³Ç·ÂËÎ">
    <w:altName w:val="MS P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482090"/>
      <w:docPartObj>
        <w:docPartGallery w:val="autotext"/>
      </w:docPartObj>
    </w:sdtPr>
    <w:sdtContent>
      <w:sdt>
        <w:sdtPr>
          <w:id w:val="1728636285"/>
          <w:docPartObj>
            <w:docPartGallery w:val="autotext"/>
          </w:docPartObj>
        </w:sdtPr>
        <w:sdtContent>
          <w:p w14:paraId="7808C3EE">
            <w:pPr>
              <w:pStyle w:val="29"/>
              <w:jc w:val="center"/>
            </w:pPr>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r>
              <w:rPr>
                <w:rFonts w:hint="eastAsia"/>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7326">
    <w:pPr>
      <w:pBdr>
        <w:bottom w:val="single" w:color="auto" w:sz="4" w:space="1"/>
      </w:pBdr>
    </w:pPr>
    <w:r>
      <w:rPr>
        <w:rFonts w:hint="eastAsia"/>
        <w:lang w:eastAsia="zh-CN"/>
      </w:rPr>
      <w:t>淄博海源电子科技有限公司</w:t>
    </w:r>
    <w:r>
      <w:rPr>
        <w:rFonts w:hint="eastAsia"/>
      </w:rPr>
      <w:t>-</w:t>
    </w:r>
    <w:r>
      <w:t>-</w:t>
    </w:r>
    <w:r>
      <w:rPr>
        <w:rFonts w:hint="eastAsia"/>
        <w:b/>
        <w:bCs/>
      </w:rPr>
      <w:t>质量、环境和职业健康安全   程序文件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2AF9D"/>
    <w:multiLevelType w:val="singleLevel"/>
    <w:tmpl w:val="D372AF9D"/>
    <w:lvl w:ilvl="0" w:tentative="0">
      <w:start w:val="1"/>
      <w:numFmt w:val="lowerLetter"/>
      <w:suff w:val="nothing"/>
      <w:lvlText w:val="%1．"/>
      <w:lvlJc w:val="left"/>
      <w:pPr>
        <w:ind w:left="120" w:firstLine="0"/>
      </w:pPr>
    </w:lvl>
  </w:abstractNum>
  <w:abstractNum w:abstractNumId="1">
    <w:nsid w:val="E561BE19"/>
    <w:multiLevelType w:val="singleLevel"/>
    <w:tmpl w:val="E561BE19"/>
    <w:lvl w:ilvl="0" w:tentative="0">
      <w:start w:val="1"/>
      <w:numFmt w:val="lowerLetter"/>
      <w:suff w:val="nothing"/>
      <w:lvlText w:val="%1．"/>
      <w:lvlJc w:val="left"/>
    </w:lvl>
  </w:abstractNum>
  <w:abstractNum w:abstractNumId="2">
    <w:nsid w:val="00000001"/>
    <w:multiLevelType w:val="multilevel"/>
    <w:tmpl w:val="00000001"/>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lowerLetter"/>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00000006"/>
    <w:multiLevelType w:val="multilevel"/>
    <w:tmpl w:val="00000006"/>
    <w:lvl w:ilvl="0" w:tentative="0">
      <w:start w:val="1"/>
      <w:numFmt w:val="lowerLetter"/>
      <w:lvlText w:val="%1)"/>
      <w:lvlJc w:val="left"/>
      <w:pPr>
        <w:tabs>
          <w:tab w:val="left" w:pos="360"/>
        </w:tabs>
        <w:ind w:left="360" w:hanging="360"/>
      </w:pPr>
      <w:rPr>
        <w:rFonts w:hint="eastAsia" w:ascii="宋体" w:hAnsi="宋体"/>
        <w:color w:val="auto"/>
      </w:rPr>
    </w:lvl>
    <w:lvl w:ilvl="1" w:tentative="0">
      <w:start w:val="1"/>
      <w:numFmt w:val="lowerLetter"/>
      <w:lvlText w:val="%2)"/>
      <w:lvlJc w:val="left"/>
      <w:pPr>
        <w:tabs>
          <w:tab w:val="left" w:pos="900"/>
        </w:tabs>
        <w:ind w:left="900" w:hanging="480"/>
      </w:pPr>
      <w:rPr>
        <w:rFonts w:hint="eastAsia" w:ascii="宋体" w:hAnsi="宋体"/>
        <w:color w:val="auto"/>
      </w:rPr>
    </w:lvl>
    <w:lvl w:ilvl="2" w:tentative="0">
      <w:start w:val="1"/>
      <w:numFmt w:val="decimal"/>
      <w:lvlText w:val="（%3）"/>
      <w:lvlJc w:val="left"/>
      <w:pPr>
        <w:tabs>
          <w:tab w:val="left" w:pos="2160"/>
        </w:tabs>
        <w:ind w:left="2160" w:hanging="13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322"/>
        </w:tabs>
        <w:ind w:left="1322" w:hanging="360"/>
      </w:pPr>
      <w:rPr>
        <w:rFonts w:hint="default"/>
      </w:rPr>
    </w:lvl>
    <w:lvl w:ilvl="2" w:tentative="0">
      <w:start w:val="1"/>
      <w:numFmt w:val="lowerRoman"/>
      <w:lvlText w:val="%3."/>
      <w:lvlJc w:val="right"/>
      <w:pPr>
        <w:tabs>
          <w:tab w:val="left" w:pos="1802"/>
        </w:tabs>
        <w:ind w:left="1802" w:hanging="420"/>
      </w:pPr>
    </w:lvl>
    <w:lvl w:ilvl="3" w:tentative="0">
      <w:start w:val="1"/>
      <w:numFmt w:val="decimal"/>
      <w:lvlText w:val="%4."/>
      <w:lvlJc w:val="left"/>
      <w:pPr>
        <w:tabs>
          <w:tab w:val="left" w:pos="2222"/>
        </w:tabs>
        <w:ind w:left="2222" w:hanging="420"/>
      </w:pPr>
    </w:lvl>
    <w:lvl w:ilvl="4" w:tentative="0">
      <w:start w:val="1"/>
      <w:numFmt w:val="lowerLetter"/>
      <w:lvlText w:val="%5)"/>
      <w:lvlJc w:val="left"/>
      <w:pPr>
        <w:tabs>
          <w:tab w:val="left" w:pos="2642"/>
        </w:tabs>
        <w:ind w:left="2642" w:hanging="420"/>
      </w:pPr>
    </w:lvl>
    <w:lvl w:ilvl="5" w:tentative="0">
      <w:start w:val="1"/>
      <w:numFmt w:val="lowerRoman"/>
      <w:lvlText w:val="%6."/>
      <w:lvlJc w:val="right"/>
      <w:pPr>
        <w:tabs>
          <w:tab w:val="left" w:pos="3062"/>
        </w:tabs>
        <w:ind w:left="3062" w:hanging="420"/>
      </w:pPr>
    </w:lvl>
    <w:lvl w:ilvl="6" w:tentative="0">
      <w:start w:val="1"/>
      <w:numFmt w:val="decimal"/>
      <w:lvlText w:val="%7."/>
      <w:lvlJc w:val="left"/>
      <w:pPr>
        <w:tabs>
          <w:tab w:val="left" w:pos="3482"/>
        </w:tabs>
        <w:ind w:left="3482" w:hanging="420"/>
      </w:pPr>
    </w:lvl>
    <w:lvl w:ilvl="7" w:tentative="0">
      <w:start w:val="1"/>
      <w:numFmt w:val="lowerLetter"/>
      <w:lvlText w:val="%8)"/>
      <w:lvlJc w:val="left"/>
      <w:pPr>
        <w:tabs>
          <w:tab w:val="left" w:pos="3902"/>
        </w:tabs>
        <w:ind w:left="3902" w:hanging="420"/>
      </w:pPr>
    </w:lvl>
    <w:lvl w:ilvl="8" w:tentative="0">
      <w:start w:val="1"/>
      <w:numFmt w:val="lowerRoman"/>
      <w:lvlText w:val="%9."/>
      <w:lvlJc w:val="right"/>
      <w:pPr>
        <w:tabs>
          <w:tab w:val="left" w:pos="4322"/>
        </w:tabs>
        <w:ind w:left="4322" w:hanging="420"/>
      </w:pPr>
    </w:lvl>
  </w:abstractNum>
  <w:abstractNum w:abstractNumId="6">
    <w:nsid w:val="00000015"/>
    <w:multiLevelType w:val="multilevel"/>
    <w:tmpl w:val="00000015"/>
    <w:lvl w:ilvl="0" w:tentative="0">
      <w:start w:val="1"/>
      <w:numFmt w:val="lowerLetter"/>
      <w:lvlText w:val="%1)"/>
      <w:lvlJc w:val="left"/>
      <w:pPr>
        <w:tabs>
          <w:tab w:val="left" w:pos="795"/>
        </w:tabs>
        <w:ind w:left="795" w:hanging="360"/>
      </w:pPr>
      <w:rPr>
        <w:rFonts w:hint="eastAsia"/>
      </w:rPr>
    </w:lvl>
    <w:lvl w:ilvl="1" w:tentative="0">
      <w:start w:val="1"/>
      <w:numFmt w:val="lowerLetter"/>
      <w:lvlText w:val="%2）"/>
      <w:lvlJc w:val="left"/>
      <w:pPr>
        <w:tabs>
          <w:tab w:val="left" w:pos="1215"/>
        </w:tabs>
        <w:ind w:left="1215" w:hanging="36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00000017"/>
    <w:multiLevelType w:val="multilevel"/>
    <w:tmpl w:val="00000017"/>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9"/>
    <w:multiLevelType w:val="multilevel"/>
    <w:tmpl w:val="00000019"/>
    <w:lvl w:ilvl="0" w:tentative="0">
      <w:start w:val="1"/>
      <w:numFmt w:val="lowerLetter"/>
      <w:lvlText w:val="%1)"/>
      <w:lvlJc w:val="left"/>
      <w:pPr>
        <w:tabs>
          <w:tab w:val="left" w:pos="600"/>
        </w:tabs>
        <w:ind w:left="600" w:hanging="360"/>
      </w:pPr>
      <w:rPr>
        <w:rFonts w:hint="eastAsia"/>
      </w:rPr>
    </w:lvl>
    <w:lvl w:ilvl="1" w:tentative="0">
      <w:start w:val="1"/>
      <w:numFmt w:val="lowerLetter"/>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9">
    <w:nsid w:val="0000001C"/>
    <w:multiLevelType w:val="multilevel"/>
    <w:tmpl w:val="0000001C"/>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D"/>
    <w:multiLevelType w:val="multilevel"/>
    <w:tmpl w:val="0000001D"/>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20"/>
    <w:multiLevelType w:val="multilevel"/>
    <w:tmpl w:val="00000020"/>
    <w:lvl w:ilvl="0" w:tentative="0">
      <w:start w:val="1"/>
      <w:numFmt w:val="lowerLetter"/>
      <w:lvlText w:val="%1)"/>
      <w:lvlJc w:val="left"/>
      <w:pPr>
        <w:tabs>
          <w:tab w:val="left" w:pos="786"/>
        </w:tabs>
        <w:ind w:left="786" w:hanging="36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2">
    <w:nsid w:val="00000024"/>
    <w:multiLevelType w:val="multilevel"/>
    <w:tmpl w:val="00000024"/>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29"/>
    <w:multiLevelType w:val="multilevel"/>
    <w:tmpl w:val="00000029"/>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00000030"/>
    <w:multiLevelType w:val="multilevel"/>
    <w:tmpl w:val="00000030"/>
    <w:lvl w:ilvl="0" w:tentative="0">
      <w:start w:val="1"/>
      <w:numFmt w:val="lowerLetter"/>
      <w:lvlText w:val="%1)"/>
      <w:lvlJc w:val="left"/>
      <w:pPr>
        <w:tabs>
          <w:tab w:val="left" w:pos="1200"/>
        </w:tabs>
        <w:ind w:left="120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31"/>
    <w:multiLevelType w:val="multilevel"/>
    <w:tmpl w:val="00000031"/>
    <w:lvl w:ilvl="0" w:tentative="0">
      <w:start w:val="1"/>
      <w:numFmt w:val="lowerLetter"/>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00000037"/>
    <w:multiLevelType w:val="multilevel"/>
    <w:tmpl w:val="00000037"/>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00000039"/>
    <w:multiLevelType w:val="multilevel"/>
    <w:tmpl w:val="00000039"/>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3B"/>
    <w:multiLevelType w:val="multilevel"/>
    <w:tmpl w:val="0000003B"/>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27333BF"/>
    <w:multiLevelType w:val="singleLevel"/>
    <w:tmpl w:val="027333BF"/>
    <w:lvl w:ilvl="0" w:tentative="0">
      <w:start w:val="1"/>
      <w:numFmt w:val="lowerLetter"/>
      <w:lvlText w:val="%1）"/>
      <w:lvlJc w:val="left"/>
      <w:pPr>
        <w:tabs>
          <w:tab w:val="left" w:pos="840"/>
        </w:tabs>
        <w:ind w:left="0" w:firstLine="480"/>
      </w:pPr>
      <w:rPr>
        <w:rFonts w:hint="eastAsia"/>
      </w:rPr>
    </w:lvl>
  </w:abstractNum>
  <w:abstractNum w:abstractNumId="20">
    <w:nsid w:val="03B55FD1"/>
    <w:multiLevelType w:val="singleLevel"/>
    <w:tmpl w:val="03B55FD1"/>
    <w:lvl w:ilvl="0" w:tentative="0">
      <w:start w:val="1"/>
      <w:numFmt w:val="decimal"/>
      <w:lvlText w:val="%1、"/>
      <w:lvlJc w:val="left"/>
      <w:pPr>
        <w:tabs>
          <w:tab w:val="left" w:pos="360"/>
        </w:tabs>
        <w:ind w:left="360" w:hanging="360"/>
      </w:pPr>
      <w:rPr>
        <w:rFonts w:hint="eastAsia"/>
      </w:rPr>
    </w:lvl>
  </w:abstractNum>
  <w:abstractNum w:abstractNumId="21">
    <w:nsid w:val="0E590D13"/>
    <w:multiLevelType w:val="singleLevel"/>
    <w:tmpl w:val="0E590D13"/>
    <w:lvl w:ilvl="0" w:tentative="0">
      <w:start w:val="1"/>
      <w:numFmt w:val="lowerLetter"/>
      <w:lvlText w:val="%1）"/>
      <w:lvlJc w:val="left"/>
      <w:pPr>
        <w:tabs>
          <w:tab w:val="left" w:pos="825"/>
        </w:tabs>
        <w:ind w:left="825" w:hanging="345"/>
      </w:pPr>
      <w:rPr>
        <w:rFonts w:hint="eastAsia"/>
      </w:rPr>
    </w:lvl>
  </w:abstractNum>
  <w:abstractNum w:abstractNumId="22">
    <w:nsid w:val="23C6202D"/>
    <w:multiLevelType w:val="singleLevel"/>
    <w:tmpl w:val="23C6202D"/>
    <w:lvl w:ilvl="0" w:tentative="0">
      <w:start w:val="1"/>
      <w:numFmt w:val="lowerLetter"/>
      <w:lvlText w:val="%1）"/>
      <w:lvlJc w:val="left"/>
      <w:pPr>
        <w:tabs>
          <w:tab w:val="left" w:pos="840"/>
        </w:tabs>
        <w:ind w:left="0" w:firstLine="480"/>
      </w:pPr>
      <w:rPr>
        <w:rFonts w:hint="eastAsia"/>
      </w:rPr>
    </w:lvl>
  </w:abstractNum>
  <w:abstractNum w:abstractNumId="23">
    <w:nsid w:val="2716365B"/>
    <w:multiLevelType w:val="singleLevel"/>
    <w:tmpl w:val="2716365B"/>
    <w:lvl w:ilvl="0" w:tentative="0">
      <w:start w:val="1"/>
      <w:numFmt w:val="lowerLetter"/>
      <w:lvlText w:val="%1）"/>
      <w:lvlJc w:val="left"/>
      <w:pPr>
        <w:tabs>
          <w:tab w:val="left" w:pos="840"/>
        </w:tabs>
        <w:ind w:left="0" w:firstLine="480"/>
      </w:pPr>
      <w:rPr>
        <w:rFonts w:hint="eastAsia"/>
      </w:rPr>
    </w:lvl>
  </w:abstractNum>
  <w:abstractNum w:abstractNumId="24">
    <w:nsid w:val="27825116"/>
    <w:multiLevelType w:val="singleLevel"/>
    <w:tmpl w:val="27825116"/>
    <w:lvl w:ilvl="0" w:tentative="0">
      <w:start w:val="1"/>
      <w:numFmt w:val="lowerLetter"/>
      <w:lvlText w:val="%1）"/>
      <w:lvlJc w:val="left"/>
      <w:pPr>
        <w:tabs>
          <w:tab w:val="left" w:pos="840"/>
        </w:tabs>
        <w:ind w:left="0" w:firstLine="480"/>
      </w:pPr>
      <w:rPr>
        <w:rFonts w:hint="eastAsia"/>
      </w:rPr>
    </w:lvl>
  </w:abstractNum>
  <w:abstractNum w:abstractNumId="25">
    <w:nsid w:val="27BC1970"/>
    <w:multiLevelType w:val="singleLevel"/>
    <w:tmpl w:val="27BC1970"/>
    <w:lvl w:ilvl="0" w:tentative="0">
      <w:start w:val="1"/>
      <w:numFmt w:val="lowerLetter"/>
      <w:lvlText w:val="%1）"/>
      <w:lvlJc w:val="left"/>
      <w:pPr>
        <w:tabs>
          <w:tab w:val="left" w:pos="840"/>
        </w:tabs>
        <w:ind w:left="0" w:firstLine="480"/>
      </w:pPr>
      <w:rPr>
        <w:rFonts w:hint="eastAsia"/>
      </w:rPr>
    </w:lvl>
  </w:abstractNum>
  <w:abstractNum w:abstractNumId="26">
    <w:nsid w:val="27D0234D"/>
    <w:multiLevelType w:val="singleLevel"/>
    <w:tmpl w:val="27D0234D"/>
    <w:lvl w:ilvl="0" w:tentative="0">
      <w:start w:val="1"/>
      <w:numFmt w:val="lowerLetter"/>
      <w:lvlText w:val="%1）"/>
      <w:lvlJc w:val="left"/>
      <w:pPr>
        <w:tabs>
          <w:tab w:val="left" w:pos="810"/>
        </w:tabs>
        <w:ind w:left="810" w:hanging="330"/>
      </w:pPr>
      <w:rPr>
        <w:rFonts w:hint="eastAsia"/>
      </w:rPr>
    </w:lvl>
  </w:abstractNum>
  <w:abstractNum w:abstractNumId="27">
    <w:nsid w:val="2B521801"/>
    <w:multiLevelType w:val="singleLevel"/>
    <w:tmpl w:val="2B521801"/>
    <w:lvl w:ilvl="0" w:tentative="0">
      <w:start w:val="1"/>
      <w:numFmt w:val="lowerLetter"/>
      <w:lvlText w:val="%1）"/>
      <w:lvlJc w:val="left"/>
      <w:pPr>
        <w:tabs>
          <w:tab w:val="left" w:pos="825"/>
        </w:tabs>
        <w:ind w:left="825" w:hanging="345"/>
      </w:pPr>
      <w:rPr>
        <w:rFonts w:hint="eastAsia"/>
      </w:rPr>
    </w:lvl>
  </w:abstractNum>
  <w:abstractNum w:abstractNumId="28">
    <w:nsid w:val="2BE242EE"/>
    <w:multiLevelType w:val="multilevel"/>
    <w:tmpl w:val="2BE242EE"/>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2DC471D2"/>
    <w:multiLevelType w:val="singleLevel"/>
    <w:tmpl w:val="2DC471D2"/>
    <w:lvl w:ilvl="0" w:tentative="0">
      <w:start w:val="1"/>
      <w:numFmt w:val="lowerLetter"/>
      <w:lvlText w:val="%1）"/>
      <w:lvlJc w:val="left"/>
      <w:pPr>
        <w:tabs>
          <w:tab w:val="left" w:pos="840"/>
        </w:tabs>
        <w:ind w:left="825" w:hanging="345"/>
      </w:pPr>
      <w:rPr>
        <w:rFonts w:hint="eastAsia"/>
      </w:rPr>
    </w:lvl>
  </w:abstractNum>
  <w:abstractNum w:abstractNumId="30">
    <w:nsid w:val="379A4621"/>
    <w:multiLevelType w:val="multilevel"/>
    <w:tmpl w:val="379A4621"/>
    <w:lvl w:ilvl="0" w:tentative="0">
      <w:start w:val="4"/>
      <w:numFmt w:val="decimal"/>
      <w:lvlText w:val="%1"/>
      <w:lvlJc w:val="left"/>
      <w:pPr>
        <w:tabs>
          <w:tab w:val="left" w:pos="855"/>
        </w:tabs>
        <w:ind w:left="855" w:hanging="855"/>
      </w:pPr>
      <w:rPr>
        <w:rFonts w:hint="default"/>
      </w:rPr>
    </w:lvl>
    <w:lvl w:ilvl="1" w:tentative="0">
      <w:start w:val="3"/>
      <w:numFmt w:val="decimal"/>
      <w:lvlText w:val="%1.%2"/>
      <w:lvlJc w:val="left"/>
      <w:pPr>
        <w:tabs>
          <w:tab w:val="left" w:pos="855"/>
        </w:tabs>
        <w:ind w:left="855" w:hanging="855"/>
      </w:pPr>
      <w:rPr>
        <w:rFonts w:hint="default"/>
      </w:rPr>
    </w:lvl>
    <w:lvl w:ilvl="2" w:tentative="0">
      <w:start w:val="1"/>
      <w:numFmt w:val="decimal"/>
      <w:lvlText w:val="%1.%2.%3"/>
      <w:lvlJc w:val="left"/>
      <w:pPr>
        <w:tabs>
          <w:tab w:val="left" w:pos="855"/>
        </w:tabs>
        <w:ind w:left="855" w:hanging="855"/>
      </w:pPr>
      <w:rPr>
        <w:rFonts w:hint="default"/>
      </w:rPr>
    </w:lvl>
    <w:lvl w:ilvl="3" w:tentative="0">
      <w:start w:val="1"/>
      <w:numFmt w:val="decimal"/>
      <w:lvlText w:val="%1.%2.%3.%4"/>
      <w:lvlJc w:val="left"/>
      <w:pPr>
        <w:tabs>
          <w:tab w:val="left" w:pos="855"/>
        </w:tabs>
        <w:ind w:left="855" w:hanging="855"/>
      </w:pPr>
      <w:rPr>
        <w:rFonts w:hint="default"/>
      </w:rPr>
    </w:lvl>
    <w:lvl w:ilvl="4" w:tentative="0">
      <w:start w:val="1"/>
      <w:numFmt w:val="decimal"/>
      <w:lvlText w:val="%1.%2.%3.%4.%5"/>
      <w:lvlJc w:val="left"/>
      <w:pPr>
        <w:tabs>
          <w:tab w:val="left" w:pos="855"/>
        </w:tabs>
        <w:ind w:left="855" w:hanging="855"/>
      </w:pPr>
      <w:rPr>
        <w:rFonts w:hint="default"/>
      </w:rPr>
    </w:lvl>
    <w:lvl w:ilvl="5" w:tentative="0">
      <w:start w:val="1"/>
      <w:numFmt w:val="decimal"/>
      <w:lvlText w:val="%1.%2.%3.%4.%5.%6"/>
      <w:lvlJc w:val="left"/>
      <w:pPr>
        <w:tabs>
          <w:tab w:val="left" w:pos="855"/>
        </w:tabs>
        <w:ind w:left="855" w:hanging="855"/>
      </w:pPr>
      <w:rPr>
        <w:rFonts w:hint="default"/>
      </w:rPr>
    </w:lvl>
    <w:lvl w:ilvl="6" w:tentative="0">
      <w:start w:val="1"/>
      <w:numFmt w:val="decimal"/>
      <w:lvlText w:val="%1.%2.%3.%4.%5.%6.%7"/>
      <w:lvlJc w:val="left"/>
      <w:pPr>
        <w:tabs>
          <w:tab w:val="left" w:pos="855"/>
        </w:tabs>
        <w:ind w:left="855" w:hanging="855"/>
      </w:pPr>
      <w:rPr>
        <w:rFonts w:hint="default"/>
      </w:rPr>
    </w:lvl>
    <w:lvl w:ilvl="7" w:tentative="0">
      <w:start w:val="1"/>
      <w:numFmt w:val="decimal"/>
      <w:lvlText w:val="%1.%2.%3.%4.%5.%6.%7.%8"/>
      <w:lvlJc w:val="left"/>
      <w:pPr>
        <w:tabs>
          <w:tab w:val="left" w:pos="855"/>
        </w:tabs>
        <w:ind w:left="855" w:hanging="855"/>
      </w:pPr>
      <w:rPr>
        <w:rFonts w:hint="default"/>
      </w:rPr>
    </w:lvl>
    <w:lvl w:ilvl="8" w:tentative="0">
      <w:start w:val="1"/>
      <w:numFmt w:val="decimal"/>
      <w:lvlText w:val="%1.%2.%3.%4.%5.%6.%7.%8.%9"/>
      <w:lvlJc w:val="left"/>
      <w:pPr>
        <w:tabs>
          <w:tab w:val="left" w:pos="855"/>
        </w:tabs>
        <w:ind w:left="855" w:hanging="855"/>
      </w:pPr>
      <w:rPr>
        <w:rFonts w:hint="default"/>
      </w:rPr>
    </w:lvl>
  </w:abstractNum>
  <w:abstractNum w:abstractNumId="31">
    <w:nsid w:val="3FC53483"/>
    <w:multiLevelType w:val="singleLevel"/>
    <w:tmpl w:val="3FC53483"/>
    <w:lvl w:ilvl="0" w:tentative="0">
      <w:start w:val="1"/>
      <w:numFmt w:val="lowerLetter"/>
      <w:lvlText w:val="%1）"/>
      <w:lvlJc w:val="left"/>
      <w:pPr>
        <w:tabs>
          <w:tab w:val="left" w:pos="840"/>
        </w:tabs>
        <w:ind w:left="825" w:hanging="345"/>
      </w:pPr>
      <w:rPr>
        <w:rFonts w:hint="eastAsia"/>
      </w:rPr>
    </w:lvl>
  </w:abstractNum>
  <w:abstractNum w:abstractNumId="32">
    <w:nsid w:val="480A6CDC"/>
    <w:multiLevelType w:val="singleLevel"/>
    <w:tmpl w:val="480A6CDC"/>
    <w:lvl w:ilvl="0" w:tentative="0">
      <w:start w:val="1"/>
      <w:numFmt w:val="lowerLetter"/>
      <w:lvlText w:val="%1."/>
      <w:lvlJc w:val="left"/>
      <w:pPr>
        <w:tabs>
          <w:tab w:val="left" w:pos="312"/>
        </w:tabs>
        <w:ind w:left="120" w:firstLine="0"/>
      </w:pPr>
    </w:lvl>
  </w:abstractNum>
  <w:abstractNum w:abstractNumId="33">
    <w:nsid w:val="4EFE2F6D"/>
    <w:multiLevelType w:val="singleLevel"/>
    <w:tmpl w:val="4EFE2F6D"/>
    <w:lvl w:ilvl="0" w:tentative="0">
      <w:start w:val="1"/>
      <w:numFmt w:val="lowerLetter"/>
      <w:lvlText w:val="%1）"/>
      <w:lvlJc w:val="left"/>
      <w:pPr>
        <w:tabs>
          <w:tab w:val="left" w:pos="840"/>
        </w:tabs>
        <w:ind w:left="0" w:firstLine="480"/>
      </w:pPr>
      <w:rPr>
        <w:rFonts w:hint="eastAsia"/>
      </w:rPr>
    </w:lvl>
  </w:abstractNum>
  <w:abstractNum w:abstractNumId="34">
    <w:nsid w:val="5DF431EC"/>
    <w:multiLevelType w:val="singleLevel"/>
    <w:tmpl w:val="5DF431EC"/>
    <w:lvl w:ilvl="0" w:tentative="0">
      <w:start w:val="1"/>
      <w:numFmt w:val="decimal"/>
      <w:lvlText w:val="%1、"/>
      <w:lvlJc w:val="left"/>
      <w:pPr>
        <w:tabs>
          <w:tab w:val="left" w:pos="360"/>
        </w:tabs>
        <w:ind w:left="360" w:hanging="360"/>
      </w:pPr>
      <w:rPr>
        <w:rFonts w:hint="eastAsia"/>
      </w:rPr>
    </w:lvl>
  </w:abstractNum>
  <w:abstractNum w:abstractNumId="35">
    <w:nsid w:val="660242A2"/>
    <w:multiLevelType w:val="multilevel"/>
    <w:tmpl w:val="660242A2"/>
    <w:lvl w:ilvl="0" w:tentative="0">
      <w:start w:val="6"/>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6">
    <w:nsid w:val="6CEA2025"/>
    <w:multiLevelType w:val="multilevel"/>
    <w:tmpl w:val="6CEA2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1E1D7E"/>
    <w:multiLevelType w:val="singleLevel"/>
    <w:tmpl w:val="6D1E1D7E"/>
    <w:lvl w:ilvl="0" w:tentative="0">
      <w:start w:val="1"/>
      <w:numFmt w:val="lowerLetter"/>
      <w:suff w:val="nothing"/>
      <w:lvlText w:val="%1．"/>
      <w:lvlJc w:val="left"/>
      <w:pPr>
        <w:ind w:left="480" w:firstLine="0"/>
      </w:pPr>
    </w:lvl>
  </w:abstractNum>
  <w:abstractNum w:abstractNumId="38">
    <w:nsid w:val="703919DB"/>
    <w:multiLevelType w:val="singleLevel"/>
    <w:tmpl w:val="703919DB"/>
    <w:lvl w:ilvl="0" w:tentative="0">
      <w:start w:val="1"/>
      <w:numFmt w:val="lowerLetter"/>
      <w:lvlText w:val="%1）"/>
      <w:lvlJc w:val="left"/>
      <w:pPr>
        <w:tabs>
          <w:tab w:val="left" w:pos="825"/>
        </w:tabs>
        <w:ind w:left="825" w:hanging="345"/>
      </w:pPr>
      <w:rPr>
        <w:rFonts w:hint="eastAsia"/>
      </w:rPr>
    </w:lvl>
  </w:abstractNum>
  <w:abstractNum w:abstractNumId="39">
    <w:nsid w:val="73600207"/>
    <w:multiLevelType w:val="singleLevel"/>
    <w:tmpl w:val="73600207"/>
    <w:lvl w:ilvl="0" w:tentative="0">
      <w:start w:val="1"/>
      <w:numFmt w:val="lowerLetter"/>
      <w:suff w:val="nothing"/>
      <w:lvlText w:val="%1．"/>
      <w:lvlJc w:val="left"/>
    </w:lvl>
  </w:abstractNum>
  <w:abstractNum w:abstractNumId="40">
    <w:nsid w:val="7A211A85"/>
    <w:multiLevelType w:val="singleLevel"/>
    <w:tmpl w:val="7A211A85"/>
    <w:lvl w:ilvl="0" w:tentative="0">
      <w:start w:val="1"/>
      <w:numFmt w:val="decimal"/>
      <w:pStyle w:val="86"/>
      <w:lvlText w:val="%1、"/>
      <w:lvlJc w:val="left"/>
      <w:pPr>
        <w:tabs>
          <w:tab w:val="left" w:pos="315"/>
        </w:tabs>
        <w:ind w:left="315" w:hanging="315"/>
      </w:pPr>
      <w:rPr>
        <w:rFonts w:hint="eastAsia"/>
      </w:rPr>
    </w:lvl>
  </w:abstractNum>
  <w:abstractNum w:abstractNumId="41">
    <w:nsid w:val="7B815553"/>
    <w:multiLevelType w:val="multilevel"/>
    <w:tmpl w:val="7B8155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EC3530A"/>
    <w:multiLevelType w:val="singleLevel"/>
    <w:tmpl w:val="7EC3530A"/>
    <w:lvl w:ilvl="0" w:tentative="0">
      <w:start w:val="1"/>
      <w:numFmt w:val="lowerLetter"/>
      <w:lvlText w:val="%1）"/>
      <w:lvlJc w:val="left"/>
      <w:pPr>
        <w:tabs>
          <w:tab w:val="left" w:pos="825"/>
        </w:tabs>
        <w:ind w:left="825" w:hanging="345"/>
      </w:pPr>
      <w:rPr>
        <w:rFonts w:hint="eastAsia"/>
      </w:rPr>
    </w:lvl>
  </w:abstractNum>
  <w:num w:numId="1">
    <w:abstractNumId w:val="36"/>
  </w:num>
  <w:num w:numId="2">
    <w:abstractNumId w:val="40"/>
  </w:num>
  <w:num w:numId="3">
    <w:abstractNumId w:val="41"/>
  </w:num>
  <w:num w:numId="4">
    <w:abstractNumId w:val="26"/>
  </w:num>
  <w:num w:numId="5">
    <w:abstractNumId w:val="42"/>
  </w:num>
  <w:num w:numId="6">
    <w:abstractNumId w:val="27"/>
  </w:num>
  <w:num w:numId="7">
    <w:abstractNumId w:val="38"/>
  </w:num>
  <w:num w:numId="8">
    <w:abstractNumId w:val="29"/>
  </w:num>
  <w:num w:numId="9">
    <w:abstractNumId w:val="31"/>
  </w:num>
  <w:num w:numId="10">
    <w:abstractNumId w:val="24"/>
  </w:num>
  <w:num w:numId="11">
    <w:abstractNumId w:val="20"/>
  </w:num>
  <w:num w:numId="12">
    <w:abstractNumId w:val="21"/>
  </w:num>
  <w:num w:numId="13">
    <w:abstractNumId w:val="34"/>
  </w:num>
  <w:num w:numId="14">
    <w:abstractNumId w:val="33"/>
  </w:num>
  <w:num w:numId="15">
    <w:abstractNumId w:val="23"/>
  </w:num>
  <w:num w:numId="16">
    <w:abstractNumId w:val="19"/>
  </w:num>
  <w:num w:numId="17">
    <w:abstractNumId w:val="25"/>
  </w:num>
  <w:num w:numId="18">
    <w:abstractNumId w:val="22"/>
  </w:num>
  <w:num w:numId="19">
    <w:abstractNumId w:val="10"/>
  </w:num>
  <w:num w:numId="20">
    <w:abstractNumId w:val="14"/>
  </w:num>
  <w:num w:numId="21">
    <w:abstractNumId w:val="13"/>
  </w:num>
  <w:num w:numId="22">
    <w:abstractNumId w:val="18"/>
  </w:num>
  <w:num w:numId="23">
    <w:abstractNumId w:val="9"/>
  </w:num>
  <w:num w:numId="24">
    <w:abstractNumId w:val="16"/>
  </w:num>
  <w:num w:numId="25">
    <w:abstractNumId w:val="30"/>
  </w:num>
  <w:num w:numId="26">
    <w:abstractNumId w:val="6"/>
  </w:num>
  <w:num w:numId="27">
    <w:abstractNumId w:val="8"/>
  </w:num>
  <w:num w:numId="28">
    <w:abstractNumId w:val="4"/>
  </w:num>
  <w:num w:numId="29">
    <w:abstractNumId w:val="17"/>
  </w:num>
  <w:num w:numId="30">
    <w:abstractNumId w:val="5"/>
  </w:num>
  <w:num w:numId="31">
    <w:abstractNumId w:val="2"/>
  </w:num>
  <w:num w:numId="32">
    <w:abstractNumId w:val="11"/>
  </w:num>
  <w:num w:numId="33">
    <w:abstractNumId w:val="12"/>
  </w:num>
  <w:num w:numId="34">
    <w:abstractNumId w:val="3"/>
  </w:num>
  <w:num w:numId="35">
    <w:abstractNumId w:val="39"/>
  </w:num>
  <w:num w:numId="36">
    <w:abstractNumId w:val="15"/>
  </w:num>
  <w:num w:numId="37">
    <w:abstractNumId w:val="7"/>
  </w:num>
  <w:num w:numId="38">
    <w:abstractNumId w:val="37"/>
  </w:num>
  <w:num w:numId="39">
    <w:abstractNumId w:val="32"/>
  </w:num>
  <w:num w:numId="40">
    <w:abstractNumId w:val="1"/>
  </w:num>
  <w:num w:numId="41">
    <w:abstractNumId w:val="0"/>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YmJhZDhmYTBlMDVmNzFlYzU4M2NmODYxNzQyNWMifQ=="/>
  </w:docVars>
  <w:rsids>
    <w:rsidRoot w:val="00BA4A04"/>
    <w:rsid w:val="00027357"/>
    <w:rsid w:val="000637ED"/>
    <w:rsid w:val="000876CD"/>
    <w:rsid w:val="000A5713"/>
    <w:rsid w:val="000E0420"/>
    <w:rsid w:val="000E749D"/>
    <w:rsid w:val="000F2960"/>
    <w:rsid w:val="000F3CC8"/>
    <w:rsid w:val="00112DF9"/>
    <w:rsid w:val="00127FD6"/>
    <w:rsid w:val="00152C7D"/>
    <w:rsid w:val="00157DA8"/>
    <w:rsid w:val="00172ACE"/>
    <w:rsid w:val="00184223"/>
    <w:rsid w:val="001B4577"/>
    <w:rsid w:val="001D0228"/>
    <w:rsid w:val="00203AB7"/>
    <w:rsid w:val="0021025A"/>
    <w:rsid w:val="00220276"/>
    <w:rsid w:val="00242833"/>
    <w:rsid w:val="00291E0E"/>
    <w:rsid w:val="002956A0"/>
    <w:rsid w:val="002C6CFF"/>
    <w:rsid w:val="002F174E"/>
    <w:rsid w:val="002F18B9"/>
    <w:rsid w:val="00356206"/>
    <w:rsid w:val="00370E1F"/>
    <w:rsid w:val="003B1DD6"/>
    <w:rsid w:val="003E50D2"/>
    <w:rsid w:val="003E6D83"/>
    <w:rsid w:val="003E7679"/>
    <w:rsid w:val="003F4966"/>
    <w:rsid w:val="00414EE7"/>
    <w:rsid w:val="004179AA"/>
    <w:rsid w:val="00426F9D"/>
    <w:rsid w:val="00442853"/>
    <w:rsid w:val="004579F6"/>
    <w:rsid w:val="00462356"/>
    <w:rsid w:val="00470B13"/>
    <w:rsid w:val="00483F12"/>
    <w:rsid w:val="00490F4F"/>
    <w:rsid w:val="00491236"/>
    <w:rsid w:val="004A3092"/>
    <w:rsid w:val="00527BA4"/>
    <w:rsid w:val="005304E3"/>
    <w:rsid w:val="00533F58"/>
    <w:rsid w:val="005361D8"/>
    <w:rsid w:val="00540C1A"/>
    <w:rsid w:val="00544711"/>
    <w:rsid w:val="0055253A"/>
    <w:rsid w:val="00561C87"/>
    <w:rsid w:val="00577012"/>
    <w:rsid w:val="00585603"/>
    <w:rsid w:val="005907AA"/>
    <w:rsid w:val="005B272B"/>
    <w:rsid w:val="005D6E01"/>
    <w:rsid w:val="00617B4E"/>
    <w:rsid w:val="00643BEF"/>
    <w:rsid w:val="00666C27"/>
    <w:rsid w:val="006B394F"/>
    <w:rsid w:val="006B7C34"/>
    <w:rsid w:val="006C032D"/>
    <w:rsid w:val="006F3206"/>
    <w:rsid w:val="006F32FF"/>
    <w:rsid w:val="00755F1C"/>
    <w:rsid w:val="00772AB3"/>
    <w:rsid w:val="007B23BD"/>
    <w:rsid w:val="007B662A"/>
    <w:rsid w:val="007C5B06"/>
    <w:rsid w:val="007C7882"/>
    <w:rsid w:val="007D2576"/>
    <w:rsid w:val="00805E69"/>
    <w:rsid w:val="00806CDE"/>
    <w:rsid w:val="00823025"/>
    <w:rsid w:val="0083160D"/>
    <w:rsid w:val="00831B58"/>
    <w:rsid w:val="00844BAC"/>
    <w:rsid w:val="008476BB"/>
    <w:rsid w:val="00853331"/>
    <w:rsid w:val="00865207"/>
    <w:rsid w:val="00890E1B"/>
    <w:rsid w:val="008A7906"/>
    <w:rsid w:val="008B1385"/>
    <w:rsid w:val="008D27C6"/>
    <w:rsid w:val="008D3ABB"/>
    <w:rsid w:val="008E29B7"/>
    <w:rsid w:val="008E63DD"/>
    <w:rsid w:val="008F1DA5"/>
    <w:rsid w:val="00902E6C"/>
    <w:rsid w:val="00934BDC"/>
    <w:rsid w:val="00963A66"/>
    <w:rsid w:val="00967C5D"/>
    <w:rsid w:val="00992614"/>
    <w:rsid w:val="00993771"/>
    <w:rsid w:val="009A70D7"/>
    <w:rsid w:val="009B2F49"/>
    <w:rsid w:val="009D08BA"/>
    <w:rsid w:val="009F364F"/>
    <w:rsid w:val="00A0447E"/>
    <w:rsid w:val="00A264CE"/>
    <w:rsid w:val="00A354CD"/>
    <w:rsid w:val="00A40DE9"/>
    <w:rsid w:val="00A45CF2"/>
    <w:rsid w:val="00A76CCE"/>
    <w:rsid w:val="00A8778D"/>
    <w:rsid w:val="00A91811"/>
    <w:rsid w:val="00A97772"/>
    <w:rsid w:val="00AA46A1"/>
    <w:rsid w:val="00AB1ED1"/>
    <w:rsid w:val="00B006D9"/>
    <w:rsid w:val="00B04CC6"/>
    <w:rsid w:val="00B05CAD"/>
    <w:rsid w:val="00B1380C"/>
    <w:rsid w:val="00B46C11"/>
    <w:rsid w:val="00B5361A"/>
    <w:rsid w:val="00B60A40"/>
    <w:rsid w:val="00B61141"/>
    <w:rsid w:val="00B72190"/>
    <w:rsid w:val="00B72444"/>
    <w:rsid w:val="00B86FB7"/>
    <w:rsid w:val="00B90601"/>
    <w:rsid w:val="00B91AAA"/>
    <w:rsid w:val="00B92410"/>
    <w:rsid w:val="00B967B6"/>
    <w:rsid w:val="00BA14B9"/>
    <w:rsid w:val="00BA4A04"/>
    <w:rsid w:val="00BA58D3"/>
    <w:rsid w:val="00BC04D7"/>
    <w:rsid w:val="00BC1EA1"/>
    <w:rsid w:val="00BC4462"/>
    <w:rsid w:val="00BE1797"/>
    <w:rsid w:val="00BE6625"/>
    <w:rsid w:val="00C003E4"/>
    <w:rsid w:val="00C012EC"/>
    <w:rsid w:val="00C07A50"/>
    <w:rsid w:val="00C14C8F"/>
    <w:rsid w:val="00C2114C"/>
    <w:rsid w:val="00C315E7"/>
    <w:rsid w:val="00C4211A"/>
    <w:rsid w:val="00C568DC"/>
    <w:rsid w:val="00C672D0"/>
    <w:rsid w:val="00C80AF9"/>
    <w:rsid w:val="00C909FB"/>
    <w:rsid w:val="00C937F4"/>
    <w:rsid w:val="00CC2077"/>
    <w:rsid w:val="00CC2B68"/>
    <w:rsid w:val="00CE0593"/>
    <w:rsid w:val="00CE1CA3"/>
    <w:rsid w:val="00CF24AC"/>
    <w:rsid w:val="00CF62A0"/>
    <w:rsid w:val="00D03F2D"/>
    <w:rsid w:val="00D11526"/>
    <w:rsid w:val="00D12E71"/>
    <w:rsid w:val="00D24FDC"/>
    <w:rsid w:val="00D25136"/>
    <w:rsid w:val="00D31660"/>
    <w:rsid w:val="00D531D5"/>
    <w:rsid w:val="00D545B7"/>
    <w:rsid w:val="00D61313"/>
    <w:rsid w:val="00D70CFD"/>
    <w:rsid w:val="00D90672"/>
    <w:rsid w:val="00DA0939"/>
    <w:rsid w:val="00DA47F0"/>
    <w:rsid w:val="00DC616E"/>
    <w:rsid w:val="00DD35C1"/>
    <w:rsid w:val="00DD5C13"/>
    <w:rsid w:val="00DE2712"/>
    <w:rsid w:val="00DE56B0"/>
    <w:rsid w:val="00DE5F12"/>
    <w:rsid w:val="00DE793E"/>
    <w:rsid w:val="00E156E7"/>
    <w:rsid w:val="00E15A27"/>
    <w:rsid w:val="00E30914"/>
    <w:rsid w:val="00E554F7"/>
    <w:rsid w:val="00E55776"/>
    <w:rsid w:val="00EA0D41"/>
    <w:rsid w:val="00EA1C31"/>
    <w:rsid w:val="00EB0C8E"/>
    <w:rsid w:val="00EC0CAC"/>
    <w:rsid w:val="00EC5A4A"/>
    <w:rsid w:val="00ED3B94"/>
    <w:rsid w:val="00ED7157"/>
    <w:rsid w:val="00EE4A72"/>
    <w:rsid w:val="00EF0430"/>
    <w:rsid w:val="00EF1F01"/>
    <w:rsid w:val="00F20BDD"/>
    <w:rsid w:val="00F876A7"/>
    <w:rsid w:val="00FB7AD9"/>
    <w:rsid w:val="00FC65CC"/>
    <w:rsid w:val="00FE047E"/>
    <w:rsid w:val="031D2B14"/>
    <w:rsid w:val="0AF942AD"/>
    <w:rsid w:val="125E6D19"/>
    <w:rsid w:val="173E585E"/>
    <w:rsid w:val="20221CAB"/>
    <w:rsid w:val="20A90F29"/>
    <w:rsid w:val="28004557"/>
    <w:rsid w:val="2DC36E11"/>
    <w:rsid w:val="2EBC7CEE"/>
    <w:rsid w:val="34BF3490"/>
    <w:rsid w:val="37205085"/>
    <w:rsid w:val="393114CF"/>
    <w:rsid w:val="467336B0"/>
    <w:rsid w:val="467C2167"/>
    <w:rsid w:val="4A31213E"/>
    <w:rsid w:val="4F935ABF"/>
    <w:rsid w:val="599C448B"/>
    <w:rsid w:val="63BC5929"/>
    <w:rsid w:val="71F4026C"/>
    <w:rsid w:val="74521720"/>
    <w:rsid w:val="7BD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宋体"/>
      <w:b/>
      <w:bCs/>
      <w:sz w:val="32"/>
      <w:szCs w:val="32"/>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6">
    <w:name w:val="heading 7"/>
    <w:basedOn w:val="1"/>
    <w:next w:val="1"/>
    <w:qFormat/>
    <w:uiPriority w:val="0"/>
    <w:pPr>
      <w:keepNext/>
      <w:keepLines/>
      <w:spacing w:before="240" w:after="64" w:line="320" w:lineRule="auto"/>
      <w:outlineLvl w:val="6"/>
    </w:pPr>
    <w:rPr>
      <w:b/>
      <w:bCs/>
      <w:sz w:val="24"/>
    </w:rPr>
  </w:style>
  <w:style w:type="paragraph" w:styleId="7">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8">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qFormat/>
    <w:uiPriority w:val="0"/>
    <w:pPr>
      <w:ind w:left="1050"/>
      <w:jc w:val="left"/>
    </w:pPr>
  </w:style>
  <w:style w:type="paragraph" w:styleId="10">
    <w:name w:val="table of authorities"/>
    <w:basedOn w:val="1"/>
    <w:next w:val="1"/>
    <w:semiHidden/>
    <w:qFormat/>
    <w:uiPriority w:val="0"/>
    <w:pPr>
      <w:ind w:left="420" w:leftChars="200"/>
    </w:pPr>
  </w:style>
  <w:style w:type="paragraph" w:styleId="11">
    <w:name w:val="index 8"/>
    <w:basedOn w:val="1"/>
    <w:next w:val="1"/>
    <w:semiHidden/>
    <w:qFormat/>
    <w:uiPriority w:val="0"/>
    <w:pPr>
      <w:ind w:left="1680" w:hanging="210"/>
      <w:jc w:val="left"/>
    </w:pPr>
  </w:style>
  <w:style w:type="paragraph" w:styleId="12">
    <w:name w:val="index 5"/>
    <w:basedOn w:val="1"/>
    <w:next w:val="1"/>
    <w:semiHidden/>
    <w:qFormat/>
    <w:uiPriority w:val="0"/>
    <w:pPr>
      <w:ind w:left="1050" w:hanging="210"/>
      <w:jc w:val="left"/>
    </w:pPr>
  </w:style>
  <w:style w:type="paragraph" w:styleId="13">
    <w:name w:val="toa heading"/>
    <w:basedOn w:val="1"/>
    <w:next w:val="1"/>
    <w:semiHidden/>
    <w:qFormat/>
    <w:uiPriority w:val="0"/>
    <w:pPr>
      <w:spacing w:before="120"/>
    </w:pPr>
    <w:rPr>
      <w:rFonts w:ascii="Arial" w:hAnsi="Arial" w:cs="Arial"/>
      <w:sz w:val="24"/>
    </w:rPr>
  </w:style>
  <w:style w:type="paragraph" w:styleId="14">
    <w:name w:val="annotation text"/>
    <w:basedOn w:val="1"/>
    <w:semiHidden/>
    <w:qFormat/>
    <w:uiPriority w:val="0"/>
    <w:pPr>
      <w:jc w:val="left"/>
    </w:pPr>
  </w:style>
  <w:style w:type="paragraph" w:styleId="15">
    <w:name w:val="index 6"/>
    <w:basedOn w:val="1"/>
    <w:next w:val="1"/>
    <w:semiHidden/>
    <w:qFormat/>
    <w:uiPriority w:val="0"/>
    <w:pPr>
      <w:ind w:left="1260" w:hanging="210"/>
      <w:jc w:val="left"/>
    </w:pPr>
  </w:style>
  <w:style w:type="paragraph" w:styleId="16">
    <w:name w:val="Salutation"/>
    <w:basedOn w:val="1"/>
    <w:next w:val="1"/>
    <w:qFormat/>
    <w:uiPriority w:val="0"/>
    <w:rPr>
      <w:sz w:val="24"/>
    </w:rPr>
  </w:style>
  <w:style w:type="paragraph" w:styleId="17">
    <w:name w:val="Body Text 3"/>
    <w:basedOn w:val="1"/>
    <w:qFormat/>
    <w:uiPriority w:val="0"/>
    <w:rPr>
      <w:color w:val="FF0000"/>
    </w:rPr>
  </w:style>
  <w:style w:type="paragraph" w:styleId="18">
    <w:name w:val="Body Text"/>
    <w:basedOn w:val="1"/>
    <w:qFormat/>
    <w:uiPriority w:val="0"/>
    <w:pPr>
      <w:spacing w:after="120"/>
    </w:pPr>
  </w:style>
  <w:style w:type="paragraph" w:styleId="19">
    <w:name w:val="Body Text Indent"/>
    <w:basedOn w:val="1"/>
    <w:qFormat/>
    <w:uiPriority w:val="0"/>
    <w:pPr>
      <w:spacing w:line="360" w:lineRule="auto"/>
      <w:ind w:firstLine="576" w:firstLineChars="240"/>
    </w:pPr>
    <w:rPr>
      <w:sz w:val="24"/>
    </w:rPr>
  </w:style>
  <w:style w:type="paragraph" w:styleId="20">
    <w:name w:val="index 4"/>
    <w:basedOn w:val="1"/>
    <w:next w:val="1"/>
    <w:semiHidden/>
    <w:qFormat/>
    <w:uiPriority w:val="0"/>
    <w:pPr>
      <w:ind w:left="840" w:hanging="210"/>
      <w:jc w:val="left"/>
    </w:pPr>
  </w:style>
  <w:style w:type="paragraph" w:styleId="21">
    <w:name w:val="toc 5"/>
    <w:basedOn w:val="1"/>
    <w:next w:val="1"/>
    <w:semiHidden/>
    <w:qFormat/>
    <w:uiPriority w:val="0"/>
    <w:pPr>
      <w:ind w:left="630"/>
      <w:jc w:val="left"/>
    </w:pPr>
  </w:style>
  <w:style w:type="paragraph" w:styleId="22">
    <w:name w:val="toc 3"/>
    <w:basedOn w:val="1"/>
    <w:next w:val="1"/>
    <w:semiHidden/>
    <w:qFormat/>
    <w:uiPriority w:val="0"/>
    <w:pPr>
      <w:ind w:left="210"/>
      <w:jc w:val="left"/>
    </w:pPr>
  </w:style>
  <w:style w:type="paragraph" w:styleId="23">
    <w:name w:val="Plain Text"/>
    <w:basedOn w:val="1"/>
    <w:qFormat/>
    <w:uiPriority w:val="0"/>
    <w:rPr>
      <w:rFonts w:ascii="宋体" w:hAnsi="Courier New" w:cs="Courier New"/>
      <w:szCs w:val="21"/>
    </w:rPr>
  </w:style>
  <w:style w:type="paragraph" w:styleId="24">
    <w:name w:val="toc 8"/>
    <w:basedOn w:val="1"/>
    <w:next w:val="1"/>
    <w:semiHidden/>
    <w:qFormat/>
    <w:uiPriority w:val="0"/>
    <w:pPr>
      <w:ind w:left="1260"/>
      <w:jc w:val="left"/>
    </w:pPr>
  </w:style>
  <w:style w:type="paragraph" w:styleId="25">
    <w:name w:val="index 3"/>
    <w:basedOn w:val="1"/>
    <w:next w:val="1"/>
    <w:semiHidden/>
    <w:qFormat/>
    <w:uiPriority w:val="0"/>
    <w:pPr>
      <w:ind w:left="630" w:hanging="210"/>
      <w:jc w:val="left"/>
    </w:pPr>
  </w:style>
  <w:style w:type="paragraph" w:styleId="26">
    <w:name w:val="Date"/>
    <w:basedOn w:val="1"/>
    <w:next w:val="1"/>
    <w:qFormat/>
    <w:uiPriority w:val="0"/>
    <w:pPr>
      <w:snapToGrid w:val="0"/>
      <w:spacing w:after="60" w:line="360" w:lineRule="auto"/>
    </w:pPr>
    <w:rPr>
      <w:sz w:val="24"/>
      <w:szCs w:val="20"/>
    </w:rPr>
  </w:style>
  <w:style w:type="paragraph" w:styleId="27">
    <w:name w:val="Body Text Indent 2"/>
    <w:basedOn w:val="1"/>
    <w:qFormat/>
    <w:uiPriority w:val="0"/>
    <w:pPr>
      <w:autoSpaceDE w:val="0"/>
      <w:autoSpaceDN w:val="0"/>
      <w:spacing w:line="360" w:lineRule="auto"/>
      <w:ind w:firstLine="480" w:firstLineChars="200"/>
      <w:textAlignment w:val="bottom"/>
    </w:pPr>
    <w:rPr>
      <w:rFonts w:hAnsi="³¤³Ç·ÂËÎ"/>
      <w:sz w:val="24"/>
    </w:rPr>
  </w:style>
  <w:style w:type="paragraph" w:styleId="28">
    <w:name w:val="Balloon Text"/>
    <w:basedOn w:val="1"/>
    <w:semiHidden/>
    <w:qFormat/>
    <w:uiPriority w:val="0"/>
    <w:rPr>
      <w:sz w:val="18"/>
      <w:szCs w:val="18"/>
    </w:rPr>
  </w:style>
  <w:style w:type="paragraph" w:styleId="29">
    <w:name w:val="footer"/>
    <w:basedOn w:val="1"/>
    <w:link w:val="107"/>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2"/>
      </w:pBdr>
      <w:tabs>
        <w:tab w:val="center" w:pos="4153"/>
        <w:tab w:val="right" w:pos="8306"/>
      </w:tabs>
      <w:snapToGrid w:val="0"/>
      <w:jc w:val="center"/>
    </w:pPr>
    <w:rPr>
      <w:sz w:val="18"/>
      <w:szCs w:val="18"/>
    </w:rPr>
  </w:style>
  <w:style w:type="paragraph" w:styleId="31">
    <w:name w:val="toc 1"/>
    <w:basedOn w:val="10"/>
    <w:next w:val="10"/>
    <w:semiHidden/>
    <w:qFormat/>
    <w:uiPriority w:val="0"/>
    <w:pPr>
      <w:spacing w:line="240" w:lineRule="atLeast"/>
      <w:ind w:left="0" w:leftChars="0"/>
      <w:jc w:val="center"/>
    </w:pPr>
    <w:rPr>
      <w:rFonts w:ascii="宋体" w:hAnsi="宋体"/>
      <w:szCs w:val="32"/>
    </w:rPr>
  </w:style>
  <w:style w:type="paragraph" w:styleId="32">
    <w:name w:val="toc 4"/>
    <w:basedOn w:val="1"/>
    <w:next w:val="1"/>
    <w:semiHidden/>
    <w:qFormat/>
    <w:uiPriority w:val="0"/>
    <w:pPr>
      <w:ind w:left="420"/>
      <w:jc w:val="left"/>
    </w:pPr>
  </w:style>
  <w:style w:type="paragraph" w:styleId="33">
    <w:name w:val="index heading"/>
    <w:basedOn w:val="1"/>
    <w:next w:val="34"/>
    <w:semiHidden/>
    <w:qFormat/>
    <w:uiPriority w:val="0"/>
    <w:pPr>
      <w:jc w:val="left"/>
    </w:pPr>
  </w:style>
  <w:style w:type="paragraph" w:styleId="34">
    <w:name w:val="index 1"/>
    <w:basedOn w:val="1"/>
    <w:next w:val="1"/>
    <w:semiHidden/>
    <w:qFormat/>
    <w:uiPriority w:val="0"/>
    <w:pPr>
      <w:ind w:left="210" w:hanging="210"/>
      <w:jc w:val="left"/>
    </w:pPr>
  </w:style>
  <w:style w:type="paragraph" w:styleId="35">
    <w:name w:val="toc 6"/>
    <w:basedOn w:val="1"/>
    <w:next w:val="1"/>
    <w:semiHidden/>
    <w:qFormat/>
    <w:uiPriority w:val="0"/>
    <w:pPr>
      <w:ind w:left="840"/>
      <w:jc w:val="left"/>
    </w:pPr>
  </w:style>
  <w:style w:type="paragraph" w:styleId="36">
    <w:name w:val="Body Text Indent 3"/>
    <w:basedOn w:val="1"/>
    <w:qFormat/>
    <w:uiPriority w:val="0"/>
    <w:pPr>
      <w:spacing w:after="120"/>
      <w:ind w:left="420" w:leftChars="200"/>
    </w:pPr>
    <w:rPr>
      <w:sz w:val="16"/>
      <w:szCs w:val="16"/>
    </w:rPr>
  </w:style>
  <w:style w:type="paragraph" w:styleId="37">
    <w:name w:val="index 7"/>
    <w:basedOn w:val="1"/>
    <w:next w:val="1"/>
    <w:semiHidden/>
    <w:qFormat/>
    <w:uiPriority w:val="0"/>
    <w:pPr>
      <w:ind w:left="1470" w:hanging="210"/>
      <w:jc w:val="left"/>
    </w:pPr>
  </w:style>
  <w:style w:type="paragraph" w:styleId="38">
    <w:name w:val="index 9"/>
    <w:basedOn w:val="1"/>
    <w:next w:val="1"/>
    <w:semiHidden/>
    <w:qFormat/>
    <w:uiPriority w:val="0"/>
    <w:pPr>
      <w:ind w:left="1890" w:hanging="210"/>
      <w:jc w:val="left"/>
    </w:pPr>
  </w:style>
  <w:style w:type="paragraph" w:styleId="39">
    <w:name w:val="toc 2"/>
    <w:basedOn w:val="1"/>
    <w:next w:val="1"/>
    <w:semiHidden/>
    <w:qFormat/>
    <w:uiPriority w:val="0"/>
    <w:pPr>
      <w:tabs>
        <w:tab w:val="right" w:leader="dot" w:pos="9061"/>
      </w:tabs>
      <w:snapToGrid w:val="0"/>
      <w:spacing w:after="93" w:afterLines="30" w:line="400" w:lineRule="exact"/>
      <w:jc w:val="left"/>
    </w:pPr>
    <w:rPr>
      <w:b/>
      <w:bCs/>
    </w:rPr>
  </w:style>
  <w:style w:type="paragraph" w:styleId="40">
    <w:name w:val="toc 9"/>
    <w:basedOn w:val="1"/>
    <w:next w:val="1"/>
    <w:semiHidden/>
    <w:qFormat/>
    <w:uiPriority w:val="0"/>
    <w:pPr>
      <w:ind w:left="1470"/>
      <w:jc w:val="left"/>
    </w:pPr>
  </w:style>
  <w:style w:type="paragraph" w:styleId="41">
    <w:name w:val="Body Text 2"/>
    <w:basedOn w:val="1"/>
    <w:qFormat/>
    <w:uiPriority w:val="0"/>
    <w:pPr>
      <w:jc w:val="center"/>
    </w:pPr>
    <w:rPr>
      <w:rFonts w:eastAsia="黑体"/>
      <w:b/>
      <w:sz w:val="72"/>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index 2"/>
    <w:basedOn w:val="1"/>
    <w:next w:val="1"/>
    <w:semiHidden/>
    <w:qFormat/>
    <w:uiPriority w:val="0"/>
    <w:pPr>
      <w:ind w:left="420" w:hanging="210"/>
      <w:jc w:val="left"/>
    </w:pPr>
  </w:style>
  <w:style w:type="table" w:styleId="45">
    <w:name w:val="Table Grid"/>
    <w:basedOn w:val="44"/>
    <w:qFormat/>
    <w:uiPriority w:val="0"/>
    <w:pPr>
      <w:widowControl w:val="0"/>
      <w:adjustRightInd w:val="0"/>
      <w:spacing w:line="490" w:lineRule="exact"/>
      <w:ind w:firstLine="556"/>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qFormat/>
    <w:uiPriority w:val="0"/>
  </w:style>
  <w:style w:type="character" w:styleId="48">
    <w:name w:val="FollowedHyperlink"/>
    <w:basedOn w:val="46"/>
    <w:qFormat/>
    <w:uiPriority w:val="0"/>
    <w:rPr>
      <w:color w:val="800080"/>
      <w:u w:val="single"/>
    </w:rPr>
  </w:style>
  <w:style w:type="character" w:styleId="49">
    <w:name w:val="Hyperlink"/>
    <w:basedOn w:val="46"/>
    <w:qFormat/>
    <w:uiPriority w:val="0"/>
    <w:rPr>
      <w:color w:val="0000FF"/>
      <w:u w:val="single"/>
    </w:rPr>
  </w:style>
  <w:style w:type="character" w:styleId="50">
    <w:name w:val="annotation reference"/>
    <w:basedOn w:val="46"/>
    <w:semiHidden/>
    <w:qFormat/>
    <w:uiPriority w:val="0"/>
    <w:rPr>
      <w:sz w:val="21"/>
      <w:szCs w:val="21"/>
    </w:rPr>
  </w:style>
  <w:style w:type="character" w:customStyle="1" w:styleId="51">
    <w:name w:val="pleft4"/>
    <w:basedOn w:val="46"/>
    <w:qFormat/>
    <w:uiPriority w:val="0"/>
  </w:style>
  <w:style w:type="character" w:customStyle="1" w:styleId="52">
    <w:name w:val="pright pnt fc03"/>
    <w:basedOn w:val="46"/>
    <w:qFormat/>
    <w:uiPriority w:val="0"/>
  </w:style>
  <w:style w:type="character" w:customStyle="1" w:styleId="53">
    <w:name w:val="blogsep phide"/>
    <w:basedOn w:val="46"/>
    <w:qFormat/>
    <w:uiPriority w:val="0"/>
  </w:style>
  <w:style w:type="character" w:customStyle="1" w:styleId="54">
    <w:name w:val="fc04 stag selected js-fcurrent fc05"/>
    <w:basedOn w:val="46"/>
    <w:qFormat/>
    <w:uiPriority w:val="0"/>
  </w:style>
  <w:style w:type="character" w:customStyle="1" w:styleId="55">
    <w:name w:val="tcnt3"/>
    <w:basedOn w:val="46"/>
    <w:qFormat/>
    <w:uiPriority w:val="0"/>
  </w:style>
  <w:style w:type="character" w:customStyle="1" w:styleId="56">
    <w:name w:val="zihao fc03"/>
    <w:basedOn w:val="46"/>
    <w:qFormat/>
    <w:uiPriority w:val="0"/>
  </w:style>
  <w:style w:type="character" w:customStyle="1" w:styleId="57">
    <w:name w:val="t_tag"/>
    <w:basedOn w:val="46"/>
    <w:qFormat/>
    <w:uiPriority w:val="0"/>
  </w:style>
  <w:style w:type="character" w:customStyle="1" w:styleId="58">
    <w:name w:val="iblock icn0 icn0-919"/>
    <w:basedOn w:val="46"/>
    <w:qFormat/>
    <w:uiPriority w:val="0"/>
  </w:style>
  <w:style w:type="character" w:customStyle="1" w:styleId="59">
    <w:name w:val="fc04 stag"/>
    <w:basedOn w:val="46"/>
    <w:qFormat/>
    <w:uiPriority w:val="0"/>
  </w:style>
  <w:style w:type="character" w:customStyle="1" w:styleId="60">
    <w:name w:val="blogsep2"/>
    <w:basedOn w:val="46"/>
    <w:qFormat/>
    <w:uiPriority w:val="0"/>
  </w:style>
  <w:style w:type="paragraph" w:customStyle="1" w:styleId="61">
    <w:name w:val="xl25"/>
    <w:basedOn w:val="1"/>
    <w:qFormat/>
    <w:uiPriority w:val="0"/>
    <w:pPr>
      <w:widowControl/>
      <w:pBdr>
        <w:bottom w:val="single" w:color="auto" w:sz="4" w:space="0"/>
        <w:right w:val="single" w:color="auto" w:sz="4" w:space="0"/>
      </w:pBdr>
      <w:spacing w:before="100" w:beforeAutospacing="1" w:after="100" w:afterAutospacing="1"/>
      <w:jc w:val="left"/>
    </w:pPr>
    <w:rPr>
      <w:kern w:val="0"/>
      <w:szCs w:val="21"/>
    </w:rPr>
  </w:style>
  <w:style w:type="paragraph" w:customStyle="1" w:styleId="62">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4">
    <w:name w:val="xl33"/>
    <w:basedOn w:val="1"/>
    <w:qFormat/>
    <w:uiPriority w:val="0"/>
    <w:pPr>
      <w:widowControl/>
      <w:spacing w:before="100" w:beforeAutospacing="1" w:after="100" w:afterAutospacing="1"/>
      <w:jc w:val="center"/>
    </w:pPr>
    <w:rPr>
      <w:rFonts w:ascii="宋体" w:hAnsi="宋体"/>
      <w:kern w:val="0"/>
      <w:sz w:val="18"/>
      <w:szCs w:val="18"/>
    </w:rPr>
  </w:style>
  <w:style w:type="paragraph" w:customStyle="1" w:styleId="65">
    <w:name w:val="xl4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xl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w"/>
    <w:basedOn w:val="1"/>
    <w:qFormat/>
    <w:uiPriority w:val="0"/>
    <w:pPr>
      <w:spacing w:line="360" w:lineRule="auto"/>
      <w:ind w:firstLine="636"/>
    </w:pPr>
    <w:rPr>
      <w:rFonts w:ascii="楷体_GB2312" w:hAnsi="宋体" w:eastAsia="楷体_GB2312"/>
      <w:spacing w:val="-6"/>
      <w:sz w:val="30"/>
    </w:rPr>
  </w:style>
  <w:style w:type="paragraph" w:customStyle="1" w:styleId="69">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70">
    <w:name w:val="xl49"/>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1">
    <w:name w:val="xl5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color w:val="000000"/>
      <w:kern w:val="0"/>
      <w:sz w:val="20"/>
      <w:szCs w:val="20"/>
    </w:rPr>
  </w:style>
  <w:style w:type="paragraph" w:customStyle="1" w:styleId="72">
    <w:name w:val="xl50"/>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18"/>
      <w:szCs w:val="18"/>
    </w:rPr>
  </w:style>
  <w:style w:type="paragraph" w:customStyle="1" w:styleId="7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4">
    <w:name w:val="xl22"/>
    <w:basedOn w:val="1"/>
    <w:qFormat/>
    <w:uiPriority w:val="0"/>
    <w:pPr>
      <w:widowControl/>
      <w:pBdr>
        <w:right w:val="single" w:color="auto" w:sz="4" w:space="0"/>
      </w:pBdr>
      <w:spacing w:before="100" w:beforeAutospacing="1" w:after="100" w:afterAutospacing="1"/>
      <w:jc w:val="center"/>
    </w:pPr>
    <w:rPr>
      <w:rFonts w:ascii="宋体" w:hAnsi="宋体"/>
      <w:kern w:val="0"/>
      <w:sz w:val="18"/>
      <w:szCs w:val="18"/>
    </w:rPr>
  </w:style>
  <w:style w:type="paragraph" w:customStyle="1" w:styleId="75">
    <w:name w:val="1"/>
    <w:basedOn w:val="1"/>
    <w:next w:val="18"/>
    <w:qFormat/>
    <w:uiPriority w:val="0"/>
    <w:pPr>
      <w:spacing w:after="120"/>
    </w:pPr>
  </w:style>
  <w:style w:type="paragraph" w:customStyle="1" w:styleId="76">
    <w:name w:val="xl35"/>
    <w:basedOn w:val="1"/>
    <w:qFormat/>
    <w:uiPriority w:val="0"/>
    <w:pPr>
      <w:widowControl/>
      <w:pBdr>
        <w:bottom w:val="single" w:color="auto" w:sz="4" w:space="0"/>
      </w:pBdr>
      <w:spacing w:before="100" w:beforeAutospacing="1" w:after="100" w:afterAutospacing="1"/>
      <w:jc w:val="center"/>
    </w:pPr>
    <w:rPr>
      <w:rFonts w:ascii="宋体" w:hAnsi="宋体"/>
      <w:kern w:val="0"/>
      <w:sz w:val="18"/>
      <w:szCs w:val="18"/>
    </w:rPr>
  </w:style>
  <w:style w:type="paragraph" w:customStyle="1" w:styleId="77">
    <w:name w:val="xl2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8">
    <w:name w:val="xl3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79">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0">
    <w:name w:val="xl48"/>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18"/>
      <w:szCs w:val="18"/>
    </w:rPr>
  </w:style>
  <w:style w:type="paragraph" w:customStyle="1" w:styleId="81">
    <w:name w:val="xl30"/>
    <w:basedOn w:val="1"/>
    <w:qFormat/>
    <w:uiPriority w:val="0"/>
    <w:pPr>
      <w:widowControl/>
      <w:pBdr>
        <w:top w:val="single" w:color="auto" w:sz="4" w:space="0"/>
      </w:pBdr>
      <w:spacing w:before="100" w:beforeAutospacing="1" w:after="100" w:afterAutospacing="1"/>
      <w:jc w:val="center"/>
    </w:pPr>
    <w:rPr>
      <w:rFonts w:ascii="宋体" w:hAnsi="宋体"/>
      <w:kern w:val="0"/>
      <w:sz w:val="18"/>
      <w:szCs w:val="18"/>
    </w:rPr>
  </w:style>
  <w:style w:type="paragraph" w:customStyle="1" w:styleId="82">
    <w:name w:val="四级条标题"/>
    <w:basedOn w:val="83"/>
    <w:next w:val="1"/>
    <w:qFormat/>
    <w:uiPriority w:val="0"/>
    <w:pPr>
      <w:numPr>
        <w:ilvl w:val="5"/>
      </w:numPr>
      <w:ind w:left="2940" w:hanging="420"/>
      <w:outlineLvl w:val="5"/>
    </w:pPr>
  </w:style>
  <w:style w:type="paragraph" w:customStyle="1" w:styleId="83">
    <w:name w:val="三级条标题"/>
    <w:basedOn w:val="84"/>
    <w:next w:val="1"/>
    <w:qFormat/>
    <w:uiPriority w:val="0"/>
    <w:pPr>
      <w:numPr>
        <w:ilvl w:val="4"/>
      </w:numPr>
      <w:ind w:left="2520" w:hanging="420"/>
      <w:outlineLvl w:val="4"/>
    </w:pPr>
  </w:style>
  <w:style w:type="paragraph" w:customStyle="1" w:styleId="84">
    <w:name w:val="二级条标题"/>
    <w:basedOn w:val="85"/>
    <w:next w:val="1"/>
    <w:qFormat/>
    <w:uiPriority w:val="0"/>
    <w:pPr>
      <w:numPr>
        <w:ilvl w:val="3"/>
      </w:numPr>
      <w:ind w:left="2100" w:hanging="420"/>
      <w:outlineLvl w:val="3"/>
    </w:pPr>
  </w:style>
  <w:style w:type="paragraph" w:customStyle="1" w:styleId="85">
    <w:name w:val="一级条标题"/>
    <w:basedOn w:val="79"/>
    <w:next w:val="1"/>
    <w:qFormat/>
    <w:uiPriority w:val="0"/>
    <w:pPr>
      <w:numPr>
        <w:ilvl w:val="2"/>
      </w:numPr>
      <w:spacing w:before="0" w:beforeLines="0" w:after="0" w:afterLines="0"/>
      <w:ind w:left="1680" w:hanging="420"/>
      <w:outlineLvl w:val="2"/>
    </w:pPr>
  </w:style>
  <w:style w:type="paragraph" w:customStyle="1" w:styleId="86">
    <w:name w:val="样式1"/>
    <w:basedOn w:val="1"/>
    <w:qFormat/>
    <w:uiPriority w:val="0"/>
    <w:pPr>
      <w:numPr>
        <w:ilvl w:val="0"/>
        <w:numId w:val="2"/>
      </w:numPr>
    </w:pPr>
    <w:rPr>
      <w:szCs w:val="20"/>
    </w:rPr>
  </w:style>
  <w:style w:type="paragraph" w:customStyle="1" w:styleId="87">
    <w:name w:val="正文4"/>
    <w:basedOn w:val="1"/>
    <w:qFormat/>
    <w:uiPriority w:val="0"/>
    <w:pPr>
      <w:snapToGrid w:val="0"/>
      <w:ind w:left="960" w:hanging="960"/>
    </w:pPr>
    <w:rPr>
      <w:sz w:val="24"/>
      <w:szCs w:val="20"/>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9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1">
    <w:name w:val="xl32"/>
    <w:basedOn w:val="1"/>
    <w:qFormat/>
    <w:uiPriority w:val="0"/>
    <w:pPr>
      <w:widowControl/>
      <w:pBdr>
        <w:left w:val="single" w:color="auto" w:sz="4" w:space="0"/>
      </w:pBdr>
      <w:spacing w:before="100" w:beforeAutospacing="1" w:after="100" w:afterAutospacing="1"/>
      <w:jc w:val="center"/>
    </w:pPr>
    <w:rPr>
      <w:rFonts w:ascii="宋体" w:hAnsi="宋体"/>
      <w:kern w:val="0"/>
      <w:sz w:val="18"/>
      <w:szCs w:val="18"/>
    </w:rPr>
  </w:style>
  <w:style w:type="paragraph" w:customStyle="1" w:styleId="92">
    <w:name w:val="xl3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93">
    <w:name w:val="xl2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18"/>
      <w:szCs w:val="18"/>
    </w:rPr>
  </w:style>
  <w:style w:type="paragraph" w:customStyle="1" w:styleId="9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95">
    <w:name w:val="五级条标题"/>
    <w:basedOn w:val="82"/>
    <w:next w:val="1"/>
    <w:qFormat/>
    <w:uiPriority w:val="0"/>
    <w:pPr>
      <w:numPr>
        <w:ilvl w:val="6"/>
      </w:numPr>
      <w:ind w:left="3360" w:hanging="420"/>
      <w:outlineLvl w:val="6"/>
    </w:pPr>
  </w:style>
  <w:style w:type="paragraph" w:customStyle="1" w:styleId="96">
    <w:name w:val="xl2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9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98">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99">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00">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01">
    <w:name w:val="数字编号列项（二级）"/>
    <w:qFormat/>
    <w:uiPriority w:val="0"/>
    <w:pPr>
      <w:ind w:left="1260" w:hanging="420"/>
      <w:jc w:val="both"/>
    </w:pPr>
    <w:rPr>
      <w:rFonts w:ascii="宋体" w:hAnsi="Times New Roman" w:eastAsia="宋体" w:cs="Times New Roman"/>
      <w:sz w:val="21"/>
      <w:lang w:val="en-US" w:eastAsia="zh-CN" w:bidi="ar-SA"/>
    </w:rPr>
  </w:style>
  <w:style w:type="paragraph" w:customStyle="1" w:styleId="10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103">
    <w:name w:val="xl44"/>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10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105">
    <w:name w:val="正文411"/>
    <w:basedOn w:val="1"/>
    <w:qFormat/>
    <w:uiPriority w:val="0"/>
    <w:pPr>
      <w:snapToGrid w:val="0"/>
      <w:ind w:left="1680" w:hanging="360"/>
    </w:pPr>
    <w:rPr>
      <w:sz w:val="24"/>
      <w:szCs w:val="20"/>
    </w:rPr>
  </w:style>
  <w:style w:type="paragraph" w:customStyle="1" w:styleId="106">
    <w:name w:val="正文40"/>
    <w:basedOn w:val="1"/>
    <w:qFormat/>
    <w:uiPriority w:val="0"/>
    <w:pPr>
      <w:snapToGrid w:val="0"/>
      <w:ind w:left="1320" w:hanging="360"/>
    </w:pPr>
    <w:rPr>
      <w:sz w:val="24"/>
      <w:szCs w:val="20"/>
    </w:rPr>
  </w:style>
  <w:style w:type="character" w:customStyle="1" w:styleId="107">
    <w:name w:val="页脚 字符"/>
    <w:basedOn w:val="46"/>
    <w:link w:val="29"/>
    <w:qFormat/>
    <w:uiPriority w:val="99"/>
    <w:rPr>
      <w:kern w:val="2"/>
      <w:sz w:val="18"/>
      <w:szCs w:val="18"/>
    </w:rPr>
  </w:style>
  <w:style w:type="paragraph" w:styleId="10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43912</Words>
  <Characters>47069</Characters>
  <Lines>371</Lines>
  <Paragraphs>104</Paragraphs>
  <TotalTime>0</TotalTime>
  <ScaleCrop>false</ScaleCrop>
  <LinksUpToDate>false</LinksUpToDate>
  <CharactersWithSpaces>49351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2019-08-26T08:10:00Z</dcterms:created>
  <dc:creator>XX</dc:creator>
  <cp:lastModifiedBy>大市场，精监管，细服务。</cp:lastModifiedBy>
  <cp:lastPrinted>2018-02-01T09:54:00Z</cp:lastPrinted>
  <dcterms:modified xsi:type="dcterms:W3CDTF">2024-09-23T02:34:37Z</dcterms:modified>
  <dc:title>壹加壹</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536A31F29DE7489193E28866A5A39720</vt:lpwstr>
  </property>
</Properties>
</file>